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E6697"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75F2B294"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7AB9BE30"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42C24354"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319DCC27"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0DADB775"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5C63BB53"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7916455A"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666F849B"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5F3F1256"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11AF59E4"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0F1841D8"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30A2AFEB"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6C43A9E7"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7AD9F375"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165DC91E"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26F92FE2"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40AEBC7B" w14:textId="77777777" w:rsidR="00112208" w:rsidRPr="00C249C9" w:rsidRDefault="00112208" w:rsidP="00112208">
      <w:pPr>
        <w:tabs>
          <w:tab w:val="left" w:pos="567"/>
        </w:tabs>
        <w:outlineLvl w:val="0"/>
        <w:rPr>
          <w:rFonts w:eastAsia="Times New Roman" w:cs="Times New Roman"/>
          <w:b/>
          <w:sz w:val="22"/>
          <w:szCs w:val="22"/>
          <w:lang w:val="lt-LT" w:eastAsia="lt-LT" w:bidi="lt-LT"/>
        </w:rPr>
      </w:pPr>
    </w:p>
    <w:p w14:paraId="0A818A30" w14:textId="77777777" w:rsidR="00112208" w:rsidRPr="00C249C9" w:rsidRDefault="00112208" w:rsidP="00112208">
      <w:pPr>
        <w:tabs>
          <w:tab w:val="left" w:pos="567"/>
        </w:tabs>
        <w:outlineLvl w:val="0"/>
        <w:rPr>
          <w:rFonts w:eastAsia="Times New Roman" w:cs="Times New Roman"/>
          <w:b/>
          <w:sz w:val="22"/>
          <w:szCs w:val="22"/>
          <w:lang w:val="lt-LT" w:eastAsia="lt-LT" w:bidi="lt-LT"/>
        </w:rPr>
      </w:pPr>
    </w:p>
    <w:p w14:paraId="269EFC33" w14:textId="77777777" w:rsidR="00112208" w:rsidRPr="00C249C9" w:rsidRDefault="00112208" w:rsidP="00112208">
      <w:pPr>
        <w:tabs>
          <w:tab w:val="left" w:pos="567"/>
        </w:tabs>
        <w:outlineLvl w:val="0"/>
        <w:rPr>
          <w:rFonts w:eastAsia="Times New Roman" w:cs="Times New Roman"/>
          <w:b/>
          <w:sz w:val="22"/>
          <w:szCs w:val="22"/>
          <w:lang w:val="lt-LT" w:eastAsia="lt-LT" w:bidi="lt-LT"/>
        </w:rPr>
      </w:pPr>
    </w:p>
    <w:p w14:paraId="3C3E032C" w14:textId="77777777" w:rsidR="00112208" w:rsidRPr="00C249C9" w:rsidRDefault="00112208" w:rsidP="00112208">
      <w:pPr>
        <w:tabs>
          <w:tab w:val="left" w:pos="567"/>
        </w:tabs>
        <w:outlineLvl w:val="0"/>
        <w:rPr>
          <w:rFonts w:eastAsia="Times New Roman" w:cs="Times New Roman"/>
          <w:b/>
          <w:sz w:val="22"/>
          <w:szCs w:val="22"/>
          <w:lang w:val="lt-LT" w:eastAsia="lt-LT" w:bidi="lt-LT"/>
        </w:rPr>
      </w:pPr>
    </w:p>
    <w:p w14:paraId="320C963D" w14:textId="77777777" w:rsidR="00112208" w:rsidRPr="00C249C9" w:rsidRDefault="00112208" w:rsidP="00112208">
      <w:pPr>
        <w:tabs>
          <w:tab w:val="left" w:pos="567"/>
        </w:tabs>
        <w:outlineLvl w:val="0"/>
        <w:rPr>
          <w:rFonts w:eastAsia="Times New Roman" w:cs="Times New Roman"/>
          <w:b/>
          <w:sz w:val="22"/>
          <w:szCs w:val="22"/>
          <w:lang w:val="lt-LT" w:eastAsia="lt-LT" w:bidi="lt-LT"/>
        </w:rPr>
      </w:pPr>
    </w:p>
    <w:p w14:paraId="27EC612D" w14:textId="77777777" w:rsidR="00112208" w:rsidRPr="00C249C9" w:rsidRDefault="00112208" w:rsidP="00112208">
      <w:pPr>
        <w:tabs>
          <w:tab w:val="left" w:pos="567"/>
        </w:tabs>
        <w:jc w:val="center"/>
        <w:outlineLvl w:val="0"/>
        <w:rPr>
          <w:rFonts w:eastAsia="Times New Roman" w:cs="Times New Roman"/>
          <w:b/>
          <w:sz w:val="22"/>
          <w:szCs w:val="22"/>
          <w:lang w:val="lt-LT" w:eastAsia="lt-LT" w:bidi="lt-LT"/>
        </w:rPr>
      </w:pPr>
    </w:p>
    <w:p w14:paraId="3258CBF9" w14:textId="77777777" w:rsidR="00112208" w:rsidRPr="00C249C9" w:rsidRDefault="00112208" w:rsidP="00112208">
      <w:pPr>
        <w:tabs>
          <w:tab w:val="left" w:pos="567"/>
        </w:tabs>
        <w:jc w:val="center"/>
        <w:outlineLvl w:val="0"/>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I PRIEDAS</w:t>
      </w:r>
    </w:p>
    <w:p w14:paraId="1395D405" w14:textId="77777777" w:rsidR="00112208" w:rsidRPr="00C249C9" w:rsidRDefault="00112208" w:rsidP="00112208">
      <w:pPr>
        <w:tabs>
          <w:tab w:val="left" w:pos="567"/>
        </w:tabs>
        <w:jc w:val="center"/>
        <w:outlineLvl w:val="0"/>
        <w:rPr>
          <w:rFonts w:eastAsia="Times New Roman" w:cs="Times New Roman"/>
          <w:sz w:val="22"/>
          <w:szCs w:val="22"/>
          <w:lang w:val="lt-LT" w:eastAsia="lt-LT" w:bidi="lt-LT"/>
        </w:rPr>
      </w:pPr>
    </w:p>
    <w:p w14:paraId="75F37F02" w14:textId="77777777" w:rsidR="00112208" w:rsidRPr="00C249C9" w:rsidRDefault="00112208" w:rsidP="00112208">
      <w:pPr>
        <w:tabs>
          <w:tab w:val="left" w:pos="567"/>
        </w:tabs>
        <w:jc w:val="center"/>
        <w:outlineLvl w:val="0"/>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PREPARATO CHARAKTERISTIKŲ SANTRAUKA</w:t>
      </w:r>
    </w:p>
    <w:p w14:paraId="195C5C9A" w14:textId="77777777" w:rsidR="00112208" w:rsidRPr="00C249C9" w:rsidRDefault="00112208" w:rsidP="00112208">
      <w:pPr>
        <w:tabs>
          <w:tab w:val="left" w:pos="567"/>
        </w:tabs>
        <w:rPr>
          <w:rFonts w:eastAsia="Times New Roman" w:cs="Times New Roman"/>
          <w:sz w:val="22"/>
          <w:szCs w:val="22"/>
          <w:highlight w:val="yellow"/>
          <w:lang w:val="lt-LT" w:eastAsia="lt-LT" w:bidi="lt-LT"/>
        </w:rPr>
      </w:pPr>
      <w:r w:rsidRPr="00C249C9">
        <w:rPr>
          <w:rFonts w:eastAsia="Times New Roman" w:cs="Times New Roman"/>
          <w:sz w:val="22"/>
          <w:szCs w:val="22"/>
          <w:highlight w:val="yellow"/>
          <w:lang w:val="lt-LT" w:eastAsia="lt-LT" w:bidi="lt-LT"/>
        </w:rPr>
        <w:br w:type="page"/>
      </w:r>
    </w:p>
    <w:p w14:paraId="07593094" w14:textId="77777777" w:rsidR="00112208" w:rsidRPr="00C249C9" w:rsidRDefault="00112208" w:rsidP="00112208">
      <w:pPr>
        <w:keepNext/>
        <w:numPr>
          <w:ilvl w:val="0"/>
          <w:numId w:val="3"/>
        </w:numPr>
        <w:tabs>
          <w:tab w:val="left" w:pos="567"/>
        </w:tabs>
        <w:suppressAutoHyphens/>
        <w:spacing w:line="260" w:lineRule="exact"/>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lastRenderedPageBreak/>
        <w:t>VAISTINIO PREPARATO PAVADINIMAS</w:t>
      </w:r>
    </w:p>
    <w:p w14:paraId="03A94CD3" w14:textId="77777777" w:rsidR="00112208" w:rsidRPr="00C249C9" w:rsidRDefault="00112208" w:rsidP="00112208">
      <w:pPr>
        <w:keepNext/>
        <w:tabs>
          <w:tab w:val="left" w:pos="567"/>
        </w:tabs>
        <w:rPr>
          <w:rFonts w:eastAsia="Times New Roman" w:cs="Times New Roman"/>
          <w:iCs/>
          <w:noProof/>
          <w:sz w:val="22"/>
          <w:szCs w:val="22"/>
          <w:highlight w:val="yellow"/>
          <w:lang w:val="lt-LT" w:eastAsia="lt-LT" w:bidi="lt-LT"/>
        </w:rPr>
      </w:pPr>
    </w:p>
    <w:p w14:paraId="10F4F0D4" w14:textId="77777777" w:rsidR="00112208" w:rsidRPr="00C249C9" w:rsidRDefault="00112208" w:rsidP="0011220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25 mg plėvele dengtos tabletės</w:t>
      </w:r>
    </w:p>
    <w:p w14:paraId="1FC7B502" w14:textId="77777777" w:rsidR="00112208" w:rsidRPr="00C249C9" w:rsidRDefault="00112208" w:rsidP="0011220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Pr>
          <w:rFonts w:eastAsia="Times New Roman" w:cs="Times New Roman"/>
          <w:sz w:val="22"/>
          <w:szCs w:val="22"/>
          <w:lang w:val="lt-LT" w:eastAsia="lt-LT" w:bidi="lt-LT"/>
        </w:rPr>
        <w:t>50</w:t>
      </w:r>
      <w:r w:rsidRPr="00C249C9">
        <w:rPr>
          <w:rFonts w:eastAsia="Times New Roman" w:cs="Times New Roman"/>
          <w:sz w:val="22"/>
          <w:szCs w:val="22"/>
          <w:lang w:val="lt-LT" w:eastAsia="lt-LT" w:bidi="lt-LT"/>
        </w:rPr>
        <w:t> mg plėvele dengtos tabletės</w:t>
      </w:r>
    </w:p>
    <w:p w14:paraId="4B77C5D9" w14:textId="77777777" w:rsidR="00112208" w:rsidRPr="00C249C9" w:rsidRDefault="00112208" w:rsidP="0011220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100 mg plėvele dengtos tabletės</w:t>
      </w:r>
    </w:p>
    <w:p w14:paraId="4CEDF18B" w14:textId="77777777" w:rsidR="00112208" w:rsidRPr="00C249C9" w:rsidRDefault="00112208" w:rsidP="00112208">
      <w:pPr>
        <w:tabs>
          <w:tab w:val="left" w:pos="567"/>
        </w:tabs>
        <w:rPr>
          <w:rFonts w:eastAsia="Times New Roman" w:cs="Times New Roman"/>
          <w:iCs/>
          <w:noProof/>
          <w:sz w:val="22"/>
          <w:szCs w:val="22"/>
          <w:highlight w:val="yellow"/>
          <w:lang w:val="lt-LT" w:eastAsia="lt-LT" w:bidi="lt-LT"/>
        </w:rPr>
      </w:pPr>
    </w:p>
    <w:p w14:paraId="5F5847EC" w14:textId="77777777" w:rsidR="00112208" w:rsidRPr="00C249C9" w:rsidRDefault="00112208" w:rsidP="00112208">
      <w:pPr>
        <w:tabs>
          <w:tab w:val="left" w:pos="567"/>
        </w:tabs>
        <w:rPr>
          <w:rFonts w:eastAsia="Times New Roman" w:cs="Times New Roman"/>
          <w:iCs/>
          <w:noProof/>
          <w:sz w:val="22"/>
          <w:szCs w:val="22"/>
          <w:highlight w:val="yellow"/>
          <w:lang w:val="lt-LT" w:eastAsia="lt-LT" w:bidi="lt-LT"/>
        </w:rPr>
      </w:pPr>
    </w:p>
    <w:p w14:paraId="58CC0E30" w14:textId="77777777" w:rsidR="00112208" w:rsidRPr="00C249C9" w:rsidRDefault="00112208" w:rsidP="00112208">
      <w:pPr>
        <w:keepNext/>
        <w:numPr>
          <w:ilvl w:val="0"/>
          <w:numId w:val="3"/>
        </w:numPr>
        <w:tabs>
          <w:tab w:val="left" w:pos="567"/>
        </w:tabs>
        <w:suppressAutoHyphens/>
        <w:spacing w:line="260" w:lineRule="exact"/>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KOKYBINĖ IR KIEKYBINĖ SUDĖTIS</w:t>
      </w:r>
    </w:p>
    <w:p w14:paraId="27491F08" w14:textId="77777777" w:rsidR="00112208" w:rsidRPr="00C249C9" w:rsidRDefault="00112208" w:rsidP="00112208">
      <w:pPr>
        <w:keepNext/>
        <w:tabs>
          <w:tab w:val="left" w:pos="567"/>
        </w:tabs>
        <w:rPr>
          <w:rFonts w:eastAsia="Times New Roman" w:cs="Times New Roman"/>
          <w:iCs/>
          <w:noProof/>
          <w:sz w:val="22"/>
          <w:szCs w:val="22"/>
          <w:highlight w:val="yellow"/>
          <w:lang w:val="lt-LT" w:eastAsia="lt-LT" w:bidi="lt-LT"/>
        </w:rPr>
      </w:pPr>
    </w:p>
    <w:p w14:paraId="3B383658" w14:textId="77777777" w:rsidR="00112208" w:rsidRPr="00C249C9" w:rsidRDefault="00112208" w:rsidP="00112208">
      <w:pPr>
        <w:keepNext/>
        <w:tabs>
          <w:tab w:val="left" w:pos="567"/>
        </w:tabs>
        <w:rPr>
          <w:rFonts w:cs="Times New Roman"/>
          <w:sz w:val="22"/>
          <w:szCs w:val="22"/>
          <w:lang w:val="lt-LT" w:eastAsia="en-US"/>
        </w:rPr>
      </w:pPr>
      <w:r w:rsidRPr="00C249C9">
        <w:rPr>
          <w:rFonts w:cs="Times New Roman"/>
          <w:sz w:val="22"/>
          <w:szCs w:val="22"/>
          <w:lang w:val="lt-LT" w:eastAsia="en-US"/>
        </w:rPr>
        <w:t xml:space="preserve">Kiekvienoje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Pr>
          <w:rFonts w:cs="Times New Roman"/>
          <w:sz w:val="22"/>
          <w:szCs w:val="22"/>
          <w:lang w:val="lt-LT" w:eastAsia="en-US"/>
        </w:rPr>
        <w:t>25 </w:t>
      </w:r>
      <w:r w:rsidRPr="00C249C9">
        <w:rPr>
          <w:rFonts w:cs="Times New Roman"/>
          <w:sz w:val="22"/>
          <w:szCs w:val="22"/>
          <w:lang w:val="lt-LT" w:eastAsia="en-US"/>
        </w:rPr>
        <w:t xml:space="preserve">mg </w:t>
      </w:r>
      <w:r>
        <w:rPr>
          <w:rFonts w:cs="Times New Roman"/>
          <w:sz w:val="22"/>
          <w:szCs w:val="22"/>
          <w:lang w:val="lt-LT" w:eastAsia="en-US"/>
        </w:rPr>
        <w:t xml:space="preserve">plėvele dengtoje </w:t>
      </w:r>
      <w:r w:rsidRPr="00C249C9">
        <w:rPr>
          <w:rFonts w:cs="Times New Roman"/>
          <w:sz w:val="22"/>
          <w:szCs w:val="22"/>
          <w:lang w:val="lt-LT" w:eastAsia="en-US"/>
        </w:rPr>
        <w:t>tabletėje yra sitagliptino fosfato monohidrato, atitinkančio 25 mg sitagliptino.</w:t>
      </w:r>
    </w:p>
    <w:p w14:paraId="7689AFE6" w14:textId="77777777" w:rsidR="00112208" w:rsidRPr="00C249C9" w:rsidRDefault="00112208" w:rsidP="00112208">
      <w:pPr>
        <w:keepNext/>
        <w:tabs>
          <w:tab w:val="left" w:pos="567"/>
        </w:tabs>
        <w:rPr>
          <w:rFonts w:cs="Times New Roman"/>
          <w:sz w:val="22"/>
          <w:szCs w:val="22"/>
          <w:lang w:val="lt-LT" w:eastAsia="en-US"/>
        </w:rPr>
      </w:pPr>
      <w:r>
        <w:rPr>
          <w:rFonts w:cs="Times New Roman"/>
          <w:sz w:val="22"/>
          <w:szCs w:val="22"/>
          <w:lang w:val="lt-LT" w:eastAsia="en-US"/>
        </w:rPr>
        <w:t xml:space="preserve">Kiekvienoje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Pr>
          <w:rFonts w:cs="Times New Roman"/>
          <w:sz w:val="22"/>
          <w:szCs w:val="22"/>
          <w:lang w:val="lt-LT" w:eastAsia="en-US"/>
        </w:rPr>
        <w:t>50 </w:t>
      </w:r>
      <w:r w:rsidRPr="00C249C9">
        <w:rPr>
          <w:rFonts w:cs="Times New Roman"/>
          <w:sz w:val="22"/>
          <w:szCs w:val="22"/>
          <w:lang w:val="lt-LT" w:eastAsia="en-US"/>
        </w:rPr>
        <w:t xml:space="preserve">mg </w:t>
      </w:r>
      <w:r w:rsidRPr="006A4298">
        <w:rPr>
          <w:rFonts w:cs="Times New Roman"/>
          <w:sz w:val="22"/>
          <w:szCs w:val="22"/>
          <w:lang w:val="lt-LT" w:eastAsia="en-US"/>
        </w:rPr>
        <w:t xml:space="preserve">plėvele dengtoje </w:t>
      </w:r>
      <w:r w:rsidRPr="00C249C9">
        <w:rPr>
          <w:rFonts w:cs="Times New Roman"/>
          <w:sz w:val="22"/>
          <w:szCs w:val="22"/>
          <w:lang w:val="lt-LT" w:eastAsia="en-US"/>
        </w:rPr>
        <w:t xml:space="preserve">tabletėje yra sitagliptino fosfato monohidrato, atitinkančio </w:t>
      </w:r>
      <w:r>
        <w:rPr>
          <w:rFonts w:cs="Times New Roman"/>
          <w:sz w:val="22"/>
          <w:szCs w:val="22"/>
          <w:lang w:val="lt-LT" w:eastAsia="en-US"/>
        </w:rPr>
        <w:t>50</w:t>
      </w:r>
      <w:r w:rsidRPr="00C249C9">
        <w:rPr>
          <w:rFonts w:cs="Times New Roman"/>
          <w:sz w:val="22"/>
          <w:szCs w:val="22"/>
          <w:lang w:val="lt-LT" w:eastAsia="en-US"/>
        </w:rPr>
        <w:t> mg sitagliptino.</w:t>
      </w:r>
    </w:p>
    <w:p w14:paraId="1B2DF3E8" w14:textId="77777777" w:rsidR="00112208" w:rsidRPr="00C249C9" w:rsidRDefault="00112208" w:rsidP="00112208">
      <w:pPr>
        <w:keepNext/>
        <w:tabs>
          <w:tab w:val="left" w:pos="567"/>
        </w:tabs>
        <w:rPr>
          <w:rFonts w:cs="Times New Roman"/>
          <w:sz w:val="22"/>
          <w:szCs w:val="22"/>
          <w:lang w:val="lt-LT" w:eastAsia="en-US"/>
        </w:rPr>
      </w:pPr>
      <w:r>
        <w:rPr>
          <w:rFonts w:cs="Times New Roman"/>
          <w:sz w:val="22"/>
          <w:szCs w:val="22"/>
          <w:lang w:val="lt-LT" w:eastAsia="en-US"/>
        </w:rPr>
        <w:t xml:space="preserve">Kiekvienoje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Pr>
          <w:rFonts w:cs="Times New Roman"/>
          <w:sz w:val="22"/>
          <w:szCs w:val="22"/>
          <w:lang w:val="lt-LT" w:eastAsia="en-US"/>
        </w:rPr>
        <w:t>100 </w:t>
      </w:r>
      <w:r w:rsidRPr="00C249C9">
        <w:rPr>
          <w:rFonts w:cs="Times New Roman"/>
          <w:sz w:val="22"/>
          <w:szCs w:val="22"/>
          <w:lang w:val="lt-LT" w:eastAsia="en-US"/>
        </w:rPr>
        <w:t xml:space="preserve">mg </w:t>
      </w:r>
      <w:r w:rsidRPr="006A4298">
        <w:rPr>
          <w:rFonts w:cs="Times New Roman"/>
          <w:sz w:val="22"/>
          <w:szCs w:val="22"/>
          <w:lang w:val="lt-LT" w:eastAsia="en-US"/>
        </w:rPr>
        <w:t xml:space="preserve">plėvele dengtoje </w:t>
      </w:r>
      <w:r w:rsidRPr="00C249C9">
        <w:rPr>
          <w:rFonts w:cs="Times New Roman"/>
          <w:sz w:val="22"/>
          <w:szCs w:val="22"/>
          <w:lang w:val="lt-LT" w:eastAsia="en-US"/>
        </w:rPr>
        <w:t xml:space="preserve">tabletėje yra sitagliptino fosfato monohidrato, atitinkančio </w:t>
      </w:r>
      <w:r>
        <w:rPr>
          <w:rFonts w:cs="Times New Roman"/>
          <w:sz w:val="22"/>
          <w:szCs w:val="22"/>
          <w:lang w:val="lt-LT" w:eastAsia="en-US"/>
        </w:rPr>
        <w:t>100</w:t>
      </w:r>
      <w:r w:rsidRPr="00C249C9">
        <w:rPr>
          <w:rFonts w:cs="Times New Roman"/>
          <w:sz w:val="22"/>
          <w:szCs w:val="22"/>
          <w:lang w:val="lt-LT" w:eastAsia="en-US"/>
        </w:rPr>
        <w:t> mg sitagliptino.</w:t>
      </w:r>
    </w:p>
    <w:p w14:paraId="4CF2CDBE" w14:textId="77777777" w:rsidR="00112208" w:rsidRPr="00C249C9" w:rsidRDefault="00112208" w:rsidP="00112208">
      <w:pPr>
        <w:keepNext/>
        <w:tabs>
          <w:tab w:val="left" w:pos="567"/>
        </w:tabs>
        <w:rPr>
          <w:rFonts w:eastAsia="Times New Roman" w:cs="Times New Roman"/>
          <w:sz w:val="22"/>
          <w:szCs w:val="22"/>
          <w:lang w:val="lt-LT" w:eastAsia="lt-LT" w:bidi="lt-LT"/>
        </w:rPr>
      </w:pPr>
    </w:p>
    <w:p w14:paraId="19CBD049" w14:textId="77777777" w:rsidR="00112208" w:rsidRPr="00C249C9" w:rsidRDefault="00112208" w:rsidP="00112208">
      <w:pPr>
        <w:tabs>
          <w:tab w:val="left" w:pos="567"/>
        </w:tabs>
        <w:outlineLvl w:val="0"/>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Visos pagalbinės medžiagos išvardytos 6.1 skyriuje.</w:t>
      </w:r>
    </w:p>
    <w:p w14:paraId="3B024754"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61772DF1"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342A5AE1" w14:textId="77777777" w:rsidR="00112208" w:rsidRPr="00C249C9" w:rsidRDefault="00112208" w:rsidP="00112208">
      <w:pPr>
        <w:keepNext/>
        <w:numPr>
          <w:ilvl w:val="0"/>
          <w:numId w:val="3"/>
        </w:numPr>
        <w:tabs>
          <w:tab w:val="left" w:pos="567"/>
        </w:tabs>
        <w:suppressAutoHyphens/>
        <w:spacing w:line="260" w:lineRule="exact"/>
        <w:rPr>
          <w:rFonts w:eastAsia="Times New Roman" w:cs="Times New Roman"/>
          <w:caps/>
          <w:noProof/>
          <w:sz w:val="22"/>
          <w:szCs w:val="22"/>
          <w:lang w:val="lt-LT" w:eastAsia="lt-LT" w:bidi="lt-LT"/>
        </w:rPr>
      </w:pPr>
      <w:r w:rsidRPr="00C249C9">
        <w:rPr>
          <w:rFonts w:eastAsia="Times New Roman" w:cs="Times New Roman"/>
          <w:b/>
          <w:noProof/>
          <w:sz w:val="22"/>
          <w:szCs w:val="22"/>
          <w:lang w:val="lt-LT" w:eastAsia="lt-LT" w:bidi="lt-LT"/>
        </w:rPr>
        <w:t>FARMACINĖ FORMA</w:t>
      </w:r>
    </w:p>
    <w:p w14:paraId="57ED4BE5" w14:textId="77777777" w:rsidR="00112208" w:rsidRPr="00C249C9" w:rsidRDefault="00112208" w:rsidP="00112208">
      <w:pPr>
        <w:keepNext/>
        <w:tabs>
          <w:tab w:val="left" w:pos="567"/>
        </w:tabs>
        <w:rPr>
          <w:rFonts w:eastAsia="Times New Roman" w:cs="Times New Roman"/>
          <w:noProof/>
          <w:sz w:val="22"/>
          <w:szCs w:val="22"/>
          <w:highlight w:val="yellow"/>
          <w:lang w:val="lt-LT" w:eastAsia="lt-LT" w:bidi="lt-LT"/>
        </w:rPr>
      </w:pPr>
    </w:p>
    <w:p w14:paraId="4585681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Plėvele dengta tabletė.</w:t>
      </w:r>
    </w:p>
    <w:p w14:paraId="29F6C9F1" w14:textId="77777777" w:rsidR="00112208" w:rsidRPr="00C249C9" w:rsidRDefault="00112208" w:rsidP="00112208">
      <w:pPr>
        <w:autoSpaceDE w:val="0"/>
        <w:autoSpaceDN w:val="0"/>
        <w:adjustRightInd w:val="0"/>
        <w:rPr>
          <w:rFonts w:cs="Times New Roman"/>
          <w:sz w:val="22"/>
          <w:szCs w:val="22"/>
          <w:lang w:val="lt-LT" w:eastAsia="en-US"/>
        </w:rPr>
      </w:pPr>
    </w:p>
    <w:p w14:paraId="7BADF3FF" w14:textId="77777777" w:rsidR="00112208" w:rsidRPr="00C249C9" w:rsidRDefault="00112208" w:rsidP="00112208">
      <w:pPr>
        <w:autoSpaceDE w:val="0"/>
        <w:autoSpaceDN w:val="0"/>
        <w:adjustRightInd w:val="0"/>
        <w:rPr>
          <w:rFonts w:cs="Times New Roman"/>
          <w:sz w:val="22"/>
          <w:szCs w:val="22"/>
          <w:lang w:val="lt-LT" w:eastAsia="en-US"/>
        </w:rPr>
      </w:pPr>
      <w:r>
        <w:rPr>
          <w:rFonts w:cs="Times New Roman"/>
          <w:sz w:val="22"/>
          <w:szCs w:val="22"/>
          <w:lang w:val="lt-LT" w:eastAsia="en-US"/>
        </w:rPr>
        <w:t>25 </w:t>
      </w:r>
      <w:r w:rsidRPr="00C249C9">
        <w:rPr>
          <w:rFonts w:cs="Times New Roman"/>
          <w:sz w:val="22"/>
          <w:szCs w:val="22"/>
          <w:lang w:val="lt-LT" w:eastAsia="en-US"/>
        </w:rPr>
        <w:t>mg tabletė: geltonos spalvos, apvali, abipusiai išgaubta plėvele dengta tabletė, kurios skersmuo yra maždaug 6</w:t>
      </w:r>
      <w:r>
        <w:rPr>
          <w:rFonts w:cs="Times New Roman"/>
          <w:sz w:val="22"/>
          <w:szCs w:val="22"/>
          <w:lang w:val="lt-LT" w:eastAsia="en-US"/>
        </w:rPr>
        <w:t> </w:t>
      </w:r>
      <w:r w:rsidRPr="00C249C9">
        <w:rPr>
          <w:rFonts w:cs="Times New Roman"/>
          <w:sz w:val="22"/>
          <w:szCs w:val="22"/>
          <w:lang w:val="lt-LT" w:eastAsia="en-US"/>
        </w:rPr>
        <w:t xml:space="preserve">mm. </w:t>
      </w:r>
    </w:p>
    <w:p w14:paraId="5B76687C" w14:textId="77777777" w:rsidR="00112208" w:rsidRPr="00C249C9" w:rsidRDefault="00112208" w:rsidP="00112208">
      <w:pPr>
        <w:autoSpaceDE w:val="0"/>
        <w:autoSpaceDN w:val="0"/>
        <w:adjustRightInd w:val="0"/>
        <w:rPr>
          <w:rFonts w:cs="Times New Roman"/>
          <w:sz w:val="22"/>
          <w:szCs w:val="22"/>
          <w:lang w:val="lt-LT" w:eastAsia="en-US"/>
        </w:rPr>
      </w:pPr>
      <w:r>
        <w:rPr>
          <w:rFonts w:cs="Times New Roman"/>
          <w:sz w:val="22"/>
          <w:szCs w:val="22"/>
          <w:lang w:val="lt-LT" w:eastAsia="en-US"/>
        </w:rPr>
        <w:t>50 </w:t>
      </w:r>
      <w:r w:rsidRPr="00C249C9">
        <w:rPr>
          <w:rFonts w:cs="Times New Roman"/>
          <w:sz w:val="22"/>
          <w:szCs w:val="22"/>
          <w:lang w:val="lt-LT" w:eastAsia="en-US"/>
        </w:rPr>
        <w:t>mg tabl</w:t>
      </w:r>
      <w:r>
        <w:rPr>
          <w:rFonts w:cs="Times New Roman"/>
          <w:sz w:val="22"/>
          <w:szCs w:val="22"/>
          <w:lang w:val="lt-LT" w:eastAsia="en-US"/>
        </w:rPr>
        <w:t>etė: šviesiai raudonos spalvos</w:t>
      </w:r>
      <w:r w:rsidRPr="00C249C9">
        <w:rPr>
          <w:rFonts w:cs="Times New Roman"/>
          <w:sz w:val="22"/>
          <w:szCs w:val="22"/>
          <w:lang w:val="lt-LT" w:eastAsia="en-US"/>
        </w:rPr>
        <w:t>, apvali, abipusiai išgaubta plėvele dengta tabletė, kurios skersmuo yra maždaug 8</w:t>
      </w:r>
      <w:r>
        <w:rPr>
          <w:rFonts w:cs="Times New Roman"/>
          <w:sz w:val="22"/>
          <w:szCs w:val="22"/>
          <w:lang w:val="lt-LT" w:eastAsia="en-US"/>
        </w:rPr>
        <w:t> </w:t>
      </w:r>
      <w:r w:rsidRPr="00C249C9">
        <w:rPr>
          <w:rFonts w:cs="Times New Roman"/>
          <w:sz w:val="22"/>
          <w:szCs w:val="22"/>
          <w:lang w:val="lt-LT" w:eastAsia="en-US"/>
        </w:rPr>
        <w:t xml:space="preserve">mm. </w:t>
      </w:r>
    </w:p>
    <w:p w14:paraId="689337C8" w14:textId="77777777" w:rsidR="00112208" w:rsidRPr="00C249C9" w:rsidRDefault="00112208" w:rsidP="00112208">
      <w:pPr>
        <w:autoSpaceDE w:val="0"/>
        <w:autoSpaceDN w:val="0"/>
        <w:adjustRightInd w:val="0"/>
        <w:rPr>
          <w:rFonts w:cs="Times New Roman"/>
          <w:sz w:val="22"/>
          <w:szCs w:val="22"/>
          <w:lang w:val="lt-LT" w:eastAsia="en-US"/>
        </w:rPr>
      </w:pPr>
      <w:r>
        <w:rPr>
          <w:rFonts w:cs="Times New Roman"/>
          <w:sz w:val="22"/>
          <w:szCs w:val="22"/>
          <w:lang w:val="lt-LT" w:eastAsia="en-US"/>
        </w:rPr>
        <w:t>100 </w:t>
      </w:r>
      <w:r w:rsidRPr="00C249C9">
        <w:rPr>
          <w:rFonts w:cs="Times New Roman"/>
          <w:sz w:val="22"/>
          <w:szCs w:val="22"/>
          <w:lang w:val="lt-LT" w:eastAsia="en-US"/>
        </w:rPr>
        <w:t>mg tabletė: šviesiai rudos spalvos, apvali, abipusiai išgaubta plėvele dengta tabletė, kurios skersmuo yra maždaug 10,3</w:t>
      </w:r>
      <w:r>
        <w:rPr>
          <w:rFonts w:cs="Times New Roman"/>
          <w:sz w:val="22"/>
          <w:szCs w:val="22"/>
          <w:lang w:val="lt-LT" w:eastAsia="en-US"/>
        </w:rPr>
        <w:t> </w:t>
      </w:r>
      <w:r w:rsidRPr="00C249C9">
        <w:rPr>
          <w:rFonts w:cs="Times New Roman"/>
          <w:sz w:val="22"/>
          <w:szCs w:val="22"/>
          <w:lang w:val="lt-LT" w:eastAsia="en-US"/>
        </w:rPr>
        <w:t>mm.</w:t>
      </w:r>
    </w:p>
    <w:p w14:paraId="72CFF295"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2E9A32CB"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6C9B688A" w14:textId="77777777" w:rsidR="00112208" w:rsidRPr="00C249C9" w:rsidRDefault="00112208" w:rsidP="00112208">
      <w:pPr>
        <w:keepNext/>
        <w:numPr>
          <w:ilvl w:val="0"/>
          <w:numId w:val="3"/>
        </w:numPr>
        <w:tabs>
          <w:tab w:val="left" w:pos="567"/>
        </w:tabs>
        <w:suppressAutoHyphens/>
        <w:spacing w:line="260" w:lineRule="exact"/>
        <w:rPr>
          <w:rFonts w:eastAsia="Times New Roman" w:cs="Times New Roman"/>
          <w:caps/>
          <w:noProof/>
          <w:sz w:val="22"/>
          <w:szCs w:val="22"/>
          <w:lang w:val="lt-LT" w:eastAsia="lt-LT" w:bidi="lt-LT"/>
        </w:rPr>
      </w:pPr>
      <w:r w:rsidRPr="00C249C9">
        <w:rPr>
          <w:rFonts w:eastAsia="Times New Roman" w:cs="Times New Roman"/>
          <w:b/>
          <w:noProof/>
          <w:sz w:val="22"/>
          <w:szCs w:val="22"/>
          <w:lang w:val="lt-LT" w:eastAsia="lt-LT" w:bidi="lt-LT"/>
        </w:rPr>
        <w:t>KLINIKINĖ INFORMACIJA</w:t>
      </w:r>
    </w:p>
    <w:p w14:paraId="21066B53"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0E5005EE"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Terapinės indikacijos</w:t>
      </w:r>
    </w:p>
    <w:p w14:paraId="2F002679" w14:textId="77777777" w:rsidR="00112208" w:rsidRPr="00C249C9" w:rsidRDefault="00112208" w:rsidP="00112208">
      <w:pPr>
        <w:autoSpaceDE w:val="0"/>
        <w:autoSpaceDN w:val="0"/>
        <w:adjustRightInd w:val="0"/>
        <w:rPr>
          <w:rFonts w:cs="Times New Roman"/>
          <w:i/>
          <w:sz w:val="22"/>
          <w:szCs w:val="22"/>
          <w:lang w:val="lt-LT" w:eastAsia="en-US"/>
        </w:rPr>
      </w:pPr>
    </w:p>
    <w:p w14:paraId="33D0AD79" w14:textId="77777777" w:rsidR="00112208" w:rsidRPr="00C249C9" w:rsidRDefault="00112208" w:rsidP="00112208">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yra skirtas </w:t>
      </w:r>
      <w:r>
        <w:rPr>
          <w:rFonts w:cs="Times New Roman"/>
          <w:sz w:val="22"/>
          <w:szCs w:val="22"/>
          <w:lang w:val="lt-LT" w:eastAsia="en-US"/>
        </w:rPr>
        <w:t>2</w:t>
      </w:r>
      <w:r w:rsidRPr="00C249C9">
        <w:rPr>
          <w:rFonts w:cs="Times New Roman"/>
          <w:sz w:val="22"/>
          <w:szCs w:val="22"/>
          <w:lang w:val="lt-LT" w:eastAsia="en-US"/>
        </w:rPr>
        <w:t xml:space="preserve"> tipo cukriniu diabetu sergančių suaugusių pacientų glikemijos kontrolei pagerinti.</w:t>
      </w:r>
    </w:p>
    <w:p w14:paraId="679BD9AA"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60FA3F60" w14:textId="77777777" w:rsidR="00112208" w:rsidRPr="004D73DC" w:rsidRDefault="00112208" w:rsidP="00112208">
      <w:pPr>
        <w:autoSpaceDE w:val="0"/>
        <w:autoSpaceDN w:val="0"/>
        <w:adjustRightInd w:val="0"/>
        <w:rPr>
          <w:rFonts w:cs="Times New Roman"/>
          <w:sz w:val="22"/>
          <w:szCs w:val="22"/>
          <w:u w:val="single"/>
          <w:lang w:val="lt-LT" w:eastAsia="en-US"/>
        </w:rPr>
      </w:pPr>
      <w:r w:rsidRPr="004D73DC">
        <w:rPr>
          <w:rFonts w:cs="Times New Roman"/>
          <w:sz w:val="22"/>
          <w:szCs w:val="22"/>
          <w:u w:val="single"/>
          <w:lang w:val="lt-LT" w:eastAsia="en-US"/>
        </w:rPr>
        <w:t>Monoterapija:</w:t>
      </w:r>
    </w:p>
    <w:p w14:paraId="7B5E1FEF" w14:textId="77777777" w:rsidR="00112208" w:rsidRPr="00C249C9" w:rsidRDefault="00112208" w:rsidP="00112208">
      <w:pPr>
        <w:autoSpaceDE w:val="0"/>
        <w:autoSpaceDN w:val="0"/>
        <w:adjustRightInd w:val="0"/>
        <w:rPr>
          <w:rFonts w:cs="Times New Roman"/>
          <w:sz w:val="22"/>
          <w:szCs w:val="22"/>
          <w:lang w:val="lt-LT" w:eastAsia="en-US"/>
        </w:rPr>
      </w:pPr>
    </w:p>
    <w:p w14:paraId="64FC20C3" w14:textId="77777777" w:rsidR="00112208" w:rsidRPr="00C249C9" w:rsidRDefault="00112208" w:rsidP="00112208">
      <w:pPr>
        <w:pStyle w:val="BT-EMEASMCA"/>
        <w:numPr>
          <w:ilvl w:val="0"/>
          <w:numId w:val="9"/>
        </w:numPr>
        <w:ind w:left="567" w:hanging="567"/>
        <w:rPr>
          <w:rFonts w:cs="Times New Roman"/>
          <w:sz w:val="22"/>
          <w:szCs w:val="22"/>
          <w:lang w:val="lt-LT" w:eastAsia="en-US"/>
        </w:rPr>
      </w:pPr>
      <w:r w:rsidRPr="00C249C9">
        <w:rPr>
          <w:rFonts w:cs="Times New Roman"/>
          <w:sz w:val="22"/>
          <w:szCs w:val="22"/>
          <w:lang w:val="lt-LT" w:eastAsia="en-US"/>
        </w:rPr>
        <w:t>pacientams, kuriems vien tik dieta ir fiziniais pratimais glikemijos pakankamai sureguliuoti nepavyksta, o metforminas netinkamas dėl kontraindikacijų ar netoleravimo.</w:t>
      </w:r>
    </w:p>
    <w:p w14:paraId="3781CC4E"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0987A2A8" w14:textId="77777777" w:rsidR="00112208" w:rsidRPr="004D73DC" w:rsidRDefault="00112208" w:rsidP="00112208">
      <w:pPr>
        <w:autoSpaceDE w:val="0"/>
        <w:autoSpaceDN w:val="0"/>
        <w:adjustRightInd w:val="0"/>
        <w:rPr>
          <w:rFonts w:cs="Times New Roman"/>
          <w:sz w:val="22"/>
          <w:szCs w:val="22"/>
          <w:u w:val="single"/>
          <w:lang w:val="lt-LT" w:eastAsia="en-US"/>
        </w:rPr>
      </w:pPr>
      <w:r w:rsidRPr="004D73DC">
        <w:rPr>
          <w:rFonts w:cs="Times New Roman"/>
          <w:sz w:val="22"/>
          <w:szCs w:val="22"/>
          <w:u w:val="single"/>
          <w:lang w:val="lt-LT" w:eastAsia="en-US"/>
        </w:rPr>
        <w:t>Gydymas dviem geriamaisiais vaistiniais preparatais, derinyje su:</w:t>
      </w:r>
    </w:p>
    <w:p w14:paraId="3377C419"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14AACE59" w14:textId="77777777" w:rsidR="00112208" w:rsidRPr="00C249C9" w:rsidRDefault="00112208" w:rsidP="00112208">
      <w:pPr>
        <w:pStyle w:val="BT-EMEASMCA"/>
        <w:numPr>
          <w:ilvl w:val="0"/>
          <w:numId w:val="10"/>
        </w:numPr>
        <w:ind w:left="567" w:hanging="567"/>
        <w:rPr>
          <w:rFonts w:cs="Times New Roman"/>
          <w:sz w:val="22"/>
          <w:szCs w:val="22"/>
          <w:lang w:val="lt-LT" w:eastAsia="en-US"/>
        </w:rPr>
      </w:pPr>
      <w:r w:rsidRPr="00C249C9">
        <w:rPr>
          <w:rFonts w:cs="Times New Roman"/>
          <w:sz w:val="22"/>
          <w:szCs w:val="22"/>
          <w:lang w:val="lt-LT" w:eastAsia="en-US"/>
        </w:rPr>
        <w:t>metforminu tuo atveju, jeigu gydant dieta, fiziniais pratimais ir vienu metforminu glikemijos kontroliuoti nepavyksta;</w:t>
      </w:r>
    </w:p>
    <w:p w14:paraId="77BAE8F2" w14:textId="77777777" w:rsidR="00112208" w:rsidRPr="00C249C9" w:rsidRDefault="00112208" w:rsidP="00112208">
      <w:pPr>
        <w:pStyle w:val="BT-EMEASMCA"/>
        <w:numPr>
          <w:ilvl w:val="0"/>
          <w:numId w:val="0"/>
        </w:numPr>
        <w:ind w:left="567" w:hanging="567"/>
        <w:rPr>
          <w:rFonts w:cs="Times New Roman"/>
          <w:sz w:val="22"/>
          <w:szCs w:val="22"/>
          <w:highlight w:val="yellow"/>
          <w:lang w:val="lt-LT" w:eastAsia="en-US"/>
        </w:rPr>
      </w:pPr>
    </w:p>
    <w:p w14:paraId="58878A18" w14:textId="77777777" w:rsidR="00112208" w:rsidRPr="00C249C9" w:rsidRDefault="00112208" w:rsidP="00112208">
      <w:pPr>
        <w:pStyle w:val="BT-EMEASMCA"/>
        <w:numPr>
          <w:ilvl w:val="0"/>
          <w:numId w:val="10"/>
        </w:numPr>
        <w:ind w:left="567" w:hanging="567"/>
        <w:rPr>
          <w:rFonts w:cs="Times New Roman"/>
          <w:sz w:val="22"/>
          <w:szCs w:val="22"/>
          <w:lang w:val="lt-LT" w:eastAsia="en-US"/>
        </w:rPr>
      </w:pPr>
      <w:r w:rsidRPr="00C249C9">
        <w:rPr>
          <w:rFonts w:cs="Times New Roman"/>
          <w:sz w:val="22"/>
          <w:szCs w:val="22"/>
          <w:lang w:val="lt-LT" w:eastAsia="en-US"/>
        </w:rPr>
        <w:t xml:space="preserve">sulfonilurėjos dariniu tuo atveju, jeigu gydant dieta, fiziniais pratimais ir didžiausia toleruojama vieno sulfonilurėjos darinio doze glikemijos </w:t>
      </w:r>
      <w:r>
        <w:rPr>
          <w:rFonts w:cs="Times New Roman"/>
          <w:sz w:val="22"/>
          <w:szCs w:val="22"/>
          <w:lang w:val="lt-LT" w:eastAsia="en-US"/>
        </w:rPr>
        <w:t>sureguliuoti</w:t>
      </w:r>
      <w:r w:rsidRPr="00C249C9">
        <w:rPr>
          <w:rFonts w:cs="Times New Roman"/>
          <w:sz w:val="22"/>
          <w:szCs w:val="22"/>
          <w:lang w:val="lt-LT" w:eastAsia="en-US"/>
        </w:rPr>
        <w:t xml:space="preserve"> nepavyksta ir jeigu dėl kontraindikacijų arba netoleravimo negalima skirti metformino;</w:t>
      </w:r>
    </w:p>
    <w:p w14:paraId="62C9900F" w14:textId="77777777" w:rsidR="00112208" w:rsidRPr="00C249C9" w:rsidRDefault="00112208" w:rsidP="00112208">
      <w:pPr>
        <w:pStyle w:val="ListParagraph"/>
        <w:ind w:left="567" w:hanging="567"/>
        <w:rPr>
          <w:sz w:val="22"/>
          <w:szCs w:val="22"/>
          <w:lang w:val="lt-LT" w:eastAsia="en-US"/>
        </w:rPr>
      </w:pPr>
    </w:p>
    <w:p w14:paraId="69A88B61" w14:textId="77777777" w:rsidR="00112208" w:rsidRPr="00C249C9" w:rsidRDefault="00112208" w:rsidP="00112208">
      <w:pPr>
        <w:pStyle w:val="BT-EMEASMCA"/>
        <w:numPr>
          <w:ilvl w:val="0"/>
          <w:numId w:val="10"/>
        </w:numPr>
        <w:ind w:left="567" w:hanging="567"/>
        <w:rPr>
          <w:sz w:val="22"/>
          <w:szCs w:val="22"/>
          <w:lang w:val="lt-LT" w:eastAsia="en-US"/>
        </w:rPr>
      </w:pPr>
      <w:r w:rsidRPr="00C249C9">
        <w:rPr>
          <w:sz w:val="22"/>
          <w:szCs w:val="22"/>
          <w:lang w:val="lt-LT" w:eastAsia="en-US"/>
        </w:rPr>
        <w:t>peroksisominių proliferatorių aktyvuojamų gama receptorių (PPARγ) agonistu (t. y., tiazolidindion</w:t>
      </w:r>
      <w:r>
        <w:rPr>
          <w:sz w:val="22"/>
          <w:szCs w:val="22"/>
          <w:lang w:val="lt-LT" w:eastAsia="en-US"/>
        </w:rPr>
        <w:t>o dariniu</w:t>
      </w:r>
      <w:r w:rsidRPr="00C249C9">
        <w:rPr>
          <w:sz w:val="22"/>
          <w:szCs w:val="22"/>
          <w:lang w:val="lt-LT" w:eastAsia="en-US"/>
        </w:rPr>
        <w:t xml:space="preserve">) tuo atveju, jeigu PPARγ agonistas tinka ir jeigu gydant dieta, fiziniais pratimais bei vienu PPARγ agonistu glikemijos </w:t>
      </w:r>
      <w:r>
        <w:rPr>
          <w:sz w:val="22"/>
          <w:szCs w:val="22"/>
          <w:lang w:val="lt-LT" w:eastAsia="en-US"/>
        </w:rPr>
        <w:t>sureguliuoti</w:t>
      </w:r>
      <w:r w:rsidRPr="00C249C9">
        <w:rPr>
          <w:sz w:val="22"/>
          <w:szCs w:val="22"/>
          <w:lang w:val="lt-LT" w:eastAsia="en-US"/>
        </w:rPr>
        <w:t xml:space="preserve"> nepavyksta.</w:t>
      </w:r>
    </w:p>
    <w:p w14:paraId="01F7F2B7"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20270E3B" w14:textId="77777777" w:rsidR="00112208" w:rsidRPr="004D73DC" w:rsidRDefault="00112208" w:rsidP="00112208">
      <w:pPr>
        <w:pStyle w:val="BT-EMEASMCA"/>
        <w:numPr>
          <w:ilvl w:val="0"/>
          <w:numId w:val="0"/>
        </w:numPr>
        <w:rPr>
          <w:rFonts w:cs="Times New Roman"/>
          <w:sz w:val="22"/>
          <w:szCs w:val="22"/>
          <w:u w:val="single"/>
          <w:lang w:val="lt-LT" w:eastAsia="en-US"/>
        </w:rPr>
      </w:pPr>
      <w:r w:rsidRPr="004D73DC">
        <w:rPr>
          <w:rFonts w:cs="Times New Roman"/>
          <w:sz w:val="22"/>
          <w:szCs w:val="22"/>
          <w:u w:val="single"/>
          <w:lang w:val="lt-LT" w:eastAsia="en-US"/>
        </w:rPr>
        <w:lastRenderedPageBreak/>
        <w:t>Gydymas trimis geriamaisiais vaistiniais preparatais, derinyje su:</w:t>
      </w:r>
    </w:p>
    <w:p w14:paraId="1559A64F" w14:textId="77777777" w:rsidR="00112208" w:rsidRPr="00C249C9" w:rsidRDefault="00112208" w:rsidP="00112208">
      <w:pPr>
        <w:pStyle w:val="BT-EMEASMCA"/>
        <w:numPr>
          <w:ilvl w:val="0"/>
          <w:numId w:val="0"/>
        </w:numPr>
        <w:rPr>
          <w:rFonts w:cs="Times New Roman"/>
          <w:sz w:val="22"/>
          <w:szCs w:val="22"/>
          <w:lang w:val="lt-LT" w:eastAsia="en-US"/>
        </w:rPr>
      </w:pPr>
    </w:p>
    <w:p w14:paraId="2B4DEA02" w14:textId="77777777" w:rsidR="00112208" w:rsidRPr="00C249C9" w:rsidRDefault="00112208" w:rsidP="00112208">
      <w:pPr>
        <w:pStyle w:val="BT-EMEASMCA"/>
        <w:numPr>
          <w:ilvl w:val="0"/>
          <w:numId w:val="11"/>
        </w:numPr>
        <w:ind w:left="567" w:hanging="567"/>
        <w:rPr>
          <w:rFonts w:cs="Times New Roman"/>
          <w:sz w:val="22"/>
          <w:szCs w:val="22"/>
          <w:lang w:val="lt-LT" w:eastAsia="en-US"/>
        </w:rPr>
      </w:pPr>
      <w:r w:rsidRPr="00C249C9">
        <w:rPr>
          <w:rFonts w:cs="Times New Roman"/>
          <w:sz w:val="22"/>
          <w:szCs w:val="22"/>
          <w:lang w:val="lt-LT" w:eastAsia="en-US"/>
        </w:rPr>
        <w:t xml:space="preserve">sulfonilurėjos dariniu ir metforminu tuo atveju, jeigu gydant dieta, fiziniais pratimais ir kartu šiais dviem vaistiniais preparatais glikemijos </w:t>
      </w:r>
      <w:r>
        <w:rPr>
          <w:rFonts w:cs="Times New Roman"/>
          <w:sz w:val="22"/>
          <w:szCs w:val="22"/>
          <w:lang w:val="lt-LT" w:eastAsia="en-US"/>
        </w:rPr>
        <w:t>tinkamai</w:t>
      </w:r>
      <w:r w:rsidRPr="00C249C9">
        <w:rPr>
          <w:rFonts w:cs="Times New Roman"/>
          <w:sz w:val="22"/>
          <w:szCs w:val="22"/>
          <w:lang w:val="lt-LT" w:eastAsia="en-US"/>
        </w:rPr>
        <w:t xml:space="preserve"> </w:t>
      </w:r>
      <w:r>
        <w:rPr>
          <w:rFonts w:cs="Times New Roman"/>
          <w:sz w:val="22"/>
          <w:szCs w:val="22"/>
          <w:lang w:val="lt-LT" w:eastAsia="en-US"/>
        </w:rPr>
        <w:t xml:space="preserve">sureguliuoti </w:t>
      </w:r>
      <w:r w:rsidRPr="00C249C9">
        <w:rPr>
          <w:rFonts w:cs="Times New Roman"/>
          <w:sz w:val="22"/>
          <w:szCs w:val="22"/>
          <w:lang w:val="lt-LT" w:eastAsia="en-US"/>
        </w:rPr>
        <w:t>nepavyksta;</w:t>
      </w:r>
    </w:p>
    <w:p w14:paraId="6717293D" w14:textId="77777777" w:rsidR="00112208" w:rsidRPr="00C249C9" w:rsidRDefault="00112208" w:rsidP="00112208">
      <w:pPr>
        <w:pStyle w:val="BT-EMEASMCA"/>
        <w:numPr>
          <w:ilvl w:val="0"/>
          <w:numId w:val="0"/>
        </w:numPr>
        <w:ind w:left="567" w:hanging="567"/>
        <w:rPr>
          <w:rFonts w:cs="Times New Roman"/>
          <w:sz w:val="22"/>
          <w:szCs w:val="22"/>
          <w:lang w:val="lt-LT" w:eastAsia="en-US"/>
        </w:rPr>
      </w:pPr>
    </w:p>
    <w:p w14:paraId="7E95F32E" w14:textId="77777777" w:rsidR="00112208" w:rsidRPr="00C249C9" w:rsidRDefault="00112208" w:rsidP="00112208">
      <w:pPr>
        <w:pStyle w:val="BT-EMEASMCA"/>
        <w:numPr>
          <w:ilvl w:val="0"/>
          <w:numId w:val="11"/>
        </w:numPr>
        <w:ind w:left="567" w:hanging="567"/>
        <w:rPr>
          <w:rFonts w:cs="Times New Roman"/>
          <w:sz w:val="22"/>
          <w:szCs w:val="22"/>
          <w:lang w:val="lt-LT" w:eastAsia="en-US"/>
        </w:rPr>
      </w:pPr>
      <w:r w:rsidRPr="00C249C9">
        <w:rPr>
          <w:rFonts w:cs="Times New Roman"/>
          <w:sz w:val="22"/>
          <w:szCs w:val="22"/>
          <w:lang w:val="lt-LT" w:eastAsia="en-US"/>
        </w:rPr>
        <w:t>PPARγ agonistu ir metforminu tuo atveju, jeigu PPARγ agonistas tinka ir jeigu gydant dieta, fiziniais pratimais ir kartu šiais dviem vaistiniais preparatais glikemijos</w:t>
      </w:r>
      <w:r>
        <w:rPr>
          <w:rFonts w:cs="Times New Roman"/>
          <w:sz w:val="22"/>
          <w:szCs w:val="22"/>
          <w:lang w:val="lt-LT" w:eastAsia="en-US"/>
        </w:rPr>
        <w:t xml:space="preserve"> tinkamai</w:t>
      </w:r>
      <w:r w:rsidRPr="00C249C9">
        <w:rPr>
          <w:rFonts w:cs="Times New Roman"/>
          <w:sz w:val="22"/>
          <w:szCs w:val="22"/>
          <w:lang w:val="lt-LT" w:eastAsia="en-US"/>
        </w:rPr>
        <w:t xml:space="preserve"> </w:t>
      </w:r>
      <w:r>
        <w:rPr>
          <w:rFonts w:cs="Times New Roman"/>
          <w:sz w:val="22"/>
          <w:szCs w:val="22"/>
          <w:lang w:val="lt-LT" w:eastAsia="en-US"/>
        </w:rPr>
        <w:t>sureguliuoti</w:t>
      </w:r>
      <w:r w:rsidRPr="00C249C9">
        <w:rPr>
          <w:rFonts w:cs="Times New Roman"/>
          <w:sz w:val="22"/>
          <w:szCs w:val="22"/>
          <w:lang w:val="lt-LT" w:eastAsia="en-US"/>
        </w:rPr>
        <w:t xml:space="preserve"> nepavyksta.</w:t>
      </w:r>
    </w:p>
    <w:p w14:paraId="599F2CBC" w14:textId="77777777" w:rsidR="00112208" w:rsidRPr="00C249C9" w:rsidRDefault="00112208" w:rsidP="00112208">
      <w:pPr>
        <w:autoSpaceDE w:val="0"/>
        <w:autoSpaceDN w:val="0"/>
        <w:adjustRightInd w:val="0"/>
        <w:rPr>
          <w:rFonts w:cs="Times New Roman"/>
          <w:sz w:val="22"/>
          <w:szCs w:val="22"/>
          <w:lang w:val="lt-LT" w:eastAsia="en-US"/>
        </w:rPr>
      </w:pPr>
    </w:p>
    <w:p w14:paraId="4A842068" w14:textId="77777777" w:rsidR="00112208" w:rsidRPr="00C249C9" w:rsidRDefault="00112208" w:rsidP="00112208">
      <w:pPr>
        <w:pStyle w:val="BT-EMEASMCA"/>
        <w:numPr>
          <w:ilvl w:val="0"/>
          <w:numId w:val="0"/>
        </w:numPr>
        <w:rPr>
          <w:rFonts w:cs="Times New Roman"/>
          <w:sz w:val="22"/>
          <w:szCs w:val="22"/>
          <w:lang w:val="lt-LT" w:eastAsia="en-US"/>
        </w:rPr>
      </w:pPr>
      <w:r w:rsidRPr="00C249C9">
        <w:rPr>
          <w:rFonts w:cs="Times New Roman"/>
          <w:sz w:val="22"/>
          <w:szCs w:val="22"/>
          <w:lang w:val="lt-LT" w:eastAsia="en-US"/>
        </w:rPr>
        <w:t xml:space="preserve">Be to,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 xml:space="preserve">taip pat skirtas pridėtiniam gydymui (kartu su metforminu arba be jo) papildant gydymą insulinu, kai dieta, fiziniais pratimais ir pastovia insulino doze glikemijos </w:t>
      </w:r>
      <w:r>
        <w:rPr>
          <w:rFonts w:cs="Times New Roman"/>
          <w:sz w:val="22"/>
          <w:szCs w:val="22"/>
          <w:lang w:val="lt-LT" w:eastAsia="en-US"/>
        </w:rPr>
        <w:t>tinkamai</w:t>
      </w:r>
      <w:r w:rsidRPr="00C249C9">
        <w:rPr>
          <w:rFonts w:cs="Times New Roman"/>
          <w:sz w:val="22"/>
          <w:szCs w:val="22"/>
          <w:lang w:val="lt-LT" w:eastAsia="en-US"/>
        </w:rPr>
        <w:t xml:space="preserve"> </w:t>
      </w:r>
      <w:r>
        <w:rPr>
          <w:rFonts w:cs="Times New Roman"/>
          <w:sz w:val="22"/>
          <w:szCs w:val="22"/>
          <w:lang w:val="lt-LT" w:eastAsia="en-US"/>
        </w:rPr>
        <w:t>sureguliuoti</w:t>
      </w:r>
      <w:r w:rsidRPr="00C249C9">
        <w:rPr>
          <w:rFonts w:cs="Times New Roman"/>
          <w:sz w:val="22"/>
          <w:szCs w:val="22"/>
          <w:lang w:val="lt-LT" w:eastAsia="en-US"/>
        </w:rPr>
        <w:t xml:space="preserve"> nepavyksta.</w:t>
      </w:r>
    </w:p>
    <w:p w14:paraId="49DC1624" w14:textId="77777777" w:rsidR="00112208" w:rsidRPr="00C249C9" w:rsidRDefault="00112208" w:rsidP="00112208">
      <w:pPr>
        <w:pStyle w:val="BT-EMEASMCA"/>
        <w:numPr>
          <w:ilvl w:val="0"/>
          <w:numId w:val="0"/>
        </w:numPr>
        <w:ind w:left="720" w:hanging="360"/>
        <w:rPr>
          <w:rFonts w:eastAsia="Times New Roman" w:cs="Times New Roman"/>
          <w:noProof/>
          <w:sz w:val="22"/>
          <w:szCs w:val="22"/>
          <w:lang w:val="lt-LT" w:eastAsia="lt-LT" w:bidi="lt-LT"/>
        </w:rPr>
      </w:pPr>
    </w:p>
    <w:p w14:paraId="1B4A2D2F"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Dozavimas ir vartojimo metodas</w:t>
      </w:r>
    </w:p>
    <w:p w14:paraId="07B43035" w14:textId="77777777" w:rsidR="00112208" w:rsidRPr="00C249C9" w:rsidRDefault="00112208" w:rsidP="00112208">
      <w:pPr>
        <w:keepNext/>
        <w:tabs>
          <w:tab w:val="left" w:pos="567"/>
        </w:tabs>
        <w:rPr>
          <w:rFonts w:eastAsia="Times New Roman" w:cs="Times New Roman"/>
          <w:sz w:val="22"/>
          <w:szCs w:val="22"/>
          <w:lang w:val="lt-LT" w:eastAsia="lt-LT" w:bidi="lt-LT"/>
        </w:rPr>
      </w:pPr>
    </w:p>
    <w:p w14:paraId="26AA0359" w14:textId="77777777" w:rsidR="00112208" w:rsidRPr="00C249C9" w:rsidRDefault="00112208" w:rsidP="00112208">
      <w:pPr>
        <w:keepNext/>
        <w:tabs>
          <w:tab w:val="left" w:pos="567"/>
        </w:tabs>
        <w:rPr>
          <w:rFonts w:eastAsia="Times New Roman" w:cs="Times New Roman"/>
          <w:sz w:val="22"/>
          <w:szCs w:val="22"/>
          <w:u w:val="single"/>
          <w:lang w:val="lt-LT" w:eastAsia="lt-LT" w:bidi="lt-LT"/>
        </w:rPr>
      </w:pPr>
      <w:r w:rsidRPr="00C249C9">
        <w:rPr>
          <w:rFonts w:eastAsia="Times New Roman" w:cs="Times New Roman"/>
          <w:sz w:val="22"/>
          <w:szCs w:val="22"/>
          <w:u w:val="single"/>
          <w:lang w:val="lt-LT" w:eastAsia="lt-LT" w:bidi="lt-LT"/>
        </w:rPr>
        <w:t>Dozavimas</w:t>
      </w:r>
    </w:p>
    <w:p w14:paraId="634F399B" w14:textId="77777777" w:rsidR="00112208" w:rsidRPr="00C249C9" w:rsidRDefault="00112208" w:rsidP="00112208">
      <w:pPr>
        <w:keepNext/>
        <w:tabs>
          <w:tab w:val="left" w:pos="567"/>
        </w:tabs>
        <w:rPr>
          <w:rFonts w:eastAsia="Times New Roman" w:cs="Times New Roman"/>
          <w:sz w:val="22"/>
          <w:szCs w:val="22"/>
          <w:lang w:val="lt-LT" w:eastAsia="lt-LT" w:bidi="lt-LT"/>
        </w:rPr>
      </w:pPr>
    </w:p>
    <w:p w14:paraId="7161EC10"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Sitagliptino dozė yra 100 mg per parą. Vartojant kartu su metforminu ir (arba) PPARγ agonistu, reikia palikti įprastinę metformino ir (arba) PPARγ agonisto dozę ir kartu paskirti </w:t>
      </w:r>
      <w:r>
        <w:rPr>
          <w:rFonts w:eastAsia="Times New Roman" w:cs="Times New Roman"/>
          <w:sz w:val="22"/>
          <w:szCs w:val="22"/>
          <w:lang w:val="lt-LT" w:eastAsia="lt-LT" w:bidi="lt-LT"/>
        </w:rPr>
        <w:t>JIMANDIN</w:t>
      </w:r>
      <w:r w:rsidRPr="00C249C9">
        <w:rPr>
          <w:rFonts w:cs="Times New Roman"/>
          <w:sz w:val="22"/>
          <w:szCs w:val="22"/>
          <w:lang w:val="lt-LT" w:eastAsia="en-US"/>
        </w:rPr>
        <w:t>.</w:t>
      </w:r>
    </w:p>
    <w:p w14:paraId="54AA0C36" w14:textId="77777777" w:rsidR="00112208" w:rsidRPr="00C249C9" w:rsidRDefault="00112208" w:rsidP="00112208">
      <w:pPr>
        <w:autoSpaceDE w:val="0"/>
        <w:autoSpaceDN w:val="0"/>
        <w:adjustRightInd w:val="0"/>
        <w:rPr>
          <w:rFonts w:cs="Times New Roman"/>
          <w:sz w:val="22"/>
          <w:szCs w:val="22"/>
          <w:lang w:val="lt-LT" w:eastAsia="en-US"/>
        </w:rPr>
      </w:pPr>
    </w:p>
    <w:p w14:paraId="1AA34AC3" w14:textId="77777777" w:rsidR="00112208" w:rsidRPr="00C249C9" w:rsidRDefault="00112208" w:rsidP="00112208">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derinant su sulfonilurėjos dariniu arba insulinu, svarstytinas sulfonilurėjos darinio arba insulino mažesnės dozės vartojimas, siekiant sumažinti hipoglikemijos riziką (žr. 4.4 skyrių).</w:t>
      </w:r>
    </w:p>
    <w:p w14:paraId="0577D7D6" w14:textId="77777777" w:rsidR="00112208" w:rsidRPr="00C249C9" w:rsidRDefault="00112208" w:rsidP="00112208">
      <w:pPr>
        <w:autoSpaceDE w:val="0"/>
        <w:autoSpaceDN w:val="0"/>
        <w:adjustRightInd w:val="0"/>
        <w:rPr>
          <w:rFonts w:cs="Times New Roman"/>
          <w:sz w:val="22"/>
          <w:szCs w:val="22"/>
          <w:lang w:val="lt-LT" w:eastAsia="en-US"/>
        </w:rPr>
      </w:pPr>
    </w:p>
    <w:p w14:paraId="619FDAA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Jeigu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dozę pacientas praleidžia, ją jis turi išgerti tuoj pat, kai tik prisimena. Dvigubos dozės tą pačią parą vartoti negalima.</w:t>
      </w:r>
    </w:p>
    <w:p w14:paraId="4C94DF96" w14:textId="77777777" w:rsidR="00112208" w:rsidRPr="00C249C9" w:rsidRDefault="00112208" w:rsidP="00112208">
      <w:pPr>
        <w:autoSpaceDE w:val="0"/>
        <w:autoSpaceDN w:val="0"/>
        <w:adjustRightInd w:val="0"/>
        <w:rPr>
          <w:rFonts w:cs="Times New Roman"/>
          <w:sz w:val="22"/>
          <w:szCs w:val="22"/>
          <w:lang w:val="lt-LT" w:eastAsia="en-US"/>
        </w:rPr>
      </w:pPr>
    </w:p>
    <w:p w14:paraId="065254F0"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Ypatingos populiacijos</w:t>
      </w:r>
    </w:p>
    <w:p w14:paraId="1F912DB1"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1F92A31D"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Pacientams, kurių inkstų funkcija sutrikusi</w:t>
      </w:r>
    </w:p>
    <w:p w14:paraId="578851C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Svarstant apie sitagliptino ir kito vaistinio preparato nuo cukrinio diabeto paskyrimą pacientui, kurio inkstų veikla yra sutrikusi, turi būti patikrintos jų skyrimo sąlygos.</w:t>
      </w:r>
    </w:p>
    <w:p w14:paraId="23B5E249" w14:textId="77777777" w:rsidR="00112208" w:rsidRPr="00C249C9" w:rsidRDefault="00112208" w:rsidP="00112208">
      <w:pPr>
        <w:autoSpaceDE w:val="0"/>
        <w:autoSpaceDN w:val="0"/>
        <w:adjustRightInd w:val="0"/>
        <w:rPr>
          <w:rFonts w:cs="Times New Roman"/>
          <w:sz w:val="22"/>
          <w:szCs w:val="22"/>
          <w:lang w:val="lt-LT" w:eastAsia="en-US"/>
        </w:rPr>
      </w:pPr>
    </w:p>
    <w:p w14:paraId="13B6DDB1" w14:textId="77777777" w:rsidR="00112208" w:rsidRDefault="00112208" w:rsidP="00112208">
      <w:pPr>
        <w:autoSpaceDE w:val="0"/>
        <w:autoSpaceDN w:val="0"/>
        <w:adjustRightInd w:val="0"/>
        <w:rPr>
          <w:rFonts w:cs="Times New Roman"/>
          <w:sz w:val="22"/>
          <w:szCs w:val="22"/>
          <w:lang w:val="lt-LT" w:eastAsia="en-US"/>
        </w:rPr>
      </w:pPr>
      <w:r w:rsidRPr="0038568A">
        <w:rPr>
          <w:rFonts w:cs="Times New Roman"/>
          <w:sz w:val="22"/>
          <w:szCs w:val="22"/>
          <w:lang w:val="lt-LT" w:eastAsia="en-US"/>
        </w:rPr>
        <w:t>Pacientams, sergantiems lengvu inkstų sutrikimu (glomerulų filtracijos greitis [GFG] yra nuo</w:t>
      </w:r>
      <w:r>
        <w:rPr>
          <w:rFonts w:cs="Times New Roman"/>
          <w:sz w:val="22"/>
          <w:szCs w:val="22"/>
          <w:lang w:val="lt-LT" w:eastAsia="en-US"/>
        </w:rPr>
        <w:t xml:space="preserve"> </w:t>
      </w:r>
      <w:r w:rsidRPr="0038568A">
        <w:rPr>
          <w:rFonts w:cs="Times New Roman"/>
          <w:sz w:val="22"/>
          <w:szCs w:val="22"/>
          <w:lang w:val="lt-LT" w:eastAsia="en-US"/>
        </w:rPr>
        <w:t>≥</w:t>
      </w:r>
      <w:r>
        <w:rPr>
          <w:rFonts w:cs="Times New Roman"/>
          <w:sz w:val="22"/>
          <w:szCs w:val="22"/>
          <w:lang w:val="lt-LT" w:eastAsia="en-US"/>
        </w:rPr>
        <w:t> </w:t>
      </w:r>
      <w:r w:rsidRPr="0038568A">
        <w:rPr>
          <w:rFonts w:cs="Times New Roman"/>
          <w:sz w:val="22"/>
          <w:szCs w:val="22"/>
          <w:lang w:val="lt-LT" w:eastAsia="en-US"/>
        </w:rPr>
        <w:t>60</w:t>
      </w:r>
      <w:r>
        <w:rPr>
          <w:rFonts w:cs="Times New Roman"/>
          <w:sz w:val="22"/>
          <w:szCs w:val="22"/>
          <w:lang w:val="lt-LT" w:eastAsia="en-US"/>
        </w:rPr>
        <w:t> </w:t>
      </w:r>
      <w:r w:rsidRPr="0038568A">
        <w:rPr>
          <w:rFonts w:cs="Times New Roman"/>
          <w:sz w:val="22"/>
          <w:szCs w:val="22"/>
          <w:lang w:val="lt-LT" w:eastAsia="en-US"/>
        </w:rPr>
        <w:t>ml/min. iki &lt;</w:t>
      </w:r>
      <w:r>
        <w:rPr>
          <w:rFonts w:cs="Times New Roman"/>
          <w:sz w:val="22"/>
          <w:szCs w:val="22"/>
          <w:lang w:val="lt-LT" w:eastAsia="en-US"/>
        </w:rPr>
        <w:t> </w:t>
      </w:r>
      <w:r w:rsidRPr="0038568A">
        <w:rPr>
          <w:rFonts w:cs="Times New Roman"/>
          <w:sz w:val="22"/>
          <w:szCs w:val="22"/>
          <w:lang w:val="lt-LT" w:eastAsia="en-US"/>
        </w:rPr>
        <w:t>90</w:t>
      </w:r>
      <w:r>
        <w:rPr>
          <w:rFonts w:cs="Times New Roman"/>
          <w:sz w:val="22"/>
          <w:szCs w:val="22"/>
          <w:lang w:val="lt-LT" w:eastAsia="en-US"/>
        </w:rPr>
        <w:t> </w:t>
      </w:r>
      <w:r w:rsidRPr="0038568A">
        <w:rPr>
          <w:rFonts w:cs="Times New Roman"/>
          <w:sz w:val="22"/>
          <w:szCs w:val="22"/>
          <w:lang w:val="lt-LT" w:eastAsia="en-US"/>
        </w:rPr>
        <w:t>ml/min.), dozės keisti nereikia.</w:t>
      </w:r>
    </w:p>
    <w:p w14:paraId="69639A9A" w14:textId="77777777" w:rsidR="00112208" w:rsidRPr="0038568A" w:rsidRDefault="00112208" w:rsidP="00112208">
      <w:pPr>
        <w:autoSpaceDE w:val="0"/>
        <w:autoSpaceDN w:val="0"/>
        <w:adjustRightInd w:val="0"/>
        <w:rPr>
          <w:rFonts w:cs="Times New Roman"/>
          <w:sz w:val="22"/>
          <w:szCs w:val="22"/>
          <w:lang w:val="lt-LT" w:eastAsia="en-US"/>
        </w:rPr>
      </w:pPr>
    </w:p>
    <w:p w14:paraId="2D2EF4D7" w14:textId="77777777" w:rsidR="00112208" w:rsidRDefault="00112208" w:rsidP="00112208">
      <w:pPr>
        <w:autoSpaceDE w:val="0"/>
        <w:autoSpaceDN w:val="0"/>
        <w:adjustRightInd w:val="0"/>
        <w:rPr>
          <w:rFonts w:cs="Times New Roman"/>
          <w:sz w:val="22"/>
          <w:szCs w:val="22"/>
          <w:lang w:val="lt-LT" w:eastAsia="en-US"/>
        </w:rPr>
      </w:pPr>
      <w:r w:rsidRPr="0038568A">
        <w:rPr>
          <w:rFonts w:cs="Times New Roman"/>
          <w:sz w:val="22"/>
          <w:szCs w:val="22"/>
          <w:lang w:val="lt-LT" w:eastAsia="en-US"/>
        </w:rPr>
        <w:t>Pacientams, kuriems yra vidutinio sunkumo inkstų sutrikimas (GFG nuo ≥</w:t>
      </w:r>
      <w:r>
        <w:rPr>
          <w:rFonts w:cs="Times New Roman"/>
          <w:sz w:val="22"/>
          <w:szCs w:val="22"/>
          <w:lang w:val="lt-LT" w:eastAsia="en-US"/>
        </w:rPr>
        <w:t> </w:t>
      </w:r>
      <w:r w:rsidRPr="0038568A">
        <w:rPr>
          <w:rFonts w:cs="Times New Roman"/>
          <w:sz w:val="22"/>
          <w:szCs w:val="22"/>
          <w:lang w:val="lt-LT" w:eastAsia="en-US"/>
        </w:rPr>
        <w:t>45</w:t>
      </w:r>
      <w:r>
        <w:rPr>
          <w:rFonts w:cs="Times New Roman"/>
          <w:sz w:val="22"/>
          <w:szCs w:val="22"/>
          <w:lang w:val="lt-LT" w:eastAsia="en-US"/>
        </w:rPr>
        <w:t> </w:t>
      </w:r>
      <w:r w:rsidRPr="0038568A">
        <w:rPr>
          <w:rFonts w:cs="Times New Roman"/>
          <w:sz w:val="22"/>
          <w:szCs w:val="22"/>
          <w:lang w:val="lt-LT" w:eastAsia="en-US"/>
        </w:rPr>
        <w:t>ml/min. iki</w:t>
      </w:r>
      <w:r>
        <w:rPr>
          <w:rFonts w:cs="Times New Roman"/>
          <w:sz w:val="22"/>
          <w:szCs w:val="22"/>
          <w:lang w:val="lt-LT" w:eastAsia="en-US"/>
        </w:rPr>
        <w:t xml:space="preserve"> </w:t>
      </w:r>
      <w:r w:rsidRPr="0038568A">
        <w:rPr>
          <w:rFonts w:cs="Times New Roman"/>
          <w:sz w:val="22"/>
          <w:szCs w:val="22"/>
          <w:lang w:val="lt-LT" w:eastAsia="en-US"/>
        </w:rPr>
        <w:t>&lt;</w:t>
      </w:r>
      <w:r>
        <w:rPr>
          <w:rFonts w:cs="Times New Roman"/>
          <w:sz w:val="22"/>
          <w:szCs w:val="22"/>
          <w:lang w:val="lt-LT" w:eastAsia="en-US"/>
        </w:rPr>
        <w:t> </w:t>
      </w:r>
      <w:r w:rsidRPr="0038568A">
        <w:rPr>
          <w:rFonts w:cs="Times New Roman"/>
          <w:sz w:val="22"/>
          <w:szCs w:val="22"/>
          <w:lang w:val="lt-LT" w:eastAsia="en-US"/>
        </w:rPr>
        <w:t>60</w:t>
      </w:r>
      <w:r>
        <w:rPr>
          <w:rFonts w:cs="Times New Roman"/>
          <w:sz w:val="22"/>
          <w:szCs w:val="22"/>
          <w:lang w:val="lt-LT" w:eastAsia="en-US"/>
        </w:rPr>
        <w:t> </w:t>
      </w:r>
      <w:r w:rsidRPr="0038568A">
        <w:rPr>
          <w:rFonts w:cs="Times New Roman"/>
          <w:sz w:val="22"/>
          <w:szCs w:val="22"/>
          <w:lang w:val="lt-LT" w:eastAsia="en-US"/>
        </w:rPr>
        <w:t>ml/min.), dozės keisti nereikia.</w:t>
      </w:r>
    </w:p>
    <w:p w14:paraId="7D73AF59" w14:textId="77777777" w:rsidR="00112208" w:rsidRPr="0038568A" w:rsidRDefault="00112208" w:rsidP="00112208">
      <w:pPr>
        <w:autoSpaceDE w:val="0"/>
        <w:autoSpaceDN w:val="0"/>
        <w:adjustRightInd w:val="0"/>
        <w:rPr>
          <w:rFonts w:cs="Times New Roman"/>
          <w:sz w:val="22"/>
          <w:szCs w:val="22"/>
          <w:lang w:val="lt-LT" w:eastAsia="en-US"/>
        </w:rPr>
      </w:pPr>
    </w:p>
    <w:p w14:paraId="5A1AE1F7" w14:textId="77777777" w:rsidR="00112208" w:rsidRDefault="00112208" w:rsidP="00112208">
      <w:pPr>
        <w:autoSpaceDE w:val="0"/>
        <w:autoSpaceDN w:val="0"/>
        <w:adjustRightInd w:val="0"/>
        <w:rPr>
          <w:rFonts w:cs="Times New Roman"/>
          <w:sz w:val="22"/>
          <w:szCs w:val="22"/>
          <w:lang w:val="lt-LT" w:eastAsia="en-US"/>
        </w:rPr>
      </w:pPr>
      <w:r w:rsidRPr="0038568A">
        <w:rPr>
          <w:rFonts w:cs="Times New Roman"/>
          <w:sz w:val="22"/>
          <w:szCs w:val="22"/>
          <w:lang w:val="lt-LT" w:eastAsia="en-US"/>
        </w:rPr>
        <w:t>Pacientams, kuriems yra vidutinio sunkumo inkstų sutrikimas (GFG nuo ≥</w:t>
      </w:r>
      <w:r>
        <w:rPr>
          <w:rFonts w:cs="Times New Roman"/>
          <w:sz w:val="22"/>
          <w:szCs w:val="22"/>
          <w:lang w:val="lt-LT" w:eastAsia="en-US"/>
        </w:rPr>
        <w:t> </w:t>
      </w:r>
      <w:r w:rsidRPr="0038568A">
        <w:rPr>
          <w:rFonts w:cs="Times New Roman"/>
          <w:sz w:val="22"/>
          <w:szCs w:val="22"/>
          <w:lang w:val="lt-LT" w:eastAsia="en-US"/>
        </w:rPr>
        <w:t>30</w:t>
      </w:r>
      <w:r>
        <w:rPr>
          <w:rFonts w:cs="Times New Roman"/>
          <w:sz w:val="22"/>
          <w:szCs w:val="22"/>
          <w:lang w:val="lt-LT" w:eastAsia="en-US"/>
        </w:rPr>
        <w:t> </w:t>
      </w:r>
      <w:r w:rsidRPr="0038568A">
        <w:rPr>
          <w:rFonts w:cs="Times New Roman"/>
          <w:sz w:val="22"/>
          <w:szCs w:val="22"/>
          <w:lang w:val="lt-LT" w:eastAsia="en-US"/>
        </w:rPr>
        <w:t>ml/min. iki</w:t>
      </w:r>
      <w:r>
        <w:rPr>
          <w:rFonts w:cs="Times New Roman"/>
          <w:sz w:val="22"/>
          <w:szCs w:val="22"/>
          <w:lang w:val="lt-LT" w:eastAsia="en-US"/>
        </w:rPr>
        <w:t xml:space="preserve"> </w:t>
      </w:r>
      <w:r w:rsidRPr="0038568A">
        <w:rPr>
          <w:rFonts w:cs="Times New Roman"/>
          <w:sz w:val="22"/>
          <w:szCs w:val="22"/>
          <w:lang w:val="lt-LT" w:eastAsia="en-US"/>
        </w:rPr>
        <w:t>&lt;</w:t>
      </w:r>
      <w:r>
        <w:rPr>
          <w:rFonts w:cs="Times New Roman"/>
          <w:sz w:val="22"/>
          <w:szCs w:val="22"/>
          <w:lang w:val="lt-LT" w:eastAsia="en-US"/>
        </w:rPr>
        <w:t> </w:t>
      </w:r>
      <w:r w:rsidRPr="0038568A">
        <w:rPr>
          <w:rFonts w:cs="Times New Roman"/>
          <w:sz w:val="22"/>
          <w:szCs w:val="22"/>
          <w:lang w:val="lt-LT" w:eastAsia="en-US"/>
        </w:rPr>
        <w:t>45</w:t>
      </w:r>
      <w:r>
        <w:rPr>
          <w:rFonts w:cs="Times New Roman"/>
          <w:sz w:val="22"/>
          <w:szCs w:val="22"/>
          <w:lang w:val="lt-LT" w:eastAsia="en-US"/>
        </w:rPr>
        <w:t> </w:t>
      </w:r>
      <w:r w:rsidRPr="0038568A">
        <w:rPr>
          <w:rFonts w:cs="Times New Roman"/>
          <w:sz w:val="22"/>
          <w:szCs w:val="22"/>
          <w:lang w:val="lt-LT" w:eastAsia="en-US"/>
        </w:rPr>
        <w:t xml:space="preserve">ml/min.), </w:t>
      </w:r>
      <w:r>
        <w:rPr>
          <w:rFonts w:cs="Times New Roman"/>
          <w:sz w:val="22"/>
          <w:szCs w:val="22"/>
          <w:lang w:val="lt-LT" w:eastAsia="en-US"/>
        </w:rPr>
        <w:t>JIMANDIN</w:t>
      </w:r>
      <w:r w:rsidRPr="0038568A">
        <w:rPr>
          <w:rFonts w:cs="Times New Roman"/>
          <w:sz w:val="22"/>
          <w:szCs w:val="22"/>
          <w:lang w:val="lt-LT" w:eastAsia="en-US"/>
        </w:rPr>
        <w:t xml:space="preserve"> dozė yra 50</w:t>
      </w:r>
      <w:r>
        <w:rPr>
          <w:rFonts w:cs="Times New Roman"/>
          <w:sz w:val="22"/>
          <w:szCs w:val="22"/>
          <w:lang w:val="lt-LT" w:eastAsia="en-US"/>
        </w:rPr>
        <w:t> </w:t>
      </w:r>
      <w:r w:rsidRPr="0038568A">
        <w:rPr>
          <w:rFonts w:cs="Times New Roman"/>
          <w:sz w:val="22"/>
          <w:szCs w:val="22"/>
          <w:lang w:val="lt-LT" w:eastAsia="en-US"/>
        </w:rPr>
        <w:t>mg vieną kartą per parą.</w:t>
      </w:r>
    </w:p>
    <w:p w14:paraId="545BABA7" w14:textId="77777777" w:rsidR="00112208" w:rsidRPr="0038568A" w:rsidRDefault="00112208" w:rsidP="00112208">
      <w:pPr>
        <w:autoSpaceDE w:val="0"/>
        <w:autoSpaceDN w:val="0"/>
        <w:adjustRightInd w:val="0"/>
        <w:rPr>
          <w:rFonts w:cs="Times New Roman"/>
          <w:sz w:val="22"/>
          <w:szCs w:val="22"/>
          <w:lang w:val="lt-LT" w:eastAsia="en-US"/>
        </w:rPr>
      </w:pPr>
    </w:p>
    <w:p w14:paraId="5BD50739" w14:textId="77777777" w:rsidR="00112208" w:rsidRPr="00C249C9" w:rsidRDefault="00112208" w:rsidP="00112208">
      <w:pPr>
        <w:autoSpaceDE w:val="0"/>
        <w:autoSpaceDN w:val="0"/>
        <w:adjustRightInd w:val="0"/>
        <w:rPr>
          <w:rFonts w:cs="Times New Roman"/>
          <w:sz w:val="22"/>
          <w:szCs w:val="22"/>
          <w:lang w:val="lt-LT" w:eastAsia="en-US"/>
        </w:rPr>
      </w:pPr>
      <w:r w:rsidRPr="0038568A">
        <w:rPr>
          <w:rFonts w:cs="Times New Roman"/>
          <w:sz w:val="22"/>
          <w:szCs w:val="22"/>
          <w:lang w:val="lt-LT" w:eastAsia="en-US"/>
        </w:rPr>
        <w:t>Pacientams, kuriems yra sunkus inkstų sutrikimas (GFG nuo ≥</w:t>
      </w:r>
      <w:r>
        <w:rPr>
          <w:rFonts w:cs="Times New Roman"/>
          <w:sz w:val="22"/>
          <w:szCs w:val="22"/>
          <w:lang w:val="lt-LT" w:eastAsia="en-US"/>
        </w:rPr>
        <w:t> </w:t>
      </w:r>
      <w:r w:rsidRPr="0038568A">
        <w:rPr>
          <w:rFonts w:cs="Times New Roman"/>
          <w:sz w:val="22"/>
          <w:szCs w:val="22"/>
          <w:lang w:val="lt-LT" w:eastAsia="en-US"/>
        </w:rPr>
        <w:t>15 ml/min. iki &lt;</w:t>
      </w:r>
      <w:r>
        <w:rPr>
          <w:rFonts w:cs="Times New Roman"/>
          <w:sz w:val="22"/>
          <w:szCs w:val="22"/>
          <w:lang w:val="lt-LT" w:eastAsia="en-US"/>
        </w:rPr>
        <w:t> </w:t>
      </w:r>
      <w:r w:rsidRPr="0038568A">
        <w:rPr>
          <w:rFonts w:cs="Times New Roman"/>
          <w:sz w:val="22"/>
          <w:szCs w:val="22"/>
          <w:lang w:val="lt-LT" w:eastAsia="en-US"/>
        </w:rPr>
        <w:t>30 ml/min.) arba</w:t>
      </w:r>
      <w:r>
        <w:rPr>
          <w:rFonts w:cs="Times New Roman"/>
          <w:sz w:val="22"/>
          <w:szCs w:val="22"/>
          <w:lang w:val="lt-LT" w:eastAsia="en-US"/>
        </w:rPr>
        <w:t xml:space="preserve"> </w:t>
      </w:r>
      <w:r w:rsidRPr="0038568A">
        <w:rPr>
          <w:rFonts w:cs="Times New Roman"/>
          <w:sz w:val="22"/>
          <w:szCs w:val="22"/>
          <w:lang w:val="lt-LT" w:eastAsia="en-US"/>
        </w:rPr>
        <w:t>galutinės stadijos inkstų liga (GSIL) (GFG &lt;</w:t>
      </w:r>
      <w:r>
        <w:rPr>
          <w:rFonts w:cs="Times New Roman"/>
          <w:sz w:val="22"/>
          <w:szCs w:val="22"/>
          <w:lang w:val="lt-LT" w:eastAsia="en-US"/>
        </w:rPr>
        <w:t> </w:t>
      </w:r>
      <w:r w:rsidRPr="0038568A">
        <w:rPr>
          <w:rFonts w:cs="Times New Roman"/>
          <w:sz w:val="22"/>
          <w:szCs w:val="22"/>
          <w:lang w:val="lt-LT" w:eastAsia="en-US"/>
        </w:rPr>
        <w:t>15 ml/min.), įskaitant tuos, kuriems reikia taikyti</w:t>
      </w:r>
      <w:r>
        <w:rPr>
          <w:rFonts w:cs="Times New Roman"/>
          <w:sz w:val="22"/>
          <w:szCs w:val="22"/>
          <w:lang w:val="lt-LT" w:eastAsia="en-US"/>
        </w:rPr>
        <w:t xml:space="preserve"> </w:t>
      </w:r>
      <w:r w:rsidRPr="0038568A">
        <w:rPr>
          <w:rFonts w:cs="Times New Roman"/>
          <w:sz w:val="22"/>
          <w:szCs w:val="22"/>
          <w:lang w:val="lt-LT" w:eastAsia="en-US"/>
        </w:rPr>
        <w:t xml:space="preserve">hemodializę ar peritoninę dializę, </w:t>
      </w:r>
      <w:r>
        <w:rPr>
          <w:rFonts w:cs="Times New Roman"/>
          <w:sz w:val="22"/>
          <w:szCs w:val="22"/>
          <w:lang w:val="lt-LT" w:eastAsia="en-US"/>
        </w:rPr>
        <w:t>JIMANDIN</w:t>
      </w:r>
      <w:r w:rsidRPr="0038568A">
        <w:rPr>
          <w:rFonts w:cs="Times New Roman"/>
          <w:sz w:val="22"/>
          <w:szCs w:val="22"/>
          <w:lang w:val="lt-LT" w:eastAsia="en-US"/>
        </w:rPr>
        <w:t xml:space="preserve"> dozė yra 25</w:t>
      </w:r>
      <w:r>
        <w:rPr>
          <w:rFonts w:cs="Times New Roman"/>
          <w:sz w:val="22"/>
          <w:szCs w:val="22"/>
          <w:lang w:val="lt-LT" w:eastAsia="en-US"/>
        </w:rPr>
        <w:t> </w:t>
      </w:r>
      <w:r w:rsidRPr="0038568A">
        <w:rPr>
          <w:rFonts w:cs="Times New Roman"/>
          <w:sz w:val="22"/>
          <w:szCs w:val="22"/>
          <w:lang w:val="lt-LT" w:eastAsia="en-US"/>
        </w:rPr>
        <w:t>mg vieną kartą per parą. Galima vartoti</w:t>
      </w:r>
      <w:r>
        <w:rPr>
          <w:rFonts w:cs="Times New Roman"/>
          <w:sz w:val="22"/>
          <w:szCs w:val="22"/>
          <w:lang w:val="lt-LT" w:eastAsia="en-US"/>
        </w:rPr>
        <w:t xml:space="preserve"> </w:t>
      </w:r>
      <w:r w:rsidRPr="0038568A">
        <w:rPr>
          <w:rFonts w:cs="Times New Roman"/>
          <w:sz w:val="22"/>
          <w:szCs w:val="22"/>
          <w:lang w:val="lt-LT" w:eastAsia="en-US"/>
        </w:rPr>
        <w:t>nepriklausomai nuo dializės atlikimo laiko.</w:t>
      </w:r>
      <w:r w:rsidRPr="0038568A" w:rsidDel="0038568A">
        <w:rPr>
          <w:rFonts w:cs="Times New Roman"/>
          <w:sz w:val="22"/>
          <w:szCs w:val="22"/>
          <w:lang w:val="lt-LT" w:eastAsia="en-US"/>
        </w:rPr>
        <w:t xml:space="preserve"> </w:t>
      </w:r>
    </w:p>
    <w:p w14:paraId="1683029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Kadangi pagal inkstų veiklą dozę reikia koreguoti, rekomenduojama inkstų veiklą įvertinti prieš paskiriant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ir periodiškai gydymo metu.</w:t>
      </w:r>
    </w:p>
    <w:p w14:paraId="3B06BEAF"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0CCE0E07"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Pacientams, kurių kepenų funkcija sutrikusi</w:t>
      </w:r>
    </w:p>
    <w:p w14:paraId="57FCDCD6"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Pacientams, sergantiems lengvu arba vidutinio sunkumo kepenų sutrikimu, dozės keisti nereikia. Su pacientais, sergančiais sunkiu kepenų </w:t>
      </w:r>
      <w:r>
        <w:rPr>
          <w:rFonts w:cs="Times New Roman"/>
          <w:sz w:val="22"/>
          <w:szCs w:val="22"/>
          <w:lang w:val="lt-LT" w:eastAsia="en-US"/>
        </w:rPr>
        <w:t xml:space="preserve">funkcijos </w:t>
      </w:r>
      <w:r w:rsidRPr="00C249C9">
        <w:rPr>
          <w:rFonts w:cs="Times New Roman"/>
          <w:sz w:val="22"/>
          <w:szCs w:val="22"/>
          <w:lang w:val="lt-LT" w:eastAsia="en-US"/>
        </w:rPr>
        <w:t xml:space="preserve">sutrikimu, gydymas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netirtas, todėl jį skirti reikia atsargiai (žr. 5.2 skyrių).</w:t>
      </w:r>
    </w:p>
    <w:p w14:paraId="1AB0E3B9" w14:textId="77777777" w:rsidR="00112208" w:rsidRPr="00C249C9" w:rsidRDefault="00112208" w:rsidP="00112208">
      <w:pPr>
        <w:autoSpaceDE w:val="0"/>
        <w:autoSpaceDN w:val="0"/>
        <w:adjustRightInd w:val="0"/>
        <w:rPr>
          <w:rFonts w:cs="Times New Roman"/>
          <w:sz w:val="22"/>
          <w:szCs w:val="22"/>
          <w:lang w:val="lt-LT" w:eastAsia="en-US"/>
        </w:rPr>
      </w:pPr>
    </w:p>
    <w:p w14:paraId="0F1CEBD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Vis dėlto nesitikima, kad sunkus kepenų sutrikimas paveiktų sitagliptino farmakokinetiką, nes jis daugiausia yra šalinamas per inkstus.</w:t>
      </w:r>
    </w:p>
    <w:p w14:paraId="6390D426"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46279A5C"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lastRenderedPageBreak/>
        <w:t>Senyviems pacientams</w:t>
      </w:r>
    </w:p>
    <w:p w14:paraId="78598C1E"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Priklausomai nuo amžiaus dozės keisti nereikia.</w:t>
      </w:r>
    </w:p>
    <w:p w14:paraId="1E614CCB"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15CBBED2"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Vaikų populiacija</w:t>
      </w:r>
    </w:p>
    <w:p w14:paraId="4464452C" w14:textId="77777777" w:rsidR="00112208" w:rsidRPr="00C249C9" w:rsidRDefault="00112208" w:rsidP="00112208">
      <w:pPr>
        <w:autoSpaceDE w:val="0"/>
        <w:autoSpaceDN w:val="0"/>
        <w:adjustRightInd w:val="0"/>
        <w:rPr>
          <w:rFonts w:cs="Times New Roman"/>
          <w:sz w:val="22"/>
          <w:szCs w:val="22"/>
          <w:lang w:val="lt-LT" w:eastAsia="en-US"/>
        </w:rPr>
      </w:pPr>
      <w:r w:rsidRPr="00966277">
        <w:rPr>
          <w:rFonts w:cs="Times New Roman"/>
          <w:sz w:val="22"/>
          <w:szCs w:val="22"/>
          <w:lang w:val="lt-LT" w:eastAsia="en-US"/>
        </w:rPr>
        <w:t>Sitagliptino negalima vartoti vaikams ir paaugliams nuo 10 iki 17 metų, kadangi duomenų apie</w:t>
      </w:r>
      <w:r>
        <w:rPr>
          <w:rFonts w:cs="Times New Roman"/>
          <w:sz w:val="22"/>
          <w:szCs w:val="22"/>
          <w:lang w:val="lt-LT" w:eastAsia="en-US"/>
        </w:rPr>
        <w:t xml:space="preserve"> </w:t>
      </w:r>
      <w:r w:rsidRPr="00966277">
        <w:rPr>
          <w:rFonts w:cs="Times New Roman"/>
          <w:sz w:val="22"/>
          <w:szCs w:val="22"/>
          <w:lang w:val="lt-LT" w:eastAsia="en-US"/>
        </w:rPr>
        <w:t>veiksmingumą nepakanka. Turimi duomenys pateikiami 4.8, 5.1 ir 5.2 skyriuose. Sitagliptino poveikis</w:t>
      </w:r>
      <w:r>
        <w:rPr>
          <w:rFonts w:cs="Times New Roman"/>
          <w:sz w:val="22"/>
          <w:szCs w:val="22"/>
          <w:lang w:val="lt-LT" w:eastAsia="en-US"/>
        </w:rPr>
        <w:t xml:space="preserve"> </w:t>
      </w:r>
      <w:r w:rsidRPr="00966277">
        <w:rPr>
          <w:rFonts w:cs="Times New Roman"/>
          <w:sz w:val="22"/>
          <w:szCs w:val="22"/>
          <w:lang w:val="lt-LT" w:eastAsia="en-US"/>
        </w:rPr>
        <w:t>jaunesniems kaip 10 metų vaikams neištirtas.</w:t>
      </w:r>
    </w:p>
    <w:p w14:paraId="55BE7C61" w14:textId="77777777" w:rsidR="00112208" w:rsidRPr="00C249C9" w:rsidRDefault="00112208" w:rsidP="00112208">
      <w:pPr>
        <w:autoSpaceDE w:val="0"/>
        <w:autoSpaceDN w:val="0"/>
        <w:adjustRightInd w:val="0"/>
        <w:rPr>
          <w:rFonts w:cs="Times New Roman"/>
          <w:sz w:val="22"/>
          <w:szCs w:val="22"/>
          <w:lang w:val="lt-LT" w:eastAsia="en-US"/>
        </w:rPr>
      </w:pPr>
    </w:p>
    <w:p w14:paraId="07B67573" w14:textId="77777777" w:rsidR="00112208" w:rsidRPr="00C249C9" w:rsidRDefault="00112208" w:rsidP="00112208">
      <w:pPr>
        <w:keepNext/>
        <w:tabs>
          <w:tab w:val="left" w:pos="567"/>
        </w:tabs>
        <w:rPr>
          <w:rFonts w:eastAsia="Times New Roman" w:cs="Times New Roman"/>
          <w:sz w:val="22"/>
          <w:szCs w:val="22"/>
          <w:u w:val="single"/>
          <w:lang w:val="lt-LT" w:eastAsia="lt-LT" w:bidi="lt-LT"/>
        </w:rPr>
      </w:pPr>
      <w:r w:rsidRPr="00C249C9">
        <w:rPr>
          <w:rFonts w:eastAsia="Times New Roman" w:cs="Times New Roman"/>
          <w:sz w:val="22"/>
          <w:szCs w:val="22"/>
          <w:u w:val="single"/>
          <w:lang w:val="lt-LT" w:eastAsia="lt-LT" w:bidi="lt-LT"/>
        </w:rPr>
        <w:t xml:space="preserve">Vartojimo metodas </w:t>
      </w:r>
    </w:p>
    <w:p w14:paraId="7DC478F1" w14:textId="77777777" w:rsidR="00112208" w:rsidRPr="00C249C9" w:rsidRDefault="00112208" w:rsidP="00112208">
      <w:pPr>
        <w:keepNext/>
        <w:tabs>
          <w:tab w:val="left" w:pos="567"/>
        </w:tabs>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galima vartoti valgio metu arba nevalgius.</w:t>
      </w:r>
    </w:p>
    <w:p w14:paraId="7560B048" w14:textId="77777777" w:rsidR="00112208" w:rsidRPr="00C249C9" w:rsidRDefault="00112208" w:rsidP="00112208">
      <w:pPr>
        <w:keepNext/>
        <w:tabs>
          <w:tab w:val="left" w:pos="567"/>
        </w:tabs>
        <w:rPr>
          <w:rFonts w:eastAsia="Times New Roman" w:cs="Times New Roman"/>
          <w:sz w:val="22"/>
          <w:szCs w:val="22"/>
          <w:u w:val="single"/>
          <w:lang w:val="lt-LT" w:eastAsia="lt-LT" w:bidi="lt-LT"/>
        </w:rPr>
      </w:pPr>
    </w:p>
    <w:p w14:paraId="1957A861"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Kontraindikacijos</w:t>
      </w:r>
    </w:p>
    <w:p w14:paraId="52E34C35"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74EF6538" w14:textId="77777777" w:rsidR="00112208" w:rsidRPr="00C249C9" w:rsidRDefault="00112208" w:rsidP="00112208">
      <w:pPr>
        <w:tabs>
          <w:tab w:val="left" w:pos="567"/>
        </w:tabs>
        <w:rPr>
          <w:rFonts w:eastAsia="Times New Roman" w:cs="Times New Roman"/>
          <w:sz w:val="22"/>
          <w:szCs w:val="22"/>
          <w:lang w:val="lt-LT" w:eastAsia="lt-LT" w:bidi="lt-LT"/>
        </w:rPr>
      </w:pPr>
      <w:r w:rsidRPr="00C249C9">
        <w:rPr>
          <w:rFonts w:eastAsia="Times New Roman" w:cs="Times New Roman"/>
          <w:sz w:val="22"/>
          <w:szCs w:val="22"/>
          <w:lang w:val="lt-LT" w:eastAsia="lt-LT" w:bidi="lt-LT"/>
        </w:rPr>
        <w:t>Padidėjęs jautrumas veikliajai arba bet kuriai 6.1 skyriuje nurodytai pagalbinei medžiagai (žr. 4.4 ir 4.8 skyrius).</w:t>
      </w:r>
    </w:p>
    <w:p w14:paraId="1F0AF8A0"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02F0DF88"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Specialūs įspėjimai ir atsargumo priemonės</w:t>
      </w:r>
    </w:p>
    <w:p w14:paraId="6DBC09DE" w14:textId="77777777" w:rsidR="00112208" w:rsidRPr="00C249C9" w:rsidRDefault="00112208" w:rsidP="00112208">
      <w:pPr>
        <w:keepNext/>
        <w:tabs>
          <w:tab w:val="left" w:pos="567"/>
        </w:tabs>
        <w:ind w:left="567" w:hanging="567"/>
        <w:rPr>
          <w:rFonts w:eastAsia="Times New Roman" w:cs="Times New Roman"/>
          <w:b/>
          <w:noProof/>
          <w:sz w:val="22"/>
          <w:szCs w:val="22"/>
          <w:lang w:val="lt-LT" w:eastAsia="lt-LT" w:bidi="lt-LT"/>
        </w:rPr>
      </w:pPr>
    </w:p>
    <w:p w14:paraId="61D382F5"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Bendrieji įspėjimai</w:t>
      </w:r>
    </w:p>
    <w:p w14:paraId="0A53E4C6"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I tipo cukrinio diabeto ar diabetinės ketoacidozės gydymui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vartoti negalima.</w:t>
      </w:r>
    </w:p>
    <w:p w14:paraId="4F7C2565" w14:textId="77777777" w:rsidR="00112208" w:rsidRPr="00C249C9" w:rsidRDefault="00112208" w:rsidP="00112208">
      <w:pPr>
        <w:autoSpaceDE w:val="0"/>
        <w:autoSpaceDN w:val="0"/>
        <w:adjustRightInd w:val="0"/>
        <w:rPr>
          <w:rFonts w:cs="Times New Roman"/>
          <w:sz w:val="22"/>
          <w:szCs w:val="22"/>
          <w:lang w:val="lt-LT" w:eastAsia="en-US"/>
        </w:rPr>
      </w:pPr>
    </w:p>
    <w:p w14:paraId="68B366A3"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Ūminis pankreatitas</w:t>
      </w:r>
    </w:p>
    <w:p w14:paraId="457557F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DPP-4 inhibitorių vartojimas yra susijęs su ūminio pankreatito išsivystymo rizika. Pacientus reikia įspėti, kad nuolatinis ir stiprus pilvo skausmas yra būdingas ūminio pankreatito simptomas.</w:t>
      </w:r>
    </w:p>
    <w:p w14:paraId="41BCE6B7"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Nutraukus sitagliptino vartojimą buvo stebimas pasveikimas nuo pankreatito (taikant palaikomąjį gydymą arba jo netaikant), tačiau gauta pranešimų ir apie labai retus nekrozinio ar hemoraginio pankreatito ir (arba) mirties atvejus. Jeigu yra įtariamas pankreatitas,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 xml:space="preserve">ir kitų galimai įtartinų vaistinių preparatų vartojimą reikia nutraukti; jeigu pankreatitas yra patvirtinamas, gydymo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atnaujinti negalima. Pankreatitu sirgusius pacientus gydyti reikia atsargiai.</w:t>
      </w:r>
    </w:p>
    <w:p w14:paraId="06EBCC9B" w14:textId="77777777" w:rsidR="00112208" w:rsidRPr="00C249C9" w:rsidRDefault="00112208" w:rsidP="00112208">
      <w:pPr>
        <w:autoSpaceDE w:val="0"/>
        <w:autoSpaceDN w:val="0"/>
        <w:adjustRightInd w:val="0"/>
        <w:rPr>
          <w:rFonts w:cs="Times New Roman"/>
          <w:sz w:val="22"/>
          <w:szCs w:val="22"/>
          <w:lang w:val="lt-LT" w:eastAsia="en-US"/>
        </w:rPr>
      </w:pPr>
    </w:p>
    <w:p w14:paraId="1F150CC9"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Hipoglikemija gydymo kartu su kitais gliukozės kiekį kraujyje mažinančiais vaistiniais preparatais metu</w:t>
      </w:r>
    </w:p>
    <w:p w14:paraId="05983086"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Klinikinių tyrimų metu gydant vien sitagliptinu arba jo ir vaistinių preparatų, kurie, kiek žinoma, nesukelia hipoglikemijos (t. y. metforminu ir (arba) PPARγ agonistu), sitagliptino vartojusiems pacientams hipoglikemijos dažnis buvo panašus kaip ir vartojusiems placebo. </w:t>
      </w:r>
    </w:p>
    <w:p w14:paraId="3A8A2C51" w14:textId="77777777" w:rsidR="00112208" w:rsidRPr="00C249C9" w:rsidRDefault="00112208" w:rsidP="00112208">
      <w:pPr>
        <w:autoSpaceDE w:val="0"/>
        <w:autoSpaceDN w:val="0"/>
        <w:adjustRightInd w:val="0"/>
        <w:rPr>
          <w:rFonts w:cs="Times New Roman"/>
          <w:sz w:val="22"/>
          <w:szCs w:val="22"/>
          <w:lang w:val="lt-LT" w:eastAsia="en-US"/>
        </w:rPr>
      </w:pPr>
    </w:p>
    <w:p w14:paraId="61D2FCA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Sitagliptino kartu su insulinu arba sulfonilurėjos dariniu vartojusiems pacientams pasitaikė hipoglikemija. Todėl, norint sumažinti hipoglikemijos riziką, svarstytinas mažesnės sulfonilurėjos darinio arba insulino dozės</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vartojimas (žr. 4.2 skyrių).</w:t>
      </w:r>
    </w:p>
    <w:p w14:paraId="7632D18D" w14:textId="77777777" w:rsidR="00112208" w:rsidRPr="00C249C9" w:rsidRDefault="00112208" w:rsidP="00112208">
      <w:pPr>
        <w:autoSpaceDE w:val="0"/>
        <w:autoSpaceDN w:val="0"/>
        <w:adjustRightInd w:val="0"/>
        <w:rPr>
          <w:rFonts w:cs="Times New Roman"/>
          <w:sz w:val="22"/>
          <w:szCs w:val="22"/>
          <w:lang w:val="lt-LT" w:eastAsia="en-US"/>
        </w:rPr>
      </w:pPr>
    </w:p>
    <w:p w14:paraId="169E1459"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Inkstų veiklos sutrikimas</w:t>
      </w:r>
    </w:p>
    <w:p w14:paraId="497F5334"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Sitagliptinas šalinamas per inkstus. Norint pasiekti sitagliptino koncentraciją plazmoje panašią į tą, kuri būna pacientų, kurių inkstų veikla yra normali, organizme, pacientus, kuriems </w:t>
      </w:r>
      <w:r>
        <w:rPr>
          <w:rFonts w:cs="Times New Roman"/>
          <w:sz w:val="22"/>
          <w:szCs w:val="22"/>
          <w:lang w:val="lt-LT" w:eastAsia="en-US"/>
        </w:rPr>
        <w:t xml:space="preserve">GFG </w:t>
      </w:r>
      <w:r w:rsidRPr="00C249C9">
        <w:rPr>
          <w:rFonts w:cs="Times New Roman"/>
          <w:sz w:val="22"/>
          <w:szCs w:val="22"/>
          <w:lang w:val="lt-LT" w:eastAsia="en-US"/>
        </w:rPr>
        <w:t xml:space="preserve">yra </w:t>
      </w:r>
      <w:r w:rsidRPr="00F95272">
        <w:rPr>
          <w:rFonts w:cs="Times New Roman"/>
          <w:sz w:val="22"/>
          <w:szCs w:val="22"/>
          <w:lang w:val="lt-LT" w:eastAsia="en-US"/>
        </w:rPr>
        <w:t>&lt;</w:t>
      </w:r>
      <w:r>
        <w:rPr>
          <w:rFonts w:cs="Times New Roman"/>
          <w:sz w:val="22"/>
          <w:szCs w:val="22"/>
          <w:lang w:val="lt-LT" w:eastAsia="en-US"/>
        </w:rPr>
        <w:t> </w:t>
      </w:r>
      <w:r w:rsidRPr="00F95272">
        <w:rPr>
          <w:rFonts w:cs="Times New Roman"/>
          <w:sz w:val="22"/>
          <w:szCs w:val="22"/>
          <w:lang w:val="lt-LT" w:eastAsia="en-US"/>
        </w:rPr>
        <w:t>45</w:t>
      </w:r>
      <w:r>
        <w:rPr>
          <w:rFonts w:cs="Times New Roman"/>
          <w:sz w:val="22"/>
          <w:szCs w:val="22"/>
          <w:lang w:val="lt-LT" w:eastAsia="en-US"/>
        </w:rPr>
        <w:t> </w:t>
      </w:r>
      <w:r w:rsidRPr="00F95272">
        <w:rPr>
          <w:rFonts w:cs="Times New Roman"/>
          <w:sz w:val="22"/>
          <w:szCs w:val="22"/>
          <w:lang w:val="lt-LT" w:eastAsia="en-US"/>
        </w:rPr>
        <w:t>ml/min.,</w:t>
      </w:r>
      <w:r>
        <w:rPr>
          <w:rFonts w:cs="Times New Roman"/>
          <w:sz w:val="22"/>
          <w:szCs w:val="22"/>
          <w:lang w:val="lt-LT" w:eastAsia="en-US"/>
        </w:rPr>
        <w:t xml:space="preserve"> </w:t>
      </w:r>
      <w:r w:rsidRPr="00C249C9">
        <w:rPr>
          <w:rFonts w:cs="Times New Roman"/>
          <w:sz w:val="22"/>
          <w:szCs w:val="22"/>
          <w:lang w:val="lt-LT" w:eastAsia="en-US"/>
        </w:rPr>
        <w:t>arba GSIL, kuria sergant reikia taikyti hemodializę ar peritoninę dializę, rekomenduojama gydyti mažesnėmis dozėmis (žr. 4.2 ir 5.2 skyrius).</w:t>
      </w:r>
    </w:p>
    <w:p w14:paraId="34A7C690" w14:textId="77777777" w:rsidR="00112208" w:rsidRPr="00C249C9" w:rsidRDefault="00112208" w:rsidP="00112208">
      <w:pPr>
        <w:autoSpaceDE w:val="0"/>
        <w:autoSpaceDN w:val="0"/>
        <w:adjustRightInd w:val="0"/>
        <w:rPr>
          <w:rFonts w:cs="Times New Roman"/>
          <w:sz w:val="22"/>
          <w:szCs w:val="22"/>
          <w:lang w:val="lt-LT" w:eastAsia="en-US"/>
        </w:rPr>
      </w:pPr>
    </w:p>
    <w:p w14:paraId="23793F8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Aptariant sitagliptino ir kito vaistinio preparato nuo cukrinio diabeto paskyrimą pacientui, kurio inkstų veikla yra sutrikusi, turi būti patikrintos jų skyrimo sąlygos.</w:t>
      </w:r>
    </w:p>
    <w:p w14:paraId="7D87073D" w14:textId="77777777" w:rsidR="00112208" w:rsidRPr="00C249C9" w:rsidRDefault="00112208" w:rsidP="00112208">
      <w:pPr>
        <w:autoSpaceDE w:val="0"/>
        <w:autoSpaceDN w:val="0"/>
        <w:adjustRightInd w:val="0"/>
        <w:rPr>
          <w:rFonts w:cs="Times New Roman"/>
          <w:sz w:val="22"/>
          <w:szCs w:val="22"/>
          <w:lang w:val="lt-LT" w:eastAsia="en-US"/>
        </w:rPr>
      </w:pPr>
    </w:p>
    <w:p w14:paraId="402DB043"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Padidėjusio jautrumo reakcijos</w:t>
      </w:r>
    </w:p>
    <w:p w14:paraId="33CFD2FB" w14:textId="77777777" w:rsidR="00112208"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Vaistui patekus į rinką sitagliptino vartojusiems pacientams buvo nustatyta sunkių padidėjusio jautrumo reakcijų. Šios reakcijos pasireiškė anafilaksija, angioedema ir eksfoliaciniais odos sutrikimais, įskaitant Stivenso-Džonsono (</w:t>
      </w:r>
      <w:r w:rsidRPr="00C249C9">
        <w:rPr>
          <w:rFonts w:eastAsia="TimesNewRoman,Italic" w:cs="Times New Roman"/>
          <w:i/>
          <w:iCs/>
          <w:sz w:val="22"/>
          <w:szCs w:val="22"/>
          <w:lang w:val="lt-LT" w:eastAsia="en-US"/>
        </w:rPr>
        <w:t>Stevens-Johnson</w:t>
      </w:r>
      <w:r w:rsidRPr="00C249C9">
        <w:rPr>
          <w:rFonts w:eastAsia="TimesNewRoman,Italic" w:cs="Times New Roman"/>
          <w:iCs/>
          <w:sz w:val="22"/>
          <w:szCs w:val="22"/>
          <w:lang w:val="lt-LT" w:eastAsia="en-US"/>
        </w:rPr>
        <w:t>)</w:t>
      </w:r>
      <w:r w:rsidRPr="00C249C9">
        <w:rPr>
          <w:rFonts w:eastAsia="TimesNewRoman,Italic" w:cs="Times New Roman"/>
          <w:i/>
          <w:iCs/>
          <w:sz w:val="22"/>
          <w:szCs w:val="22"/>
          <w:lang w:val="lt-LT" w:eastAsia="en-US"/>
        </w:rPr>
        <w:t xml:space="preserve"> </w:t>
      </w:r>
      <w:r w:rsidRPr="00C249C9">
        <w:rPr>
          <w:rFonts w:cs="Times New Roman"/>
          <w:sz w:val="22"/>
          <w:szCs w:val="22"/>
          <w:lang w:val="lt-LT" w:eastAsia="en-US"/>
        </w:rPr>
        <w:t>sindromą. Šios reakcijos pasireiškė per pirmus 3 mėnesius nuo gydymo pradžios, o kelet</w:t>
      </w:r>
      <w:r>
        <w:rPr>
          <w:rFonts w:cs="Times New Roman"/>
          <w:sz w:val="22"/>
          <w:szCs w:val="22"/>
          <w:lang w:val="lt-LT" w:eastAsia="en-US"/>
        </w:rPr>
        <w:t>as</w:t>
      </w:r>
      <w:r w:rsidRPr="00C249C9">
        <w:rPr>
          <w:rFonts w:cs="Times New Roman"/>
          <w:sz w:val="22"/>
          <w:szCs w:val="22"/>
          <w:lang w:val="lt-LT" w:eastAsia="en-US"/>
        </w:rPr>
        <w:t xml:space="preserve"> atvejų – po pirmos dozės. Įtarus padidėjusio jautrumo reakciją</w:t>
      </w:r>
      <w:r>
        <w:rPr>
          <w:rFonts w:cs="Times New Roman"/>
          <w:sz w:val="22"/>
          <w:szCs w:val="22"/>
          <w:lang w:val="lt-LT" w:eastAsia="en-US"/>
        </w:rPr>
        <w:t>,</w:t>
      </w:r>
      <w:r w:rsidRPr="00C249C9">
        <w:rPr>
          <w:rFonts w:cs="Times New Roman"/>
          <w:sz w:val="22"/>
          <w:szCs w:val="22"/>
          <w:lang w:val="lt-LT" w:eastAsia="en-US"/>
        </w:rPr>
        <w:t xml:space="preserve">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vartojimą reikia nutraukti. Būtina įvertinti kitas galimas reiškinio priežastis ir, paskirti alternatyvų cukrinio diabeto gydymą.</w:t>
      </w:r>
    </w:p>
    <w:p w14:paraId="46DDBC74" w14:textId="77777777" w:rsidR="00112208" w:rsidRDefault="00112208" w:rsidP="00112208">
      <w:pPr>
        <w:autoSpaceDE w:val="0"/>
        <w:autoSpaceDN w:val="0"/>
        <w:adjustRightInd w:val="0"/>
        <w:rPr>
          <w:rFonts w:cs="Times New Roman"/>
          <w:sz w:val="22"/>
          <w:szCs w:val="22"/>
          <w:lang w:val="lt-LT" w:eastAsia="en-US"/>
        </w:rPr>
      </w:pPr>
    </w:p>
    <w:p w14:paraId="43937CBE" w14:textId="77777777" w:rsidR="00112208" w:rsidRPr="007877BC" w:rsidRDefault="00112208" w:rsidP="00112208">
      <w:pPr>
        <w:autoSpaceDE w:val="0"/>
        <w:autoSpaceDN w:val="0"/>
        <w:adjustRightInd w:val="0"/>
        <w:rPr>
          <w:rFonts w:cs="Times New Roman"/>
          <w:sz w:val="22"/>
          <w:szCs w:val="22"/>
          <w:u w:val="single"/>
          <w:lang w:val="lt-LT" w:eastAsia="en-US"/>
        </w:rPr>
      </w:pPr>
      <w:r w:rsidRPr="007877BC">
        <w:rPr>
          <w:rFonts w:cs="Times New Roman"/>
          <w:sz w:val="22"/>
          <w:szCs w:val="22"/>
          <w:u w:val="single"/>
          <w:lang w:val="lt-LT" w:eastAsia="en-US"/>
        </w:rPr>
        <w:lastRenderedPageBreak/>
        <w:t>Buliozinis (pūslinis) pemfigoidas</w:t>
      </w:r>
    </w:p>
    <w:p w14:paraId="0C254D42" w14:textId="77777777" w:rsidR="00112208" w:rsidRPr="00C249C9" w:rsidRDefault="00112208" w:rsidP="00112208">
      <w:pPr>
        <w:autoSpaceDE w:val="0"/>
        <w:autoSpaceDN w:val="0"/>
        <w:adjustRightInd w:val="0"/>
        <w:rPr>
          <w:rFonts w:cs="Times New Roman"/>
          <w:sz w:val="22"/>
          <w:szCs w:val="22"/>
          <w:lang w:val="lt-LT" w:eastAsia="en-US"/>
        </w:rPr>
      </w:pPr>
      <w:r w:rsidRPr="00F95272">
        <w:rPr>
          <w:rFonts w:cs="Times New Roman"/>
          <w:sz w:val="22"/>
          <w:szCs w:val="22"/>
          <w:lang w:val="lt-LT" w:eastAsia="en-US"/>
        </w:rPr>
        <w:t>Poregistracinio stebėjimo metu buvo gauta pranešimų apie pūslinio pemfigoido pasireiškimo atvejus</w:t>
      </w:r>
      <w:r>
        <w:rPr>
          <w:rFonts w:cs="Times New Roman"/>
          <w:sz w:val="22"/>
          <w:szCs w:val="22"/>
          <w:lang w:val="lt-LT" w:eastAsia="en-US"/>
        </w:rPr>
        <w:t xml:space="preserve"> </w:t>
      </w:r>
      <w:r w:rsidRPr="00F95272">
        <w:rPr>
          <w:rFonts w:cs="Times New Roman"/>
          <w:sz w:val="22"/>
          <w:szCs w:val="22"/>
          <w:lang w:val="lt-LT" w:eastAsia="en-US"/>
        </w:rPr>
        <w:t>pacientams, kurie vartojo DPP-4 inhibitorių, įskaitant sitagliptiną. Jeigu įtariama, kad pasireiškė</w:t>
      </w:r>
      <w:r>
        <w:rPr>
          <w:rFonts w:cs="Times New Roman"/>
          <w:sz w:val="22"/>
          <w:szCs w:val="22"/>
          <w:lang w:val="lt-LT" w:eastAsia="en-US"/>
        </w:rPr>
        <w:t xml:space="preserve"> </w:t>
      </w:r>
      <w:r w:rsidRPr="00F95272">
        <w:rPr>
          <w:rFonts w:cs="Times New Roman"/>
          <w:sz w:val="22"/>
          <w:szCs w:val="22"/>
          <w:lang w:val="lt-LT" w:eastAsia="en-US"/>
        </w:rPr>
        <w:t xml:space="preserve">pūslinis pemfigoidas, </w:t>
      </w:r>
      <w:r>
        <w:rPr>
          <w:rFonts w:cs="Times New Roman"/>
          <w:sz w:val="22"/>
          <w:szCs w:val="22"/>
          <w:lang w:val="lt-LT" w:eastAsia="en-US"/>
        </w:rPr>
        <w:t>sitagliptino</w:t>
      </w:r>
      <w:r w:rsidRPr="00F95272">
        <w:rPr>
          <w:rFonts w:cs="Times New Roman"/>
          <w:sz w:val="22"/>
          <w:szCs w:val="22"/>
          <w:lang w:val="lt-LT" w:eastAsia="en-US"/>
        </w:rPr>
        <w:t xml:space="preserve"> vartojimą reikia nutraukti.</w:t>
      </w:r>
    </w:p>
    <w:p w14:paraId="0E11945A" w14:textId="77777777" w:rsidR="00112208" w:rsidRPr="00C249C9" w:rsidRDefault="00112208" w:rsidP="00112208">
      <w:pPr>
        <w:autoSpaceDE w:val="0"/>
        <w:autoSpaceDN w:val="0"/>
        <w:adjustRightInd w:val="0"/>
        <w:rPr>
          <w:rFonts w:cs="Times New Roman"/>
          <w:sz w:val="22"/>
          <w:szCs w:val="22"/>
          <w:lang w:val="lt-LT" w:eastAsia="en-US"/>
        </w:rPr>
      </w:pPr>
    </w:p>
    <w:p w14:paraId="5374FD16"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Sąveika su kitais vaistiniais preparatais ir kitokia sąveika</w:t>
      </w:r>
    </w:p>
    <w:p w14:paraId="4A1E1E44"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007BF86A" w14:textId="77777777" w:rsidR="00112208" w:rsidRPr="00C249C9" w:rsidRDefault="00112208" w:rsidP="00112208">
      <w:pPr>
        <w:autoSpaceDE w:val="0"/>
        <w:autoSpaceDN w:val="0"/>
        <w:adjustRightInd w:val="0"/>
        <w:rPr>
          <w:rFonts w:cs="Times New Roman"/>
          <w:i/>
          <w:sz w:val="22"/>
          <w:szCs w:val="22"/>
          <w:lang w:val="lt-LT" w:eastAsia="en-US"/>
        </w:rPr>
      </w:pPr>
      <w:r w:rsidRPr="00C249C9">
        <w:rPr>
          <w:rFonts w:cs="Times New Roman"/>
          <w:i/>
          <w:sz w:val="22"/>
          <w:szCs w:val="22"/>
          <w:lang w:val="lt-LT" w:eastAsia="en-US"/>
        </w:rPr>
        <w:t>Kitų vaistinių preparatų poveikis sitagliptinui</w:t>
      </w:r>
    </w:p>
    <w:p w14:paraId="2EF5A897"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21517789"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Žemiau pateikti klinikiniai duomenys rodo, kad reikšmingos sitagliptino sąveikos su kitais kartu vartojamais vaistiniais preparatais rizika yra maža.</w:t>
      </w:r>
    </w:p>
    <w:p w14:paraId="4D63771B" w14:textId="77777777" w:rsidR="00112208" w:rsidRPr="00C249C9" w:rsidRDefault="00112208" w:rsidP="00112208">
      <w:pPr>
        <w:autoSpaceDE w:val="0"/>
        <w:autoSpaceDN w:val="0"/>
        <w:adjustRightInd w:val="0"/>
        <w:rPr>
          <w:rFonts w:cs="Times New Roman"/>
          <w:sz w:val="22"/>
          <w:szCs w:val="22"/>
          <w:lang w:val="lt-LT" w:eastAsia="en-US"/>
        </w:rPr>
      </w:pPr>
    </w:p>
    <w:p w14:paraId="7BDD2F11"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Tyrimai </w:t>
      </w:r>
      <w:r w:rsidRPr="00C249C9">
        <w:rPr>
          <w:rFonts w:eastAsia="TimesNewRoman,Italic" w:cs="Times New Roman"/>
          <w:i/>
          <w:iCs/>
          <w:sz w:val="22"/>
          <w:szCs w:val="22"/>
          <w:lang w:val="lt-LT" w:eastAsia="en-US"/>
        </w:rPr>
        <w:t xml:space="preserve">in vitro </w:t>
      </w:r>
      <w:r w:rsidRPr="00C249C9">
        <w:rPr>
          <w:rFonts w:cs="Times New Roman"/>
          <w:sz w:val="22"/>
          <w:szCs w:val="22"/>
          <w:lang w:val="lt-LT" w:eastAsia="en-US"/>
        </w:rPr>
        <w:t>rodo, kad svarbiausias fermentas, vykdantis ribotą sitagliptino metabolizmą yra CYP3A4, dalyvaujant ir CYP2C8. Pacientų, kurių inkstų funkcija normali, organizme metabolizmas, įskaitant dalyvaujantį CYP3A4, sitagliptino klirensui turi mažą įtaką. Metabolizmas sitagliptino eliminacijai gali būti reikšmingesnis esant sunkiam inkstų sutrikimui arba galutinės stadijos inkstų ligai (GSIL). Dėl to gali būti, kad stiprūs CYP3A4 inhibitoriai, pvz., ketokonazolas, itrakonazolas, ritonaviras, klaritromicinas, gali keisti sitagliptino farmakokinetiką pacientų, kuriems yra sunkus inkstų veiklos sutrikimas arba GSIL, organizme. Stiprių CYP3A4 inhibitorių poveikis esant sunkiam inkstų veiklos sutrikimui klinikinių tyrimų metu vertintas nebuvo.</w:t>
      </w:r>
    </w:p>
    <w:p w14:paraId="6F63A90B" w14:textId="77777777" w:rsidR="00112208" w:rsidRPr="00C249C9" w:rsidRDefault="00112208" w:rsidP="00112208">
      <w:pPr>
        <w:autoSpaceDE w:val="0"/>
        <w:autoSpaceDN w:val="0"/>
        <w:adjustRightInd w:val="0"/>
        <w:rPr>
          <w:rFonts w:cs="Times New Roman"/>
          <w:sz w:val="22"/>
          <w:szCs w:val="22"/>
          <w:lang w:val="lt-LT" w:eastAsia="en-US"/>
        </w:rPr>
      </w:pPr>
    </w:p>
    <w:p w14:paraId="5D58ED3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Pernašos tyrimai </w:t>
      </w:r>
      <w:r w:rsidRPr="00C249C9">
        <w:rPr>
          <w:rFonts w:eastAsia="TimesNewRoman,Italic" w:cs="Times New Roman"/>
          <w:i/>
          <w:iCs/>
          <w:sz w:val="22"/>
          <w:szCs w:val="22"/>
          <w:lang w:val="lt-LT" w:eastAsia="en-US"/>
        </w:rPr>
        <w:t xml:space="preserve">in vitro </w:t>
      </w:r>
      <w:r w:rsidRPr="00C249C9">
        <w:rPr>
          <w:rFonts w:cs="Times New Roman"/>
          <w:sz w:val="22"/>
          <w:szCs w:val="22"/>
          <w:lang w:val="lt-LT" w:eastAsia="en-US"/>
        </w:rPr>
        <w:t xml:space="preserve">parodė, kad sitagliptinas yra glikoproteino P ir organinių anijonų transporterio-3 (OAT3) substratas. Sitagliptino pernašą, dalyvaujant OAT3, </w:t>
      </w:r>
      <w:r w:rsidRPr="00C249C9">
        <w:rPr>
          <w:rFonts w:eastAsia="TimesNewRoman,Italic" w:cs="Times New Roman"/>
          <w:i/>
          <w:iCs/>
          <w:sz w:val="22"/>
          <w:szCs w:val="22"/>
          <w:lang w:val="lt-LT" w:eastAsia="en-US"/>
        </w:rPr>
        <w:t xml:space="preserve">in vitro </w:t>
      </w:r>
      <w:r w:rsidRPr="00C249C9">
        <w:rPr>
          <w:rFonts w:cs="Times New Roman"/>
          <w:sz w:val="22"/>
          <w:szCs w:val="22"/>
          <w:lang w:val="lt-LT" w:eastAsia="en-US"/>
        </w:rPr>
        <w:t xml:space="preserve">slopino probenecidas, tačiau manoma, kad kliniškai reikšmingos sąveikos rizika yra maža. Vartojimas kartu su OAT3 inhibitoriais </w:t>
      </w:r>
      <w:r w:rsidRPr="00C249C9">
        <w:rPr>
          <w:rFonts w:eastAsia="TimesNewRoman,Italic" w:cs="Times New Roman"/>
          <w:i/>
          <w:iCs/>
          <w:sz w:val="22"/>
          <w:szCs w:val="22"/>
          <w:lang w:val="lt-LT" w:eastAsia="en-US"/>
        </w:rPr>
        <w:t xml:space="preserve">in vivo </w:t>
      </w:r>
      <w:r w:rsidRPr="00C249C9">
        <w:rPr>
          <w:rFonts w:cs="Times New Roman"/>
          <w:sz w:val="22"/>
          <w:szCs w:val="22"/>
          <w:lang w:val="lt-LT" w:eastAsia="en-US"/>
        </w:rPr>
        <w:t>netirtas.</w:t>
      </w:r>
    </w:p>
    <w:p w14:paraId="3791A901"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6A0D6A8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eastAsia="TimesNewRoman,Italic" w:cs="Times New Roman"/>
          <w:b/>
          <w:iCs/>
          <w:sz w:val="22"/>
          <w:szCs w:val="22"/>
          <w:lang w:val="lt-LT" w:eastAsia="en-US"/>
        </w:rPr>
        <w:t>Metforminas</w:t>
      </w:r>
      <w:r w:rsidRPr="00C249C9">
        <w:rPr>
          <w:rFonts w:eastAsia="TimesNewRoman,Italic" w:cs="Times New Roman"/>
          <w:i/>
          <w:iCs/>
          <w:sz w:val="22"/>
          <w:szCs w:val="22"/>
          <w:lang w:val="lt-LT" w:eastAsia="en-US"/>
        </w:rPr>
        <w:t xml:space="preserve">. </w:t>
      </w:r>
      <w:r>
        <w:rPr>
          <w:rFonts w:cs="Times New Roman"/>
          <w:sz w:val="22"/>
          <w:szCs w:val="22"/>
          <w:lang w:val="lt-LT" w:eastAsia="en-US"/>
        </w:rPr>
        <w:t>2 tipo</w:t>
      </w:r>
      <w:r w:rsidRPr="00C249C9">
        <w:rPr>
          <w:rFonts w:cs="Times New Roman"/>
          <w:sz w:val="22"/>
          <w:szCs w:val="22"/>
          <w:lang w:val="lt-LT" w:eastAsia="en-US"/>
        </w:rPr>
        <w:t xml:space="preserve"> cukriniu diabetu sergančių pacientų, kartotinai vartojančių 1 000 mg metformino dozę 2 kartus per parą ir kartu 50 mg sitagliptino, organizme sitagliptino farmakokinetika reikšmingai nekito.</w:t>
      </w:r>
    </w:p>
    <w:p w14:paraId="1FBC6462"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1963C4F1"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eastAsia="TimesNewRoman,Italic" w:cs="Times New Roman"/>
          <w:b/>
          <w:iCs/>
          <w:sz w:val="22"/>
          <w:szCs w:val="22"/>
          <w:lang w:val="lt-LT" w:eastAsia="en-US"/>
        </w:rPr>
        <w:t>Ciklosporinas</w:t>
      </w:r>
      <w:r w:rsidRPr="00C249C9">
        <w:rPr>
          <w:rFonts w:eastAsia="TimesNewRoman,Italic" w:cs="Times New Roman"/>
          <w:i/>
          <w:iCs/>
          <w:sz w:val="22"/>
          <w:szCs w:val="22"/>
          <w:lang w:val="lt-LT" w:eastAsia="en-US"/>
        </w:rPr>
        <w:t xml:space="preserve">. </w:t>
      </w:r>
      <w:r w:rsidRPr="00C249C9">
        <w:rPr>
          <w:rFonts w:cs="Times New Roman"/>
          <w:sz w:val="22"/>
          <w:szCs w:val="22"/>
          <w:lang w:val="lt-LT" w:eastAsia="en-US"/>
        </w:rPr>
        <w:t xml:space="preserve">Buvo atliktas tyrimas, kurio metu buvo vertinamas stipraus glikoproteino P inhibitoriaus ciklosporino poveikis sitagliptino farmakokinetikai. Išgėrus kartu vieną 100 mg sitagliptino dozę ir vieną 600 mg ciklosporino dozę, sitagliptino plotas po koncentracijos kraujo plazmoje priklausomai nuo laiko (PPK, </w:t>
      </w:r>
      <w:r w:rsidRPr="00C249C9">
        <w:rPr>
          <w:rFonts w:cs="Times New Roman"/>
          <w:i/>
          <w:sz w:val="22"/>
          <w:szCs w:val="22"/>
          <w:lang w:val="lt-LT" w:eastAsia="en-US"/>
        </w:rPr>
        <w:t>angl</w:t>
      </w:r>
      <w:r w:rsidRPr="00C249C9">
        <w:rPr>
          <w:rFonts w:cs="Times New Roman"/>
          <w:sz w:val="22"/>
          <w:szCs w:val="22"/>
          <w:lang w:val="lt-LT" w:eastAsia="en-US"/>
        </w:rPr>
        <w:t>. AUC) ir didžiausia koncentracija kraujo plazmoje (</w:t>
      </w:r>
      <w:r w:rsidRPr="00C249C9">
        <w:rPr>
          <w:rFonts w:cs="Times New Roman"/>
          <w:i/>
          <w:sz w:val="22"/>
          <w:szCs w:val="22"/>
          <w:lang w:val="lt-LT" w:eastAsia="en-US"/>
        </w:rPr>
        <w:t>angl</w:t>
      </w:r>
      <w:r w:rsidRPr="00C249C9">
        <w:rPr>
          <w:rFonts w:cs="Times New Roman"/>
          <w:sz w:val="22"/>
          <w:szCs w:val="22"/>
          <w:lang w:val="lt-LT" w:eastAsia="en-US"/>
        </w:rPr>
        <w:t>. C</w:t>
      </w:r>
      <w:r w:rsidRPr="00C249C9">
        <w:rPr>
          <w:rFonts w:cs="Times New Roman"/>
          <w:sz w:val="22"/>
          <w:szCs w:val="22"/>
          <w:vertAlign w:val="subscript"/>
          <w:lang w:val="lt-LT" w:eastAsia="en-US"/>
        </w:rPr>
        <w:t>max</w:t>
      </w:r>
      <w:r>
        <w:rPr>
          <w:rFonts w:cs="Times New Roman"/>
          <w:sz w:val="22"/>
          <w:szCs w:val="22"/>
          <w:lang w:val="lt-LT" w:eastAsia="en-US"/>
        </w:rPr>
        <w:t>) padidėjo atitinkamai apie 29 % ir 68 </w:t>
      </w:r>
      <w:r w:rsidRPr="00C249C9">
        <w:rPr>
          <w:rFonts w:cs="Times New Roman"/>
          <w:sz w:val="22"/>
          <w:szCs w:val="22"/>
          <w:lang w:val="lt-LT" w:eastAsia="en-US"/>
        </w:rPr>
        <w:t>%. Šie sitagliptino farmakokinetikos pokyčiai nebuvo laikomi klinikai reikšmingais. Sitagliptino klirensas inkstuose reikšmingai nekito, todėl reikšmingos sąveikos su kitais glikoproteino P inhibitoriais neturėtų pasireikšti.</w:t>
      </w:r>
    </w:p>
    <w:p w14:paraId="23871404" w14:textId="77777777" w:rsidR="00112208" w:rsidRPr="00C249C9" w:rsidRDefault="00112208" w:rsidP="00112208">
      <w:pPr>
        <w:autoSpaceDE w:val="0"/>
        <w:autoSpaceDN w:val="0"/>
        <w:adjustRightInd w:val="0"/>
        <w:rPr>
          <w:rFonts w:cs="Times New Roman"/>
          <w:sz w:val="22"/>
          <w:szCs w:val="22"/>
          <w:lang w:val="lt-LT" w:eastAsia="en-US"/>
        </w:rPr>
      </w:pPr>
    </w:p>
    <w:p w14:paraId="1017955A" w14:textId="77777777" w:rsidR="00112208" w:rsidRPr="00C249C9" w:rsidRDefault="00112208" w:rsidP="00112208">
      <w:pPr>
        <w:autoSpaceDE w:val="0"/>
        <w:autoSpaceDN w:val="0"/>
        <w:adjustRightInd w:val="0"/>
        <w:rPr>
          <w:rFonts w:cs="Times New Roman"/>
          <w:i/>
          <w:sz w:val="22"/>
          <w:szCs w:val="22"/>
          <w:lang w:val="lt-LT" w:eastAsia="en-US"/>
        </w:rPr>
      </w:pPr>
      <w:r w:rsidRPr="00C249C9">
        <w:rPr>
          <w:rFonts w:cs="Times New Roman"/>
          <w:i/>
          <w:sz w:val="22"/>
          <w:szCs w:val="22"/>
          <w:lang w:val="lt-LT" w:eastAsia="en-US"/>
        </w:rPr>
        <w:t>Sitagliptino poveikis kitiems vaistiniams preparatams</w:t>
      </w:r>
    </w:p>
    <w:p w14:paraId="73C96480" w14:textId="77777777" w:rsidR="00112208" w:rsidRPr="00C249C9" w:rsidRDefault="00112208" w:rsidP="00112208">
      <w:pPr>
        <w:autoSpaceDE w:val="0"/>
        <w:autoSpaceDN w:val="0"/>
        <w:adjustRightInd w:val="0"/>
        <w:rPr>
          <w:rFonts w:cs="Times New Roman"/>
          <w:i/>
          <w:sz w:val="22"/>
          <w:szCs w:val="22"/>
          <w:lang w:val="lt-LT" w:eastAsia="en-US"/>
        </w:rPr>
      </w:pPr>
    </w:p>
    <w:p w14:paraId="1021754B"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eastAsia="TimesNewRoman,Italic" w:cs="Times New Roman"/>
          <w:b/>
          <w:iCs/>
          <w:sz w:val="22"/>
          <w:szCs w:val="22"/>
          <w:lang w:val="lt-LT" w:eastAsia="en-US"/>
        </w:rPr>
        <w:t>Digoksinas</w:t>
      </w:r>
      <w:r w:rsidRPr="00C249C9">
        <w:rPr>
          <w:rFonts w:eastAsia="TimesNewRoman,Italic" w:cs="Times New Roman"/>
          <w:i/>
          <w:iCs/>
          <w:sz w:val="22"/>
          <w:szCs w:val="22"/>
          <w:lang w:val="lt-LT" w:eastAsia="en-US"/>
        </w:rPr>
        <w:t xml:space="preserve">. </w:t>
      </w:r>
      <w:r w:rsidRPr="00C249C9">
        <w:rPr>
          <w:rFonts w:cs="Times New Roman"/>
          <w:sz w:val="22"/>
          <w:szCs w:val="22"/>
          <w:lang w:val="lt-LT" w:eastAsia="en-US"/>
        </w:rPr>
        <w:t>Sitagliptinas šiek tiek paveikė digoksino koncentraciją plazmoje. 10 dienų kasdien vartojus po 0,25 mg digoksino kartu su 100 mg sitagliptino, digoksino PPK padidėjo vidutiniškai 11 %, C</w:t>
      </w:r>
      <w:r w:rsidRPr="00C249C9">
        <w:rPr>
          <w:rFonts w:cs="Times New Roman"/>
          <w:sz w:val="22"/>
          <w:szCs w:val="22"/>
          <w:vertAlign w:val="subscript"/>
          <w:lang w:val="lt-LT" w:eastAsia="en-US"/>
        </w:rPr>
        <w:t>max</w:t>
      </w:r>
      <w:r>
        <w:rPr>
          <w:rFonts w:cs="Times New Roman"/>
          <w:sz w:val="22"/>
          <w:szCs w:val="22"/>
          <w:lang w:val="lt-LT" w:eastAsia="en-US"/>
        </w:rPr>
        <w:t xml:space="preserve"> – vidutiniškai 18 </w:t>
      </w:r>
      <w:r w:rsidRPr="00C249C9">
        <w:rPr>
          <w:rFonts w:cs="Times New Roman"/>
          <w:sz w:val="22"/>
          <w:szCs w:val="22"/>
          <w:lang w:val="lt-LT" w:eastAsia="en-US"/>
        </w:rPr>
        <w:t>%. Digoksino dozės keisti nerekomenduojama. Vis dėlto sitagliptino ir digoksino deriniu gydomus pacientus, kuriems yra digoksino toksinio poveikio rizika, dėl šios sąveikos reikia stebėti.</w:t>
      </w:r>
    </w:p>
    <w:p w14:paraId="6E9D7C36" w14:textId="77777777" w:rsidR="00112208" w:rsidRPr="00C249C9" w:rsidRDefault="00112208" w:rsidP="00112208">
      <w:pPr>
        <w:autoSpaceDE w:val="0"/>
        <w:autoSpaceDN w:val="0"/>
        <w:adjustRightInd w:val="0"/>
        <w:rPr>
          <w:rFonts w:cs="Times New Roman"/>
          <w:sz w:val="22"/>
          <w:szCs w:val="22"/>
          <w:lang w:val="lt-LT" w:eastAsia="en-US"/>
        </w:rPr>
      </w:pPr>
    </w:p>
    <w:p w14:paraId="2AB305C6"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Tyrimų </w:t>
      </w:r>
      <w:r w:rsidRPr="00C249C9">
        <w:rPr>
          <w:rFonts w:eastAsia="TimesNewRoman,Italic" w:cs="Times New Roman"/>
          <w:i/>
          <w:iCs/>
          <w:sz w:val="22"/>
          <w:szCs w:val="22"/>
          <w:lang w:val="lt-LT" w:eastAsia="en-US"/>
        </w:rPr>
        <w:t xml:space="preserve">in vitro </w:t>
      </w:r>
      <w:r w:rsidRPr="00C249C9">
        <w:rPr>
          <w:rFonts w:cs="Times New Roman"/>
          <w:sz w:val="22"/>
          <w:szCs w:val="22"/>
          <w:lang w:val="lt-LT" w:eastAsia="en-US"/>
        </w:rPr>
        <w:t>duomenys rodo, kad sitagliptinas CYP450 izofermentų neslopina ir neindukuoja.</w:t>
      </w:r>
    </w:p>
    <w:p w14:paraId="30F154F9"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Klinikinių tyrimų metu sitagliptinas reikšmingai </w:t>
      </w:r>
      <w:r>
        <w:rPr>
          <w:rFonts w:cs="Times New Roman"/>
          <w:sz w:val="22"/>
          <w:szCs w:val="22"/>
          <w:lang w:val="lt-LT" w:eastAsia="en-US"/>
        </w:rPr>
        <w:t xml:space="preserve">nekeitė </w:t>
      </w:r>
      <w:r w:rsidRPr="00C249C9">
        <w:rPr>
          <w:rFonts w:cs="Times New Roman"/>
          <w:sz w:val="22"/>
          <w:szCs w:val="22"/>
          <w:lang w:val="lt-LT" w:eastAsia="en-US"/>
        </w:rPr>
        <w:t xml:space="preserve">metformino, gliburido, simvastatino, roziglitazono, varfarino ar geriamųjų kontraceptikų farmakokinetikos  ir tai rodo, kad </w:t>
      </w:r>
      <w:r w:rsidRPr="00C249C9">
        <w:rPr>
          <w:rFonts w:eastAsia="TimesNewRoman,Italic" w:cs="Times New Roman"/>
          <w:i/>
          <w:iCs/>
          <w:sz w:val="22"/>
          <w:szCs w:val="22"/>
          <w:lang w:val="lt-LT" w:eastAsia="en-US"/>
        </w:rPr>
        <w:t xml:space="preserve">in vivo </w:t>
      </w:r>
      <w:r w:rsidRPr="00C249C9">
        <w:rPr>
          <w:rFonts w:cs="Times New Roman"/>
          <w:sz w:val="22"/>
          <w:szCs w:val="22"/>
          <w:lang w:val="lt-LT" w:eastAsia="en-US"/>
        </w:rPr>
        <w:t xml:space="preserve">jo polinkis į sąveiką su CYP3A4, CYP2C8 ar CYP2C9 substratais bei organinių katijonų pernaša yra mažas. Sitagliptinas gali </w:t>
      </w:r>
      <w:r w:rsidRPr="00C249C9">
        <w:rPr>
          <w:rFonts w:eastAsia="TimesNewRoman,Italic" w:cs="Times New Roman"/>
          <w:i/>
          <w:iCs/>
          <w:sz w:val="22"/>
          <w:szCs w:val="22"/>
          <w:lang w:val="lt-LT" w:eastAsia="en-US"/>
        </w:rPr>
        <w:t xml:space="preserve">in vivo </w:t>
      </w:r>
      <w:r w:rsidRPr="00C249C9">
        <w:rPr>
          <w:rFonts w:cs="Times New Roman"/>
          <w:sz w:val="22"/>
          <w:szCs w:val="22"/>
          <w:lang w:val="lt-LT" w:eastAsia="en-US"/>
        </w:rPr>
        <w:t>silpnai slopinti glikoproteiną P.</w:t>
      </w:r>
    </w:p>
    <w:p w14:paraId="35559858" w14:textId="77777777" w:rsidR="00112208" w:rsidRPr="00C249C9" w:rsidRDefault="00112208" w:rsidP="00112208">
      <w:pPr>
        <w:tabs>
          <w:tab w:val="left" w:pos="567"/>
        </w:tabs>
        <w:rPr>
          <w:rFonts w:eastAsia="Times New Roman" w:cs="Times New Roman"/>
          <w:sz w:val="22"/>
          <w:szCs w:val="22"/>
          <w:lang w:val="lt-LT" w:eastAsia="lt-LT" w:bidi="lt-LT"/>
        </w:rPr>
      </w:pPr>
    </w:p>
    <w:p w14:paraId="2FC2312D"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sz w:val="22"/>
          <w:szCs w:val="22"/>
          <w:lang w:val="lt-LT" w:eastAsia="lt-LT" w:bidi="lt-LT"/>
        </w:rPr>
        <w:t>Vaisingumas, nėštumo ir žindymo laikotarpis</w:t>
      </w:r>
    </w:p>
    <w:p w14:paraId="47E55095"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435137AD"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eastAsia="Times New Roman" w:cs="Times New Roman"/>
          <w:sz w:val="22"/>
          <w:szCs w:val="22"/>
          <w:u w:val="single"/>
          <w:lang w:val="lt-LT" w:eastAsia="lt-LT" w:bidi="lt-LT"/>
        </w:rPr>
        <w:t>Nėštumas</w:t>
      </w:r>
    </w:p>
    <w:p w14:paraId="1DD1AFA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Apie sitagliptino vartojimą nėštumo metu duomenų nepakanka. Su gyvūnais atlikti tyrimai parodė toksinį didelių dozių poveikį reprodukcijai (žr. 5.3 skyrių). Galimas pavojus žmogui nežinomas. </w:t>
      </w:r>
      <w:r w:rsidRPr="00C249C9">
        <w:rPr>
          <w:rFonts w:cs="Times New Roman"/>
          <w:sz w:val="22"/>
          <w:szCs w:val="22"/>
          <w:lang w:val="lt-LT" w:eastAsia="en-US"/>
        </w:rPr>
        <w:lastRenderedPageBreak/>
        <w:t xml:space="preserve">Kadangi klinikinių duomenų apie vartojimą nėštumo metu nepakanka, nėščioms moterims </w:t>
      </w:r>
      <w:r>
        <w:rPr>
          <w:rFonts w:eastAsia="Times New Roman" w:cs="Times New Roman"/>
          <w:sz w:val="22"/>
          <w:szCs w:val="22"/>
          <w:lang w:val="lt-LT" w:eastAsia="lt-LT" w:bidi="lt-LT"/>
        </w:rPr>
        <w:t>JIMANDIN vartoti</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negalima.</w:t>
      </w:r>
    </w:p>
    <w:p w14:paraId="104B8DC8" w14:textId="77777777" w:rsidR="00112208" w:rsidRPr="00C249C9" w:rsidRDefault="00112208" w:rsidP="00112208">
      <w:pPr>
        <w:autoSpaceDE w:val="0"/>
        <w:autoSpaceDN w:val="0"/>
        <w:adjustRightInd w:val="0"/>
        <w:rPr>
          <w:rFonts w:eastAsia="Times New Roman" w:cs="Times New Roman"/>
          <w:sz w:val="22"/>
          <w:szCs w:val="22"/>
          <w:u w:val="single"/>
          <w:lang w:val="lt-LT" w:eastAsia="lt-LT" w:bidi="lt-LT"/>
        </w:rPr>
      </w:pPr>
    </w:p>
    <w:p w14:paraId="3D8AE069" w14:textId="77777777" w:rsidR="00112208" w:rsidRPr="00C249C9" w:rsidRDefault="00112208" w:rsidP="00112208">
      <w:pPr>
        <w:autoSpaceDE w:val="0"/>
        <w:autoSpaceDN w:val="0"/>
        <w:adjustRightInd w:val="0"/>
        <w:rPr>
          <w:rFonts w:eastAsia="Times New Roman" w:cs="Times New Roman"/>
          <w:sz w:val="22"/>
          <w:szCs w:val="22"/>
          <w:lang w:val="lt-LT" w:eastAsia="lt-LT" w:bidi="lt-LT"/>
        </w:rPr>
      </w:pPr>
      <w:r w:rsidRPr="00C249C9">
        <w:rPr>
          <w:rFonts w:eastAsia="Times New Roman" w:cs="Times New Roman"/>
          <w:sz w:val="22"/>
          <w:szCs w:val="22"/>
          <w:u w:val="single"/>
          <w:lang w:val="lt-LT" w:eastAsia="lt-LT" w:bidi="lt-LT"/>
        </w:rPr>
        <w:t>Žindymas</w:t>
      </w:r>
    </w:p>
    <w:p w14:paraId="13D0032D"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Nežinoma, ar sitagliptino išsiskiria su žindyvės pienu. Tyrimai su gyvūnais parodė, kad sitagliptino išsiskiria su žindyvės pienu. Žindymo laikotarpiu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vartoti negalima.</w:t>
      </w:r>
    </w:p>
    <w:p w14:paraId="2E167F75" w14:textId="77777777" w:rsidR="00112208" w:rsidRPr="00C249C9" w:rsidRDefault="00112208" w:rsidP="00112208">
      <w:pPr>
        <w:tabs>
          <w:tab w:val="left" w:pos="567"/>
        </w:tabs>
        <w:rPr>
          <w:rFonts w:eastAsia="Times New Roman" w:cs="Times New Roman"/>
          <w:sz w:val="22"/>
          <w:szCs w:val="22"/>
          <w:u w:val="single"/>
          <w:lang w:val="lt-LT" w:eastAsia="lt-LT" w:bidi="lt-LT"/>
        </w:rPr>
      </w:pPr>
    </w:p>
    <w:p w14:paraId="3024887E"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eastAsia="Times New Roman" w:cs="Times New Roman"/>
          <w:sz w:val="22"/>
          <w:szCs w:val="22"/>
          <w:u w:val="single"/>
          <w:lang w:val="lt-LT" w:eastAsia="lt-LT" w:bidi="lt-LT"/>
        </w:rPr>
        <w:t>Vaisingumas</w:t>
      </w:r>
    </w:p>
    <w:p w14:paraId="04950D36"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Tyrimų su gyvūnais duomenys sitagliptino nepageidaujamo poveikio patinų ir patelių vaisingumui neparodė. Duomenų apie žmones nėra.</w:t>
      </w:r>
    </w:p>
    <w:p w14:paraId="65289660" w14:textId="77777777" w:rsidR="00112208" w:rsidRPr="00C249C9" w:rsidRDefault="00112208" w:rsidP="00112208">
      <w:pPr>
        <w:tabs>
          <w:tab w:val="left" w:pos="567"/>
        </w:tabs>
        <w:rPr>
          <w:rFonts w:eastAsia="Times New Roman" w:cs="Times New Roman"/>
          <w:i/>
          <w:noProof/>
          <w:sz w:val="22"/>
          <w:szCs w:val="22"/>
          <w:lang w:val="lt-LT" w:eastAsia="lt-LT" w:bidi="lt-LT"/>
        </w:rPr>
      </w:pPr>
    </w:p>
    <w:p w14:paraId="611DBED5"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Poveikis gebėjimui vairuoti ir valdyti mechanizmus</w:t>
      </w:r>
    </w:p>
    <w:p w14:paraId="4D2EE90A"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1BAF018C" w14:textId="77777777" w:rsidR="00112208" w:rsidRPr="00C249C9" w:rsidRDefault="00112208" w:rsidP="00112208">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gebėjimo vairuoti ir valdyti mechanizmus neveikia arba veikia nereikšmingai. Vis dėlto vairuojant ar valdant mechanizmus reikia atsižvelgti į tai, kad buvo pastebėtas svaigulys ir mieguistumas.</w:t>
      </w:r>
    </w:p>
    <w:p w14:paraId="23DB1454"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Be to, pacientus reikia įspėti apie galimą hipoglikemijos pavojų, kylantį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vartojant kartu su sulfonilurėjos dariniu arba kartu su insulinu.</w:t>
      </w:r>
    </w:p>
    <w:p w14:paraId="26A7A466"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085A9448"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Nepageidaujamas poveikis</w:t>
      </w:r>
    </w:p>
    <w:p w14:paraId="15F73C9D" w14:textId="77777777" w:rsidR="00112208" w:rsidRPr="00C249C9" w:rsidRDefault="00112208" w:rsidP="00112208">
      <w:pPr>
        <w:keepNext/>
        <w:tabs>
          <w:tab w:val="left" w:pos="567"/>
        </w:tabs>
        <w:autoSpaceDE w:val="0"/>
        <w:autoSpaceDN w:val="0"/>
        <w:adjustRightInd w:val="0"/>
        <w:jc w:val="both"/>
        <w:rPr>
          <w:rFonts w:eastAsia="Times New Roman" w:cs="Times New Roman"/>
          <w:noProof/>
          <w:sz w:val="22"/>
          <w:szCs w:val="22"/>
          <w:lang w:val="lt-LT" w:eastAsia="lt-LT" w:bidi="lt-LT"/>
        </w:rPr>
      </w:pPr>
    </w:p>
    <w:p w14:paraId="48DD1E30"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Saugumo duomenų santrauka</w:t>
      </w:r>
    </w:p>
    <w:p w14:paraId="65DBF86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Gauta pranešimų apie pastebėtas sunkias nepageidaujamas reakcijas, įskaitant pankreatitą ir padidėjusio jautrumo reakcijas. Vartojant kartu su sulfonilurėjos dariniu, h</w:t>
      </w:r>
      <w:r>
        <w:rPr>
          <w:rFonts w:cs="Times New Roman"/>
          <w:sz w:val="22"/>
          <w:szCs w:val="22"/>
          <w:lang w:val="lt-LT" w:eastAsia="en-US"/>
        </w:rPr>
        <w:t>ipoglikemija buvo pastebėta 4,7 % - 13,8 %, o kartu su insulinu – 9,6 </w:t>
      </w:r>
      <w:r w:rsidRPr="00C249C9">
        <w:rPr>
          <w:rFonts w:cs="Times New Roman"/>
          <w:sz w:val="22"/>
          <w:szCs w:val="22"/>
          <w:lang w:val="lt-LT" w:eastAsia="en-US"/>
        </w:rPr>
        <w:t>% (žr. 4.4 skyrių).</w:t>
      </w:r>
    </w:p>
    <w:p w14:paraId="42D5162E" w14:textId="77777777" w:rsidR="00112208" w:rsidRPr="00C249C9" w:rsidRDefault="00112208" w:rsidP="00112208">
      <w:pPr>
        <w:autoSpaceDE w:val="0"/>
        <w:autoSpaceDN w:val="0"/>
        <w:adjustRightInd w:val="0"/>
        <w:rPr>
          <w:rFonts w:cs="Times New Roman"/>
          <w:sz w:val="22"/>
          <w:szCs w:val="22"/>
          <w:lang w:val="lt-LT" w:eastAsia="en-US"/>
        </w:rPr>
      </w:pPr>
    </w:p>
    <w:p w14:paraId="03C0B43D"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Nepageidaujamų reakcijų santrauka lentelėje</w:t>
      </w:r>
    </w:p>
    <w:p w14:paraId="12CF2D41"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Nepageidaujamos reakcijos yra išvardintos žemiau (1 lentelė) pagal organų sistemų klases ir dažnį. Dažnis apibūdinamas taip: labai dažni (≥ 1/10), dažni (nuo ≥ 1/100 iki &lt; 1/10), nedažni (nuo </w:t>
      </w:r>
    </w:p>
    <w:p w14:paraId="3107C6B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1/1000 iki &lt; 1/100), reti (nuo ≥ 1/10 000 iki &lt; 1/1000), labai reti (&lt; 1/10 000) ir dažnis nežinomas (negali būti įvertintas pagal turimus duomenis).</w:t>
      </w:r>
    </w:p>
    <w:p w14:paraId="125F4BDA" w14:textId="77777777" w:rsidR="00112208" w:rsidRPr="00C249C9" w:rsidRDefault="00112208" w:rsidP="00112208">
      <w:pPr>
        <w:autoSpaceDE w:val="0"/>
        <w:autoSpaceDN w:val="0"/>
        <w:adjustRightInd w:val="0"/>
        <w:rPr>
          <w:rFonts w:eastAsia="TimesNewRoman,Bold" w:cs="Times New Roman"/>
          <w:b/>
          <w:bCs/>
          <w:sz w:val="22"/>
          <w:szCs w:val="22"/>
          <w:lang w:val="lt-LT" w:eastAsia="en-US"/>
        </w:rPr>
      </w:pPr>
    </w:p>
    <w:p w14:paraId="6CED96DA" w14:textId="77777777" w:rsidR="00112208" w:rsidRPr="00C249C9" w:rsidRDefault="00112208" w:rsidP="00112208">
      <w:pPr>
        <w:autoSpaceDE w:val="0"/>
        <w:autoSpaceDN w:val="0"/>
        <w:adjustRightInd w:val="0"/>
        <w:rPr>
          <w:rFonts w:eastAsia="TimesNewRoman,Bold" w:cs="Times New Roman"/>
          <w:b/>
          <w:bCs/>
          <w:sz w:val="22"/>
          <w:szCs w:val="22"/>
          <w:lang w:val="lt-LT" w:eastAsia="en-US"/>
        </w:rPr>
      </w:pPr>
      <w:r w:rsidRPr="00C249C9">
        <w:rPr>
          <w:rFonts w:eastAsia="TimesNewRoman,Bold" w:cs="Times New Roman"/>
          <w:b/>
          <w:bCs/>
          <w:sz w:val="22"/>
          <w:szCs w:val="22"/>
          <w:lang w:val="lt-LT" w:eastAsia="en-US"/>
        </w:rPr>
        <w:t>1 lentelė. Nepageidaujamų reakcijų dažnis</w:t>
      </w:r>
      <w:r>
        <w:rPr>
          <w:rFonts w:eastAsia="TimesNewRoman,Bold" w:cs="Times New Roman"/>
          <w:b/>
          <w:bCs/>
          <w:sz w:val="22"/>
          <w:szCs w:val="22"/>
          <w:lang w:val="lt-LT" w:eastAsia="en-US"/>
        </w:rPr>
        <w:t>, nustatytas</w:t>
      </w:r>
      <w:r w:rsidRPr="00C249C9">
        <w:rPr>
          <w:rFonts w:eastAsia="TimesNewRoman,Bold" w:cs="Times New Roman"/>
          <w:b/>
          <w:bCs/>
          <w:sz w:val="22"/>
          <w:szCs w:val="22"/>
          <w:lang w:val="lt-LT" w:eastAsia="en-US"/>
        </w:rPr>
        <w:t xml:space="preserve"> placebu kontroliuotų sitagliptino monoterapijos klinikinių tyrimų metu ir </w:t>
      </w:r>
      <w:r>
        <w:rPr>
          <w:rFonts w:eastAsia="TimesNewRoman,Bold" w:cs="Times New Roman"/>
          <w:b/>
          <w:bCs/>
          <w:sz w:val="22"/>
          <w:szCs w:val="22"/>
          <w:lang w:val="lt-LT" w:eastAsia="en-US"/>
        </w:rPr>
        <w:t>poregistracinio stebėjimo metu</w:t>
      </w:r>
    </w:p>
    <w:p w14:paraId="71C10CEC" w14:textId="77777777" w:rsidR="00112208" w:rsidRPr="00C249C9" w:rsidRDefault="00112208" w:rsidP="00112208">
      <w:pPr>
        <w:tabs>
          <w:tab w:val="left" w:pos="567"/>
        </w:tabs>
        <w:autoSpaceDE w:val="0"/>
        <w:autoSpaceDN w:val="0"/>
        <w:adjustRightInd w:val="0"/>
        <w:jc w:val="both"/>
        <w:rPr>
          <w:rFonts w:eastAsia="Times New Roman" w:cs="Times New Roman"/>
          <w:b/>
          <w:i/>
          <w:sz w:val="22"/>
          <w:szCs w:val="22"/>
          <w:lang w:val="lt-LT" w:eastAsia="lt-LT" w:bidi="lt-LT"/>
        </w:rPr>
      </w:pPr>
    </w:p>
    <w:tbl>
      <w:tblPr>
        <w:tblStyle w:val="TableGrid"/>
        <w:tblW w:w="0" w:type="auto"/>
        <w:tblLook w:val="04A0" w:firstRow="1" w:lastRow="0" w:firstColumn="1" w:lastColumn="0" w:noHBand="0" w:noVBand="1"/>
      </w:tblPr>
      <w:tblGrid>
        <w:gridCol w:w="5483"/>
        <w:gridCol w:w="3578"/>
      </w:tblGrid>
      <w:tr w:rsidR="00112208" w:rsidRPr="00C249C9" w14:paraId="675EF74D" w14:textId="77777777" w:rsidTr="00412D1E">
        <w:tc>
          <w:tcPr>
            <w:tcW w:w="5483" w:type="dxa"/>
          </w:tcPr>
          <w:p w14:paraId="1619B0F3" w14:textId="77777777" w:rsidR="00112208" w:rsidRPr="00C249C9" w:rsidRDefault="00112208" w:rsidP="00412D1E">
            <w:pPr>
              <w:tabs>
                <w:tab w:val="left" w:pos="567"/>
              </w:tabs>
              <w:autoSpaceDE w:val="0"/>
              <w:autoSpaceDN w:val="0"/>
              <w:adjustRightInd w:val="0"/>
              <w:jc w:val="center"/>
              <w:rPr>
                <w:rFonts w:eastAsia="Times New Roman" w:cs="Times New Roman"/>
                <w:szCs w:val="22"/>
                <w:u w:val="single"/>
                <w:lang w:val="lt-LT" w:eastAsia="lt-LT" w:bidi="lt-LT"/>
              </w:rPr>
            </w:pPr>
            <w:r w:rsidRPr="00C249C9">
              <w:rPr>
                <w:rFonts w:eastAsia="TimesNewRoman,Bold" w:cs="Times New Roman"/>
                <w:b/>
                <w:bCs/>
                <w:szCs w:val="22"/>
                <w:lang w:val="lt-LT" w:eastAsia="en-US"/>
              </w:rPr>
              <w:t>Nepageidaujama reakcija</w:t>
            </w:r>
          </w:p>
        </w:tc>
        <w:tc>
          <w:tcPr>
            <w:tcW w:w="3578" w:type="dxa"/>
          </w:tcPr>
          <w:p w14:paraId="72A60D73"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Nepageidaujamos reakcijos dažnis</w:t>
            </w:r>
          </w:p>
        </w:tc>
      </w:tr>
      <w:tr w:rsidR="00112208" w:rsidRPr="00C249C9" w14:paraId="2311C74D" w14:textId="77777777" w:rsidTr="00412D1E">
        <w:tc>
          <w:tcPr>
            <w:tcW w:w="9061" w:type="dxa"/>
            <w:gridSpan w:val="2"/>
          </w:tcPr>
          <w:p w14:paraId="41422EFF" w14:textId="77777777" w:rsidR="00112208" w:rsidRPr="00C249C9" w:rsidRDefault="00112208" w:rsidP="00412D1E">
            <w:pPr>
              <w:autoSpaceDE w:val="0"/>
              <w:autoSpaceDN w:val="0"/>
              <w:adjustRightInd w:val="0"/>
              <w:rPr>
                <w:rFonts w:eastAsia="TimesNewRoman,Bold" w:cs="Times New Roman"/>
                <w:b/>
                <w:bCs/>
                <w:szCs w:val="22"/>
                <w:lang w:val="lt-LT" w:eastAsia="en-US"/>
              </w:rPr>
            </w:pPr>
            <w:r>
              <w:rPr>
                <w:rFonts w:eastAsia="TimesNewRoman,Bold" w:cs="Times New Roman"/>
                <w:b/>
                <w:bCs/>
                <w:szCs w:val="22"/>
                <w:lang w:val="lt-LT" w:eastAsia="en-US"/>
              </w:rPr>
              <w:t>Kraujo ir limfinės sistemos sutrikimai</w:t>
            </w:r>
          </w:p>
        </w:tc>
      </w:tr>
      <w:tr w:rsidR="00112208" w:rsidRPr="00C249C9" w14:paraId="5B6ADE36" w14:textId="77777777" w:rsidTr="00412D1E">
        <w:tc>
          <w:tcPr>
            <w:tcW w:w="5483" w:type="dxa"/>
          </w:tcPr>
          <w:p w14:paraId="7C17A691"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Pr>
                <w:rFonts w:eastAsia="TimesNewRoman,Bold" w:cs="Times New Roman"/>
                <w:szCs w:val="22"/>
                <w:lang w:val="lt-LT" w:eastAsia="en-US"/>
              </w:rPr>
              <w:t>Trombocitopenija</w:t>
            </w:r>
          </w:p>
        </w:tc>
        <w:tc>
          <w:tcPr>
            <w:tcW w:w="3578" w:type="dxa"/>
          </w:tcPr>
          <w:p w14:paraId="325E0176"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Pr>
                <w:rFonts w:eastAsia="TimesNewRoman,Bold" w:cs="Times New Roman"/>
                <w:szCs w:val="22"/>
                <w:lang w:val="lt-LT" w:eastAsia="en-US"/>
              </w:rPr>
              <w:t>Reti</w:t>
            </w:r>
          </w:p>
        </w:tc>
      </w:tr>
      <w:tr w:rsidR="00112208" w:rsidRPr="00C249C9" w14:paraId="5FE32BEB" w14:textId="77777777" w:rsidTr="00412D1E">
        <w:tc>
          <w:tcPr>
            <w:tcW w:w="9061" w:type="dxa"/>
            <w:gridSpan w:val="2"/>
          </w:tcPr>
          <w:p w14:paraId="2DDBAF5C"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Imuninės sistemos sutrikimai</w:t>
            </w:r>
          </w:p>
        </w:tc>
      </w:tr>
      <w:tr w:rsidR="00112208" w:rsidRPr="00C249C9" w14:paraId="4E1766ED" w14:textId="77777777" w:rsidTr="00412D1E">
        <w:tc>
          <w:tcPr>
            <w:tcW w:w="5483" w:type="dxa"/>
          </w:tcPr>
          <w:p w14:paraId="2918CBDC"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Padidėjusio jautrumo reakcijos, įskaitant anafilaksiją</w:t>
            </w:r>
            <w:r w:rsidRPr="00C249C9">
              <w:rPr>
                <w:rFonts w:eastAsia="TimesNewRoman,Bold" w:cs="Times New Roman"/>
                <w:szCs w:val="22"/>
                <w:vertAlign w:val="superscript"/>
                <w:lang w:val="lt-LT" w:eastAsia="en-US"/>
              </w:rPr>
              <w:t xml:space="preserve"> *,</w:t>
            </w:r>
            <w:r w:rsidRPr="00C249C9">
              <w:rPr>
                <w:rFonts w:eastAsia="TimesNewRoman,Bold" w:cs="Times New Roman"/>
                <w:b/>
                <w:bCs/>
                <w:szCs w:val="22"/>
                <w:vertAlign w:val="superscript"/>
                <w:lang w:val="lt-LT" w:eastAsia="en-US"/>
              </w:rPr>
              <w:t>†</w:t>
            </w:r>
          </w:p>
        </w:tc>
        <w:tc>
          <w:tcPr>
            <w:tcW w:w="3578" w:type="dxa"/>
          </w:tcPr>
          <w:p w14:paraId="37518992"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5BF853F1" w14:textId="77777777" w:rsidTr="00412D1E">
        <w:tc>
          <w:tcPr>
            <w:tcW w:w="9061" w:type="dxa"/>
            <w:gridSpan w:val="2"/>
          </w:tcPr>
          <w:p w14:paraId="72D47779"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Metabolizmo ir mitybos sutrikimai</w:t>
            </w:r>
          </w:p>
        </w:tc>
      </w:tr>
      <w:tr w:rsidR="00112208" w:rsidRPr="00C249C9" w14:paraId="49EF8C76" w14:textId="77777777" w:rsidTr="00412D1E">
        <w:tc>
          <w:tcPr>
            <w:tcW w:w="5483" w:type="dxa"/>
          </w:tcPr>
          <w:p w14:paraId="60B92F79"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Hipoglikemija</w:t>
            </w:r>
            <w:r w:rsidRPr="00C249C9">
              <w:rPr>
                <w:rFonts w:eastAsia="TimesNewRoman,Bold" w:cs="Times New Roman"/>
                <w:b/>
                <w:bCs/>
                <w:szCs w:val="22"/>
                <w:vertAlign w:val="superscript"/>
                <w:lang w:val="lt-LT" w:eastAsia="en-US"/>
              </w:rPr>
              <w:t xml:space="preserve">† </w:t>
            </w:r>
          </w:p>
        </w:tc>
        <w:tc>
          <w:tcPr>
            <w:tcW w:w="3578" w:type="dxa"/>
          </w:tcPr>
          <w:p w14:paraId="3B5F1684"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w:t>
            </w:r>
          </w:p>
        </w:tc>
      </w:tr>
      <w:tr w:rsidR="00112208" w:rsidRPr="00C249C9" w14:paraId="58702A78" w14:textId="77777777" w:rsidTr="00412D1E">
        <w:tc>
          <w:tcPr>
            <w:tcW w:w="9061" w:type="dxa"/>
            <w:gridSpan w:val="2"/>
          </w:tcPr>
          <w:p w14:paraId="05EC61CA"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Nervų sistemos sutrikimai</w:t>
            </w:r>
          </w:p>
        </w:tc>
      </w:tr>
      <w:tr w:rsidR="00112208" w:rsidRPr="00C249C9" w14:paraId="79768A13" w14:textId="77777777" w:rsidTr="00412D1E">
        <w:tc>
          <w:tcPr>
            <w:tcW w:w="5483" w:type="dxa"/>
          </w:tcPr>
          <w:p w14:paraId="621A1E40"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Galvos skausmas</w:t>
            </w:r>
          </w:p>
        </w:tc>
        <w:tc>
          <w:tcPr>
            <w:tcW w:w="3578" w:type="dxa"/>
          </w:tcPr>
          <w:p w14:paraId="1F07633B"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w:t>
            </w:r>
          </w:p>
        </w:tc>
      </w:tr>
      <w:tr w:rsidR="00112208" w:rsidRPr="00C249C9" w14:paraId="3187D320" w14:textId="77777777" w:rsidTr="00412D1E">
        <w:tc>
          <w:tcPr>
            <w:tcW w:w="5483" w:type="dxa"/>
          </w:tcPr>
          <w:p w14:paraId="539BEB38"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Svaigulys</w:t>
            </w:r>
          </w:p>
        </w:tc>
        <w:tc>
          <w:tcPr>
            <w:tcW w:w="3578" w:type="dxa"/>
          </w:tcPr>
          <w:p w14:paraId="1F9BA7FA"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Nedažni</w:t>
            </w:r>
          </w:p>
        </w:tc>
      </w:tr>
      <w:tr w:rsidR="00112208" w:rsidRPr="00C249C9" w14:paraId="23AE22B8" w14:textId="77777777" w:rsidTr="00412D1E">
        <w:tc>
          <w:tcPr>
            <w:tcW w:w="9061" w:type="dxa"/>
            <w:gridSpan w:val="2"/>
          </w:tcPr>
          <w:p w14:paraId="42BB3A08"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Kvėpavimo sistemos, krūtinės ląstos ir tarpuplaučio sutrikimai</w:t>
            </w:r>
          </w:p>
        </w:tc>
      </w:tr>
      <w:tr w:rsidR="00112208" w:rsidRPr="00C249C9" w14:paraId="0AD2A815" w14:textId="77777777" w:rsidTr="00412D1E">
        <w:tc>
          <w:tcPr>
            <w:tcW w:w="5483" w:type="dxa"/>
          </w:tcPr>
          <w:p w14:paraId="6A76B034"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Intersticinė plaučių liga</w:t>
            </w:r>
            <w:r w:rsidRPr="00C249C9">
              <w:rPr>
                <w:rFonts w:eastAsia="TimesNewRoman,Bold" w:cs="Times New Roman"/>
                <w:szCs w:val="22"/>
                <w:vertAlign w:val="superscript"/>
                <w:lang w:val="lt-LT" w:eastAsia="en-US"/>
              </w:rPr>
              <w:t>*</w:t>
            </w:r>
          </w:p>
        </w:tc>
        <w:tc>
          <w:tcPr>
            <w:tcW w:w="3578" w:type="dxa"/>
          </w:tcPr>
          <w:p w14:paraId="6652A00B"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262089DF" w14:textId="77777777" w:rsidTr="00412D1E">
        <w:tc>
          <w:tcPr>
            <w:tcW w:w="9061" w:type="dxa"/>
            <w:gridSpan w:val="2"/>
          </w:tcPr>
          <w:p w14:paraId="4E86D830"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Virškinimo trakto sutrikimai</w:t>
            </w:r>
          </w:p>
        </w:tc>
      </w:tr>
      <w:tr w:rsidR="00112208" w:rsidRPr="00C249C9" w14:paraId="251FD5D5" w14:textId="77777777" w:rsidTr="00412D1E">
        <w:tc>
          <w:tcPr>
            <w:tcW w:w="5483" w:type="dxa"/>
          </w:tcPr>
          <w:p w14:paraId="49560115"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Vidurių užkietėjimas</w:t>
            </w:r>
          </w:p>
        </w:tc>
        <w:tc>
          <w:tcPr>
            <w:tcW w:w="3578" w:type="dxa"/>
          </w:tcPr>
          <w:p w14:paraId="03747101"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Nedažni</w:t>
            </w:r>
          </w:p>
        </w:tc>
      </w:tr>
      <w:tr w:rsidR="00112208" w:rsidRPr="00C249C9" w14:paraId="66AE97C5" w14:textId="77777777" w:rsidTr="00412D1E">
        <w:tc>
          <w:tcPr>
            <w:tcW w:w="5483" w:type="dxa"/>
          </w:tcPr>
          <w:p w14:paraId="515B1522"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Vėmimas</w:t>
            </w:r>
            <w:r w:rsidRPr="00C249C9">
              <w:rPr>
                <w:rFonts w:eastAsia="TimesNewRoman,Bold" w:cs="Times New Roman"/>
                <w:szCs w:val="22"/>
                <w:vertAlign w:val="superscript"/>
                <w:lang w:val="lt-LT" w:eastAsia="en-US"/>
              </w:rPr>
              <w:t>*</w:t>
            </w:r>
          </w:p>
        </w:tc>
        <w:tc>
          <w:tcPr>
            <w:tcW w:w="3578" w:type="dxa"/>
          </w:tcPr>
          <w:p w14:paraId="2E46A181"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55CBE02E" w14:textId="77777777" w:rsidTr="00412D1E">
        <w:tc>
          <w:tcPr>
            <w:tcW w:w="5483" w:type="dxa"/>
          </w:tcPr>
          <w:p w14:paraId="53014C76"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Ūminis pankreatitas</w:t>
            </w:r>
            <w:r w:rsidRPr="00C249C9">
              <w:rPr>
                <w:rFonts w:eastAsia="TimesNewRoman,Bold" w:cs="Times New Roman"/>
                <w:szCs w:val="22"/>
                <w:vertAlign w:val="superscript"/>
                <w:lang w:val="lt-LT" w:eastAsia="en-US"/>
              </w:rPr>
              <w:t>*,</w:t>
            </w:r>
            <w:r w:rsidRPr="00C249C9">
              <w:rPr>
                <w:rFonts w:eastAsia="TimesNewRoman,Bold" w:cs="Times New Roman"/>
                <w:b/>
                <w:bCs/>
                <w:szCs w:val="22"/>
                <w:vertAlign w:val="superscript"/>
                <w:lang w:val="lt-LT" w:eastAsia="en-US"/>
              </w:rPr>
              <w:t>†</w:t>
            </w:r>
            <w:r w:rsidRPr="00C249C9">
              <w:rPr>
                <w:rFonts w:eastAsia="TimesNewRoman,Bold" w:cs="Times New Roman"/>
                <w:szCs w:val="22"/>
                <w:vertAlign w:val="superscript"/>
                <w:lang w:val="lt-LT" w:eastAsia="en-US"/>
              </w:rPr>
              <w:t>,‡</w:t>
            </w:r>
          </w:p>
        </w:tc>
        <w:tc>
          <w:tcPr>
            <w:tcW w:w="3578" w:type="dxa"/>
          </w:tcPr>
          <w:p w14:paraId="73DF3A48"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3BE53785" w14:textId="77777777" w:rsidTr="00412D1E">
        <w:tc>
          <w:tcPr>
            <w:tcW w:w="5483" w:type="dxa"/>
          </w:tcPr>
          <w:p w14:paraId="096420A7"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lastRenderedPageBreak/>
              <w:t>Mirtinas ar nemirtinas hemoraginis ar nekrotizuojantis pankreatitas*,</w:t>
            </w:r>
            <w:r w:rsidRPr="00C249C9">
              <w:rPr>
                <w:rFonts w:eastAsia="TimesNewRoman,Bold" w:cs="Times New Roman"/>
                <w:b/>
                <w:bCs/>
                <w:szCs w:val="22"/>
                <w:lang w:val="lt-LT" w:eastAsia="en-US"/>
              </w:rPr>
              <w:t>†</w:t>
            </w:r>
          </w:p>
        </w:tc>
        <w:tc>
          <w:tcPr>
            <w:tcW w:w="3578" w:type="dxa"/>
          </w:tcPr>
          <w:p w14:paraId="61455546"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1D138925" w14:textId="77777777" w:rsidTr="00412D1E">
        <w:tc>
          <w:tcPr>
            <w:tcW w:w="9061" w:type="dxa"/>
            <w:gridSpan w:val="2"/>
          </w:tcPr>
          <w:p w14:paraId="638FC208"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Odos ir poodinio audinio sutrikimai</w:t>
            </w:r>
          </w:p>
        </w:tc>
      </w:tr>
      <w:tr w:rsidR="00112208" w:rsidRPr="00C249C9" w14:paraId="15CB1BD2" w14:textId="77777777" w:rsidTr="00412D1E">
        <w:tc>
          <w:tcPr>
            <w:tcW w:w="5483" w:type="dxa"/>
          </w:tcPr>
          <w:p w14:paraId="11811AEC"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Niež</w:t>
            </w:r>
            <w:r>
              <w:rPr>
                <w:rFonts w:eastAsia="TimesNewRoman,Bold" w:cs="Times New Roman"/>
                <w:szCs w:val="22"/>
                <w:lang w:val="lt-LT" w:eastAsia="en-US"/>
              </w:rPr>
              <w:t>ėjimas</w:t>
            </w:r>
            <w:r w:rsidRPr="00C249C9">
              <w:rPr>
                <w:rFonts w:eastAsia="TimesNewRoman,Bold" w:cs="Times New Roman"/>
                <w:szCs w:val="22"/>
                <w:vertAlign w:val="superscript"/>
                <w:lang w:val="lt-LT" w:eastAsia="en-US"/>
              </w:rPr>
              <w:t>*</w:t>
            </w:r>
          </w:p>
        </w:tc>
        <w:tc>
          <w:tcPr>
            <w:tcW w:w="3578" w:type="dxa"/>
          </w:tcPr>
          <w:p w14:paraId="20F29858"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Nedažni</w:t>
            </w:r>
          </w:p>
        </w:tc>
      </w:tr>
      <w:tr w:rsidR="00112208" w:rsidRPr="00C249C9" w14:paraId="780965D6" w14:textId="77777777" w:rsidTr="00412D1E">
        <w:tc>
          <w:tcPr>
            <w:tcW w:w="5483" w:type="dxa"/>
          </w:tcPr>
          <w:p w14:paraId="2BF71571"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Angioneurozinė edema</w:t>
            </w:r>
            <w:r w:rsidRPr="00C249C9">
              <w:rPr>
                <w:rFonts w:eastAsia="TimesNewRoman,Bold" w:cs="Times New Roman"/>
                <w:szCs w:val="22"/>
                <w:vertAlign w:val="superscript"/>
                <w:lang w:val="lt-LT" w:eastAsia="en-US"/>
              </w:rPr>
              <w:t>*,</w:t>
            </w:r>
            <w:r w:rsidRPr="00C249C9">
              <w:rPr>
                <w:rFonts w:eastAsia="TimesNewRoman,Bold" w:cs="Times New Roman"/>
                <w:b/>
                <w:bCs/>
                <w:szCs w:val="22"/>
                <w:vertAlign w:val="superscript"/>
                <w:lang w:val="lt-LT" w:eastAsia="en-US"/>
              </w:rPr>
              <w:t>†</w:t>
            </w:r>
          </w:p>
        </w:tc>
        <w:tc>
          <w:tcPr>
            <w:tcW w:w="3578" w:type="dxa"/>
          </w:tcPr>
          <w:p w14:paraId="40FE54D6"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54971726" w14:textId="77777777" w:rsidTr="00412D1E">
        <w:tc>
          <w:tcPr>
            <w:tcW w:w="5483" w:type="dxa"/>
          </w:tcPr>
          <w:p w14:paraId="1B94C99E"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Išbėrimas</w:t>
            </w:r>
            <w:r w:rsidRPr="00C249C9">
              <w:rPr>
                <w:rFonts w:eastAsia="TimesNewRoman,Bold" w:cs="Times New Roman"/>
                <w:szCs w:val="22"/>
                <w:vertAlign w:val="superscript"/>
                <w:lang w:val="lt-LT" w:eastAsia="en-US"/>
              </w:rPr>
              <w:t>*,</w:t>
            </w:r>
            <w:r w:rsidRPr="00C249C9">
              <w:rPr>
                <w:rFonts w:eastAsia="TimesNewRoman,Bold" w:cs="Times New Roman"/>
                <w:b/>
                <w:bCs/>
                <w:szCs w:val="22"/>
                <w:vertAlign w:val="superscript"/>
                <w:lang w:val="lt-LT" w:eastAsia="en-US"/>
              </w:rPr>
              <w:t xml:space="preserve">† </w:t>
            </w:r>
          </w:p>
        </w:tc>
        <w:tc>
          <w:tcPr>
            <w:tcW w:w="3578" w:type="dxa"/>
          </w:tcPr>
          <w:p w14:paraId="36076414"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434769B8" w14:textId="77777777" w:rsidTr="00412D1E">
        <w:tc>
          <w:tcPr>
            <w:tcW w:w="5483" w:type="dxa"/>
          </w:tcPr>
          <w:p w14:paraId="435FFC5F"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Dilgėlinė</w:t>
            </w:r>
            <w:r w:rsidRPr="00C249C9">
              <w:rPr>
                <w:rFonts w:eastAsia="TimesNewRoman,Bold" w:cs="Times New Roman"/>
                <w:szCs w:val="22"/>
                <w:vertAlign w:val="superscript"/>
                <w:lang w:val="lt-LT" w:eastAsia="en-US"/>
              </w:rPr>
              <w:t>*,</w:t>
            </w:r>
            <w:r w:rsidRPr="00C249C9">
              <w:rPr>
                <w:rFonts w:eastAsia="TimesNewRoman,Bold" w:cs="Times New Roman"/>
                <w:b/>
                <w:bCs/>
                <w:szCs w:val="22"/>
                <w:vertAlign w:val="superscript"/>
                <w:lang w:val="lt-LT" w:eastAsia="en-US"/>
              </w:rPr>
              <w:t>†</w:t>
            </w:r>
          </w:p>
        </w:tc>
        <w:tc>
          <w:tcPr>
            <w:tcW w:w="3578" w:type="dxa"/>
          </w:tcPr>
          <w:p w14:paraId="5461B41C"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578372A0" w14:textId="77777777" w:rsidTr="00412D1E">
        <w:tc>
          <w:tcPr>
            <w:tcW w:w="5483" w:type="dxa"/>
          </w:tcPr>
          <w:p w14:paraId="25AF7FA1"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Vaskulitas odoje</w:t>
            </w:r>
            <w:r w:rsidRPr="00C249C9">
              <w:rPr>
                <w:rFonts w:eastAsia="TimesNewRoman,Bold" w:cs="Times New Roman"/>
                <w:szCs w:val="22"/>
                <w:vertAlign w:val="superscript"/>
                <w:lang w:val="lt-LT" w:eastAsia="en-US"/>
              </w:rPr>
              <w:t>*,</w:t>
            </w:r>
            <w:r w:rsidRPr="00C249C9">
              <w:rPr>
                <w:rFonts w:eastAsia="TimesNewRoman,Bold" w:cs="Times New Roman"/>
                <w:b/>
                <w:bCs/>
                <w:szCs w:val="22"/>
                <w:vertAlign w:val="superscript"/>
                <w:lang w:val="lt-LT" w:eastAsia="en-US"/>
              </w:rPr>
              <w:t xml:space="preserve">† </w:t>
            </w:r>
          </w:p>
        </w:tc>
        <w:tc>
          <w:tcPr>
            <w:tcW w:w="3578" w:type="dxa"/>
          </w:tcPr>
          <w:p w14:paraId="58BFF76A"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7B8F5B90" w14:textId="77777777" w:rsidTr="00412D1E">
        <w:tc>
          <w:tcPr>
            <w:tcW w:w="5483" w:type="dxa"/>
          </w:tcPr>
          <w:p w14:paraId="68D14B26"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 xml:space="preserve">Eksfoliacinės odos būklės, tarp jų </w:t>
            </w:r>
            <w:r w:rsidRPr="00C249C9">
              <w:rPr>
                <w:rFonts w:eastAsia="TimesNewRoman,Italic" w:cs="Times New Roman"/>
                <w:i/>
                <w:iCs/>
                <w:szCs w:val="22"/>
                <w:lang w:val="lt-LT" w:eastAsia="en-US"/>
              </w:rPr>
              <w:t xml:space="preserve">Stevens-Johnson </w:t>
            </w:r>
            <w:r w:rsidRPr="00C249C9">
              <w:rPr>
                <w:rFonts w:eastAsia="TimesNewRoman,Bold" w:cs="Times New Roman"/>
                <w:szCs w:val="22"/>
                <w:lang w:val="lt-LT" w:eastAsia="en-US"/>
              </w:rPr>
              <w:t>sindromas</w:t>
            </w:r>
            <w:r w:rsidRPr="00C249C9">
              <w:rPr>
                <w:rFonts w:eastAsia="TimesNewRoman,Bold" w:cs="Times New Roman"/>
                <w:szCs w:val="22"/>
                <w:vertAlign w:val="superscript"/>
                <w:lang w:val="lt-LT" w:eastAsia="en-US"/>
              </w:rPr>
              <w:t>*,</w:t>
            </w:r>
            <w:r w:rsidRPr="00C249C9">
              <w:rPr>
                <w:rFonts w:eastAsia="TimesNewRoman,Bold" w:cs="Times New Roman"/>
                <w:b/>
                <w:bCs/>
                <w:szCs w:val="22"/>
                <w:vertAlign w:val="superscript"/>
                <w:lang w:val="lt-LT" w:eastAsia="en-US"/>
              </w:rPr>
              <w:t xml:space="preserve">† </w:t>
            </w:r>
          </w:p>
        </w:tc>
        <w:tc>
          <w:tcPr>
            <w:tcW w:w="3578" w:type="dxa"/>
          </w:tcPr>
          <w:p w14:paraId="403CE7A4"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2BC3B635" w14:textId="77777777" w:rsidTr="00412D1E">
        <w:tc>
          <w:tcPr>
            <w:tcW w:w="5483" w:type="dxa"/>
          </w:tcPr>
          <w:p w14:paraId="45B88D1C"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Pūslinis pemfigoidas</w:t>
            </w:r>
            <w:r w:rsidRPr="00C249C9">
              <w:rPr>
                <w:rFonts w:eastAsia="TimesNewRoman,Bold" w:cs="Times New Roman"/>
                <w:szCs w:val="22"/>
                <w:vertAlign w:val="superscript"/>
                <w:lang w:val="lt-LT" w:eastAsia="en-US"/>
              </w:rPr>
              <w:t xml:space="preserve">* </w:t>
            </w:r>
          </w:p>
        </w:tc>
        <w:tc>
          <w:tcPr>
            <w:tcW w:w="3578" w:type="dxa"/>
          </w:tcPr>
          <w:p w14:paraId="540A574B"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2A805E23" w14:textId="77777777" w:rsidTr="00412D1E">
        <w:tc>
          <w:tcPr>
            <w:tcW w:w="9061" w:type="dxa"/>
            <w:gridSpan w:val="2"/>
          </w:tcPr>
          <w:p w14:paraId="0E31E08E"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Skeleto, raumenų ir jungiamojo audinio sutrikimai</w:t>
            </w:r>
          </w:p>
        </w:tc>
      </w:tr>
      <w:tr w:rsidR="00112208" w:rsidRPr="00C249C9" w14:paraId="473C5B3A" w14:textId="77777777" w:rsidTr="00412D1E">
        <w:tc>
          <w:tcPr>
            <w:tcW w:w="5483" w:type="dxa"/>
          </w:tcPr>
          <w:p w14:paraId="19A8212F"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Artralgija</w:t>
            </w:r>
            <w:r w:rsidRPr="00C249C9">
              <w:rPr>
                <w:rFonts w:eastAsia="TimesNewRoman,Bold" w:cs="Times New Roman"/>
                <w:szCs w:val="22"/>
                <w:vertAlign w:val="superscript"/>
                <w:lang w:val="lt-LT" w:eastAsia="en-US"/>
              </w:rPr>
              <w:t xml:space="preserve">* </w:t>
            </w:r>
          </w:p>
        </w:tc>
        <w:tc>
          <w:tcPr>
            <w:tcW w:w="3578" w:type="dxa"/>
          </w:tcPr>
          <w:p w14:paraId="620DD1F4"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61FBB337" w14:textId="77777777" w:rsidTr="00412D1E">
        <w:tc>
          <w:tcPr>
            <w:tcW w:w="5483" w:type="dxa"/>
          </w:tcPr>
          <w:p w14:paraId="718494E3"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Mialgija</w:t>
            </w:r>
            <w:r w:rsidRPr="00C249C9">
              <w:rPr>
                <w:rFonts w:eastAsia="TimesNewRoman,Bold" w:cs="Times New Roman"/>
                <w:szCs w:val="22"/>
                <w:vertAlign w:val="superscript"/>
                <w:lang w:val="lt-LT" w:eastAsia="en-US"/>
              </w:rPr>
              <w:t xml:space="preserve">* </w:t>
            </w:r>
          </w:p>
        </w:tc>
        <w:tc>
          <w:tcPr>
            <w:tcW w:w="3578" w:type="dxa"/>
          </w:tcPr>
          <w:p w14:paraId="0650B9FC"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2C0C5B2F" w14:textId="77777777" w:rsidTr="00412D1E">
        <w:tc>
          <w:tcPr>
            <w:tcW w:w="5483" w:type="dxa"/>
          </w:tcPr>
          <w:p w14:paraId="10172771"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Nugaros skausmas</w:t>
            </w:r>
            <w:r w:rsidRPr="00C249C9">
              <w:rPr>
                <w:rFonts w:eastAsia="TimesNewRoman,Bold" w:cs="Times New Roman"/>
                <w:szCs w:val="22"/>
                <w:vertAlign w:val="superscript"/>
                <w:lang w:val="lt-LT" w:eastAsia="en-US"/>
              </w:rPr>
              <w:t xml:space="preserve">* </w:t>
            </w:r>
          </w:p>
        </w:tc>
        <w:tc>
          <w:tcPr>
            <w:tcW w:w="3578" w:type="dxa"/>
          </w:tcPr>
          <w:p w14:paraId="6350C116"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0811C3D0" w14:textId="77777777" w:rsidTr="00412D1E">
        <w:tc>
          <w:tcPr>
            <w:tcW w:w="5483" w:type="dxa"/>
          </w:tcPr>
          <w:p w14:paraId="7112ED04"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Artropatija</w:t>
            </w:r>
            <w:r w:rsidRPr="00C249C9">
              <w:rPr>
                <w:rFonts w:eastAsia="TimesNewRoman,Bold" w:cs="Times New Roman"/>
                <w:szCs w:val="22"/>
                <w:vertAlign w:val="superscript"/>
                <w:lang w:val="lt-LT" w:eastAsia="en-US"/>
              </w:rPr>
              <w:t xml:space="preserve">* </w:t>
            </w:r>
          </w:p>
        </w:tc>
        <w:tc>
          <w:tcPr>
            <w:tcW w:w="3578" w:type="dxa"/>
          </w:tcPr>
          <w:p w14:paraId="7E1BB593"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6DF2E470" w14:textId="77777777" w:rsidTr="00412D1E">
        <w:tc>
          <w:tcPr>
            <w:tcW w:w="9061" w:type="dxa"/>
            <w:gridSpan w:val="2"/>
          </w:tcPr>
          <w:p w14:paraId="2C91BC55"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b/>
                <w:bCs/>
                <w:szCs w:val="22"/>
                <w:lang w:val="lt-LT" w:eastAsia="en-US"/>
              </w:rPr>
              <w:t>Inkstų ir šlapimo takų sutrikimai</w:t>
            </w:r>
          </w:p>
        </w:tc>
      </w:tr>
      <w:tr w:rsidR="00112208" w:rsidRPr="00C249C9" w14:paraId="06917DBB" w14:textId="77777777" w:rsidTr="00412D1E">
        <w:tc>
          <w:tcPr>
            <w:tcW w:w="5483" w:type="dxa"/>
          </w:tcPr>
          <w:p w14:paraId="1A329B8B"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Pažeista inkstų veikla</w:t>
            </w:r>
            <w:r w:rsidRPr="00C249C9">
              <w:rPr>
                <w:rFonts w:eastAsia="TimesNewRoman,Bold" w:cs="Times New Roman"/>
                <w:szCs w:val="22"/>
                <w:vertAlign w:val="superscript"/>
                <w:lang w:val="lt-LT" w:eastAsia="en-US"/>
              </w:rPr>
              <w:t>*</w:t>
            </w:r>
            <w:r w:rsidRPr="00C249C9">
              <w:rPr>
                <w:rFonts w:eastAsia="TimesNewRoman,Bold" w:cs="Times New Roman"/>
                <w:szCs w:val="22"/>
                <w:lang w:val="lt-LT" w:eastAsia="en-US"/>
              </w:rPr>
              <w:t xml:space="preserve"> </w:t>
            </w:r>
          </w:p>
        </w:tc>
        <w:tc>
          <w:tcPr>
            <w:tcW w:w="3578" w:type="dxa"/>
          </w:tcPr>
          <w:p w14:paraId="2285EAE8"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r w:rsidR="00112208" w:rsidRPr="00C249C9" w14:paraId="3FD6C723" w14:textId="77777777" w:rsidTr="00412D1E">
        <w:tc>
          <w:tcPr>
            <w:tcW w:w="5483" w:type="dxa"/>
          </w:tcPr>
          <w:p w14:paraId="1691324C" w14:textId="77777777" w:rsidR="00112208" w:rsidRPr="00C249C9" w:rsidRDefault="00112208" w:rsidP="00412D1E">
            <w:pPr>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Ūminis inkstų nepakankamumas</w:t>
            </w:r>
            <w:r w:rsidRPr="00C249C9">
              <w:rPr>
                <w:rFonts w:eastAsia="TimesNewRoman,Bold" w:cs="Times New Roman"/>
                <w:szCs w:val="22"/>
                <w:vertAlign w:val="superscript"/>
                <w:lang w:val="lt-LT" w:eastAsia="en-US"/>
              </w:rPr>
              <w:t xml:space="preserve">* </w:t>
            </w:r>
          </w:p>
        </w:tc>
        <w:tc>
          <w:tcPr>
            <w:tcW w:w="3578" w:type="dxa"/>
          </w:tcPr>
          <w:p w14:paraId="5B434C66" w14:textId="77777777" w:rsidR="00112208" w:rsidRPr="00C249C9" w:rsidRDefault="00112208" w:rsidP="00412D1E">
            <w:pPr>
              <w:tabs>
                <w:tab w:val="left" w:pos="567"/>
              </w:tabs>
              <w:autoSpaceDE w:val="0"/>
              <w:autoSpaceDN w:val="0"/>
              <w:adjustRightInd w:val="0"/>
              <w:rPr>
                <w:rFonts w:eastAsia="Times New Roman" w:cs="Times New Roman"/>
                <w:szCs w:val="22"/>
                <w:u w:val="single"/>
                <w:lang w:val="lt-LT" w:eastAsia="lt-LT" w:bidi="lt-LT"/>
              </w:rPr>
            </w:pPr>
            <w:r w:rsidRPr="00C249C9">
              <w:rPr>
                <w:rFonts w:eastAsia="TimesNewRoman,Bold" w:cs="Times New Roman"/>
                <w:szCs w:val="22"/>
                <w:lang w:val="lt-LT" w:eastAsia="en-US"/>
              </w:rPr>
              <w:t>Dažnis nežinomas</w:t>
            </w:r>
          </w:p>
        </w:tc>
      </w:tr>
    </w:tbl>
    <w:p w14:paraId="2DA25AA4" w14:textId="77777777" w:rsidR="00112208" w:rsidRPr="00C249C9" w:rsidRDefault="00112208" w:rsidP="00112208">
      <w:pPr>
        <w:autoSpaceDE w:val="0"/>
        <w:autoSpaceDN w:val="0"/>
        <w:adjustRightInd w:val="0"/>
        <w:rPr>
          <w:rFonts w:eastAsia="TimesNewRoman,Bold" w:cs="Times New Roman"/>
          <w:sz w:val="22"/>
          <w:szCs w:val="22"/>
          <w:lang w:val="lt-LT" w:eastAsia="en-US"/>
        </w:rPr>
      </w:pPr>
    </w:p>
    <w:p w14:paraId="487BFFA6"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vertAlign w:val="superscript"/>
          <w:lang w:val="lt-LT" w:eastAsia="en-US"/>
        </w:rPr>
        <w:t>*</w:t>
      </w:r>
      <w:r w:rsidRPr="00C249C9">
        <w:rPr>
          <w:rFonts w:eastAsia="TimesNewRoman,Bold" w:cs="Times New Roman"/>
          <w:sz w:val="22"/>
          <w:szCs w:val="22"/>
          <w:lang w:val="lt-LT" w:eastAsia="en-US"/>
        </w:rPr>
        <w:t xml:space="preserve"> Nepageidaujamos reakcijos buvo pastebėtos vaistą pateikus į rinką.</w:t>
      </w:r>
    </w:p>
    <w:p w14:paraId="580B5460" w14:textId="77777777" w:rsidR="00112208" w:rsidRPr="00C249C9" w:rsidRDefault="00112208" w:rsidP="00112208">
      <w:pPr>
        <w:autoSpaceDE w:val="0"/>
        <w:autoSpaceDN w:val="0"/>
        <w:adjustRightInd w:val="0"/>
        <w:rPr>
          <w:rFonts w:eastAsia="TimesNewRoman,Bold" w:cs="Times New Roman"/>
          <w:b/>
          <w:bCs/>
          <w:sz w:val="22"/>
          <w:szCs w:val="22"/>
          <w:lang w:val="lt-LT" w:eastAsia="en-US"/>
        </w:rPr>
      </w:pPr>
      <w:r w:rsidRPr="00C249C9">
        <w:rPr>
          <w:rFonts w:eastAsia="TimesNewRoman,Bold" w:cs="Times New Roman"/>
          <w:sz w:val="22"/>
          <w:szCs w:val="22"/>
          <w:vertAlign w:val="superscript"/>
          <w:lang w:val="lt-LT" w:eastAsia="en-US"/>
        </w:rPr>
        <w:t>†</w:t>
      </w:r>
      <w:r w:rsidRPr="00C249C9">
        <w:rPr>
          <w:rFonts w:eastAsia="TimesNewRoman,Bold" w:cs="Times New Roman"/>
          <w:sz w:val="22"/>
          <w:szCs w:val="22"/>
          <w:lang w:val="lt-LT" w:eastAsia="en-US"/>
        </w:rPr>
        <w:t xml:space="preserve"> </w:t>
      </w:r>
      <w:r w:rsidRPr="00C249C9">
        <w:rPr>
          <w:rFonts w:eastAsia="TimesNewRoman,Bold" w:cs="Times New Roman"/>
          <w:bCs/>
          <w:sz w:val="22"/>
          <w:szCs w:val="22"/>
          <w:lang w:val="lt-LT" w:eastAsia="en-US"/>
        </w:rPr>
        <w:t>žr. 4.4 skyrių.</w:t>
      </w:r>
    </w:p>
    <w:p w14:paraId="45B0D53F"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Bold" w:cs="Times New Roman"/>
          <w:sz w:val="22"/>
          <w:szCs w:val="22"/>
          <w:vertAlign w:val="superscript"/>
          <w:lang w:val="lt-LT" w:eastAsia="en-US"/>
        </w:rPr>
        <w:t xml:space="preserve">‡ </w:t>
      </w:r>
      <w:r w:rsidRPr="00C249C9">
        <w:rPr>
          <w:rFonts w:eastAsia="TimesNewRoman,Bold" w:cs="Times New Roman"/>
          <w:sz w:val="22"/>
          <w:szCs w:val="22"/>
          <w:lang w:val="lt-LT" w:eastAsia="en-US"/>
        </w:rPr>
        <w:t xml:space="preserve">žiūrėkite žemiau sk. </w:t>
      </w:r>
      <w:r w:rsidRPr="00C249C9">
        <w:rPr>
          <w:rFonts w:eastAsia="TimesNewRoman,Italic" w:cs="Times New Roman"/>
          <w:i/>
          <w:iCs/>
          <w:sz w:val="22"/>
          <w:szCs w:val="22"/>
          <w:lang w:val="lt-LT" w:eastAsia="en-US"/>
        </w:rPr>
        <w:t>TECOS Širdies ir kraujagyslių saugumo tyrimas.</w:t>
      </w:r>
    </w:p>
    <w:p w14:paraId="2BF19AB8" w14:textId="77777777" w:rsidR="00112208" w:rsidRPr="00C249C9" w:rsidRDefault="00112208" w:rsidP="00112208">
      <w:pPr>
        <w:autoSpaceDE w:val="0"/>
        <w:autoSpaceDN w:val="0"/>
        <w:adjustRightInd w:val="0"/>
        <w:rPr>
          <w:rFonts w:eastAsia="TimesNewRoman,Bold" w:cs="Times New Roman"/>
          <w:sz w:val="22"/>
          <w:szCs w:val="22"/>
          <w:u w:val="single"/>
          <w:lang w:val="lt-LT" w:eastAsia="en-US"/>
        </w:rPr>
      </w:pPr>
    </w:p>
    <w:p w14:paraId="6EC94D99" w14:textId="77777777" w:rsidR="00112208" w:rsidRPr="00C249C9" w:rsidRDefault="00112208" w:rsidP="00112208">
      <w:pPr>
        <w:autoSpaceDE w:val="0"/>
        <w:autoSpaceDN w:val="0"/>
        <w:adjustRightInd w:val="0"/>
        <w:rPr>
          <w:rFonts w:eastAsia="TimesNewRoman,Bold" w:cs="Times New Roman"/>
          <w:sz w:val="22"/>
          <w:szCs w:val="22"/>
          <w:u w:val="single"/>
          <w:lang w:val="lt-LT" w:eastAsia="en-US"/>
        </w:rPr>
      </w:pPr>
      <w:r w:rsidRPr="00C249C9">
        <w:rPr>
          <w:rFonts w:eastAsia="TimesNewRoman,Bold" w:cs="Times New Roman"/>
          <w:sz w:val="22"/>
          <w:szCs w:val="22"/>
          <w:u w:val="single"/>
          <w:lang w:val="lt-LT" w:eastAsia="en-US"/>
        </w:rPr>
        <w:t>Atrinktų nepageidaujamų reakcijų apibūdinimas</w:t>
      </w:r>
    </w:p>
    <w:p w14:paraId="3BB2CEBC" w14:textId="77777777" w:rsidR="00112208" w:rsidRPr="00C249C9" w:rsidRDefault="00112208" w:rsidP="00112208">
      <w:pPr>
        <w:autoSpaceDE w:val="0"/>
        <w:autoSpaceDN w:val="0"/>
        <w:adjustRightInd w:val="0"/>
        <w:rPr>
          <w:rFonts w:eastAsia="TimesNewRoman,Bold" w:cs="Times New Roman"/>
          <w:sz w:val="22"/>
          <w:szCs w:val="22"/>
          <w:lang w:val="lt-LT" w:eastAsia="en-US"/>
        </w:rPr>
      </w:pPr>
    </w:p>
    <w:p w14:paraId="55B1C85B"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lang w:val="lt-LT" w:eastAsia="en-US"/>
        </w:rPr>
        <w:t xml:space="preserve">Be aukščiau aprašytų nepageidaujamų </w:t>
      </w:r>
      <w:r>
        <w:rPr>
          <w:rFonts w:eastAsia="TimesNewRoman,Bold" w:cs="Times New Roman"/>
          <w:sz w:val="22"/>
          <w:szCs w:val="22"/>
          <w:lang w:val="lt-LT" w:eastAsia="en-US"/>
        </w:rPr>
        <w:t>reakcijų į vaistą, mažiausiai 5 </w:t>
      </w:r>
      <w:r w:rsidRPr="00C249C9">
        <w:rPr>
          <w:rFonts w:eastAsia="TimesNewRoman,Bold" w:cs="Times New Roman"/>
          <w:sz w:val="22"/>
          <w:szCs w:val="22"/>
          <w:lang w:val="lt-LT" w:eastAsia="en-US"/>
        </w:rPr>
        <w:t xml:space="preserve">% ir daugiau sitagliptinu gydytų pacientų pastebėti nepageidaujami reiškiniai, nepaisant priežastinio ryšio su vaisto vartojimu, buvo viršutinių kvėpavimo takų infekcija ir nazofaringitas. </w:t>
      </w:r>
    </w:p>
    <w:p w14:paraId="20601E88" w14:textId="77777777" w:rsidR="00112208" w:rsidRPr="00C249C9" w:rsidRDefault="00112208" w:rsidP="00112208">
      <w:pPr>
        <w:autoSpaceDE w:val="0"/>
        <w:autoSpaceDN w:val="0"/>
        <w:adjustRightInd w:val="0"/>
        <w:rPr>
          <w:rFonts w:eastAsia="TimesNewRoman,Bold" w:cs="Times New Roman"/>
          <w:sz w:val="22"/>
          <w:szCs w:val="22"/>
          <w:lang w:val="lt-LT" w:eastAsia="en-US"/>
        </w:rPr>
      </w:pPr>
    </w:p>
    <w:p w14:paraId="22800839"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lang w:val="lt-LT" w:eastAsia="en-US"/>
        </w:rPr>
        <w:t>Papildomi nepageidaujami reiškiniai, nepaisant priežastinio ryšio su vaisto vartojimu, kurie dažniau pasireiškė sitagliptinu gydytiems pacient</w:t>
      </w:r>
      <w:r>
        <w:rPr>
          <w:rFonts w:eastAsia="TimesNewRoman,Bold" w:cs="Times New Roman"/>
          <w:sz w:val="22"/>
          <w:szCs w:val="22"/>
          <w:lang w:val="lt-LT" w:eastAsia="en-US"/>
        </w:rPr>
        <w:t>ams (nesiekė 5 </w:t>
      </w:r>
      <w:r w:rsidRPr="00C249C9">
        <w:rPr>
          <w:rFonts w:eastAsia="TimesNewRoman,Bold" w:cs="Times New Roman"/>
          <w:sz w:val="22"/>
          <w:szCs w:val="22"/>
          <w:lang w:val="lt-LT" w:eastAsia="en-US"/>
        </w:rPr>
        <w:t>%, tač</w:t>
      </w:r>
      <w:r>
        <w:rPr>
          <w:rFonts w:eastAsia="TimesNewRoman,Bold" w:cs="Times New Roman"/>
          <w:sz w:val="22"/>
          <w:szCs w:val="22"/>
          <w:lang w:val="lt-LT" w:eastAsia="en-US"/>
        </w:rPr>
        <w:t>iau pasireiškė daugiau kaip 0,5 </w:t>
      </w:r>
      <w:r w:rsidRPr="00C249C9">
        <w:rPr>
          <w:rFonts w:eastAsia="TimesNewRoman,Bold" w:cs="Times New Roman"/>
          <w:sz w:val="22"/>
          <w:szCs w:val="22"/>
          <w:lang w:val="lt-LT" w:eastAsia="en-US"/>
        </w:rPr>
        <w:t>% didesniu dažniu sitagliptino grupėje, nei kontrolinėje grupėje), buvo osteoartritas ir galūnių skausmas.</w:t>
      </w:r>
    </w:p>
    <w:p w14:paraId="24C82AC1" w14:textId="77777777" w:rsidR="00112208" w:rsidRPr="00C249C9" w:rsidRDefault="00112208" w:rsidP="00112208">
      <w:pPr>
        <w:autoSpaceDE w:val="0"/>
        <w:autoSpaceDN w:val="0"/>
        <w:adjustRightInd w:val="0"/>
        <w:rPr>
          <w:rFonts w:cs="Times New Roman"/>
          <w:sz w:val="22"/>
          <w:szCs w:val="22"/>
          <w:lang w:val="lt-LT" w:eastAsia="en-US"/>
        </w:rPr>
      </w:pPr>
    </w:p>
    <w:p w14:paraId="2E1D02D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Kai kurios nepageidaujamos reakcijos dažniau buvo stebėtos sitagliptino derinių su kitais vaistiniais preparatais nuo cukrinio diabeto klinikinių tyrimų metu, nei sitagliptino monoterapijos tyrimų metu. Tai buvo hipoglikemija (labai dažna vartojant su sulfonilurėjos dariniu ir metforminu), gripas (dažnas vartojant kartu su insulinu (kartu su metforminu arba be jo)), pykinimas ir vėmimas (dažnas vartojant kartu su metforminu), vidurių pūtimas (dažnas vartojant kartu su metforminu arba pioglitazonu), vidurių užkietėjimas (dažnas vartojant kartu su sulfonilurėjos ir metformino deriniu), periferinė edema (dažna vartojant kartu su pioglitazonu arba pioglitazono ir metformino deriniu), mieguistumas ir viduriavimas (nedažni vartojant kartu su metforminu) bei burnos džiūvimas (nedažni vartojant kartu su insulinu (kartu su arba be metformino)).</w:t>
      </w:r>
    </w:p>
    <w:p w14:paraId="2A03761C" w14:textId="77777777" w:rsidR="00112208" w:rsidRDefault="00112208" w:rsidP="00112208">
      <w:pPr>
        <w:autoSpaceDE w:val="0"/>
        <w:autoSpaceDN w:val="0"/>
        <w:adjustRightInd w:val="0"/>
        <w:rPr>
          <w:rFonts w:eastAsia="TimesNewRoman,Italic" w:cs="Times New Roman"/>
          <w:sz w:val="22"/>
          <w:szCs w:val="22"/>
          <w:lang w:val="lt-LT" w:eastAsia="en-US"/>
        </w:rPr>
      </w:pPr>
    </w:p>
    <w:p w14:paraId="61D6CEE3" w14:textId="77777777" w:rsidR="00112208" w:rsidRPr="00E938BE" w:rsidRDefault="00112208" w:rsidP="00112208">
      <w:pPr>
        <w:autoSpaceDE w:val="0"/>
        <w:autoSpaceDN w:val="0"/>
        <w:adjustRightInd w:val="0"/>
        <w:rPr>
          <w:rFonts w:eastAsia="TimesNewRoman,Italic" w:cs="Times New Roman"/>
          <w:sz w:val="22"/>
          <w:szCs w:val="22"/>
          <w:u w:val="single"/>
          <w:lang w:val="lt-LT" w:eastAsia="en-US"/>
        </w:rPr>
      </w:pPr>
      <w:r w:rsidRPr="00E938BE">
        <w:rPr>
          <w:rFonts w:eastAsia="TimesNewRoman,Italic" w:cs="Times New Roman"/>
          <w:sz w:val="22"/>
          <w:szCs w:val="22"/>
          <w:u w:val="single"/>
          <w:lang w:val="lt-LT" w:eastAsia="en-US"/>
        </w:rPr>
        <w:t>Vaikų populiacija</w:t>
      </w:r>
    </w:p>
    <w:p w14:paraId="08CBB595" w14:textId="77777777" w:rsidR="00112208" w:rsidRDefault="00112208" w:rsidP="00112208">
      <w:pPr>
        <w:autoSpaceDE w:val="0"/>
        <w:autoSpaceDN w:val="0"/>
        <w:adjustRightInd w:val="0"/>
        <w:rPr>
          <w:rFonts w:eastAsia="TimesNewRoman,Italic" w:cs="Times New Roman"/>
          <w:sz w:val="22"/>
          <w:szCs w:val="22"/>
          <w:lang w:val="lt-LT" w:eastAsia="en-US"/>
        </w:rPr>
      </w:pPr>
      <w:r w:rsidRPr="00E938BE">
        <w:rPr>
          <w:rFonts w:eastAsia="TimesNewRoman,Italic" w:cs="Times New Roman"/>
          <w:sz w:val="22"/>
          <w:szCs w:val="22"/>
          <w:lang w:val="lt-LT" w:eastAsia="en-US"/>
        </w:rPr>
        <w:t>Sitagliptino klinikinių tyrimų su 2 tipo cukriniu diabetu sergančiais vaikais nuo 10 iki 17 metų</w:t>
      </w:r>
      <w:r>
        <w:rPr>
          <w:rFonts w:eastAsia="TimesNewRoman,Italic" w:cs="Times New Roman"/>
          <w:sz w:val="22"/>
          <w:szCs w:val="22"/>
          <w:lang w:val="lt-LT" w:eastAsia="en-US"/>
        </w:rPr>
        <w:t xml:space="preserve"> </w:t>
      </w:r>
      <w:r w:rsidRPr="00E938BE">
        <w:rPr>
          <w:rFonts w:eastAsia="TimesNewRoman,Italic" w:cs="Times New Roman"/>
          <w:sz w:val="22"/>
          <w:szCs w:val="22"/>
          <w:lang w:val="lt-LT" w:eastAsia="en-US"/>
        </w:rPr>
        <w:t>duomenimis, nepageidaujamų reakcijų pobūdis buvo panašus į nustatytąjį suaugusiesiems.</w:t>
      </w:r>
    </w:p>
    <w:p w14:paraId="0A01C3D0" w14:textId="77777777" w:rsidR="00112208" w:rsidRPr="00E938BE" w:rsidRDefault="00112208" w:rsidP="00112208">
      <w:pPr>
        <w:autoSpaceDE w:val="0"/>
        <w:autoSpaceDN w:val="0"/>
        <w:adjustRightInd w:val="0"/>
        <w:rPr>
          <w:rFonts w:eastAsia="TimesNewRoman,Italic" w:cs="Times New Roman"/>
          <w:sz w:val="22"/>
          <w:szCs w:val="22"/>
          <w:lang w:val="lt-LT" w:eastAsia="en-US"/>
        </w:rPr>
      </w:pPr>
    </w:p>
    <w:p w14:paraId="00C1BC43" w14:textId="77777777" w:rsidR="00112208" w:rsidRPr="00C249C9" w:rsidRDefault="00112208" w:rsidP="00112208">
      <w:pPr>
        <w:autoSpaceDE w:val="0"/>
        <w:autoSpaceDN w:val="0"/>
        <w:adjustRightInd w:val="0"/>
        <w:rPr>
          <w:rFonts w:eastAsia="TimesNewRoman,Italic" w:cs="Times New Roman"/>
          <w:i/>
          <w:iCs/>
          <w:sz w:val="22"/>
          <w:szCs w:val="22"/>
          <w:u w:val="single"/>
          <w:lang w:val="lt-LT" w:eastAsia="en-US"/>
        </w:rPr>
      </w:pPr>
      <w:r w:rsidRPr="00C249C9">
        <w:rPr>
          <w:rFonts w:eastAsia="TimesNewRoman,Italic" w:cs="Times New Roman"/>
          <w:i/>
          <w:iCs/>
          <w:sz w:val="22"/>
          <w:szCs w:val="22"/>
          <w:u w:val="single"/>
          <w:lang w:val="lt-LT" w:eastAsia="en-US"/>
        </w:rPr>
        <w:t>TECOS širdies ir kraujagyslių saugumo tyrimas</w:t>
      </w:r>
    </w:p>
    <w:p w14:paraId="2360049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Į Širdies ir kraujagyslių baigčių vartojant sitagliptino vertinimo tyrimo (angl. </w:t>
      </w:r>
      <w:r w:rsidRPr="00C249C9">
        <w:rPr>
          <w:rFonts w:eastAsia="TimesNewRoman,Italic" w:cs="Times New Roman"/>
          <w:i/>
          <w:iCs/>
          <w:sz w:val="22"/>
          <w:szCs w:val="22"/>
          <w:lang w:val="lt-LT" w:eastAsia="en-US"/>
        </w:rPr>
        <w:t>Trial Evaluating Cardiovascular Outcomes with Sitagliptin (TECOS)</w:t>
      </w:r>
      <w:r w:rsidRPr="00C249C9">
        <w:rPr>
          <w:rFonts w:cs="Times New Roman"/>
          <w:sz w:val="22"/>
          <w:szCs w:val="22"/>
          <w:lang w:val="lt-LT" w:eastAsia="en-US"/>
        </w:rPr>
        <w:t>) ketinimo gydyti populiaciją įtraukti 7332 pacientai buvo gydomi sitagliptino 100 mg per parą (arba 50 mg per parą, jeigu pradinis GFG buvo ≥ 30 ir &lt;50 ml/min/1,73 m</w:t>
      </w:r>
      <w:r w:rsidRPr="00C249C9">
        <w:rPr>
          <w:rFonts w:cs="Times New Roman"/>
          <w:sz w:val="22"/>
          <w:szCs w:val="22"/>
          <w:vertAlign w:val="superscript"/>
          <w:lang w:val="lt-LT" w:eastAsia="en-US"/>
        </w:rPr>
        <w:t>2</w:t>
      </w:r>
      <w:r w:rsidRPr="00C249C9">
        <w:rPr>
          <w:rFonts w:cs="Times New Roman"/>
          <w:sz w:val="22"/>
          <w:szCs w:val="22"/>
          <w:lang w:val="lt-LT" w:eastAsia="en-US"/>
        </w:rPr>
        <w:t xml:space="preserve"> kūno paviršiaus ploto) doze, o 7339 pacientai vartojo placebo. Abu </w:t>
      </w:r>
      <w:r w:rsidRPr="00C249C9">
        <w:rPr>
          <w:rFonts w:cs="Times New Roman"/>
          <w:sz w:val="22"/>
          <w:szCs w:val="22"/>
          <w:lang w:val="lt-LT" w:eastAsia="en-US"/>
        </w:rPr>
        <w:lastRenderedPageBreak/>
        <w:t>preparatai buvo paskirti papildomai prie įprastos priežiūros, vykdytos pagal regioninius HbA</w:t>
      </w:r>
      <w:r w:rsidRPr="00C249C9">
        <w:rPr>
          <w:rFonts w:cs="Times New Roman"/>
          <w:sz w:val="22"/>
          <w:szCs w:val="22"/>
          <w:vertAlign w:val="subscript"/>
          <w:lang w:val="lt-LT" w:eastAsia="en-US"/>
        </w:rPr>
        <w:t>1c</w:t>
      </w:r>
      <w:r w:rsidRPr="00C249C9">
        <w:rPr>
          <w:rFonts w:cs="Times New Roman"/>
          <w:sz w:val="22"/>
          <w:szCs w:val="22"/>
          <w:lang w:val="lt-LT" w:eastAsia="en-US"/>
        </w:rPr>
        <w:t xml:space="preserve"> ir širdies ir kraujagyslių (ŠK) ligų rizikos veiksnių kontrolės standartus. </w:t>
      </w:r>
    </w:p>
    <w:p w14:paraId="359C31A7"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Bendrasis sunkių nepageidaujamų reiškinių dažnis sitagliptino ir placebo vartojusiems pacientams buvo panašus.</w:t>
      </w:r>
    </w:p>
    <w:p w14:paraId="4429A620" w14:textId="77777777" w:rsidR="00112208" w:rsidRPr="00C249C9" w:rsidRDefault="00112208" w:rsidP="00112208">
      <w:pPr>
        <w:autoSpaceDE w:val="0"/>
        <w:autoSpaceDN w:val="0"/>
        <w:adjustRightInd w:val="0"/>
        <w:rPr>
          <w:rFonts w:cs="Times New Roman"/>
          <w:sz w:val="22"/>
          <w:szCs w:val="22"/>
          <w:lang w:val="lt-LT" w:eastAsia="en-US"/>
        </w:rPr>
      </w:pPr>
    </w:p>
    <w:p w14:paraId="0CD702AE" w14:textId="77777777" w:rsidR="00112208" w:rsidRPr="00C249C9" w:rsidRDefault="00112208" w:rsidP="00112208">
      <w:pPr>
        <w:autoSpaceDE w:val="0"/>
        <w:autoSpaceDN w:val="0"/>
        <w:adjustRightInd w:val="0"/>
        <w:rPr>
          <w:rFonts w:eastAsia="Times New Roman" w:cs="Times New Roman"/>
          <w:sz w:val="22"/>
          <w:szCs w:val="22"/>
          <w:u w:val="single"/>
          <w:lang w:val="lt-LT" w:eastAsia="lt-LT" w:bidi="lt-LT"/>
        </w:rPr>
      </w:pPr>
      <w:r w:rsidRPr="00C249C9">
        <w:rPr>
          <w:rFonts w:cs="Times New Roman"/>
          <w:sz w:val="22"/>
          <w:szCs w:val="22"/>
          <w:lang w:val="lt-LT" w:eastAsia="en-US"/>
        </w:rPr>
        <w:t>Ketinimo gydyti populiacijoje tarp pacientų, kurie prieš pradedant tyrimą jau buvo gydomi insulino ir (arba) sulfonilurėjos preparatu, sunkios hipoglikemijos dažnis sitagliptinu g</w:t>
      </w:r>
      <w:r>
        <w:rPr>
          <w:rFonts w:cs="Times New Roman"/>
          <w:sz w:val="22"/>
          <w:szCs w:val="22"/>
          <w:lang w:val="lt-LT" w:eastAsia="en-US"/>
        </w:rPr>
        <w:t>ydytų pacientų grupėje buvo 2,7 %, o placebą vartojusių - 2,5 </w:t>
      </w:r>
      <w:r w:rsidRPr="00C249C9">
        <w:rPr>
          <w:rFonts w:cs="Times New Roman"/>
          <w:sz w:val="22"/>
          <w:szCs w:val="22"/>
          <w:lang w:val="lt-LT" w:eastAsia="en-US"/>
        </w:rPr>
        <w:t>%; tarp pacientų, kurie prieš pradedant tyrimą nevartojo insulino ir (arba) sulfonilurėjos preparato, sunkios hipoglikemijos dažnis sitagliptinu g</w:t>
      </w:r>
      <w:r>
        <w:rPr>
          <w:rFonts w:cs="Times New Roman"/>
          <w:sz w:val="22"/>
          <w:szCs w:val="22"/>
          <w:lang w:val="lt-LT" w:eastAsia="en-US"/>
        </w:rPr>
        <w:t>ydytų pacientų grupėje buvo 1,0 %, o placebą vartojusių - 0,7 </w:t>
      </w:r>
      <w:r w:rsidRPr="00C249C9">
        <w:rPr>
          <w:rFonts w:cs="Times New Roman"/>
          <w:sz w:val="22"/>
          <w:szCs w:val="22"/>
          <w:lang w:val="lt-LT" w:eastAsia="en-US"/>
        </w:rPr>
        <w:t>%. Patvirtinto pankreatito reiškinių dažnis sitagliptinu gydytų pacientų grupėje buvo 0,3</w:t>
      </w:r>
      <w:r>
        <w:rPr>
          <w:rFonts w:cs="Times New Roman"/>
          <w:sz w:val="22"/>
          <w:szCs w:val="22"/>
          <w:lang w:val="lt-LT" w:eastAsia="en-US"/>
        </w:rPr>
        <w:t> </w:t>
      </w:r>
      <w:r w:rsidRPr="00C249C9">
        <w:rPr>
          <w:rFonts w:cs="Times New Roman"/>
          <w:sz w:val="22"/>
          <w:szCs w:val="22"/>
          <w:lang w:val="lt-LT" w:eastAsia="en-US"/>
        </w:rPr>
        <w:t>%, o placebą vartojusių - 0,2</w:t>
      </w:r>
      <w:r>
        <w:rPr>
          <w:rFonts w:cs="Times New Roman"/>
          <w:sz w:val="22"/>
          <w:szCs w:val="22"/>
          <w:lang w:val="lt-LT" w:eastAsia="en-US"/>
        </w:rPr>
        <w:t> </w:t>
      </w:r>
      <w:r w:rsidRPr="00C249C9">
        <w:rPr>
          <w:rFonts w:cs="Times New Roman"/>
          <w:sz w:val="22"/>
          <w:szCs w:val="22"/>
          <w:lang w:val="lt-LT" w:eastAsia="en-US"/>
        </w:rPr>
        <w:t>%.</w:t>
      </w:r>
    </w:p>
    <w:p w14:paraId="2F8E73A7" w14:textId="77777777" w:rsidR="00112208" w:rsidRPr="00C249C9" w:rsidRDefault="00112208" w:rsidP="00112208">
      <w:pPr>
        <w:tabs>
          <w:tab w:val="left" w:pos="567"/>
        </w:tabs>
        <w:autoSpaceDE w:val="0"/>
        <w:autoSpaceDN w:val="0"/>
        <w:adjustRightInd w:val="0"/>
        <w:rPr>
          <w:rFonts w:eastAsia="Times New Roman" w:cs="Times New Roman"/>
          <w:sz w:val="22"/>
          <w:szCs w:val="22"/>
          <w:u w:val="single"/>
          <w:lang w:val="lt-LT" w:eastAsia="lt-LT" w:bidi="lt-LT"/>
        </w:rPr>
      </w:pPr>
    </w:p>
    <w:p w14:paraId="06F7881E" w14:textId="77777777" w:rsidR="00112208" w:rsidRPr="00C249C9" w:rsidRDefault="00112208" w:rsidP="00112208">
      <w:pPr>
        <w:tabs>
          <w:tab w:val="left" w:pos="567"/>
        </w:tabs>
        <w:autoSpaceDE w:val="0"/>
        <w:autoSpaceDN w:val="0"/>
        <w:adjustRightInd w:val="0"/>
        <w:rPr>
          <w:rFonts w:eastAsia="Times New Roman" w:cs="Times New Roman"/>
          <w:sz w:val="22"/>
          <w:szCs w:val="22"/>
          <w:u w:val="single"/>
          <w:lang w:val="lt-LT" w:eastAsia="lt-LT" w:bidi="lt-LT"/>
        </w:rPr>
      </w:pPr>
      <w:r w:rsidRPr="00C249C9">
        <w:rPr>
          <w:rFonts w:eastAsia="Times New Roman" w:cs="Times New Roman"/>
          <w:sz w:val="22"/>
          <w:szCs w:val="22"/>
          <w:u w:val="single"/>
          <w:lang w:val="lt-LT" w:eastAsia="lt-LT" w:bidi="lt-LT"/>
        </w:rPr>
        <w:t>Pranešimas apie įtariamas nepageidaujamas reakcijas</w:t>
      </w:r>
    </w:p>
    <w:p w14:paraId="612D8E16" w14:textId="1B1FCF16" w:rsidR="00112208" w:rsidRPr="00C249C9" w:rsidRDefault="009E22CB" w:rsidP="00ED5B06">
      <w:pPr>
        <w:tabs>
          <w:tab w:val="left" w:pos="567"/>
        </w:tabs>
        <w:autoSpaceDE w:val="0"/>
        <w:autoSpaceDN w:val="0"/>
        <w:adjustRightInd w:val="0"/>
        <w:spacing w:line="260" w:lineRule="exact"/>
        <w:rPr>
          <w:rFonts w:eastAsia="Times New Roman" w:cs="Times New Roman"/>
          <w:noProof/>
          <w:snapToGrid w:val="0"/>
          <w:sz w:val="22"/>
          <w:szCs w:val="22"/>
          <w:lang w:val="lt-LT" w:eastAsia="en-US"/>
        </w:rPr>
      </w:pPr>
      <w:r w:rsidRPr="009E22CB">
        <w:rPr>
          <w:rFonts w:eastAsia="Times New Roman" w:cs="Times New Roman"/>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9E22CB">
        <w:rPr>
          <w:rFonts w:eastAsia="Times New Roman" w:cs="Times New Roman"/>
          <w:snapToGrid w:val="0"/>
          <w:sz w:val="22"/>
          <w:szCs w:val="24"/>
          <w:lang w:val="lt-LT" w:eastAsia="en-US"/>
        </w:rPr>
        <w:t xml:space="preserve"> </w:t>
      </w:r>
      <w:r w:rsidRPr="009E22CB">
        <w:rPr>
          <w:rFonts w:eastAsia="Times New Roman" w:cs="Times New Roman"/>
          <w:noProof/>
          <w:snapToGrid w:val="0"/>
          <w:sz w:val="22"/>
          <w:szCs w:val="24"/>
          <w:lang w:val="lt-LT"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9E22CB">
          <w:rPr>
            <w:rFonts w:eastAsia="Times New Roman" w:cs="Times New Roman"/>
            <w:noProof/>
            <w:snapToGrid w:val="0"/>
            <w:color w:val="0000FF"/>
            <w:sz w:val="22"/>
            <w:szCs w:val="24"/>
            <w:u w:val="single"/>
            <w:lang w:val="lt-LT" w:eastAsia="en-US"/>
          </w:rPr>
          <w:t>https://vapris.vvkt.lt/vvkt-web/public/nrvSpecialist</w:t>
        </w:r>
      </w:hyperlink>
      <w:r w:rsidRPr="009E22CB">
        <w:rPr>
          <w:rFonts w:eastAsia="Times New Roman" w:cs="Times New Roman"/>
          <w:noProof/>
          <w:snapToGrid w:val="0"/>
          <w:sz w:val="22"/>
          <w:szCs w:val="24"/>
          <w:lang w:val="lt-LT" w:eastAsia="en-US"/>
        </w:rPr>
        <w:t xml:space="preserve"> arba užpildę Sveikatos priežiūros ar farmacijos specialisto pranešimo apie įtariamą nepageidaujamą reakciją (ĮNR) formą, kuri skelbiama </w:t>
      </w:r>
      <w:hyperlink r:id="rId8" w:history="1">
        <w:r w:rsidRPr="009E22CB">
          <w:rPr>
            <w:rFonts w:eastAsia="Times New Roman" w:cs="Times New Roman"/>
            <w:noProof/>
            <w:snapToGrid w:val="0"/>
            <w:color w:val="0000FF"/>
            <w:sz w:val="22"/>
            <w:szCs w:val="24"/>
            <w:u w:val="single"/>
            <w:lang w:val="lt-LT" w:eastAsia="en-US"/>
          </w:rPr>
          <w:t>https://www.vvkt.lt/index.php?1399030386</w:t>
        </w:r>
      </w:hyperlink>
      <w:r w:rsidRPr="009E22CB">
        <w:rPr>
          <w:rFonts w:eastAsia="Times New Roman" w:cs="Times New Roman"/>
          <w:noProof/>
          <w:snapToGrid w:val="0"/>
          <w:sz w:val="22"/>
          <w:szCs w:val="24"/>
          <w:lang w:val="lt-LT" w:eastAsia="en-US"/>
        </w:rPr>
        <w:t>, ir atsiųsti elektroniniu paštu (adresu NepageidaujamaR@vvkt.lt).</w:t>
      </w:r>
    </w:p>
    <w:p w14:paraId="2BB0BBC2"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361FCC2E"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Perdozavimas</w:t>
      </w:r>
    </w:p>
    <w:p w14:paraId="7CE8DE38" w14:textId="77777777" w:rsidR="00112208" w:rsidRPr="00C249C9" w:rsidRDefault="00112208" w:rsidP="00112208">
      <w:pPr>
        <w:autoSpaceDE w:val="0"/>
        <w:autoSpaceDN w:val="0"/>
        <w:adjustRightInd w:val="0"/>
        <w:rPr>
          <w:rFonts w:cs="Times New Roman"/>
          <w:sz w:val="22"/>
          <w:szCs w:val="22"/>
          <w:lang w:val="lt-LT" w:eastAsia="en-US"/>
        </w:rPr>
      </w:pPr>
    </w:p>
    <w:p w14:paraId="0CA1FE90"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Simptomai</w:t>
      </w:r>
    </w:p>
    <w:p w14:paraId="3DAF834C" w14:textId="77777777" w:rsidR="00112208" w:rsidRPr="00C249C9" w:rsidRDefault="00112208" w:rsidP="00112208">
      <w:pPr>
        <w:autoSpaceDE w:val="0"/>
        <w:autoSpaceDN w:val="0"/>
        <w:adjustRightInd w:val="0"/>
        <w:rPr>
          <w:rFonts w:cs="Times New Roman"/>
          <w:sz w:val="22"/>
          <w:szCs w:val="22"/>
          <w:u w:val="single"/>
          <w:lang w:val="lt-LT" w:eastAsia="en-US"/>
        </w:rPr>
      </w:pPr>
    </w:p>
    <w:p w14:paraId="114CE22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Kontroliuojamų klinikinių tyrimų su sveikais asmenimis metu buvo skiriamos ne didesnės kaip 800 mg vienkartinės sitagliptino dozės. Vieno tyrimo metu 800 mg sitagliptino dozė minimaliai pailgino QTc intervalą, tačiau pailgėjimas nelaikomas reikšmingu klinikai. Didesnės kaip 800 mg dozės vartojimo patirties klinikinių tyrimų metu nėra. I fazės dauginių dozių tyrimų metu, vartojant ne didesnes kaip 600 mg per parą iki 10 dienų laikotarpiu ir 400 mg per parą iki 28 dienų laikotarpiu sitagliptino dozes, su doze susijusių nepageidaujamų reakcijų nenustatyta.</w:t>
      </w:r>
    </w:p>
    <w:p w14:paraId="4D8D19C8" w14:textId="77777777" w:rsidR="00112208" w:rsidRPr="00C249C9" w:rsidRDefault="00112208" w:rsidP="00112208">
      <w:pPr>
        <w:autoSpaceDE w:val="0"/>
        <w:autoSpaceDN w:val="0"/>
        <w:adjustRightInd w:val="0"/>
        <w:rPr>
          <w:rFonts w:cs="Times New Roman"/>
          <w:sz w:val="22"/>
          <w:szCs w:val="22"/>
          <w:lang w:val="lt-LT" w:eastAsia="en-US"/>
        </w:rPr>
      </w:pPr>
    </w:p>
    <w:p w14:paraId="3922F429"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Gydymas</w:t>
      </w:r>
    </w:p>
    <w:p w14:paraId="0CFD8EF5" w14:textId="77777777" w:rsidR="00112208" w:rsidRPr="00C249C9" w:rsidRDefault="00112208" w:rsidP="00112208">
      <w:pPr>
        <w:autoSpaceDE w:val="0"/>
        <w:autoSpaceDN w:val="0"/>
        <w:adjustRightInd w:val="0"/>
        <w:rPr>
          <w:rFonts w:cs="Times New Roman"/>
          <w:sz w:val="22"/>
          <w:szCs w:val="22"/>
          <w:u w:val="single"/>
          <w:lang w:val="lt-LT" w:eastAsia="en-US"/>
        </w:rPr>
      </w:pPr>
    </w:p>
    <w:p w14:paraId="7661FA1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Perdozavimo atveju reikia taikyti įprastines palaikomąsias priemones, pvz., neabsorbuoto vaistinio preparato šalinimą iš virškinimo trakto, klinikinės būklės stebėjimą (įskaitant EKG užrašymą) ir, jei reikia, palaikomąjį gydymą.</w:t>
      </w:r>
    </w:p>
    <w:p w14:paraId="27C4EB5A" w14:textId="77777777" w:rsidR="00112208" w:rsidRPr="00C249C9" w:rsidRDefault="00112208" w:rsidP="00112208">
      <w:pPr>
        <w:autoSpaceDE w:val="0"/>
        <w:autoSpaceDN w:val="0"/>
        <w:adjustRightInd w:val="0"/>
        <w:rPr>
          <w:rFonts w:cs="Times New Roman"/>
          <w:sz w:val="22"/>
          <w:szCs w:val="22"/>
          <w:lang w:val="lt-LT" w:eastAsia="en-US"/>
        </w:rPr>
      </w:pPr>
    </w:p>
    <w:p w14:paraId="488593D1"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sidRPr="00C249C9">
        <w:rPr>
          <w:rFonts w:cs="Times New Roman"/>
          <w:sz w:val="22"/>
          <w:szCs w:val="22"/>
          <w:lang w:val="lt-LT" w:eastAsia="en-US"/>
        </w:rPr>
        <w:t>Dializuojant sitagliptino iš organizmo pašalinama nedaug. Klinikinių tyrimų metu vienos 3 - 4 valandų trukmės hemodializės m</w:t>
      </w:r>
      <w:r>
        <w:rPr>
          <w:rFonts w:cs="Times New Roman"/>
          <w:sz w:val="22"/>
          <w:szCs w:val="22"/>
          <w:lang w:val="lt-LT" w:eastAsia="en-US"/>
        </w:rPr>
        <w:t>etu buvo pašalinta maždaug 13,5 </w:t>
      </w:r>
      <w:r w:rsidRPr="00C249C9">
        <w:rPr>
          <w:rFonts w:cs="Times New Roman"/>
          <w:sz w:val="22"/>
          <w:szCs w:val="22"/>
          <w:lang w:val="lt-LT" w:eastAsia="en-US"/>
        </w:rPr>
        <w:t>% dozės. Jei kliniškai tinka, hemodializę būtų galima prailginti. Ar sitagliptino galima pašalinti pilvaplėvės ertmės dialize, nežinoma.</w:t>
      </w:r>
    </w:p>
    <w:p w14:paraId="478494A3" w14:textId="77777777" w:rsidR="00112208" w:rsidRPr="00C249C9" w:rsidRDefault="00112208" w:rsidP="00112208">
      <w:pPr>
        <w:tabs>
          <w:tab w:val="left" w:pos="567"/>
        </w:tabs>
        <w:rPr>
          <w:rFonts w:eastAsia="Times New Roman" w:cs="Times New Roman"/>
          <w:sz w:val="22"/>
          <w:szCs w:val="22"/>
          <w:lang w:val="lt-LT" w:eastAsia="lt-LT" w:bidi="lt-LT"/>
        </w:rPr>
      </w:pPr>
    </w:p>
    <w:p w14:paraId="444717A4" w14:textId="77777777" w:rsidR="00112208" w:rsidRPr="00C249C9" w:rsidRDefault="00112208" w:rsidP="00112208">
      <w:pPr>
        <w:tabs>
          <w:tab w:val="left" w:pos="567"/>
        </w:tabs>
        <w:rPr>
          <w:rFonts w:eastAsia="Times New Roman" w:cs="Times New Roman"/>
          <w:sz w:val="22"/>
          <w:szCs w:val="22"/>
          <w:lang w:val="lt-LT" w:eastAsia="lt-LT" w:bidi="lt-LT"/>
        </w:rPr>
      </w:pPr>
    </w:p>
    <w:p w14:paraId="7662D407" w14:textId="77777777" w:rsidR="00112208" w:rsidRPr="00C249C9" w:rsidRDefault="00112208" w:rsidP="00112208">
      <w:pPr>
        <w:keepNext/>
        <w:numPr>
          <w:ilvl w:val="0"/>
          <w:numId w:val="3"/>
        </w:numPr>
        <w:tabs>
          <w:tab w:val="left" w:pos="567"/>
        </w:tabs>
        <w:suppressAutoHyphens/>
        <w:spacing w:line="260" w:lineRule="exact"/>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FARMAKOLOGINĖS SAVYBĖS</w:t>
      </w:r>
    </w:p>
    <w:p w14:paraId="486D0E7F" w14:textId="77777777" w:rsidR="00112208" w:rsidRPr="00C249C9" w:rsidRDefault="00112208" w:rsidP="00112208">
      <w:pPr>
        <w:keepNext/>
        <w:tabs>
          <w:tab w:val="left" w:pos="567"/>
        </w:tabs>
        <w:rPr>
          <w:rFonts w:eastAsia="Times New Roman" w:cs="Times New Roman"/>
          <w:sz w:val="22"/>
          <w:szCs w:val="22"/>
          <w:lang w:val="lt-LT" w:eastAsia="lt-LT" w:bidi="lt-LT"/>
        </w:rPr>
      </w:pPr>
    </w:p>
    <w:p w14:paraId="1AD20504"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Farmakodinaminės savybės</w:t>
      </w:r>
    </w:p>
    <w:p w14:paraId="06172CFE" w14:textId="77777777" w:rsidR="00112208" w:rsidRPr="00C249C9" w:rsidRDefault="00112208" w:rsidP="00112208">
      <w:pPr>
        <w:keepNext/>
        <w:tabs>
          <w:tab w:val="left" w:pos="567"/>
        </w:tabs>
        <w:rPr>
          <w:rFonts w:eastAsia="Times New Roman" w:cs="Times New Roman"/>
          <w:sz w:val="22"/>
          <w:szCs w:val="22"/>
          <w:lang w:val="lt-LT" w:eastAsia="lt-LT" w:bidi="lt-LT"/>
        </w:rPr>
      </w:pPr>
    </w:p>
    <w:p w14:paraId="4225CB2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Farmakoterapinė grupė – vaistai cukriniam diabetui gydyti, dipeptidilpeptidazės-4 (DPP-4) inhibitoriai, ATC kodas – A10BH01.</w:t>
      </w:r>
    </w:p>
    <w:p w14:paraId="3EEEE6C4" w14:textId="77777777" w:rsidR="00112208" w:rsidRPr="00C249C9" w:rsidRDefault="00112208" w:rsidP="00112208">
      <w:pPr>
        <w:autoSpaceDE w:val="0"/>
        <w:autoSpaceDN w:val="0"/>
        <w:adjustRightInd w:val="0"/>
        <w:rPr>
          <w:rFonts w:cs="Times New Roman"/>
          <w:sz w:val="22"/>
          <w:szCs w:val="22"/>
          <w:u w:val="single"/>
          <w:lang w:val="lt-LT" w:eastAsia="en-US"/>
        </w:rPr>
      </w:pPr>
    </w:p>
    <w:p w14:paraId="6E17BA01"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Veikimo mechanizmas</w:t>
      </w:r>
    </w:p>
    <w:p w14:paraId="1F47992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Sitagliptinas priklauso geriamųjų gliukozės koncentraciją kraujyje mažinančių vaistinių preparatų klasei, kuri vadinama dipeptidilpeptidazės-4 (DPP-4) inhibitoriais. Glikemijos kontrolės pagerėjimas vartojant šį vaistinį preparatą galėtų būti susijęs su aktyvių hormonų inkretinų kiekio padidėjimu. Inkretinų, įskaitant į gliukagoną panašų peptidą-1 (GPP-1) ir nuo gliukozės priklausantį insulinotropinį </w:t>
      </w:r>
      <w:r w:rsidRPr="00C249C9">
        <w:rPr>
          <w:rFonts w:cs="Times New Roman"/>
          <w:sz w:val="22"/>
          <w:szCs w:val="22"/>
          <w:lang w:val="lt-LT" w:eastAsia="en-US"/>
        </w:rPr>
        <w:lastRenderedPageBreak/>
        <w:t>polipeptidą (GIP), visą dieną išskiria žarnynas, o jų kiekis didėja dėl atsako į maistą. Inkretinai yra endogeninės sistemos, kurios dalyvauja fiziologiniame gliukozės homeostazės reguliavime, dalis. Kai gliukozės koncentracija kraujyje yra normali arba padidėjusi, GPP-1 ir GIP padidina insulino gamybą ir išskyrimą iš kasos beta ląstelių, intraląsteliniu signaliniu keliu, kuriame dalyvauja ciklinis AMF.</w:t>
      </w:r>
    </w:p>
    <w:p w14:paraId="18CBFA8A" w14:textId="77777777" w:rsidR="00112208" w:rsidRPr="00C249C9" w:rsidRDefault="00112208" w:rsidP="00112208">
      <w:pPr>
        <w:autoSpaceDE w:val="0"/>
        <w:autoSpaceDN w:val="0"/>
        <w:adjustRightInd w:val="0"/>
        <w:rPr>
          <w:rFonts w:cs="Times New Roman"/>
          <w:sz w:val="22"/>
          <w:szCs w:val="22"/>
          <w:lang w:val="lt-LT" w:eastAsia="en-US"/>
        </w:rPr>
      </w:pPr>
    </w:p>
    <w:p w14:paraId="64573388" w14:textId="77777777" w:rsidR="00112208" w:rsidRPr="00C249C9" w:rsidRDefault="00112208" w:rsidP="00112208">
      <w:pPr>
        <w:autoSpaceDE w:val="0"/>
        <w:autoSpaceDN w:val="0"/>
        <w:adjustRightInd w:val="0"/>
        <w:rPr>
          <w:rFonts w:cs="Times New Roman"/>
          <w:sz w:val="22"/>
          <w:szCs w:val="22"/>
          <w:lang w:val="lt-LT" w:eastAsia="en-US"/>
        </w:rPr>
      </w:pPr>
      <w:r>
        <w:rPr>
          <w:rFonts w:cs="Times New Roman"/>
          <w:sz w:val="22"/>
          <w:szCs w:val="22"/>
          <w:lang w:val="lt-LT" w:eastAsia="en-US"/>
        </w:rPr>
        <w:t>2 tipo</w:t>
      </w:r>
      <w:r w:rsidRPr="00C249C9">
        <w:rPr>
          <w:rFonts w:cs="Times New Roman"/>
          <w:sz w:val="22"/>
          <w:szCs w:val="22"/>
          <w:lang w:val="lt-LT" w:eastAsia="en-US"/>
        </w:rPr>
        <w:t xml:space="preserve"> cukrinio diabeto gydymas gyvūnų modeliuose panaudojant GPP-1 ar DPP-4 rodo, kad pagerėja beta ląstelių atsakas į gliukozę, stimuliuojama insulino gamyba ir išskyrimas. Esant didesnei insulino koncentracijai, padidėja gliukozės patekimas į audinius. Be to, GPP-1 sumažina gliukagono sekreciją iš kasos alfa-ląstelių. Dėl sumažėjusios gliukagono koncentracijos ir kartu padidėjusio insulino kiekio sumažėja gliukozės gamyba kepenyse, todėl sumažėja ir jos koncentracija kraujyje. GPP-1 ir GIP poveikis priklauso nuo gliukozės, todėl tuo atveju, kai jos koncentracija maža, GPP-1 sukeliamo insulino išsiskyrimo stimuliavimo ir gliukagono sekrecijos slopinimo, nepasireiškia. Kai gliukozės koncentracija tampa didesnė už normalią, sustiprėja tiek GPP-1, tiek GIP sukeliamas insulino sekrecijos stimuliavimas. Be to, GPP-1 netrikdo normalaus gliukagono atsako į hipoglikemiją. GPP-1 ir GIP aktyvumą riboja fermentas DPP-4, kuris hormonus inkretinus hidrolizės būdu greitai verčia neaktyviais produktais. Sitagliptinas neleidžia fermentui DPP-4 hidrolizuoti hormonus inkretinus, todėl kraujo plazmoje padidėja aktyvių GPP-1 ir GIP formų koncentracija. Didindamas aktyvių inkretinų kiekį, sitagliptinas didina insulino išskyrimą ir mažina gliukagono kiekį priklausomai nuo gliukozės koncentracijos. </w:t>
      </w:r>
      <w:r>
        <w:rPr>
          <w:rFonts w:cs="Times New Roman"/>
          <w:sz w:val="22"/>
          <w:szCs w:val="22"/>
          <w:lang w:val="lt-LT" w:eastAsia="en-US"/>
        </w:rPr>
        <w:t>2 tipo</w:t>
      </w:r>
      <w:r w:rsidRPr="00C249C9">
        <w:rPr>
          <w:rFonts w:cs="Times New Roman"/>
          <w:sz w:val="22"/>
          <w:szCs w:val="22"/>
          <w:lang w:val="lt-LT" w:eastAsia="en-US"/>
        </w:rPr>
        <w:t xml:space="preserve"> diabetu sergantiems pacientų  hiperglikemijos metu šie insulino ir gliukagono kiekių pokyčiai lemia hemoglobino A1c (HbA</w:t>
      </w:r>
      <w:r w:rsidRPr="00C249C9">
        <w:rPr>
          <w:rFonts w:cs="Times New Roman"/>
          <w:sz w:val="22"/>
          <w:szCs w:val="22"/>
          <w:vertAlign w:val="subscript"/>
          <w:lang w:val="lt-LT" w:eastAsia="en-US"/>
        </w:rPr>
        <w:t>1c</w:t>
      </w:r>
      <w:r w:rsidRPr="00C249C9">
        <w:rPr>
          <w:rFonts w:cs="Times New Roman"/>
          <w:sz w:val="22"/>
          <w:szCs w:val="22"/>
          <w:lang w:val="lt-LT" w:eastAsia="en-US"/>
        </w:rPr>
        <w:t xml:space="preserve">) bei gliukozės koncentracijos sumažėjimą nevalgius ir po valgio. Nuo gliukozės priklausomas sitagliptino veikimo mechanizmas skiriasi nuo sulfonilurėjos darinių, kurie didina insulino sekreciją, net ir tuo atveju, kai gliukozės koncentracija yra maža, todėl gali sukelti hipoglikemiją tiek sergantiems </w:t>
      </w:r>
      <w:r>
        <w:rPr>
          <w:rFonts w:cs="Times New Roman"/>
          <w:sz w:val="22"/>
          <w:szCs w:val="22"/>
          <w:lang w:val="lt-LT" w:eastAsia="en-US"/>
        </w:rPr>
        <w:t>2 tipo</w:t>
      </w:r>
      <w:r w:rsidRPr="00C249C9">
        <w:rPr>
          <w:rFonts w:cs="Times New Roman"/>
          <w:sz w:val="22"/>
          <w:szCs w:val="22"/>
          <w:lang w:val="lt-LT" w:eastAsia="en-US"/>
        </w:rPr>
        <w:t xml:space="preserve"> cukriniu diabetu, tiek sveikiems asmenims. Sitagliptinas yra stiprus ir labai selektyvus fermento DPP-4 inhibitorius ir į šį fermentą labai panašių DPP-8 bei DPP-9 fermentų jo terapinė koncentracija neslopina.</w:t>
      </w:r>
    </w:p>
    <w:p w14:paraId="0060D97A" w14:textId="77777777" w:rsidR="00112208" w:rsidRPr="00C249C9" w:rsidRDefault="00112208" w:rsidP="00112208">
      <w:pPr>
        <w:autoSpaceDE w:val="0"/>
        <w:autoSpaceDN w:val="0"/>
        <w:adjustRightInd w:val="0"/>
        <w:rPr>
          <w:rFonts w:cs="Times New Roman"/>
          <w:sz w:val="22"/>
          <w:szCs w:val="22"/>
          <w:lang w:val="lt-LT" w:eastAsia="en-US"/>
        </w:rPr>
      </w:pPr>
    </w:p>
    <w:p w14:paraId="1E83D47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Sveikų asmenų dviejų dienų trukmės tyrimo metu, vartojant vien sitagliptiną padidėjo aktyvaus GPP-1 koncentracija, tuo tarpu, vartojant vien metforminą, vienodu dydžiu padidėjo aktyvaus ir bendrojo GPP-1 koncentracijos. </w:t>
      </w:r>
    </w:p>
    <w:p w14:paraId="427ACD72" w14:textId="77777777" w:rsidR="00112208" w:rsidRPr="00C249C9" w:rsidRDefault="00112208" w:rsidP="00112208">
      <w:pPr>
        <w:autoSpaceDE w:val="0"/>
        <w:autoSpaceDN w:val="0"/>
        <w:adjustRightInd w:val="0"/>
        <w:rPr>
          <w:rFonts w:cs="Times New Roman"/>
          <w:sz w:val="22"/>
          <w:szCs w:val="22"/>
          <w:lang w:val="lt-LT" w:eastAsia="en-US"/>
        </w:rPr>
      </w:pPr>
    </w:p>
    <w:p w14:paraId="7C286C1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Sitagliptino vartojant kartu su metforminu, nustatytas papildomas poveikis aktyvaus GPP-1 koncentracijai. </w:t>
      </w:r>
    </w:p>
    <w:p w14:paraId="35C6F0B1" w14:textId="77777777" w:rsidR="00112208" w:rsidRPr="00C249C9" w:rsidRDefault="00112208" w:rsidP="00112208">
      <w:pPr>
        <w:autoSpaceDE w:val="0"/>
        <w:autoSpaceDN w:val="0"/>
        <w:adjustRightInd w:val="0"/>
        <w:rPr>
          <w:rFonts w:cs="Times New Roman"/>
          <w:sz w:val="22"/>
          <w:szCs w:val="22"/>
          <w:lang w:val="lt-LT" w:eastAsia="en-US"/>
        </w:rPr>
      </w:pPr>
    </w:p>
    <w:p w14:paraId="2C0C7D69"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Sitagliptinas, bet ne metforminas, padidino aktyvaus GIP koncentraciją.</w:t>
      </w:r>
    </w:p>
    <w:p w14:paraId="7633E714" w14:textId="77777777" w:rsidR="00112208" w:rsidRPr="00C249C9" w:rsidRDefault="00112208" w:rsidP="00112208">
      <w:pPr>
        <w:autoSpaceDE w:val="0"/>
        <w:autoSpaceDN w:val="0"/>
        <w:adjustRightInd w:val="0"/>
        <w:rPr>
          <w:rFonts w:cs="Times New Roman"/>
          <w:sz w:val="22"/>
          <w:szCs w:val="22"/>
          <w:lang w:val="lt-LT" w:eastAsia="en-US"/>
        </w:rPr>
      </w:pPr>
    </w:p>
    <w:p w14:paraId="4034E479"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Klinikinis veiksmingumas ir saugumas</w:t>
      </w:r>
    </w:p>
    <w:p w14:paraId="482DD9B0"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Apskritai</w:t>
      </w:r>
      <w:r>
        <w:rPr>
          <w:rFonts w:cs="Times New Roman"/>
          <w:sz w:val="22"/>
          <w:szCs w:val="22"/>
          <w:lang w:val="lt-LT" w:eastAsia="en-US"/>
        </w:rPr>
        <w:t>, 2 tipo diabetu sergantiems suaugusiems pacientams</w:t>
      </w:r>
      <w:r w:rsidRPr="00C249C9">
        <w:rPr>
          <w:rFonts w:cs="Times New Roman"/>
          <w:sz w:val="22"/>
          <w:szCs w:val="22"/>
          <w:lang w:val="lt-LT" w:eastAsia="en-US"/>
        </w:rPr>
        <w:t xml:space="preserve"> sitagliptinas pagerino glikemijos kontrolę tiek gydant vien sitagliptinu, tiek ir panaudojant derinius (žr. 2 lentelę).</w:t>
      </w:r>
    </w:p>
    <w:p w14:paraId="220505B6" w14:textId="77777777" w:rsidR="00112208" w:rsidRPr="00C249C9" w:rsidRDefault="00112208" w:rsidP="00112208">
      <w:pPr>
        <w:autoSpaceDE w:val="0"/>
        <w:autoSpaceDN w:val="0"/>
        <w:adjustRightInd w:val="0"/>
        <w:rPr>
          <w:rFonts w:cs="Times New Roman"/>
          <w:sz w:val="22"/>
          <w:szCs w:val="22"/>
          <w:lang w:val="lt-LT" w:eastAsia="en-US"/>
        </w:rPr>
      </w:pPr>
    </w:p>
    <w:p w14:paraId="35B8E99D"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Dviejų tyrimų metu buvo vertintas sitagliptino monoterapijos veiksmingumas ir saugumas. Dviejų tyrimų (vienas 18, kitas – 24 savaičių trukmės) metu vartojant vien kartą per parą 100 mg sitagliptino dozę, palyginti su placebu, reikšmingai pagerėjo HbA1c, gliukozės kiekio kraujo plazmoje nevalgius ir gliukozės kiekio kraujo plazmoje, praėjus 2 valandoms po valgio, rodmenys. Buvo stebimas reikšmingas pakaitinių beta ląstelių funkcijos žymenų, tarp jų ir HOMA-β </w:t>
      </w:r>
      <w:r w:rsidRPr="00C249C9">
        <w:rPr>
          <w:rFonts w:eastAsia="TimesNewRoman,Italic" w:cs="Times New Roman"/>
          <w:i/>
          <w:iCs/>
          <w:sz w:val="22"/>
          <w:szCs w:val="22"/>
          <w:lang w:val="lt-LT" w:eastAsia="en-US"/>
        </w:rPr>
        <w:t>(Homeostasis Model Assessment-β)</w:t>
      </w:r>
      <w:r w:rsidRPr="00C249C9">
        <w:rPr>
          <w:rFonts w:cs="Times New Roman"/>
          <w:sz w:val="22"/>
          <w:szCs w:val="22"/>
          <w:lang w:val="lt-LT" w:eastAsia="en-US"/>
        </w:rPr>
        <w:t xml:space="preserve">, proinsulino ir insulino santykio bei beta ląstelių reaktyvumo, nustatyto pagal dažnus maisto toleravimo testus, rodmenų pagerėjimas. </w:t>
      </w:r>
    </w:p>
    <w:p w14:paraId="11E7055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Sitagliptinu gydytiems pacientams hipoglikemijos dažnis buvo panašus į placebo sukeliamą dažnį. Abiejų tyrimų metu sitagliptino vartojusių pacientų kūno svoris nepadidėjo, o vartojusių placebo truputį sumažėjo.</w:t>
      </w:r>
    </w:p>
    <w:p w14:paraId="66C514F3" w14:textId="77777777" w:rsidR="00112208" w:rsidRPr="00C249C9" w:rsidRDefault="00112208" w:rsidP="00112208">
      <w:pPr>
        <w:autoSpaceDE w:val="0"/>
        <w:autoSpaceDN w:val="0"/>
        <w:adjustRightInd w:val="0"/>
        <w:rPr>
          <w:rFonts w:cs="Times New Roman"/>
          <w:sz w:val="22"/>
          <w:szCs w:val="22"/>
          <w:lang w:val="lt-LT" w:eastAsia="en-US"/>
        </w:rPr>
      </w:pPr>
    </w:p>
    <w:p w14:paraId="31C1A484"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Dviejų 24 savaičių trukmės klinikinio tyrimo metu vartojant papildomai sitagliptino vieną kartą per parą 100 mg doze kartu su metforminu (pirmas tyrimas) arba pioglitazonu (kitas tyrimas) glikemijos rodmenys buvo reikšmingai geresni palyginti su placebo. Kūno svorio pokyčiai, palyginti su pradiniu, sitagliptinu gydytų pacientų ir placebo grupėse buvo panašūs. Šio tyrimo metu hipoglikemijos epizodų dažnis sitagliptino ir placebo grupėse buvo panašus.</w:t>
      </w:r>
    </w:p>
    <w:p w14:paraId="6CD1278E" w14:textId="77777777" w:rsidR="00112208" w:rsidRPr="00C249C9" w:rsidRDefault="00112208" w:rsidP="00112208">
      <w:pPr>
        <w:autoSpaceDE w:val="0"/>
        <w:autoSpaceDN w:val="0"/>
        <w:adjustRightInd w:val="0"/>
        <w:rPr>
          <w:rFonts w:cs="Times New Roman"/>
          <w:sz w:val="22"/>
          <w:szCs w:val="22"/>
          <w:lang w:val="lt-LT" w:eastAsia="en-US"/>
        </w:rPr>
      </w:pPr>
    </w:p>
    <w:p w14:paraId="2EE756FE"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lastRenderedPageBreak/>
        <w:t>24 savaičių trukmės placebu kontroliuojamo tyrimo metu buvo vertintas sitagliptino (100 mg kartą per parą) veiksmingumas ir saugumas tuo atveju, kai juo buvo papildytas gydymas vien glimepiridu arba glimepirido ir metformino deriniu. Gydymą vien glimepiridu ar glimepirido ir metformino deriniu papildžius sitagliptinu, reikšmingai pagerėjo glikemijos parametrai. Sitagliptinu, palyginti su placebu, gydytiems pacientams saikingai padidėjo kūno svoris.</w:t>
      </w:r>
    </w:p>
    <w:p w14:paraId="7C011108" w14:textId="77777777" w:rsidR="00112208" w:rsidRPr="00C249C9" w:rsidRDefault="00112208" w:rsidP="00112208">
      <w:pPr>
        <w:autoSpaceDE w:val="0"/>
        <w:autoSpaceDN w:val="0"/>
        <w:adjustRightInd w:val="0"/>
        <w:rPr>
          <w:rFonts w:cs="Times New Roman"/>
          <w:sz w:val="22"/>
          <w:szCs w:val="22"/>
          <w:lang w:val="lt-LT" w:eastAsia="en-US"/>
        </w:rPr>
      </w:pPr>
    </w:p>
    <w:p w14:paraId="4FF75A0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26 savaičių trukmės placebu kontroliuotas klinikinis tyrimas buvo sudarytas siekiant įvertinti sitagliptino (vieną kartą per parą vartojamos 100 mg dozės) saugumą ir veiksmingumą, papildant juo gydymą pioglitazono ir metformino deriniu. Gydymo pioglitazono ir metformino deriniu papildymas sitagliptinu reikšmingai pagerino glikemijos parametrus. Sitagliptiną ir placebą vartojusių pacientų kūno masės pokytis nuo buvusios prieš pradedant tyrimą buvo panašus. Hipoglikemijos dažnis sitagliptiną ir placebą vartojusiems pacientams taip pat buvo panašus.</w:t>
      </w:r>
    </w:p>
    <w:p w14:paraId="5F460E78" w14:textId="77777777" w:rsidR="00112208" w:rsidRPr="00C249C9" w:rsidRDefault="00112208" w:rsidP="00112208">
      <w:pPr>
        <w:autoSpaceDE w:val="0"/>
        <w:autoSpaceDN w:val="0"/>
        <w:adjustRightInd w:val="0"/>
        <w:rPr>
          <w:rFonts w:cs="Times New Roman"/>
          <w:sz w:val="22"/>
          <w:szCs w:val="22"/>
          <w:lang w:val="lt-LT" w:eastAsia="en-US"/>
        </w:rPr>
      </w:pPr>
    </w:p>
    <w:p w14:paraId="1DA5ED7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24 savaičių trukmės placebu kontroliuojamas klinikinis tyrimas buvo sudarytas siekiant įvertinti sitagliptino (vien</w:t>
      </w:r>
      <w:r>
        <w:rPr>
          <w:rFonts w:cs="Times New Roman"/>
          <w:sz w:val="22"/>
          <w:szCs w:val="22"/>
          <w:lang w:val="lt-LT" w:eastAsia="en-US"/>
        </w:rPr>
        <w:t>ą kartą per parą vartojamos 100 </w:t>
      </w:r>
      <w:r w:rsidRPr="00C249C9">
        <w:rPr>
          <w:rFonts w:cs="Times New Roman"/>
          <w:sz w:val="22"/>
          <w:szCs w:val="22"/>
          <w:lang w:val="lt-LT" w:eastAsia="en-US"/>
        </w:rPr>
        <w:t>mg dozės) saugumą ir veiksmingumą, papildant juo gydymą insulinu (pastovia doze mažiausiai 10 savaičių) su metforminu arba be jo (mažiausiai 1500 mg). Pacientams, vartojusiems mišrų insuliną, vidutinė paros dozė buvo 70,9 vieneto per parą. Pacientams, vartojusiems ne mišrų insuliną (vidutinės veikimo trukmės arba ilgo veikimo), vidutinė paros doze buvo 44,3 vieneto per parą. Gydymo papildymas sitagliptinu lėmė reikšmingą glikemijos rodmenų pagerėjimą. Nė vienoje grupėje reikšmingų kūno masės pokyčių, lyginant su buvusia prieš pradedant tyrimą, nebuvo.</w:t>
      </w:r>
    </w:p>
    <w:p w14:paraId="01936F82" w14:textId="77777777" w:rsidR="00112208" w:rsidRPr="00C249C9" w:rsidRDefault="00112208" w:rsidP="00112208">
      <w:pPr>
        <w:autoSpaceDE w:val="0"/>
        <w:autoSpaceDN w:val="0"/>
        <w:adjustRightInd w:val="0"/>
        <w:rPr>
          <w:rFonts w:cs="Times New Roman"/>
          <w:sz w:val="22"/>
          <w:szCs w:val="22"/>
          <w:lang w:val="lt-LT" w:eastAsia="en-US"/>
        </w:rPr>
      </w:pPr>
    </w:p>
    <w:p w14:paraId="10298514"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24 savaičių trukmės placebu kontroliuojamo pradinio gydymo faktorialaus tyrimo metu pacientams, 2 kartus per parą vartojusiems 50 mg sitagliptino dozę kartu su metforminu (po 500 mg arba 1000  mg 2 kartus per parą), reikšmingai pagerėjo glikemijos parametrai, palyginti su taikyta monoterapija bet kuriuo iš minėtų vaistinių preparatų. Sitagliptino ir metformino deriniu gydytų pacientų kūno svorio sumažėjimas buvo panašus, kaip vartojusių vien metformino arba placebo. Tiriamųjų, vartojusių tik sitagliptino kūno svoris nepakito. Visų grupių tiriamiesiems hipoglikemijos dažnis buvo panašus.</w:t>
      </w:r>
    </w:p>
    <w:p w14:paraId="23E3023F" w14:textId="77777777" w:rsidR="00112208" w:rsidRPr="00C249C9" w:rsidRDefault="00112208" w:rsidP="00112208">
      <w:pPr>
        <w:tabs>
          <w:tab w:val="left" w:pos="567"/>
        </w:tabs>
        <w:rPr>
          <w:rFonts w:cs="Times New Roman"/>
          <w:sz w:val="22"/>
          <w:szCs w:val="22"/>
          <w:lang w:val="lt-LT" w:eastAsia="en-US"/>
        </w:rPr>
      </w:pPr>
    </w:p>
    <w:p w14:paraId="56D9EFC8" w14:textId="77777777" w:rsidR="00112208" w:rsidRPr="00C249C9" w:rsidRDefault="00112208" w:rsidP="00112208">
      <w:pPr>
        <w:autoSpaceDE w:val="0"/>
        <w:autoSpaceDN w:val="0"/>
        <w:adjustRightInd w:val="0"/>
        <w:rPr>
          <w:rFonts w:eastAsia="TimesNewRoman,Bold" w:cs="Times New Roman"/>
          <w:b/>
          <w:bCs/>
          <w:sz w:val="22"/>
          <w:szCs w:val="22"/>
          <w:lang w:val="lt-LT" w:eastAsia="en-US"/>
        </w:rPr>
      </w:pPr>
      <w:r w:rsidRPr="00C249C9">
        <w:rPr>
          <w:rFonts w:eastAsia="TimesNewRoman,Bold" w:cs="Times New Roman"/>
          <w:b/>
          <w:bCs/>
          <w:sz w:val="22"/>
          <w:szCs w:val="22"/>
          <w:lang w:val="lt-LT" w:eastAsia="en-US"/>
        </w:rPr>
        <w:t>2 lentelė. HbA1c kiekio pokyčiai placebu kontroliuojamų monoterapijos ir sudėtinio gydymo tyrimų metu*</w:t>
      </w:r>
    </w:p>
    <w:tbl>
      <w:tblPr>
        <w:tblStyle w:val="TableGrid"/>
        <w:tblW w:w="0" w:type="auto"/>
        <w:tblLook w:val="04A0" w:firstRow="1" w:lastRow="0" w:firstColumn="1" w:lastColumn="0" w:noHBand="0" w:noVBand="1"/>
      </w:tblPr>
      <w:tblGrid>
        <w:gridCol w:w="2597"/>
        <w:gridCol w:w="2073"/>
        <w:gridCol w:w="2123"/>
        <w:gridCol w:w="2268"/>
      </w:tblGrid>
      <w:tr w:rsidR="00112208" w:rsidRPr="00C249C9" w14:paraId="58303B5B" w14:textId="77777777" w:rsidTr="00412D1E">
        <w:tc>
          <w:tcPr>
            <w:tcW w:w="2660" w:type="dxa"/>
          </w:tcPr>
          <w:p w14:paraId="01D0B965"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b/>
                <w:bCs/>
                <w:szCs w:val="22"/>
                <w:lang w:val="lt-LT" w:eastAsia="en-US"/>
              </w:rPr>
              <w:t>Tyrimas</w:t>
            </w:r>
          </w:p>
        </w:tc>
        <w:tc>
          <w:tcPr>
            <w:tcW w:w="2126" w:type="dxa"/>
          </w:tcPr>
          <w:p w14:paraId="3F64F883"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b/>
                <w:bCs/>
                <w:szCs w:val="22"/>
                <w:lang w:val="lt-LT" w:eastAsia="en-US"/>
              </w:rPr>
              <w:t>Vidutinis pradinis HbA</w:t>
            </w:r>
            <w:r w:rsidRPr="00C249C9">
              <w:rPr>
                <w:rFonts w:eastAsia="TimesNewRoman,Bold" w:cs="Times New Roman"/>
                <w:b/>
                <w:bCs/>
                <w:szCs w:val="22"/>
                <w:vertAlign w:val="subscript"/>
                <w:lang w:val="lt-LT" w:eastAsia="en-US"/>
              </w:rPr>
              <w:t xml:space="preserve">1c </w:t>
            </w:r>
            <w:r w:rsidRPr="00C249C9">
              <w:rPr>
                <w:rFonts w:eastAsia="TimesNewRoman,Bold" w:cs="Times New Roman"/>
                <w:b/>
                <w:bCs/>
                <w:szCs w:val="22"/>
                <w:lang w:val="lt-LT" w:eastAsia="en-US"/>
              </w:rPr>
              <w:t>kiekis (%)</w:t>
            </w:r>
          </w:p>
        </w:tc>
        <w:tc>
          <w:tcPr>
            <w:tcW w:w="2179" w:type="dxa"/>
          </w:tcPr>
          <w:p w14:paraId="1F9E8280" w14:textId="77777777" w:rsidR="00112208" w:rsidRPr="00C249C9" w:rsidRDefault="00112208" w:rsidP="00412D1E">
            <w:pPr>
              <w:autoSpaceDE w:val="0"/>
              <w:autoSpaceDN w:val="0"/>
              <w:adjustRightInd w:val="0"/>
              <w:rPr>
                <w:rFonts w:eastAsia="TimesNewRoman,Bold" w:cs="Times New Roman"/>
                <w:b/>
                <w:bCs/>
                <w:szCs w:val="22"/>
                <w:lang w:val="lt-LT" w:eastAsia="en-US"/>
              </w:rPr>
            </w:pPr>
            <w:r w:rsidRPr="00C249C9">
              <w:rPr>
                <w:rFonts w:eastAsia="TimesNewRoman,Bold" w:cs="Times New Roman"/>
                <w:b/>
                <w:bCs/>
                <w:szCs w:val="22"/>
                <w:lang w:val="lt-LT" w:eastAsia="en-US"/>
              </w:rPr>
              <w:t>Vidutinis HbA1c</w:t>
            </w:r>
          </w:p>
          <w:p w14:paraId="1F0128DE"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b/>
                <w:bCs/>
                <w:szCs w:val="22"/>
                <w:lang w:val="lt-LT" w:eastAsia="en-US"/>
              </w:rPr>
              <w:t>kiekio (%) pokytis</w:t>
            </w:r>
            <w:r w:rsidRPr="00C249C9">
              <w:rPr>
                <w:rFonts w:eastAsia="TimesNewRoman,Bold" w:cs="Times New Roman"/>
                <w:szCs w:val="22"/>
                <w:vertAlign w:val="superscript"/>
                <w:lang w:val="lt-LT" w:eastAsia="en-US"/>
              </w:rPr>
              <w:t>†</w:t>
            </w:r>
            <w:r w:rsidRPr="00C249C9">
              <w:rPr>
                <w:rFonts w:eastAsia="TimesNewRoman,Bold" w:cs="Times New Roman"/>
                <w:b/>
                <w:bCs/>
                <w:szCs w:val="22"/>
                <w:lang w:val="lt-LT" w:eastAsia="en-US"/>
              </w:rPr>
              <w:t>, palyginti su pradiniu</w:t>
            </w:r>
          </w:p>
        </w:tc>
        <w:tc>
          <w:tcPr>
            <w:tcW w:w="2322" w:type="dxa"/>
          </w:tcPr>
          <w:p w14:paraId="0A898140"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b/>
                <w:bCs/>
                <w:szCs w:val="22"/>
                <w:lang w:val="lt-LT" w:eastAsia="en-US"/>
              </w:rPr>
              <w:t>Placebu koreguotas vidutinis HbA</w:t>
            </w:r>
            <w:r w:rsidRPr="00C249C9">
              <w:rPr>
                <w:rFonts w:eastAsia="TimesNewRoman,Bold" w:cs="Times New Roman"/>
                <w:b/>
                <w:bCs/>
                <w:szCs w:val="22"/>
                <w:vertAlign w:val="subscript"/>
                <w:lang w:val="lt-LT" w:eastAsia="en-US"/>
              </w:rPr>
              <w:t>1c</w:t>
            </w:r>
            <w:r w:rsidRPr="00C249C9">
              <w:rPr>
                <w:rFonts w:eastAsia="TimesNewRoman,Bold" w:cs="Times New Roman"/>
                <w:b/>
                <w:bCs/>
                <w:szCs w:val="22"/>
                <w:lang w:val="lt-LT" w:eastAsia="en-US"/>
              </w:rPr>
              <w:t xml:space="preserve"> kiekio (%) pokytis</w:t>
            </w:r>
            <w:r w:rsidRPr="00C249C9">
              <w:rPr>
                <w:rFonts w:eastAsia="TimesNewRoman,Bold" w:cs="Times New Roman"/>
                <w:szCs w:val="22"/>
                <w:vertAlign w:val="superscript"/>
                <w:lang w:val="lt-LT" w:eastAsia="en-US"/>
              </w:rPr>
              <w:t xml:space="preserve">† </w:t>
            </w:r>
            <w:r w:rsidRPr="00C249C9">
              <w:rPr>
                <w:rFonts w:eastAsia="TimesNewRoman,Bold" w:cs="Times New Roman"/>
                <w:b/>
                <w:bCs/>
                <w:szCs w:val="22"/>
                <w:lang w:val="lt-LT" w:eastAsia="en-US"/>
              </w:rPr>
              <w:t>(95% PI)</w:t>
            </w:r>
          </w:p>
        </w:tc>
      </w:tr>
      <w:tr w:rsidR="00112208" w:rsidRPr="00C249C9" w14:paraId="42CE6F44" w14:textId="77777777" w:rsidTr="00412D1E">
        <w:tc>
          <w:tcPr>
            <w:tcW w:w="9287" w:type="dxa"/>
            <w:gridSpan w:val="4"/>
          </w:tcPr>
          <w:p w14:paraId="4D61FA5C"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b/>
                <w:bCs/>
                <w:szCs w:val="22"/>
                <w:lang w:val="lt-LT" w:eastAsia="en-US"/>
              </w:rPr>
              <w:t>Monoterapijos tyrimai</w:t>
            </w:r>
          </w:p>
        </w:tc>
      </w:tr>
      <w:tr w:rsidR="00112208" w:rsidRPr="00C249C9" w14:paraId="0344E241" w14:textId="77777777" w:rsidTr="00412D1E">
        <w:tc>
          <w:tcPr>
            <w:tcW w:w="2660" w:type="dxa"/>
          </w:tcPr>
          <w:p w14:paraId="048F675D"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t>Sitagliptinas 100 mg kartą per parą</w:t>
            </w:r>
            <w:r w:rsidRPr="00C249C9">
              <w:rPr>
                <w:rFonts w:eastAsia="TimesNewRoman,Bold" w:cs="Times New Roman"/>
                <w:szCs w:val="22"/>
                <w:vertAlign w:val="superscript"/>
                <w:lang w:val="lt-LT" w:eastAsia="en-US"/>
              </w:rPr>
              <w:t>§</w:t>
            </w:r>
            <w:r w:rsidRPr="00C249C9">
              <w:rPr>
                <w:rFonts w:eastAsia="TimesNewRoman,Bold" w:cs="Times New Roman"/>
                <w:szCs w:val="22"/>
                <w:lang w:val="lt-LT" w:eastAsia="en-US"/>
              </w:rPr>
              <w:t xml:space="preserve"> </w:t>
            </w:r>
          </w:p>
          <w:p w14:paraId="0C7CFE3B"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193)</w:t>
            </w:r>
          </w:p>
        </w:tc>
        <w:tc>
          <w:tcPr>
            <w:tcW w:w="2126" w:type="dxa"/>
          </w:tcPr>
          <w:p w14:paraId="3231CDB0"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BACB1E1"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8,0</w:t>
            </w:r>
          </w:p>
        </w:tc>
        <w:tc>
          <w:tcPr>
            <w:tcW w:w="2179" w:type="dxa"/>
          </w:tcPr>
          <w:p w14:paraId="6B30CF84" w14:textId="77777777" w:rsidR="00112208" w:rsidRPr="00C249C9" w:rsidRDefault="00112208" w:rsidP="00412D1E">
            <w:pPr>
              <w:tabs>
                <w:tab w:val="left" w:pos="567"/>
              </w:tabs>
              <w:jc w:val="center"/>
              <w:rPr>
                <w:rFonts w:eastAsia="TimesNewRoman,Bold" w:cs="Times New Roman"/>
                <w:szCs w:val="22"/>
                <w:lang w:val="lt-LT" w:eastAsia="en-US"/>
              </w:rPr>
            </w:pPr>
          </w:p>
          <w:p w14:paraId="4A95DF6F" w14:textId="77777777" w:rsidR="00112208" w:rsidRPr="00C249C9" w:rsidRDefault="00112208" w:rsidP="00412D1E">
            <w:pPr>
              <w:tabs>
                <w:tab w:val="left" w:pos="567"/>
              </w:tabs>
              <w:jc w:val="center"/>
              <w:rPr>
                <w:rFonts w:cs="Times New Roman"/>
                <w:szCs w:val="22"/>
                <w:lang w:val="lt-LT" w:eastAsia="en-US"/>
              </w:rPr>
            </w:pPr>
            <w:r w:rsidRPr="00C249C9">
              <w:rPr>
                <w:rFonts w:eastAsia="TimesNewRoman,Bold" w:cs="Times New Roman"/>
                <w:szCs w:val="22"/>
                <w:lang w:val="lt-LT" w:eastAsia="en-US"/>
              </w:rPr>
              <w:t>-0,5</w:t>
            </w:r>
          </w:p>
        </w:tc>
        <w:tc>
          <w:tcPr>
            <w:tcW w:w="2322" w:type="dxa"/>
          </w:tcPr>
          <w:p w14:paraId="72A96F20" w14:textId="77777777" w:rsidR="00112208" w:rsidRPr="00C249C9" w:rsidRDefault="00112208" w:rsidP="00412D1E">
            <w:pPr>
              <w:autoSpaceDE w:val="0"/>
              <w:autoSpaceDN w:val="0"/>
              <w:adjustRightInd w:val="0"/>
              <w:jc w:val="center"/>
              <w:rPr>
                <w:rFonts w:eastAsia="TimesNewRoman,Bold" w:cs="Times New Roman"/>
                <w:szCs w:val="22"/>
                <w:vertAlign w:val="superscript"/>
                <w:lang w:val="lt-LT" w:eastAsia="en-US"/>
              </w:rPr>
            </w:pPr>
            <w:r w:rsidRPr="00C249C9">
              <w:rPr>
                <w:rFonts w:eastAsia="TimesNewRoman,Bold" w:cs="Times New Roman"/>
                <w:szCs w:val="22"/>
                <w:lang w:val="lt-LT" w:eastAsia="en-US"/>
              </w:rPr>
              <w:t>-0,6</w:t>
            </w:r>
            <w:r w:rsidRPr="00C249C9">
              <w:rPr>
                <w:rFonts w:eastAsia="TimesNewRoman,Bold" w:cs="Times New Roman"/>
                <w:szCs w:val="22"/>
                <w:vertAlign w:val="superscript"/>
                <w:lang w:val="lt-LT" w:eastAsia="en-US"/>
              </w:rPr>
              <w:t>‡</w:t>
            </w:r>
          </w:p>
          <w:p w14:paraId="69191B9A"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(-0,8; -0,4)</w:t>
            </w:r>
          </w:p>
        </w:tc>
      </w:tr>
      <w:tr w:rsidR="00112208" w:rsidRPr="00C249C9" w14:paraId="63D096B4" w14:textId="77777777" w:rsidTr="00412D1E">
        <w:tc>
          <w:tcPr>
            <w:tcW w:w="2660" w:type="dxa"/>
          </w:tcPr>
          <w:p w14:paraId="04A87C08"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t>Sitagliptinas 100 mg kartą per parą</w:t>
            </w:r>
            <w:r w:rsidRPr="00C249C9">
              <w:rPr>
                <w:rFonts w:eastAsia="TimesNewRoman,Bold" w:cs="Times New Roman"/>
                <w:szCs w:val="22"/>
                <w:vertAlign w:val="superscript"/>
                <w:lang w:val="lt-LT" w:eastAsia="en-US"/>
              </w:rPr>
              <w:t>II</w:t>
            </w:r>
            <w:r w:rsidRPr="00C249C9">
              <w:rPr>
                <w:rFonts w:eastAsia="TimesNewRoman,Bold" w:cs="Times New Roman"/>
                <w:szCs w:val="22"/>
                <w:lang w:val="lt-LT" w:eastAsia="en-US"/>
              </w:rPr>
              <w:t xml:space="preserve"> </w:t>
            </w:r>
          </w:p>
          <w:p w14:paraId="4EAAFD06"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229)</w:t>
            </w:r>
          </w:p>
        </w:tc>
        <w:tc>
          <w:tcPr>
            <w:tcW w:w="2126" w:type="dxa"/>
          </w:tcPr>
          <w:p w14:paraId="10B9AFE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E9E0E94"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8,0</w:t>
            </w:r>
          </w:p>
        </w:tc>
        <w:tc>
          <w:tcPr>
            <w:tcW w:w="2179" w:type="dxa"/>
          </w:tcPr>
          <w:p w14:paraId="50A21F8D" w14:textId="77777777" w:rsidR="00112208" w:rsidRPr="00C249C9" w:rsidRDefault="00112208" w:rsidP="00412D1E">
            <w:pPr>
              <w:tabs>
                <w:tab w:val="left" w:pos="567"/>
              </w:tabs>
              <w:jc w:val="center"/>
              <w:rPr>
                <w:rFonts w:eastAsia="TimesNewRoman,Bold" w:cs="Times New Roman"/>
                <w:szCs w:val="22"/>
                <w:lang w:val="lt-LT" w:eastAsia="en-US"/>
              </w:rPr>
            </w:pPr>
          </w:p>
          <w:p w14:paraId="76A1519D" w14:textId="77777777" w:rsidR="00112208" w:rsidRPr="00C249C9" w:rsidRDefault="00112208" w:rsidP="00412D1E">
            <w:pPr>
              <w:tabs>
                <w:tab w:val="left" w:pos="567"/>
              </w:tabs>
              <w:jc w:val="center"/>
              <w:rPr>
                <w:rFonts w:cs="Times New Roman"/>
                <w:szCs w:val="22"/>
                <w:lang w:val="lt-LT" w:eastAsia="en-US"/>
              </w:rPr>
            </w:pPr>
            <w:r w:rsidRPr="00C249C9">
              <w:rPr>
                <w:rFonts w:eastAsia="TimesNewRoman,Bold" w:cs="Times New Roman"/>
                <w:szCs w:val="22"/>
                <w:lang w:val="lt-LT" w:eastAsia="en-US"/>
              </w:rPr>
              <w:t>-0,6</w:t>
            </w:r>
          </w:p>
        </w:tc>
        <w:tc>
          <w:tcPr>
            <w:tcW w:w="2322" w:type="dxa"/>
          </w:tcPr>
          <w:p w14:paraId="25C4FBBB" w14:textId="77777777" w:rsidR="00112208" w:rsidRPr="00C249C9" w:rsidRDefault="00112208" w:rsidP="00412D1E">
            <w:pPr>
              <w:autoSpaceDE w:val="0"/>
              <w:autoSpaceDN w:val="0"/>
              <w:adjustRightInd w:val="0"/>
              <w:jc w:val="center"/>
              <w:rPr>
                <w:rFonts w:eastAsia="TimesNewRoman,Bold" w:cs="Times New Roman"/>
                <w:szCs w:val="22"/>
                <w:vertAlign w:val="superscript"/>
                <w:lang w:val="lt-LT" w:eastAsia="en-US"/>
              </w:rPr>
            </w:pPr>
            <w:r w:rsidRPr="00C249C9">
              <w:rPr>
                <w:rFonts w:eastAsia="TimesNewRoman,Bold" w:cs="Times New Roman"/>
                <w:szCs w:val="22"/>
                <w:lang w:val="lt-LT" w:eastAsia="en-US"/>
              </w:rPr>
              <w:t>-0,8</w:t>
            </w:r>
            <w:r w:rsidRPr="00C249C9">
              <w:rPr>
                <w:rFonts w:eastAsia="TimesNewRoman,Bold" w:cs="Times New Roman"/>
                <w:szCs w:val="22"/>
                <w:vertAlign w:val="superscript"/>
                <w:lang w:val="lt-LT" w:eastAsia="en-US"/>
              </w:rPr>
              <w:t>‡</w:t>
            </w:r>
          </w:p>
          <w:p w14:paraId="10FA0CFA"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(-1,0; -0,6)</w:t>
            </w:r>
          </w:p>
        </w:tc>
      </w:tr>
      <w:tr w:rsidR="00112208" w:rsidRPr="00C249C9" w14:paraId="2CA4B09A" w14:textId="77777777" w:rsidTr="00412D1E">
        <w:tc>
          <w:tcPr>
            <w:tcW w:w="9287" w:type="dxa"/>
            <w:gridSpan w:val="4"/>
          </w:tcPr>
          <w:p w14:paraId="543266F5"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b/>
                <w:bCs/>
                <w:szCs w:val="22"/>
                <w:lang w:val="lt-LT" w:eastAsia="en-US"/>
              </w:rPr>
              <w:t>Sudėtinio gydymo tyrimai</w:t>
            </w:r>
          </w:p>
        </w:tc>
      </w:tr>
      <w:tr w:rsidR="00112208" w:rsidRPr="00C249C9" w14:paraId="5A1090E3" w14:textId="77777777" w:rsidTr="00412D1E">
        <w:tc>
          <w:tcPr>
            <w:tcW w:w="2660" w:type="dxa"/>
          </w:tcPr>
          <w:p w14:paraId="4517D77E" w14:textId="77777777" w:rsidR="00112208" w:rsidRPr="00C249C9" w:rsidRDefault="00112208" w:rsidP="00412D1E">
            <w:pPr>
              <w:autoSpaceDE w:val="0"/>
              <w:autoSpaceDN w:val="0"/>
              <w:adjustRightInd w:val="0"/>
              <w:rPr>
                <w:rFonts w:eastAsia="TimesNewRoman,Bold" w:cs="Times New Roman"/>
                <w:szCs w:val="22"/>
                <w:vertAlign w:val="superscript"/>
                <w:lang w:val="lt-LT" w:eastAsia="en-US"/>
              </w:rPr>
            </w:pPr>
            <w:r w:rsidRPr="00C249C9">
              <w:rPr>
                <w:rFonts w:eastAsia="TimesNewRoman,Bold" w:cs="Times New Roman"/>
                <w:szCs w:val="22"/>
                <w:lang w:val="lt-LT" w:eastAsia="en-US"/>
              </w:rPr>
              <w:t>Sitagliptinas 100 mg kartą per parą, papildant gydymą metforminu</w:t>
            </w:r>
            <w:r w:rsidRPr="00C249C9">
              <w:rPr>
                <w:rFonts w:eastAsia="TimesNewRoman,Bold" w:cs="Times New Roman"/>
                <w:szCs w:val="22"/>
                <w:vertAlign w:val="superscript"/>
                <w:lang w:val="lt-LT" w:eastAsia="en-US"/>
              </w:rPr>
              <w:t xml:space="preserve">II </w:t>
            </w:r>
          </w:p>
          <w:p w14:paraId="3EB2C48E"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453)</w:t>
            </w:r>
          </w:p>
        </w:tc>
        <w:tc>
          <w:tcPr>
            <w:tcW w:w="2126" w:type="dxa"/>
          </w:tcPr>
          <w:p w14:paraId="6B2B55DF" w14:textId="77777777" w:rsidR="00112208" w:rsidRPr="00C249C9" w:rsidRDefault="00112208" w:rsidP="00412D1E">
            <w:pPr>
              <w:tabs>
                <w:tab w:val="left" w:pos="567"/>
              </w:tabs>
              <w:jc w:val="center"/>
              <w:rPr>
                <w:rFonts w:eastAsia="TimesNewRoman,Bold" w:cs="Times New Roman"/>
                <w:szCs w:val="22"/>
                <w:lang w:val="lt-LT" w:eastAsia="en-US"/>
              </w:rPr>
            </w:pPr>
          </w:p>
          <w:p w14:paraId="788A477E" w14:textId="77777777" w:rsidR="00112208" w:rsidRPr="00C249C9" w:rsidRDefault="00112208" w:rsidP="00412D1E">
            <w:pPr>
              <w:tabs>
                <w:tab w:val="left" w:pos="567"/>
              </w:tabs>
              <w:jc w:val="center"/>
              <w:rPr>
                <w:rFonts w:eastAsia="TimesNewRoman,Bold" w:cs="Times New Roman"/>
                <w:szCs w:val="22"/>
                <w:lang w:val="lt-LT" w:eastAsia="en-US"/>
              </w:rPr>
            </w:pPr>
          </w:p>
          <w:p w14:paraId="6BE593CC" w14:textId="77777777" w:rsidR="00112208" w:rsidRPr="00C249C9" w:rsidRDefault="00112208" w:rsidP="00412D1E">
            <w:pPr>
              <w:tabs>
                <w:tab w:val="left" w:pos="567"/>
              </w:tabs>
              <w:jc w:val="center"/>
              <w:rPr>
                <w:rFonts w:cs="Times New Roman"/>
                <w:szCs w:val="22"/>
                <w:lang w:val="lt-LT" w:eastAsia="en-US"/>
              </w:rPr>
            </w:pPr>
            <w:r w:rsidRPr="00C249C9">
              <w:rPr>
                <w:rFonts w:eastAsia="TimesNewRoman,Bold" w:cs="Times New Roman"/>
                <w:szCs w:val="22"/>
                <w:lang w:val="lt-LT" w:eastAsia="en-US"/>
              </w:rPr>
              <w:t>8,0</w:t>
            </w:r>
          </w:p>
        </w:tc>
        <w:tc>
          <w:tcPr>
            <w:tcW w:w="2179" w:type="dxa"/>
          </w:tcPr>
          <w:p w14:paraId="6163F005"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1FBD3D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44FAF21D"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-0,7</w:t>
            </w:r>
          </w:p>
        </w:tc>
        <w:tc>
          <w:tcPr>
            <w:tcW w:w="2322" w:type="dxa"/>
          </w:tcPr>
          <w:p w14:paraId="6A272AE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7BA60774"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-0,7</w:t>
            </w:r>
            <w:r w:rsidRPr="00C249C9">
              <w:rPr>
                <w:rFonts w:eastAsia="TimesNewRoman,Bold" w:cs="Times New Roman"/>
                <w:szCs w:val="22"/>
                <w:vertAlign w:val="superscript"/>
                <w:lang w:val="lt-LT" w:eastAsia="en-US"/>
              </w:rPr>
              <w:t>‡</w:t>
            </w:r>
          </w:p>
          <w:p w14:paraId="2B78F30A"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(-0,8; -0,5)</w:t>
            </w:r>
          </w:p>
        </w:tc>
      </w:tr>
      <w:tr w:rsidR="00112208" w:rsidRPr="00C249C9" w14:paraId="5B86657B" w14:textId="77777777" w:rsidTr="00412D1E">
        <w:tc>
          <w:tcPr>
            <w:tcW w:w="2660" w:type="dxa"/>
          </w:tcPr>
          <w:p w14:paraId="48932E87" w14:textId="77777777" w:rsidR="00112208" w:rsidRPr="00C249C9" w:rsidRDefault="00112208" w:rsidP="00412D1E">
            <w:pPr>
              <w:autoSpaceDE w:val="0"/>
              <w:autoSpaceDN w:val="0"/>
              <w:adjustRightInd w:val="0"/>
              <w:rPr>
                <w:rFonts w:eastAsia="MathExt" w:cs="Times New Roman"/>
                <w:szCs w:val="22"/>
                <w:vertAlign w:val="superscript"/>
                <w:lang w:val="lt-LT" w:eastAsia="en-US"/>
              </w:rPr>
            </w:pPr>
            <w:r w:rsidRPr="00C249C9">
              <w:rPr>
                <w:rFonts w:eastAsia="TimesNewRoman,Bold" w:cs="Times New Roman"/>
                <w:szCs w:val="22"/>
                <w:lang w:val="lt-LT" w:eastAsia="en-US"/>
              </w:rPr>
              <w:t>Sitagliptinas 100 mg kartą per parą, papildant gydymą pioglitazonu</w:t>
            </w:r>
            <w:r w:rsidRPr="00C249C9">
              <w:rPr>
                <w:rFonts w:eastAsia="MathExt" w:cs="Times New Roman"/>
                <w:szCs w:val="22"/>
                <w:vertAlign w:val="superscript"/>
                <w:lang w:val="lt-LT" w:eastAsia="en-US"/>
              </w:rPr>
              <w:t xml:space="preserve">II  </w:t>
            </w:r>
          </w:p>
          <w:p w14:paraId="516CD79E"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t>(N = 163)</w:t>
            </w:r>
          </w:p>
        </w:tc>
        <w:tc>
          <w:tcPr>
            <w:tcW w:w="2126" w:type="dxa"/>
          </w:tcPr>
          <w:p w14:paraId="5798BBC9"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96903BC"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6CC1047B"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8,1</w:t>
            </w:r>
          </w:p>
        </w:tc>
        <w:tc>
          <w:tcPr>
            <w:tcW w:w="2179" w:type="dxa"/>
          </w:tcPr>
          <w:p w14:paraId="43D5E3EF"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7F962E66"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F7EF272"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-0,9</w:t>
            </w:r>
          </w:p>
        </w:tc>
        <w:tc>
          <w:tcPr>
            <w:tcW w:w="2322" w:type="dxa"/>
          </w:tcPr>
          <w:p w14:paraId="0427CEC4"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0633F665"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-0,7</w:t>
            </w:r>
            <w:r w:rsidRPr="00C249C9">
              <w:rPr>
                <w:rFonts w:eastAsia="TimesNewRoman,Bold" w:cs="Times New Roman"/>
                <w:szCs w:val="22"/>
                <w:vertAlign w:val="superscript"/>
                <w:lang w:val="lt-LT" w:eastAsia="en-US"/>
              </w:rPr>
              <w:t>‡</w:t>
            </w:r>
          </w:p>
          <w:p w14:paraId="1280353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(-0,9; -0,5)</w:t>
            </w:r>
          </w:p>
        </w:tc>
      </w:tr>
      <w:tr w:rsidR="00112208" w:rsidRPr="00C249C9" w14:paraId="5C802ACE" w14:textId="77777777" w:rsidTr="00412D1E">
        <w:tc>
          <w:tcPr>
            <w:tcW w:w="2660" w:type="dxa"/>
          </w:tcPr>
          <w:p w14:paraId="4DF00C1B" w14:textId="77777777" w:rsidR="00112208" w:rsidRPr="00C249C9" w:rsidRDefault="00112208" w:rsidP="00412D1E">
            <w:pPr>
              <w:autoSpaceDE w:val="0"/>
              <w:autoSpaceDN w:val="0"/>
              <w:adjustRightInd w:val="0"/>
              <w:rPr>
                <w:rFonts w:eastAsia="TimesNewRoman,Bold" w:cs="Times New Roman"/>
                <w:szCs w:val="22"/>
                <w:vertAlign w:val="superscript"/>
                <w:lang w:val="lt-LT" w:eastAsia="en-US"/>
              </w:rPr>
            </w:pPr>
            <w:r w:rsidRPr="00C249C9">
              <w:rPr>
                <w:rFonts w:eastAsia="TimesNewRoman,Bold" w:cs="Times New Roman"/>
                <w:szCs w:val="22"/>
                <w:lang w:val="lt-LT" w:eastAsia="en-US"/>
              </w:rPr>
              <w:t>Sitagliptinas 100 mg kartą per parą, papildant gydymą glimepiridu</w:t>
            </w:r>
            <w:r w:rsidRPr="00C249C9">
              <w:rPr>
                <w:rFonts w:eastAsia="TimesNewRoman,Bold" w:cs="Times New Roman"/>
                <w:szCs w:val="22"/>
                <w:vertAlign w:val="superscript"/>
                <w:lang w:val="lt-LT" w:eastAsia="en-US"/>
              </w:rPr>
              <w:t xml:space="preserve">II </w:t>
            </w:r>
          </w:p>
          <w:p w14:paraId="0D0D3B48"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lastRenderedPageBreak/>
              <w:t>(N = 102)</w:t>
            </w:r>
          </w:p>
        </w:tc>
        <w:tc>
          <w:tcPr>
            <w:tcW w:w="2126" w:type="dxa"/>
          </w:tcPr>
          <w:p w14:paraId="4FA7F9F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7A2D7D80"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E34929C"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8,4</w:t>
            </w:r>
          </w:p>
        </w:tc>
        <w:tc>
          <w:tcPr>
            <w:tcW w:w="2179" w:type="dxa"/>
          </w:tcPr>
          <w:p w14:paraId="01E92EF0"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69BA4C81"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2B15EE39"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-0,3</w:t>
            </w:r>
          </w:p>
        </w:tc>
        <w:tc>
          <w:tcPr>
            <w:tcW w:w="2322" w:type="dxa"/>
          </w:tcPr>
          <w:p w14:paraId="0360C6C5"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2B620AD"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-0,6</w:t>
            </w:r>
            <w:r w:rsidRPr="00C249C9">
              <w:rPr>
                <w:rFonts w:eastAsia="TimesNewRoman,Bold" w:cs="Times New Roman"/>
                <w:szCs w:val="22"/>
                <w:vertAlign w:val="superscript"/>
                <w:lang w:val="lt-LT" w:eastAsia="en-US"/>
              </w:rPr>
              <w:t>‡</w:t>
            </w:r>
          </w:p>
          <w:p w14:paraId="10104DAA"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(-0,8; -0,3)</w:t>
            </w:r>
          </w:p>
        </w:tc>
      </w:tr>
      <w:tr w:rsidR="00112208" w:rsidRPr="00C249C9" w14:paraId="587159B5" w14:textId="77777777" w:rsidTr="00412D1E">
        <w:tc>
          <w:tcPr>
            <w:tcW w:w="2660" w:type="dxa"/>
          </w:tcPr>
          <w:p w14:paraId="3BF6F595" w14:textId="77777777" w:rsidR="00112208" w:rsidRPr="00C249C9" w:rsidRDefault="00112208" w:rsidP="00412D1E">
            <w:pPr>
              <w:autoSpaceDE w:val="0"/>
              <w:autoSpaceDN w:val="0"/>
              <w:adjustRightInd w:val="0"/>
              <w:rPr>
                <w:rFonts w:eastAsia="TimesNewRoman,Bold" w:cs="Times New Roman"/>
                <w:szCs w:val="22"/>
                <w:vertAlign w:val="superscript"/>
                <w:lang w:val="lt-LT" w:eastAsia="en-US"/>
              </w:rPr>
            </w:pPr>
            <w:r w:rsidRPr="00C249C9">
              <w:rPr>
                <w:rFonts w:eastAsia="TimesNewRoman,Bold" w:cs="Times New Roman"/>
                <w:szCs w:val="22"/>
                <w:lang w:val="lt-LT" w:eastAsia="en-US"/>
              </w:rPr>
              <w:t>Sitagliptinas 100 mg kartą per parą, papildant gydymą glimepirido ir metformino deriniu</w:t>
            </w:r>
            <w:r w:rsidRPr="00C249C9">
              <w:rPr>
                <w:rFonts w:eastAsia="TimesNewRoman,Bold" w:cs="Times New Roman"/>
                <w:szCs w:val="22"/>
                <w:vertAlign w:val="superscript"/>
                <w:lang w:val="lt-LT" w:eastAsia="en-US"/>
              </w:rPr>
              <w:t xml:space="preserve">II  </w:t>
            </w:r>
          </w:p>
          <w:p w14:paraId="0C381951"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115)</w:t>
            </w:r>
          </w:p>
        </w:tc>
        <w:tc>
          <w:tcPr>
            <w:tcW w:w="2126" w:type="dxa"/>
          </w:tcPr>
          <w:p w14:paraId="5F2FF724"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4E28FB31"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5395BD9"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4854D87"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 xml:space="preserve">8,3 </w:t>
            </w:r>
          </w:p>
        </w:tc>
        <w:tc>
          <w:tcPr>
            <w:tcW w:w="2179" w:type="dxa"/>
          </w:tcPr>
          <w:p w14:paraId="18FC08A4"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7E431D4"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285858F9"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605A22D2"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-0,6</w:t>
            </w:r>
          </w:p>
        </w:tc>
        <w:tc>
          <w:tcPr>
            <w:tcW w:w="2322" w:type="dxa"/>
          </w:tcPr>
          <w:p w14:paraId="7CF6AE5F"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E8C7BC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0E757882"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-0,9</w:t>
            </w:r>
            <w:r w:rsidRPr="00C249C9">
              <w:rPr>
                <w:rFonts w:eastAsia="TimesNewRoman,Bold" w:cs="Times New Roman"/>
                <w:szCs w:val="22"/>
                <w:vertAlign w:val="superscript"/>
                <w:lang w:val="lt-LT" w:eastAsia="en-US"/>
              </w:rPr>
              <w:t>‡</w:t>
            </w:r>
          </w:p>
          <w:p w14:paraId="4B9CC654" w14:textId="77777777" w:rsidR="00112208" w:rsidRPr="00C249C9" w:rsidRDefault="00112208" w:rsidP="00412D1E">
            <w:pPr>
              <w:tabs>
                <w:tab w:val="left" w:pos="567"/>
              </w:tabs>
              <w:jc w:val="center"/>
              <w:rPr>
                <w:rFonts w:cs="Times New Roman"/>
                <w:szCs w:val="22"/>
                <w:lang w:val="lt-LT" w:eastAsia="en-US"/>
              </w:rPr>
            </w:pPr>
            <w:r w:rsidRPr="00C249C9">
              <w:rPr>
                <w:rFonts w:eastAsia="TimesNewRoman,Bold" w:cs="Times New Roman"/>
                <w:szCs w:val="22"/>
                <w:lang w:val="lt-LT" w:eastAsia="en-US"/>
              </w:rPr>
              <w:t>(-1,1; -0,7)</w:t>
            </w:r>
          </w:p>
        </w:tc>
      </w:tr>
      <w:tr w:rsidR="00112208" w:rsidRPr="00C249C9" w14:paraId="0ABA3614" w14:textId="77777777" w:rsidTr="00412D1E">
        <w:tc>
          <w:tcPr>
            <w:tcW w:w="2660" w:type="dxa"/>
          </w:tcPr>
          <w:p w14:paraId="0F8B62C0"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t>Sitagliptinas 100 mg kartą per parą, papildant gydymą pioglitazono ir metformino deriniu</w:t>
            </w:r>
            <w:r w:rsidRPr="00C249C9">
              <w:rPr>
                <w:rFonts w:eastAsia="TimesNewRoman,Bold" w:cs="Times New Roman"/>
                <w:szCs w:val="22"/>
                <w:vertAlign w:val="superscript"/>
                <w:lang w:val="lt-LT" w:eastAsia="en-US"/>
              </w:rPr>
              <w:t xml:space="preserve"># </w:t>
            </w:r>
            <w:r w:rsidRPr="00C249C9">
              <w:rPr>
                <w:rFonts w:eastAsia="TimesNewRoman,Bold" w:cs="Times New Roman"/>
                <w:szCs w:val="22"/>
                <w:lang w:val="lt-LT" w:eastAsia="en-US"/>
              </w:rPr>
              <w:t xml:space="preserve">  </w:t>
            </w:r>
          </w:p>
          <w:p w14:paraId="71582C19"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152)</w:t>
            </w:r>
          </w:p>
        </w:tc>
        <w:tc>
          <w:tcPr>
            <w:tcW w:w="2126" w:type="dxa"/>
          </w:tcPr>
          <w:p w14:paraId="5EA0BECE"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7C4CB43"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3B6AECB"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025C7957"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8,8</w:t>
            </w:r>
          </w:p>
        </w:tc>
        <w:tc>
          <w:tcPr>
            <w:tcW w:w="2179" w:type="dxa"/>
          </w:tcPr>
          <w:p w14:paraId="30A7BF0C"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2E58EAEE"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24398674"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4DE7C963"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-1,2</w:t>
            </w:r>
          </w:p>
        </w:tc>
        <w:tc>
          <w:tcPr>
            <w:tcW w:w="2322" w:type="dxa"/>
          </w:tcPr>
          <w:p w14:paraId="5025AC1D"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048A382"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0DB59D4D"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-0,7</w:t>
            </w:r>
            <w:r w:rsidRPr="00C249C9">
              <w:rPr>
                <w:rFonts w:eastAsia="TimesNewRoman,Bold" w:cs="Times New Roman"/>
                <w:szCs w:val="22"/>
                <w:vertAlign w:val="superscript"/>
                <w:lang w:val="lt-LT" w:eastAsia="en-US"/>
              </w:rPr>
              <w:t>‡</w:t>
            </w:r>
          </w:p>
          <w:p w14:paraId="0B605C1B"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(-1,0; -0,5)</w:t>
            </w:r>
          </w:p>
        </w:tc>
      </w:tr>
      <w:tr w:rsidR="00112208" w:rsidRPr="00C249C9" w14:paraId="49DB0234" w14:textId="77777777" w:rsidTr="00412D1E">
        <w:tc>
          <w:tcPr>
            <w:tcW w:w="2660" w:type="dxa"/>
          </w:tcPr>
          <w:p w14:paraId="24B94E92"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t>Pradinis gydymas (du kartus per parą)</w:t>
            </w:r>
            <w:r w:rsidRPr="00C249C9">
              <w:rPr>
                <w:rFonts w:eastAsia="TimesNewRoman,Bold" w:cs="Times New Roman"/>
                <w:szCs w:val="22"/>
                <w:vertAlign w:val="superscript"/>
                <w:lang w:val="lt-LT" w:eastAsia="en-US"/>
              </w:rPr>
              <w:t>II</w:t>
            </w:r>
            <w:r w:rsidRPr="00C249C9">
              <w:rPr>
                <w:rFonts w:eastAsia="TimesNewRoman,Bold" w:cs="Times New Roman"/>
                <w:szCs w:val="22"/>
                <w:lang w:val="lt-LT" w:eastAsia="en-US"/>
              </w:rPr>
              <w:t xml:space="preserve">: sitagliptinas 50 mg ir metforminas 500 mg </w:t>
            </w:r>
          </w:p>
          <w:p w14:paraId="7407FE71"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183)</w:t>
            </w:r>
          </w:p>
        </w:tc>
        <w:tc>
          <w:tcPr>
            <w:tcW w:w="2126" w:type="dxa"/>
          </w:tcPr>
          <w:p w14:paraId="71B93939"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69D5296E"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1A34631"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FC8887C"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8,8</w:t>
            </w:r>
          </w:p>
        </w:tc>
        <w:tc>
          <w:tcPr>
            <w:tcW w:w="2179" w:type="dxa"/>
          </w:tcPr>
          <w:p w14:paraId="2B28F037"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C94286C"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ADFAB26"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1B5AA92"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-1,4</w:t>
            </w:r>
          </w:p>
        </w:tc>
        <w:tc>
          <w:tcPr>
            <w:tcW w:w="2322" w:type="dxa"/>
          </w:tcPr>
          <w:p w14:paraId="215D6DBF"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847EF89"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ABD289F"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65CC2B09"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-1,6</w:t>
            </w:r>
            <w:r w:rsidRPr="00C249C9">
              <w:rPr>
                <w:rFonts w:eastAsia="TimesNewRoman,Bold" w:cs="Times New Roman"/>
                <w:szCs w:val="22"/>
                <w:vertAlign w:val="superscript"/>
                <w:lang w:val="lt-LT" w:eastAsia="en-US"/>
              </w:rPr>
              <w:t>‡</w:t>
            </w:r>
          </w:p>
          <w:p w14:paraId="649BD8DA"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(-1,8; -1,3)</w:t>
            </w:r>
          </w:p>
        </w:tc>
      </w:tr>
      <w:tr w:rsidR="00112208" w:rsidRPr="00C249C9" w14:paraId="44FBDB8B" w14:textId="77777777" w:rsidTr="00412D1E">
        <w:tc>
          <w:tcPr>
            <w:tcW w:w="2660" w:type="dxa"/>
          </w:tcPr>
          <w:p w14:paraId="71F06B04"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t>Pradinis gydymas (du kartus per parą)</w:t>
            </w:r>
            <w:r w:rsidRPr="00C249C9">
              <w:rPr>
                <w:rFonts w:eastAsia="TimesNewRoman,Bold" w:cs="Times New Roman"/>
                <w:szCs w:val="22"/>
                <w:vertAlign w:val="superscript"/>
                <w:lang w:val="lt-LT" w:eastAsia="en-US"/>
              </w:rPr>
              <w:t>II</w:t>
            </w:r>
            <w:r w:rsidRPr="00C249C9">
              <w:rPr>
                <w:rFonts w:eastAsia="TimesNewRoman,Bold" w:cs="Times New Roman"/>
                <w:szCs w:val="22"/>
                <w:lang w:val="lt-LT" w:eastAsia="en-US"/>
              </w:rPr>
              <w:t>: sitagliptinas 50 mg ir metforminas 1 000 mg</w:t>
            </w:r>
          </w:p>
          <w:p w14:paraId="2F466866"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178)</w:t>
            </w:r>
          </w:p>
        </w:tc>
        <w:tc>
          <w:tcPr>
            <w:tcW w:w="2126" w:type="dxa"/>
          </w:tcPr>
          <w:p w14:paraId="3B1FD2EB"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4EEB4E3F"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425AEAA"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24AA7931"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8,8</w:t>
            </w:r>
          </w:p>
        </w:tc>
        <w:tc>
          <w:tcPr>
            <w:tcW w:w="2179" w:type="dxa"/>
          </w:tcPr>
          <w:p w14:paraId="3AF80094" w14:textId="77777777" w:rsidR="00112208" w:rsidRPr="00C249C9" w:rsidRDefault="00112208" w:rsidP="00412D1E">
            <w:pPr>
              <w:tabs>
                <w:tab w:val="left" w:pos="567"/>
              </w:tabs>
              <w:jc w:val="center"/>
              <w:rPr>
                <w:rFonts w:eastAsia="TimesNewRoman,Bold" w:cs="Times New Roman"/>
                <w:szCs w:val="22"/>
                <w:lang w:val="lt-LT" w:eastAsia="en-US"/>
              </w:rPr>
            </w:pPr>
          </w:p>
          <w:p w14:paraId="573AF4F2" w14:textId="77777777" w:rsidR="00112208" w:rsidRPr="00C249C9" w:rsidRDefault="00112208" w:rsidP="00412D1E">
            <w:pPr>
              <w:tabs>
                <w:tab w:val="left" w:pos="567"/>
              </w:tabs>
              <w:jc w:val="center"/>
              <w:rPr>
                <w:rFonts w:eastAsia="TimesNewRoman,Bold" w:cs="Times New Roman"/>
                <w:szCs w:val="22"/>
                <w:lang w:val="lt-LT" w:eastAsia="en-US"/>
              </w:rPr>
            </w:pPr>
          </w:p>
          <w:p w14:paraId="0BD3D730" w14:textId="77777777" w:rsidR="00112208" w:rsidRPr="00C249C9" w:rsidRDefault="00112208" w:rsidP="00412D1E">
            <w:pPr>
              <w:tabs>
                <w:tab w:val="left" w:pos="567"/>
              </w:tabs>
              <w:jc w:val="center"/>
              <w:rPr>
                <w:rFonts w:eastAsia="TimesNewRoman,Bold" w:cs="Times New Roman"/>
                <w:szCs w:val="22"/>
                <w:lang w:val="lt-LT" w:eastAsia="en-US"/>
              </w:rPr>
            </w:pPr>
          </w:p>
          <w:p w14:paraId="58F2F5CC" w14:textId="77777777" w:rsidR="00112208" w:rsidRPr="00C249C9" w:rsidRDefault="00112208" w:rsidP="00412D1E">
            <w:pPr>
              <w:tabs>
                <w:tab w:val="left" w:pos="567"/>
              </w:tabs>
              <w:jc w:val="center"/>
              <w:rPr>
                <w:rFonts w:cs="Times New Roman"/>
                <w:szCs w:val="22"/>
                <w:lang w:val="lt-LT" w:eastAsia="en-US"/>
              </w:rPr>
            </w:pPr>
            <w:r w:rsidRPr="00C249C9">
              <w:rPr>
                <w:rFonts w:eastAsia="TimesNewRoman,Bold" w:cs="Times New Roman"/>
                <w:szCs w:val="22"/>
                <w:lang w:val="lt-LT" w:eastAsia="en-US"/>
              </w:rPr>
              <w:t>-1,9</w:t>
            </w:r>
          </w:p>
        </w:tc>
        <w:tc>
          <w:tcPr>
            <w:tcW w:w="2322" w:type="dxa"/>
          </w:tcPr>
          <w:p w14:paraId="7BCC7723" w14:textId="77777777" w:rsidR="00112208" w:rsidRPr="00C249C9" w:rsidRDefault="00112208" w:rsidP="00412D1E">
            <w:pPr>
              <w:tabs>
                <w:tab w:val="left" w:pos="567"/>
              </w:tabs>
              <w:jc w:val="center"/>
              <w:rPr>
                <w:rFonts w:eastAsia="TimesNewRoman,Bold" w:cs="Times New Roman"/>
                <w:szCs w:val="22"/>
                <w:lang w:val="lt-LT" w:eastAsia="en-US"/>
              </w:rPr>
            </w:pPr>
          </w:p>
          <w:p w14:paraId="6E03665C" w14:textId="77777777" w:rsidR="00112208" w:rsidRPr="00C249C9" w:rsidRDefault="00112208" w:rsidP="00412D1E">
            <w:pPr>
              <w:tabs>
                <w:tab w:val="left" w:pos="567"/>
              </w:tabs>
              <w:jc w:val="center"/>
              <w:rPr>
                <w:rFonts w:eastAsia="TimesNewRoman,Bold" w:cs="Times New Roman"/>
                <w:szCs w:val="22"/>
                <w:lang w:val="lt-LT" w:eastAsia="en-US"/>
              </w:rPr>
            </w:pPr>
          </w:p>
          <w:p w14:paraId="137ABFF3" w14:textId="77777777" w:rsidR="00112208" w:rsidRPr="00C249C9" w:rsidRDefault="00112208" w:rsidP="00412D1E">
            <w:pPr>
              <w:tabs>
                <w:tab w:val="left" w:pos="567"/>
              </w:tabs>
              <w:jc w:val="center"/>
              <w:rPr>
                <w:rFonts w:eastAsia="TimesNewRoman,Bold" w:cs="Times New Roman"/>
                <w:szCs w:val="22"/>
                <w:lang w:val="lt-LT" w:eastAsia="en-US"/>
              </w:rPr>
            </w:pPr>
          </w:p>
          <w:p w14:paraId="67228FBD" w14:textId="77777777" w:rsidR="00112208" w:rsidRPr="00C249C9" w:rsidRDefault="00112208" w:rsidP="00412D1E">
            <w:pPr>
              <w:tabs>
                <w:tab w:val="left" w:pos="567"/>
              </w:tabs>
              <w:jc w:val="center"/>
              <w:rPr>
                <w:rFonts w:eastAsia="TimesNewRoman,Bold" w:cs="Times New Roman"/>
                <w:szCs w:val="22"/>
                <w:lang w:val="lt-LT" w:eastAsia="en-US"/>
              </w:rPr>
            </w:pPr>
            <w:r w:rsidRPr="00C249C9">
              <w:rPr>
                <w:rFonts w:eastAsia="TimesNewRoman,Bold" w:cs="Times New Roman"/>
                <w:szCs w:val="22"/>
                <w:lang w:val="lt-LT" w:eastAsia="en-US"/>
              </w:rPr>
              <w:t>-2,1</w:t>
            </w:r>
            <w:r w:rsidRPr="00C249C9">
              <w:rPr>
                <w:rFonts w:eastAsia="TimesNewRoman,Bold" w:cs="Times New Roman"/>
                <w:szCs w:val="22"/>
                <w:vertAlign w:val="superscript"/>
                <w:lang w:val="lt-LT" w:eastAsia="en-US"/>
              </w:rPr>
              <w:t>‡</w:t>
            </w:r>
          </w:p>
          <w:p w14:paraId="33F123EC" w14:textId="77777777" w:rsidR="00112208" w:rsidRPr="00C249C9" w:rsidRDefault="00112208" w:rsidP="00412D1E">
            <w:pPr>
              <w:tabs>
                <w:tab w:val="left" w:pos="567"/>
              </w:tabs>
              <w:jc w:val="center"/>
              <w:rPr>
                <w:rFonts w:cs="Times New Roman"/>
                <w:szCs w:val="22"/>
                <w:lang w:val="lt-LT" w:eastAsia="en-US"/>
              </w:rPr>
            </w:pPr>
            <w:r w:rsidRPr="00C249C9">
              <w:rPr>
                <w:rFonts w:eastAsia="TimesNewRoman,Bold" w:cs="Times New Roman"/>
                <w:szCs w:val="22"/>
                <w:lang w:val="lt-LT" w:eastAsia="en-US"/>
              </w:rPr>
              <w:t>(-2,3; -1,8)</w:t>
            </w:r>
          </w:p>
        </w:tc>
      </w:tr>
      <w:tr w:rsidR="00112208" w:rsidRPr="00C249C9" w14:paraId="5CB5087D" w14:textId="77777777" w:rsidTr="00412D1E">
        <w:tc>
          <w:tcPr>
            <w:tcW w:w="2660" w:type="dxa"/>
          </w:tcPr>
          <w:p w14:paraId="0D222FED" w14:textId="77777777" w:rsidR="00112208" w:rsidRPr="00C249C9" w:rsidRDefault="00112208" w:rsidP="00412D1E">
            <w:pPr>
              <w:autoSpaceDE w:val="0"/>
              <w:autoSpaceDN w:val="0"/>
              <w:adjustRightInd w:val="0"/>
              <w:rPr>
                <w:rFonts w:eastAsia="TimesNewRoman,Bold" w:cs="Times New Roman"/>
                <w:szCs w:val="22"/>
                <w:lang w:val="lt-LT" w:eastAsia="en-US"/>
              </w:rPr>
            </w:pPr>
            <w:r w:rsidRPr="00C249C9">
              <w:rPr>
                <w:rFonts w:eastAsia="TimesNewRoman,Bold" w:cs="Times New Roman"/>
                <w:szCs w:val="22"/>
                <w:lang w:val="lt-LT" w:eastAsia="en-US"/>
              </w:rPr>
              <w:t xml:space="preserve">Sitagliptinas 100 mg vieną kartą per parą, papildant juo tebevykstantį gydymą insulinu (+/- metforminas) </w:t>
            </w:r>
            <w:r w:rsidRPr="00C249C9">
              <w:rPr>
                <w:rFonts w:eastAsia="TimesNewRoman,Bold" w:cs="Times New Roman"/>
                <w:szCs w:val="22"/>
                <w:vertAlign w:val="superscript"/>
                <w:lang w:val="lt-LT" w:eastAsia="en-US"/>
              </w:rPr>
              <w:t>II</w:t>
            </w:r>
          </w:p>
          <w:p w14:paraId="7395550F" w14:textId="77777777" w:rsidR="00112208" w:rsidRPr="00C249C9" w:rsidRDefault="00112208" w:rsidP="00412D1E">
            <w:pPr>
              <w:autoSpaceDE w:val="0"/>
              <w:autoSpaceDN w:val="0"/>
              <w:adjustRightInd w:val="0"/>
              <w:rPr>
                <w:rFonts w:cs="Times New Roman"/>
                <w:szCs w:val="22"/>
                <w:lang w:val="lt-LT" w:eastAsia="en-US"/>
              </w:rPr>
            </w:pPr>
            <w:r w:rsidRPr="00C249C9">
              <w:rPr>
                <w:rFonts w:eastAsia="TimesNewRoman,Bold" w:cs="Times New Roman"/>
                <w:szCs w:val="22"/>
                <w:lang w:val="lt-LT" w:eastAsia="en-US"/>
              </w:rPr>
              <w:t>(N = 305)</w:t>
            </w:r>
          </w:p>
        </w:tc>
        <w:tc>
          <w:tcPr>
            <w:tcW w:w="2126" w:type="dxa"/>
          </w:tcPr>
          <w:p w14:paraId="42ED28F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F498A23"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63452499"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6E99F126"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8,7</w:t>
            </w:r>
          </w:p>
        </w:tc>
        <w:tc>
          <w:tcPr>
            <w:tcW w:w="2179" w:type="dxa"/>
          </w:tcPr>
          <w:p w14:paraId="22C52A67"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00F884F8"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911BF83"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18ECDEE2"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-0,6</w:t>
            </w:r>
            <w:r w:rsidRPr="00C249C9">
              <w:rPr>
                <w:iCs/>
                <w:noProof/>
                <w:szCs w:val="22"/>
                <w:vertAlign w:val="superscript"/>
                <w:lang w:val="lt-LT"/>
              </w:rPr>
              <w:t>¶</w:t>
            </w:r>
          </w:p>
        </w:tc>
        <w:tc>
          <w:tcPr>
            <w:tcW w:w="2322" w:type="dxa"/>
          </w:tcPr>
          <w:p w14:paraId="522F3E52"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7976AECC"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591CAE3C"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p>
          <w:p w14:paraId="3C5523D1" w14:textId="77777777" w:rsidR="00112208" w:rsidRPr="00C249C9" w:rsidRDefault="00112208" w:rsidP="00412D1E">
            <w:pPr>
              <w:autoSpaceDE w:val="0"/>
              <w:autoSpaceDN w:val="0"/>
              <w:adjustRightInd w:val="0"/>
              <w:jc w:val="center"/>
              <w:rPr>
                <w:rFonts w:eastAsia="TimesNewRoman,Bold" w:cs="Times New Roman"/>
                <w:szCs w:val="22"/>
                <w:lang w:val="lt-LT" w:eastAsia="en-US"/>
              </w:rPr>
            </w:pPr>
            <w:r w:rsidRPr="00C249C9">
              <w:rPr>
                <w:rFonts w:eastAsia="TimesNewRoman,Bold" w:cs="Times New Roman"/>
                <w:szCs w:val="22"/>
                <w:lang w:val="lt-LT" w:eastAsia="en-US"/>
              </w:rPr>
              <w:t>-0,6</w:t>
            </w:r>
            <w:r w:rsidRPr="00C249C9">
              <w:rPr>
                <w:rFonts w:eastAsia="TimesNewRoman,Bold" w:cs="Times New Roman"/>
                <w:szCs w:val="22"/>
                <w:vertAlign w:val="superscript"/>
                <w:lang w:val="lt-LT" w:eastAsia="en-US"/>
              </w:rPr>
              <w:t>‡,</w:t>
            </w:r>
            <w:r w:rsidRPr="00C249C9">
              <w:rPr>
                <w:iCs/>
                <w:noProof/>
                <w:szCs w:val="22"/>
                <w:vertAlign w:val="superscript"/>
                <w:lang w:val="lt-LT"/>
              </w:rPr>
              <w:t>¶</w:t>
            </w:r>
          </w:p>
          <w:p w14:paraId="294BD19C" w14:textId="77777777" w:rsidR="00112208" w:rsidRPr="00C249C9" w:rsidRDefault="00112208" w:rsidP="00412D1E">
            <w:pPr>
              <w:autoSpaceDE w:val="0"/>
              <w:autoSpaceDN w:val="0"/>
              <w:adjustRightInd w:val="0"/>
              <w:jc w:val="center"/>
              <w:rPr>
                <w:rFonts w:cs="Times New Roman"/>
                <w:szCs w:val="22"/>
                <w:lang w:val="lt-LT" w:eastAsia="en-US"/>
              </w:rPr>
            </w:pPr>
            <w:r w:rsidRPr="00C249C9">
              <w:rPr>
                <w:rFonts w:eastAsia="TimesNewRoman,Bold" w:cs="Times New Roman"/>
                <w:szCs w:val="22"/>
                <w:lang w:val="lt-LT" w:eastAsia="en-US"/>
              </w:rPr>
              <w:t>(-0,7; -0,4)</w:t>
            </w:r>
          </w:p>
        </w:tc>
      </w:tr>
    </w:tbl>
    <w:p w14:paraId="281393CE" w14:textId="77777777" w:rsidR="00112208" w:rsidRPr="00C249C9" w:rsidRDefault="00112208" w:rsidP="00112208">
      <w:pPr>
        <w:tabs>
          <w:tab w:val="left" w:pos="567"/>
        </w:tabs>
        <w:rPr>
          <w:rFonts w:cs="Times New Roman"/>
          <w:sz w:val="22"/>
          <w:szCs w:val="22"/>
          <w:lang w:val="lt-LT" w:eastAsia="en-US"/>
        </w:rPr>
      </w:pPr>
    </w:p>
    <w:p w14:paraId="121A0AFF"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lang w:val="lt-LT" w:eastAsia="en-US"/>
        </w:rPr>
        <w:t>* Visi gydyti pacientai (</w:t>
      </w:r>
      <w:r w:rsidRPr="00C249C9">
        <w:rPr>
          <w:rFonts w:eastAsia="TimesNewRoman,Italic" w:cs="Times New Roman"/>
          <w:i/>
          <w:iCs/>
          <w:sz w:val="22"/>
          <w:szCs w:val="22"/>
          <w:lang w:val="lt-LT" w:eastAsia="en-US"/>
        </w:rPr>
        <w:t xml:space="preserve">intention-to-treat </w:t>
      </w:r>
      <w:r w:rsidRPr="00C249C9">
        <w:rPr>
          <w:rFonts w:eastAsia="TimesNewRoman,Bold" w:cs="Times New Roman"/>
          <w:sz w:val="22"/>
          <w:szCs w:val="22"/>
          <w:lang w:val="lt-LT" w:eastAsia="en-US"/>
        </w:rPr>
        <w:t>analizė)</w:t>
      </w:r>
      <w:r w:rsidRPr="00C249C9">
        <w:rPr>
          <w:rFonts w:cs="Times New Roman"/>
          <w:sz w:val="22"/>
          <w:szCs w:val="22"/>
          <w:lang w:val="lt-LT" w:eastAsia="en-US"/>
        </w:rPr>
        <w:t>.</w:t>
      </w:r>
    </w:p>
    <w:p w14:paraId="0C24A538"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lang w:val="lt-LT" w:eastAsia="en-US"/>
        </w:rPr>
        <w:t>† Mažiausiųjų kvadratų vidurkiai koreguoti pagal ankstesnį antihiperglikeminį gydymą ir bazinę reikšmę.</w:t>
      </w:r>
    </w:p>
    <w:p w14:paraId="74E2FAE1"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lang w:val="lt-LT" w:eastAsia="en-US"/>
        </w:rPr>
        <w:t>‡ p&lt;0,001 palyginti su placebu arba placebu ir sudėtiniu gydymu.</w:t>
      </w:r>
    </w:p>
    <w:p w14:paraId="42BF8A04"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lang w:val="lt-LT" w:eastAsia="en-US"/>
        </w:rPr>
        <w:t>§ HbA</w:t>
      </w:r>
      <w:r w:rsidRPr="00C249C9">
        <w:rPr>
          <w:rFonts w:eastAsia="TimesNewRoman,Bold" w:cs="Times New Roman"/>
          <w:sz w:val="22"/>
          <w:szCs w:val="22"/>
          <w:vertAlign w:val="subscript"/>
          <w:lang w:val="lt-LT" w:eastAsia="en-US"/>
        </w:rPr>
        <w:t>1c</w:t>
      </w:r>
      <w:r w:rsidRPr="00C249C9">
        <w:rPr>
          <w:rFonts w:eastAsia="TimesNewRoman,Bold" w:cs="Times New Roman"/>
          <w:sz w:val="22"/>
          <w:szCs w:val="22"/>
          <w:lang w:val="lt-LT" w:eastAsia="en-US"/>
        </w:rPr>
        <w:t xml:space="preserve"> (%) 18-ąją savaitę.</w:t>
      </w:r>
    </w:p>
    <w:p w14:paraId="491E9418"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vertAlign w:val="superscript"/>
          <w:lang w:val="lt-LT" w:eastAsia="en-US"/>
        </w:rPr>
        <w:t>II</w:t>
      </w:r>
      <w:r w:rsidRPr="00C249C9">
        <w:rPr>
          <w:rFonts w:eastAsia="TimesNewRoman,Bold" w:cs="Times New Roman"/>
          <w:sz w:val="22"/>
          <w:szCs w:val="22"/>
          <w:lang w:val="lt-LT" w:eastAsia="en-US"/>
        </w:rPr>
        <w:t>HbA</w:t>
      </w:r>
      <w:r w:rsidRPr="00C249C9">
        <w:rPr>
          <w:rFonts w:eastAsia="TimesNewRoman,Bold" w:cs="Times New Roman"/>
          <w:sz w:val="22"/>
          <w:szCs w:val="22"/>
          <w:vertAlign w:val="subscript"/>
          <w:lang w:val="lt-LT" w:eastAsia="en-US"/>
        </w:rPr>
        <w:t>1c</w:t>
      </w:r>
      <w:r w:rsidRPr="00C249C9">
        <w:rPr>
          <w:rFonts w:eastAsia="TimesNewRoman,Bold" w:cs="Times New Roman"/>
          <w:sz w:val="22"/>
          <w:szCs w:val="22"/>
          <w:lang w:val="lt-LT" w:eastAsia="en-US"/>
        </w:rPr>
        <w:t xml:space="preserve"> (%) 24-ąją savaitę.</w:t>
      </w:r>
    </w:p>
    <w:p w14:paraId="352431FD" w14:textId="77777777" w:rsidR="00112208" w:rsidRPr="00C249C9" w:rsidRDefault="00112208" w:rsidP="00112208">
      <w:pPr>
        <w:tabs>
          <w:tab w:val="left" w:pos="567"/>
        </w:tabs>
        <w:rPr>
          <w:rFonts w:cs="Times New Roman"/>
          <w:sz w:val="22"/>
          <w:szCs w:val="22"/>
          <w:lang w:val="lt-LT" w:eastAsia="en-US"/>
        </w:rPr>
      </w:pPr>
      <w:r w:rsidRPr="00C249C9">
        <w:rPr>
          <w:rFonts w:eastAsia="TimesNewRoman,Bold" w:cs="Times New Roman"/>
          <w:sz w:val="22"/>
          <w:szCs w:val="22"/>
          <w:lang w:val="lt-LT" w:eastAsia="en-US"/>
        </w:rPr>
        <w:t># HbA</w:t>
      </w:r>
      <w:r w:rsidRPr="00C249C9">
        <w:rPr>
          <w:rFonts w:eastAsia="TimesNewRoman,Bold" w:cs="Times New Roman"/>
          <w:sz w:val="22"/>
          <w:szCs w:val="22"/>
          <w:vertAlign w:val="subscript"/>
          <w:lang w:val="lt-LT" w:eastAsia="en-US"/>
        </w:rPr>
        <w:t>1c</w:t>
      </w:r>
      <w:r w:rsidRPr="00C249C9">
        <w:rPr>
          <w:rFonts w:eastAsia="TimesNewRoman,Bold" w:cs="Times New Roman"/>
          <w:sz w:val="22"/>
          <w:szCs w:val="22"/>
          <w:lang w:val="lt-LT" w:eastAsia="en-US"/>
        </w:rPr>
        <w:t xml:space="preserve"> (%) 26-ąją savaitę.</w:t>
      </w:r>
    </w:p>
    <w:p w14:paraId="489E8582" w14:textId="77777777" w:rsidR="00112208" w:rsidRPr="00C249C9" w:rsidRDefault="00112208" w:rsidP="00112208">
      <w:pPr>
        <w:autoSpaceDE w:val="0"/>
        <w:autoSpaceDN w:val="0"/>
        <w:adjustRightInd w:val="0"/>
        <w:rPr>
          <w:rFonts w:eastAsia="MathExt" w:cs="Times New Roman"/>
          <w:sz w:val="22"/>
          <w:szCs w:val="22"/>
          <w:lang w:val="lt-LT" w:eastAsia="en-US"/>
        </w:rPr>
      </w:pPr>
      <w:r w:rsidRPr="00C249C9">
        <w:rPr>
          <w:iCs/>
          <w:noProof/>
          <w:szCs w:val="22"/>
          <w:vertAlign w:val="superscript"/>
          <w:lang w:val="lt-LT"/>
        </w:rPr>
        <w:t>¶</w:t>
      </w:r>
      <w:r w:rsidRPr="00C249C9">
        <w:rPr>
          <w:rFonts w:eastAsia="MathExt" w:cs="Times New Roman"/>
          <w:sz w:val="22"/>
          <w:szCs w:val="22"/>
          <w:lang w:val="lt-LT" w:eastAsia="en-US"/>
        </w:rPr>
        <w:t>Mažiausiųjų kvadratų vidurkiai koreguoti pagal gydymą metforminu pirmojo vizito metu (taip arba ne), pagal gydymą insulinu pirmojo vizito metu (mišrus, lyginant su nemišriu [vidutinės veikimo trukmės arba ilgo veikimo insulinas] ir bazinę reikšmę. Sąveikos pagal gydymo sluoksnius (metformino ir insulino vartojimas) nebuvo reikšmingos (p &gt; 0,10).</w:t>
      </w:r>
    </w:p>
    <w:p w14:paraId="0474BAD3" w14:textId="77777777" w:rsidR="00112208" w:rsidRPr="00C249C9" w:rsidRDefault="00112208" w:rsidP="00112208">
      <w:pPr>
        <w:autoSpaceDE w:val="0"/>
        <w:autoSpaceDN w:val="0"/>
        <w:adjustRightInd w:val="0"/>
        <w:rPr>
          <w:rFonts w:eastAsia="MathExt" w:cs="Times New Roman"/>
          <w:sz w:val="22"/>
          <w:szCs w:val="22"/>
          <w:lang w:val="lt-LT" w:eastAsia="en-US"/>
        </w:rPr>
      </w:pPr>
    </w:p>
    <w:p w14:paraId="0D2FE807" w14:textId="77777777" w:rsidR="00112208" w:rsidRPr="00C249C9" w:rsidRDefault="00112208" w:rsidP="00112208">
      <w:pPr>
        <w:autoSpaceDE w:val="0"/>
        <w:autoSpaceDN w:val="0"/>
        <w:adjustRightInd w:val="0"/>
        <w:rPr>
          <w:rFonts w:eastAsia="MathExt" w:cs="Times New Roman"/>
          <w:sz w:val="22"/>
          <w:szCs w:val="22"/>
          <w:lang w:val="lt-LT" w:eastAsia="en-US"/>
        </w:rPr>
      </w:pPr>
      <w:r w:rsidRPr="00C249C9">
        <w:rPr>
          <w:rFonts w:eastAsia="MathExt" w:cs="Times New Roman"/>
          <w:sz w:val="22"/>
          <w:szCs w:val="22"/>
          <w:lang w:val="lt-LT" w:eastAsia="en-US"/>
        </w:rPr>
        <w:t>24 savaičių aktyviu palyginamuoju vaistiniu preparatu (metforminu) kontroliuoto tyrimo tikslas buvo įvertinti sitagliptino 100 mg vieną kartą per parą dozės (N = 528) veiksmingumą ir saugumą, palyginus su metforminu (N = 522) pacientams, kuriems dieta ir fiziniais pratimais glikemijos pakankamai sureguliuoti nepavyksta ir kurie negavo antihiperglikeminio gydymo (mažiausiai 4 mėnesius buvo negydomi). Vidutinė metformino dozė buvo 1900 mg per parą. HbA1c sumažėj</w:t>
      </w:r>
      <w:r>
        <w:rPr>
          <w:rFonts w:eastAsia="MathExt" w:cs="Times New Roman"/>
          <w:sz w:val="22"/>
          <w:szCs w:val="22"/>
          <w:lang w:val="lt-LT" w:eastAsia="en-US"/>
        </w:rPr>
        <w:t>imas nuo vidutinio pradinio 7,2 % dydžio buvo -0,43 </w:t>
      </w:r>
      <w:r w:rsidRPr="00C249C9">
        <w:rPr>
          <w:rFonts w:eastAsia="MathExt" w:cs="Times New Roman"/>
          <w:sz w:val="22"/>
          <w:szCs w:val="22"/>
          <w:lang w:val="lt-LT" w:eastAsia="en-US"/>
        </w:rPr>
        <w:t xml:space="preserve">% </w:t>
      </w:r>
      <w:r>
        <w:rPr>
          <w:rFonts w:eastAsia="MathExt" w:cs="Times New Roman"/>
          <w:sz w:val="22"/>
          <w:szCs w:val="22"/>
          <w:lang w:val="lt-LT" w:eastAsia="en-US"/>
        </w:rPr>
        <w:t>vartojant sitagliptiną ir -0,57 </w:t>
      </w:r>
      <w:r w:rsidRPr="00C249C9">
        <w:rPr>
          <w:rFonts w:eastAsia="MathExt" w:cs="Times New Roman"/>
          <w:sz w:val="22"/>
          <w:szCs w:val="22"/>
          <w:lang w:val="lt-LT" w:eastAsia="en-US"/>
        </w:rPr>
        <w:t>% vartojant metforminą (analizė pagal protokolą). Bendras virškinimo trakto nepageidaujamų reakcijų, vertintų kaip susijusių su vaistiniu preparatu, dažnis sitagliptin</w:t>
      </w:r>
      <w:r>
        <w:rPr>
          <w:rFonts w:eastAsia="MathExt" w:cs="Times New Roman"/>
          <w:sz w:val="22"/>
          <w:szCs w:val="22"/>
          <w:lang w:val="lt-LT" w:eastAsia="en-US"/>
        </w:rPr>
        <w:t>u gydytiems pacientams buvo 2,7 %, palyginti su 12,6 </w:t>
      </w:r>
      <w:r w:rsidRPr="00C249C9">
        <w:rPr>
          <w:rFonts w:eastAsia="MathExt" w:cs="Times New Roman"/>
          <w:sz w:val="22"/>
          <w:szCs w:val="22"/>
          <w:lang w:val="lt-LT" w:eastAsia="en-US"/>
        </w:rPr>
        <w:t>% gydytiesiems metforminu. Hipoglikemijos dažnis gydymo grupėse reikšmin</w:t>
      </w:r>
      <w:r>
        <w:rPr>
          <w:rFonts w:eastAsia="MathExt" w:cs="Times New Roman"/>
          <w:sz w:val="22"/>
          <w:szCs w:val="22"/>
          <w:lang w:val="lt-LT" w:eastAsia="en-US"/>
        </w:rPr>
        <w:t>gai nesiskyrė (sitagliptino 1,3 %, metformino 1,9 </w:t>
      </w:r>
      <w:r w:rsidRPr="00C249C9">
        <w:rPr>
          <w:rFonts w:eastAsia="MathExt" w:cs="Times New Roman"/>
          <w:sz w:val="22"/>
          <w:szCs w:val="22"/>
          <w:lang w:val="lt-LT" w:eastAsia="en-US"/>
        </w:rPr>
        <w:t>%). Kūno svoris sumažėjo nuo pradinio dydžio abiejose grupėse (sitagliptino -0,6 kg, metformino -1,9 kg).</w:t>
      </w:r>
    </w:p>
    <w:p w14:paraId="01E510F0" w14:textId="77777777" w:rsidR="00112208" w:rsidRPr="00C249C9" w:rsidRDefault="00112208" w:rsidP="00112208">
      <w:pPr>
        <w:autoSpaceDE w:val="0"/>
        <w:autoSpaceDN w:val="0"/>
        <w:adjustRightInd w:val="0"/>
        <w:rPr>
          <w:rFonts w:eastAsia="MathExt" w:cs="Times New Roman"/>
          <w:sz w:val="22"/>
          <w:szCs w:val="22"/>
          <w:lang w:val="lt-LT" w:eastAsia="en-US"/>
        </w:rPr>
      </w:pPr>
    </w:p>
    <w:p w14:paraId="4BC78A19" w14:textId="77777777" w:rsidR="00112208" w:rsidRPr="00C249C9" w:rsidRDefault="00112208" w:rsidP="00112208">
      <w:pPr>
        <w:autoSpaceDE w:val="0"/>
        <w:autoSpaceDN w:val="0"/>
        <w:adjustRightInd w:val="0"/>
        <w:rPr>
          <w:rFonts w:eastAsia="MathExt" w:cs="Times New Roman"/>
          <w:sz w:val="22"/>
          <w:szCs w:val="22"/>
          <w:lang w:val="lt-LT" w:eastAsia="en-US"/>
        </w:rPr>
      </w:pPr>
      <w:r w:rsidRPr="00C249C9">
        <w:rPr>
          <w:rFonts w:eastAsia="MathExt" w:cs="Times New Roman"/>
          <w:sz w:val="22"/>
          <w:szCs w:val="22"/>
          <w:lang w:val="lt-LT" w:eastAsia="en-US"/>
        </w:rPr>
        <w:lastRenderedPageBreak/>
        <w:t>Tyrimu, kurio metu buvo palygintas papildomos kartą per parą vartojamos 100 mg sitagliptino dozės arba glipizido (sulfonilurėjos) veiksmingumas ir saugumas pacientams, kuriems gydymo vien metforminu metu gliukozės kiekis kraujyje buvo nepakankamai kontroliuojamas, nustatyta, kad sitagliptinas HbA1c kiekį sumažino panašiai kaip glipizidas. Vidutinė glipizido paros dozė, kurią vartojo lyginamosios grupės tiriamieji, buvo 10 mg ir apytikriai 40 % pacientų visu tyrimo laikotarpiu reikėjo ≤ 5 mg per parą dozės. Tačiau dėl nepakankamo veiksmingumo gydymą sitagliptinu nutraukė daugiau pacientų, negu gydymą glipizidu. Sitagliptino vartojusių pacientų kūno svoris, palyginti su baziniu, tyrimo metu reikšmingai sumažėjo, glipizido vartojusių pacientų - reikšmingai padidėjo (atitinkamai -1,5 kg ir +1,1 kg). Šio tyrimo metu insulino gamybos ir išskyrimo veiksmingumo žymuo, t. y., proinsulino ir insulino santykis, gydant sitagliptinu pagerėjo, o gydant glipizidu pablogėjo. Sitagliptino vartojusiems pacien</w:t>
      </w:r>
      <w:r>
        <w:rPr>
          <w:rFonts w:eastAsia="MathExt" w:cs="Times New Roman"/>
          <w:sz w:val="22"/>
          <w:szCs w:val="22"/>
          <w:lang w:val="lt-LT" w:eastAsia="en-US"/>
        </w:rPr>
        <w:t>tams hipoglikemijos dažnis (4,9 </w:t>
      </w:r>
      <w:r w:rsidRPr="00C249C9">
        <w:rPr>
          <w:rFonts w:eastAsia="MathExt" w:cs="Times New Roman"/>
          <w:sz w:val="22"/>
          <w:szCs w:val="22"/>
          <w:lang w:val="lt-LT" w:eastAsia="en-US"/>
        </w:rPr>
        <w:t>%) buvo reikšmingai mažesnis negu vartojusiems glipizido (32,0</w:t>
      </w:r>
      <w:r>
        <w:rPr>
          <w:rFonts w:eastAsia="MathExt" w:cs="Times New Roman"/>
          <w:sz w:val="22"/>
          <w:szCs w:val="22"/>
          <w:lang w:val="lt-LT" w:eastAsia="en-US"/>
        </w:rPr>
        <w:t> </w:t>
      </w:r>
      <w:r w:rsidRPr="00C249C9">
        <w:rPr>
          <w:rFonts w:eastAsia="MathExt" w:cs="Times New Roman"/>
          <w:sz w:val="22"/>
          <w:szCs w:val="22"/>
          <w:lang w:val="lt-LT" w:eastAsia="en-US"/>
        </w:rPr>
        <w:t>%).</w:t>
      </w:r>
    </w:p>
    <w:p w14:paraId="4109C2CB" w14:textId="77777777" w:rsidR="00112208" w:rsidRPr="00C249C9" w:rsidRDefault="00112208" w:rsidP="00112208">
      <w:pPr>
        <w:autoSpaceDE w:val="0"/>
        <w:autoSpaceDN w:val="0"/>
        <w:adjustRightInd w:val="0"/>
        <w:rPr>
          <w:rFonts w:eastAsia="MathExt" w:cs="Times New Roman"/>
          <w:sz w:val="22"/>
          <w:szCs w:val="22"/>
          <w:lang w:val="lt-LT" w:eastAsia="en-US"/>
        </w:rPr>
      </w:pPr>
    </w:p>
    <w:p w14:paraId="2E82AAD5" w14:textId="77777777" w:rsidR="00112208" w:rsidRPr="00C249C9" w:rsidRDefault="00112208" w:rsidP="00112208">
      <w:pPr>
        <w:autoSpaceDE w:val="0"/>
        <w:autoSpaceDN w:val="0"/>
        <w:adjustRightInd w:val="0"/>
        <w:rPr>
          <w:rFonts w:eastAsia="MathExt" w:cs="Times New Roman"/>
          <w:sz w:val="22"/>
          <w:szCs w:val="22"/>
          <w:lang w:val="lt-LT" w:eastAsia="en-US"/>
        </w:rPr>
      </w:pPr>
      <w:r w:rsidRPr="00C249C9">
        <w:rPr>
          <w:rFonts w:eastAsia="MathExt" w:cs="Times New Roman"/>
          <w:sz w:val="22"/>
          <w:szCs w:val="22"/>
          <w:lang w:val="lt-LT" w:eastAsia="en-US"/>
        </w:rPr>
        <w:t>24 savaičių trukmės placebu kontroliuojamas klinikinis tyrimas, kuriame dalyvavo 660 pacientų, buvo skirtas įvertinti insuliną organizme tausojantį sitagliptino (vartojant 100 mg vieną kartą per parą) veiksmingumą ir saugumą, paskyrus jį terapijos insulinu sustiprinimo laikotarpiu prie gydymo insulinu glarginu kartu su metforminu (mažiausiai 1500 mg) arba be jo. Prieš pradedant t</w:t>
      </w:r>
      <w:r>
        <w:rPr>
          <w:rFonts w:eastAsia="MathExt" w:cs="Times New Roman"/>
          <w:sz w:val="22"/>
          <w:szCs w:val="22"/>
          <w:lang w:val="lt-LT" w:eastAsia="en-US"/>
        </w:rPr>
        <w:t>yrimą vidutinis HbA1c buvo 8,74 </w:t>
      </w:r>
      <w:r w:rsidRPr="00C249C9">
        <w:rPr>
          <w:rFonts w:eastAsia="MathExt" w:cs="Times New Roman"/>
          <w:sz w:val="22"/>
          <w:szCs w:val="22"/>
          <w:lang w:val="lt-LT" w:eastAsia="en-US"/>
        </w:rPr>
        <w:t>%, vidutinė insulino dozė – 37 TV per parą. Pacientai buvo išmokyti nusistatyti sau insulino glargino dozę remiantis gliukozės koncentracija nevalgius kraujyje iš įdurto piršto. 24-ą savaitę sitagliptinu gydytiems pacientams kasdieninės insulino dozės padidėjimas buvo 19 TV per parą, o placebu gydytiems pacientams – 24 TV per parą. HbA1c sumažėjimas sitagliptino ir insulino deriniu (kartu su metforminu arba be jo) gydytiems pacientams buvo 1,31 %, palyginti su 0,87 % placebo ir insulino deriniu (kartu su metforminu arba be jo) gydytų pacientų, o skirtumas tarp jų yra -0</w:t>
      </w:r>
      <w:r>
        <w:rPr>
          <w:rFonts w:eastAsia="MathExt" w:cs="Times New Roman"/>
          <w:sz w:val="22"/>
          <w:szCs w:val="22"/>
          <w:lang w:val="lt-LT" w:eastAsia="en-US"/>
        </w:rPr>
        <w:t>,45 % (95 </w:t>
      </w:r>
      <w:r w:rsidRPr="00C249C9">
        <w:rPr>
          <w:rFonts w:eastAsia="MathExt" w:cs="Times New Roman"/>
          <w:sz w:val="22"/>
          <w:szCs w:val="22"/>
          <w:lang w:val="lt-LT" w:eastAsia="en-US"/>
        </w:rPr>
        <w:t>% PI: 0,60; 0,29). Hipoglikemijos dažnis sitagliptino ir insulino deriniu (kartu su metforminu arba be jo)</w:t>
      </w:r>
      <w:r>
        <w:rPr>
          <w:rFonts w:eastAsia="MathExt" w:cs="Times New Roman"/>
          <w:sz w:val="22"/>
          <w:szCs w:val="22"/>
          <w:lang w:val="lt-LT" w:eastAsia="en-US"/>
        </w:rPr>
        <w:t xml:space="preserve"> gydytiems pacientams buvo 25,2 </w:t>
      </w:r>
      <w:r w:rsidRPr="00C249C9">
        <w:rPr>
          <w:rFonts w:eastAsia="MathExt" w:cs="Times New Roman"/>
          <w:sz w:val="22"/>
          <w:szCs w:val="22"/>
          <w:lang w:val="lt-LT" w:eastAsia="en-US"/>
        </w:rPr>
        <w:t xml:space="preserve">%, o placebo ir insulino deriniu (kartu su metforminu arba be </w:t>
      </w:r>
      <w:r>
        <w:rPr>
          <w:rFonts w:eastAsia="MathExt" w:cs="Times New Roman"/>
          <w:sz w:val="22"/>
          <w:szCs w:val="22"/>
          <w:lang w:val="lt-LT" w:eastAsia="en-US"/>
        </w:rPr>
        <w:t>jo) gydytiems pacientams - 36,8 </w:t>
      </w:r>
      <w:r w:rsidRPr="00C249C9">
        <w:rPr>
          <w:rFonts w:eastAsia="MathExt" w:cs="Times New Roman"/>
          <w:sz w:val="22"/>
          <w:szCs w:val="22"/>
          <w:lang w:val="lt-LT" w:eastAsia="en-US"/>
        </w:rPr>
        <w:t>%. Šį skirtumą iš esmės lėmė placebo grupėje buvusių pacientų, patyrusių tris arba daugiau hipoglikemijos epizodų</w:t>
      </w:r>
      <w:r>
        <w:rPr>
          <w:rFonts w:eastAsia="MathExt" w:cs="Times New Roman"/>
          <w:sz w:val="22"/>
          <w:szCs w:val="22"/>
          <w:lang w:val="lt-LT" w:eastAsia="en-US"/>
        </w:rPr>
        <w:t>, didesnė procentinė dalis (9,4 </w:t>
      </w:r>
      <w:r w:rsidRPr="00C249C9">
        <w:rPr>
          <w:rFonts w:eastAsia="MathExt" w:cs="Times New Roman"/>
          <w:sz w:val="22"/>
          <w:szCs w:val="22"/>
          <w:lang w:val="lt-LT" w:eastAsia="en-US"/>
        </w:rPr>
        <w:t>%, palyginus su 19,2</w:t>
      </w:r>
      <w:r>
        <w:rPr>
          <w:rFonts w:eastAsia="MathExt" w:cs="Times New Roman"/>
          <w:sz w:val="22"/>
          <w:szCs w:val="22"/>
          <w:lang w:val="lt-LT" w:eastAsia="en-US"/>
        </w:rPr>
        <w:t> </w:t>
      </w:r>
      <w:r w:rsidRPr="00C249C9">
        <w:rPr>
          <w:rFonts w:eastAsia="MathExt" w:cs="Times New Roman"/>
          <w:sz w:val="22"/>
          <w:szCs w:val="22"/>
          <w:lang w:val="lt-LT" w:eastAsia="en-US"/>
        </w:rPr>
        <w:t>%). Sunkios hipoglikemijos dažnis nesiskyrė.</w:t>
      </w:r>
    </w:p>
    <w:p w14:paraId="65E072FC" w14:textId="77777777" w:rsidR="00112208" w:rsidRPr="00C249C9" w:rsidRDefault="00112208" w:rsidP="00112208">
      <w:pPr>
        <w:autoSpaceDE w:val="0"/>
        <w:autoSpaceDN w:val="0"/>
        <w:adjustRightInd w:val="0"/>
        <w:rPr>
          <w:rFonts w:eastAsia="MathExt" w:cs="Times New Roman"/>
          <w:sz w:val="22"/>
          <w:szCs w:val="22"/>
          <w:lang w:val="lt-LT" w:eastAsia="en-US"/>
        </w:rPr>
      </w:pPr>
    </w:p>
    <w:p w14:paraId="6EA823EE" w14:textId="77777777" w:rsidR="00112208" w:rsidRPr="00C249C9" w:rsidRDefault="00112208" w:rsidP="00112208">
      <w:pPr>
        <w:autoSpaceDE w:val="0"/>
        <w:autoSpaceDN w:val="0"/>
        <w:adjustRightInd w:val="0"/>
        <w:rPr>
          <w:rFonts w:eastAsia="MathExt" w:cs="Times New Roman"/>
          <w:sz w:val="22"/>
          <w:szCs w:val="22"/>
          <w:lang w:val="lt-LT" w:eastAsia="en-US"/>
        </w:rPr>
      </w:pPr>
      <w:r w:rsidRPr="00C249C9">
        <w:rPr>
          <w:rFonts w:eastAsia="MathExt" w:cs="Times New Roman"/>
          <w:sz w:val="22"/>
          <w:szCs w:val="22"/>
          <w:lang w:val="lt-LT" w:eastAsia="en-US"/>
        </w:rPr>
        <w:t>Su pacientais, kuriems buvo vidutinio sunkumo ar sunkus inkstų veiklos sutrikimas, buvo atliktas klinikinis tyrimas, kurio metu palyginta sitagliptino 25 mg ar 50 mg vieną kartą per parą dozė su glipizido nuo 2,5 mg iki 20 mg per parą doze. Tyrime dalyvavusiems 423 pacientams nustatytas lėtinis inkstų funkcijos sutrikimas (apytikriai apskaičiuotasis glomerulų filtracijos greitis [aGFG] buvo mažesnis nei 50 ml/min.). Nuo buvusio prieš pradedant tyrimą per 54 savaites HbA1c gydant sitaglipt</w:t>
      </w:r>
      <w:r>
        <w:rPr>
          <w:rFonts w:eastAsia="MathExt" w:cs="Times New Roman"/>
          <w:sz w:val="22"/>
          <w:szCs w:val="22"/>
          <w:lang w:val="lt-LT" w:eastAsia="en-US"/>
        </w:rPr>
        <w:t>inu vidutiniškai sumažėjo -0,76 %, gydant glipizidu -0,64 </w:t>
      </w:r>
      <w:r w:rsidRPr="00C249C9">
        <w:rPr>
          <w:rFonts w:eastAsia="MathExt" w:cs="Times New Roman"/>
          <w:sz w:val="22"/>
          <w:szCs w:val="22"/>
          <w:lang w:val="lt-LT" w:eastAsia="en-US"/>
        </w:rPr>
        <w:t>% (analizė pagal protokolą). Sitagliptino 25 mg arba 50 mg vieną kartą per parą dozių veiksmingumo ir saugumo pobūdis šiame tyrime iš esmės buvo panašus į stebėtą kituose monoterapijos tyrimuose, kuriuose dalyvavusių pacientų inkstų funkcija buvo normali. Hipoglikemijos d</w:t>
      </w:r>
      <w:r>
        <w:rPr>
          <w:rFonts w:eastAsia="MathExt" w:cs="Times New Roman"/>
          <w:sz w:val="22"/>
          <w:szCs w:val="22"/>
          <w:lang w:val="lt-LT" w:eastAsia="en-US"/>
        </w:rPr>
        <w:t>ažnis sitagliptino grupėje (6,2 </w:t>
      </w:r>
      <w:r w:rsidRPr="00C249C9">
        <w:rPr>
          <w:rFonts w:eastAsia="MathExt" w:cs="Times New Roman"/>
          <w:sz w:val="22"/>
          <w:szCs w:val="22"/>
          <w:lang w:val="lt-LT" w:eastAsia="en-US"/>
        </w:rPr>
        <w:t>%) buvo reikšmingai mažesn</w:t>
      </w:r>
      <w:r>
        <w:rPr>
          <w:rFonts w:eastAsia="MathExt" w:cs="Times New Roman"/>
          <w:sz w:val="22"/>
          <w:szCs w:val="22"/>
          <w:lang w:val="lt-LT" w:eastAsia="en-US"/>
        </w:rPr>
        <w:t>is, nei glipizido grupėje (17,0 </w:t>
      </w:r>
      <w:r w:rsidRPr="00C249C9">
        <w:rPr>
          <w:rFonts w:eastAsia="MathExt" w:cs="Times New Roman"/>
          <w:sz w:val="22"/>
          <w:szCs w:val="22"/>
          <w:lang w:val="lt-LT" w:eastAsia="en-US"/>
        </w:rPr>
        <w:t>%). Be to, kūno svorio pokyčio nuo buvusio prieš pradedant tyrimą skirtumas tarp grupių taip pat buvo reikšmingas (sitagliptino grupėje -0,6 kg, o glipizido grupėje +1,2 kg).</w:t>
      </w:r>
    </w:p>
    <w:p w14:paraId="4377615D" w14:textId="77777777" w:rsidR="00112208" w:rsidRPr="00C249C9" w:rsidRDefault="00112208" w:rsidP="00112208">
      <w:pPr>
        <w:tabs>
          <w:tab w:val="left" w:pos="567"/>
        </w:tabs>
        <w:autoSpaceDE w:val="0"/>
        <w:autoSpaceDN w:val="0"/>
        <w:adjustRightInd w:val="0"/>
        <w:rPr>
          <w:rFonts w:eastAsia="MathExt" w:cs="Times New Roman"/>
          <w:sz w:val="22"/>
          <w:szCs w:val="22"/>
          <w:lang w:val="lt-LT" w:eastAsia="en-US"/>
        </w:rPr>
      </w:pPr>
    </w:p>
    <w:p w14:paraId="55DF090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Kitas klinikinis tyrimas, kurio metu buvo palyginta sitagliptino 25 mg vieną kartą per parą dozė su glipizido dozėmis nuo 2,5 mg iki 20 mg per parą, buvo atliktas su 129 dėl GSIL dializuojamais pacientais. Nuo buvusio prieš pradedant tyrimą per 54 savaites HbA1c sumažėjo gydant si</w:t>
      </w:r>
      <w:r>
        <w:rPr>
          <w:rFonts w:cs="Times New Roman"/>
          <w:sz w:val="22"/>
          <w:szCs w:val="22"/>
          <w:lang w:val="lt-LT" w:eastAsia="en-US"/>
        </w:rPr>
        <w:t>tagliptinu vidutiniškai -0,72 %, o gydant glipizidu -0,87 </w:t>
      </w:r>
      <w:r w:rsidRPr="00C249C9">
        <w:rPr>
          <w:rFonts w:cs="Times New Roman"/>
          <w:sz w:val="22"/>
          <w:szCs w:val="22"/>
          <w:lang w:val="lt-LT" w:eastAsia="en-US"/>
        </w:rPr>
        <w:t>%. Sitagliptino 25 mg vieną kartą per parą dozės veiksmingumo ir saugumo pobūdis šiame tyrime iš esmės buvo panašus į stebėtą kituose monoterapijos tyrimuose, kuriuose dalyvavusių pacientų inkstų funkcija buvo normali. Hipoglikemijos dažnis tarp gydymo grupių reikšmingai nesi</w:t>
      </w:r>
      <w:r>
        <w:rPr>
          <w:rFonts w:cs="Times New Roman"/>
          <w:sz w:val="22"/>
          <w:szCs w:val="22"/>
          <w:lang w:val="lt-LT" w:eastAsia="en-US"/>
        </w:rPr>
        <w:t>skyrė (sitagliptino grupėje 6,3 %, glipizido – 10,8 </w:t>
      </w:r>
      <w:r w:rsidRPr="00C249C9">
        <w:rPr>
          <w:rFonts w:cs="Times New Roman"/>
          <w:sz w:val="22"/>
          <w:szCs w:val="22"/>
          <w:lang w:val="lt-LT" w:eastAsia="en-US"/>
        </w:rPr>
        <w:t>%).</w:t>
      </w:r>
    </w:p>
    <w:p w14:paraId="6869F5A8" w14:textId="77777777" w:rsidR="00112208" w:rsidRPr="00C249C9" w:rsidRDefault="00112208" w:rsidP="00112208">
      <w:pPr>
        <w:autoSpaceDE w:val="0"/>
        <w:autoSpaceDN w:val="0"/>
        <w:adjustRightInd w:val="0"/>
        <w:rPr>
          <w:rFonts w:cs="Times New Roman"/>
          <w:sz w:val="22"/>
          <w:szCs w:val="22"/>
          <w:lang w:val="lt-LT" w:eastAsia="en-US"/>
        </w:rPr>
      </w:pPr>
    </w:p>
    <w:p w14:paraId="44021D00"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Kitame klinikiniame tyrime, kuriame dalyvavo </w:t>
      </w:r>
      <w:r>
        <w:rPr>
          <w:rFonts w:cs="Times New Roman"/>
          <w:sz w:val="22"/>
          <w:szCs w:val="22"/>
          <w:lang w:val="lt-LT" w:eastAsia="en-US"/>
        </w:rPr>
        <w:t>2 tipo</w:t>
      </w:r>
      <w:r w:rsidRPr="00C249C9">
        <w:rPr>
          <w:rFonts w:cs="Times New Roman"/>
          <w:sz w:val="22"/>
          <w:szCs w:val="22"/>
          <w:lang w:val="lt-LT" w:eastAsia="en-US"/>
        </w:rPr>
        <w:t xml:space="preserve"> cukriniu diabetu ir lėtiniu inks</w:t>
      </w:r>
      <w:r>
        <w:rPr>
          <w:rFonts w:cs="Times New Roman"/>
          <w:sz w:val="22"/>
          <w:szCs w:val="22"/>
          <w:lang w:val="lt-LT" w:eastAsia="en-US"/>
        </w:rPr>
        <w:t>tų funkcijos sutrikimu (KrKl &lt; 50 </w:t>
      </w:r>
      <w:r w:rsidRPr="00C249C9">
        <w:rPr>
          <w:rFonts w:cs="Times New Roman"/>
          <w:sz w:val="22"/>
          <w:szCs w:val="22"/>
          <w:lang w:val="lt-LT" w:eastAsia="en-US"/>
        </w:rPr>
        <w:t>ml/min.) sirgęs 91 pacientas, gydymo sitagliptino 25 mg ar 50 mg vieną kartą per parą doze saugumas ir toleravimas apskritai buvo panašus į placebo. Be to, po 12 savaičių vidutinis Hb</w:t>
      </w:r>
      <w:r>
        <w:rPr>
          <w:rFonts w:cs="Times New Roman"/>
          <w:sz w:val="22"/>
          <w:szCs w:val="22"/>
          <w:lang w:val="lt-LT" w:eastAsia="en-US"/>
        </w:rPr>
        <w:t>A1c (sitagliptino grupėje -0,59 %, o placebo grupėje -0,18 </w:t>
      </w:r>
      <w:r w:rsidRPr="00C249C9">
        <w:rPr>
          <w:rFonts w:cs="Times New Roman"/>
          <w:sz w:val="22"/>
          <w:szCs w:val="22"/>
          <w:lang w:val="lt-LT" w:eastAsia="en-US"/>
        </w:rPr>
        <w:t>%) ir gliukozės koncentracijos plazmoje nevalgius (sitagliptino grupėje -25,5 mg/dl; placebo grupėje -3,0 mg/dl) sumažėjimas apskritai buvo panašus į stebėtą kituose monoterapijos tyrimuose, kuriuose dalyvavusių pacientų inkstų veikla buvo normali (žr. 5.2 skyrių).</w:t>
      </w:r>
    </w:p>
    <w:p w14:paraId="201F6337" w14:textId="77777777" w:rsidR="00112208" w:rsidRPr="00C249C9" w:rsidRDefault="00112208" w:rsidP="00112208">
      <w:pPr>
        <w:autoSpaceDE w:val="0"/>
        <w:autoSpaceDN w:val="0"/>
        <w:adjustRightInd w:val="0"/>
        <w:rPr>
          <w:rFonts w:cs="Times New Roman"/>
          <w:sz w:val="22"/>
          <w:szCs w:val="22"/>
          <w:lang w:val="lt-LT" w:eastAsia="en-US"/>
        </w:rPr>
      </w:pPr>
    </w:p>
    <w:p w14:paraId="6F2E0321"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Atsitiktinių imčių TECOS klinikinio tyrimo metu ketinimo gydyti populiacijos dydis buvo 14671 ŠK liga sergantis pacientas, kurių HbA1c buvo nuo ≥ 6,5 iki 8,0 %; jie buvo gydomi sitagliptinu (7332) 100 mg per parą (arba 50 mg per parą, jeigu pradinis aGFG buvo ≥ 30 ir &lt; 50 ml/min./1,73 m</w:t>
      </w:r>
      <w:r w:rsidRPr="00C249C9">
        <w:rPr>
          <w:rFonts w:cs="Times New Roman"/>
          <w:sz w:val="22"/>
          <w:szCs w:val="22"/>
          <w:vertAlign w:val="superscript"/>
          <w:lang w:val="lt-LT" w:eastAsia="en-US"/>
        </w:rPr>
        <w:t>2</w:t>
      </w:r>
      <w:r w:rsidRPr="00C249C9">
        <w:rPr>
          <w:rFonts w:cs="Times New Roman"/>
          <w:sz w:val="22"/>
          <w:szCs w:val="22"/>
          <w:lang w:val="lt-LT" w:eastAsia="en-US"/>
        </w:rPr>
        <w:t xml:space="preserve"> kūno paviršiaus ploto) doze arba placebu (7339), kai abu vaistiniai preparatai buvo paskirti papildomai prie įprastos priežiūros, vykdytos pagal regioninius HbA1c ir ŠK ligų rizikos veiksnių kontrolės standartus. Pacientai, kurių aGFG buvo &lt; 30 ml/min./1,73 m</w:t>
      </w:r>
      <w:r w:rsidRPr="00C249C9">
        <w:rPr>
          <w:rFonts w:cs="Times New Roman"/>
          <w:sz w:val="22"/>
          <w:szCs w:val="22"/>
          <w:vertAlign w:val="superscript"/>
          <w:lang w:val="lt-LT" w:eastAsia="en-US"/>
        </w:rPr>
        <w:t>2</w:t>
      </w:r>
      <w:r w:rsidRPr="00C249C9">
        <w:rPr>
          <w:rFonts w:cs="Times New Roman"/>
          <w:sz w:val="22"/>
          <w:szCs w:val="22"/>
          <w:lang w:val="lt-LT" w:eastAsia="en-US"/>
        </w:rPr>
        <w:t xml:space="preserve"> kūno paviršiaus ploto, į šį tyrimą nebuvo įtraukiami. Tiriamojoje populiacijoje buvo įtraukti 2004 75 metų ir vyresni pacientai bei 3324 pacientai, kurių inkstų funkcija sutrikusi (aGFG &lt; 60 ml/min./1,73 m</w:t>
      </w:r>
      <w:r w:rsidRPr="00C249C9">
        <w:rPr>
          <w:rFonts w:cs="Times New Roman"/>
          <w:sz w:val="22"/>
          <w:szCs w:val="22"/>
          <w:vertAlign w:val="superscript"/>
          <w:lang w:val="lt-LT" w:eastAsia="en-US"/>
        </w:rPr>
        <w:t>2</w:t>
      </w:r>
      <w:r w:rsidRPr="00C249C9">
        <w:rPr>
          <w:rFonts w:cs="Times New Roman"/>
          <w:sz w:val="22"/>
          <w:szCs w:val="22"/>
          <w:lang w:val="lt-LT" w:eastAsia="en-US"/>
        </w:rPr>
        <w:t xml:space="preserve"> kūno paviršiaus ploto). </w:t>
      </w:r>
    </w:p>
    <w:p w14:paraId="533AF42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Šio tyrimo metu bendrasis apytikriai apskaičiuotas vidutinis (SN) HbA1c skirtumas tarp sitagliptino ir placeb</w:t>
      </w:r>
      <w:r>
        <w:rPr>
          <w:rFonts w:cs="Times New Roman"/>
          <w:sz w:val="22"/>
          <w:szCs w:val="22"/>
          <w:lang w:val="lt-LT" w:eastAsia="en-US"/>
        </w:rPr>
        <w:t>o grupių buvo 0,29 % (0,01), 95 </w:t>
      </w:r>
      <w:r w:rsidRPr="00C249C9">
        <w:rPr>
          <w:rFonts w:cs="Times New Roman"/>
          <w:sz w:val="22"/>
          <w:szCs w:val="22"/>
          <w:lang w:val="lt-LT" w:eastAsia="en-US"/>
        </w:rPr>
        <w:t>% PI (-0,32; -0,27); p &lt; 0,001.</w:t>
      </w:r>
    </w:p>
    <w:p w14:paraId="17B4B2F7"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Pagrindinė širdies ir kraujagyslių vertinamoji baigtis buvo sudėtinė, sudaryta iš kardiovaskulinės mirties, nemirtino miokardo infarkto, nemirtino insulto ar hospitalizacijos dėl nestabilios krūtinės anginos pirmojo pasireiškimo. Papildomos širdies ir kraujagyslių vertinamosios baigtys buvo kardiovaskulinės mirties, nemirtino miokardo infarkto ar nemirtino insulto pirmasis pasireiškimas; pagrindinės vertinamosios baigties atskirų komponentų pirmasis pasireiškimas; mirtingumas dėl bet kokios priežasties; hospitalizacija dėl stazinio širdies nepakankamumo.</w:t>
      </w:r>
    </w:p>
    <w:p w14:paraId="0A4275D1" w14:textId="77777777" w:rsidR="00112208" w:rsidRPr="00C249C9" w:rsidRDefault="00112208" w:rsidP="00112208">
      <w:pPr>
        <w:autoSpaceDE w:val="0"/>
        <w:autoSpaceDN w:val="0"/>
        <w:adjustRightInd w:val="0"/>
        <w:rPr>
          <w:rFonts w:cs="Times New Roman"/>
          <w:sz w:val="22"/>
          <w:szCs w:val="22"/>
          <w:lang w:val="lt-LT" w:eastAsia="en-US"/>
        </w:rPr>
      </w:pPr>
    </w:p>
    <w:p w14:paraId="32AE7C5D" w14:textId="77777777" w:rsidR="00112208" w:rsidRPr="00C249C9" w:rsidRDefault="00112208" w:rsidP="00112208">
      <w:pPr>
        <w:autoSpaceDE w:val="0"/>
        <w:autoSpaceDN w:val="0"/>
        <w:adjustRightInd w:val="0"/>
        <w:rPr>
          <w:rFonts w:cs="Times New Roman"/>
          <w:sz w:val="22"/>
          <w:szCs w:val="22"/>
          <w:lang w:val="lt-LT" w:eastAsia="en-US"/>
        </w:rPr>
      </w:pPr>
      <w:r>
        <w:rPr>
          <w:rFonts w:cs="Times New Roman"/>
          <w:sz w:val="22"/>
          <w:szCs w:val="22"/>
          <w:lang w:val="lt-LT" w:eastAsia="en-US"/>
        </w:rPr>
        <w:t>2 tipo</w:t>
      </w:r>
      <w:r w:rsidRPr="00C249C9">
        <w:rPr>
          <w:rFonts w:cs="Times New Roman"/>
          <w:sz w:val="22"/>
          <w:szCs w:val="22"/>
          <w:lang w:val="lt-LT" w:eastAsia="en-US"/>
        </w:rPr>
        <w:t xml:space="preserve"> cukriniu diabetu sergantiems pacientams po stebėsenos laikotarpio, kurio trukmės mediana buvo 3 metai, sitagliptinas, pridėtas prie įprastos priežiūros, sunkių nepageidaujamų ŠK reiškinių arba hospitalizacijos dėl širdies nepakankamumo rizikos nepadidino, palyginus su įprasta priežiūra be sitagliptino (3 lentelė).</w:t>
      </w:r>
    </w:p>
    <w:p w14:paraId="6AE5C06B" w14:textId="77777777" w:rsidR="00112208" w:rsidRPr="00C249C9" w:rsidRDefault="00112208" w:rsidP="00112208">
      <w:pPr>
        <w:autoSpaceDE w:val="0"/>
        <w:autoSpaceDN w:val="0"/>
        <w:adjustRightInd w:val="0"/>
        <w:rPr>
          <w:rFonts w:eastAsia="TimesNewRoman,Bold" w:cs="Times New Roman"/>
          <w:b/>
          <w:bCs/>
          <w:sz w:val="22"/>
          <w:szCs w:val="22"/>
          <w:lang w:val="lt-LT" w:eastAsia="en-US"/>
        </w:rPr>
      </w:pPr>
    </w:p>
    <w:p w14:paraId="0B13B166" w14:textId="77777777" w:rsidR="00112208" w:rsidRPr="00C249C9" w:rsidRDefault="00112208" w:rsidP="00112208">
      <w:pPr>
        <w:autoSpaceDE w:val="0"/>
        <w:autoSpaceDN w:val="0"/>
        <w:adjustRightInd w:val="0"/>
        <w:rPr>
          <w:rFonts w:eastAsia="TimesNewRoman,Bold" w:cs="Times New Roman"/>
          <w:bCs/>
          <w:i/>
          <w:sz w:val="22"/>
          <w:szCs w:val="22"/>
          <w:lang w:val="lt-LT" w:eastAsia="en-US"/>
        </w:rPr>
      </w:pPr>
      <w:r w:rsidRPr="00C249C9">
        <w:rPr>
          <w:rFonts w:eastAsia="TimesNewRoman,Bold" w:cs="Times New Roman"/>
          <w:bCs/>
          <w:i/>
          <w:sz w:val="22"/>
          <w:szCs w:val="22"/>
          <w:lang w:val="lt-LT" w:eastAsia="en-US"/>
        </w:rPr>
        <w:t>3 lentelė. Sudėtinių širdies ir kraujagyslių vertinamųjų baigčių ir svarbiausiųjų papildomų vertinamųjų baigčių dažniai</w:t>
      </w:r>
    </w:p>
    <w:p w14:paraId="0D895885" w14:textId="77777777" w:rsidR="00112208" w:rsidRPr="00C249C9" w:rsidRDefault="00112208" w:rsidP="00112208">
      <w:pPr>
        <w:autoSpaceDE w:val="0"/>
        <w:autoSpaceDN w:val="0"/>
        <w:adjustRightInd w:val="0"/>
        <w:rPr>
          <w:rFonts w:eastAsia="TimesNewRoman,Bold" w:cs="Times New Roman"/>
          <w:bCs/>
          <w:i/>
          <w:sz w:val="22"/>
          <w:szCs w:val="22"/>
          <w:lang w:val="lt-LT" w:eastAsia="en-US"/>
        </w:rPr>
      </w:pPr>
    </w:p>
    <w:tbl>
      <w:tblPr>
        <w:tblStyle w:val="TableGrid"/>
        <w:tblW w:w="9464" w:type="dxa"/>
        <w:tblLayout w:type="fixed"/>
        <w:tblLook w:val="04A0" w:firstRow="1" w:lastRow="0" w:firstColumn="1" w:lastColumn="0" w:noHBand="0" w:noVBand="1"/>
      </w:tblPr>
      <w:tblGrid>
        <w:gridCol w:w="2659"/>
        <w:gridCol w:w="1135"/>
        <w:gridCol w:w="1134"/>
        <w:gridCol w:w="992"/>
        <w:gridCol w:w="142"/>
        <w:gridCol w:w="992"/>
        <w:gridCol w:w="1276"/>
        <w:gridCol w:w="29"/>
        <w:gridCol w:w="1105"/>
      </w:tblGrid>
      <w:tr w:rsidR="00112208" w:rsidRPr="00C249C9" w14:paraId="289DEC69" w14:textId="77777777" w:rsidTr="00412D1E">
        <w:tc>
          <w:tcPr>
            <w:tcW w:w="2659" w:type="dxa"/>
            <w:vMerge w:val="restart"/>
          </w:tcPr>
          <w:p w14:paraId="69159E36" w14:textId="77777777" w:rsidR="00112208" w:rsidRPr="00C249C9" w:rsidRDefault="00112208" w:rsidP="00412D1E">
            <w:pPr>
              <w:autoSpaceDE w:val="0"/>
              <w:autoSpaceDN w:val="0"/>
              <w:adjustRightInd w:val="0"/>
              <w:rPr>
                <w:rFonts w:eastAsia="TimesNewRoman,Bold" w:cs="Times New Roman"/>
                <w:b/>
                <w:bCs/>
                <w:sz w:val="20"/>
                <w:lang w:val="lt-LT" w:eastAsia="en-US"/>
              </w:rPr>
            </w:pPr>
          </w:p>
        </w:tc>
        <w:tc>
          <w:tcPr>
            <w:tcW w:w="2269" w:type="dxa"/>
            <w:gridSpan w:val="2"/>
          </w:tcPr>
          <w:p w14:paraId="7D636AC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Sitagliptinas 100 mg</w:t>
            </w:r>
          </w:p>
        </w:tc>
        <w:tc>
          <w:tcPr>
            <w:tcW w:w="2126" w:type="dxa"/>
            <w:gridSpan w:val="3"/>
          </w:tcPr>
          <w:p w14:paraId="6A0493CF"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Placebas</w:t>
            </w:r>
          </w:p>
        </w:tc>
        <w:tc>
          <w:tcPr>
            <w:tcW w:w="1276" w:type="dxa"/>
            <w:vMerge w:val="restart"/>
          </w:tcPr>
          <w:p w14:paraId="4CA75087"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49C92D33"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45D7D56B"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Rizikos santykis  (95 % PI)</w:t>
            </w:r>
          </w:p>
        </w:tc>
        <w:tc>
          <w:tcPr>
            <w:tcW w:w="1134" w:type="dxa"/>
            <w:gridSpan w:val="2"/>
            <w:vMerge w:val="restart"/>
          </w:tcPr>
          <w:p w14:paraId="04234630"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58484A85"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685FBB2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3B9C14D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6DD89375"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p-vertė</w:t>
            </w:r>
            <w:r w:rsidRPr="00C249C9">
              <w:rPr>
                <w:rFonts w:eastAsia="TimesNewRoman,Bold" w:cs="Times New Roman"/>
                <w:sz w:val="20"/>
                <w:lang w:val="lt-LT" w:eastAsia="en-US"/>
              </w:rPr>
              <w:t>†</w:t>
            </w:r>
          </w:p>
        </w:tc>
      </w:tr>
      <w:tr w:rsidR="00112208" w:rsidRPr="00C249C9" w14:paraId="69034696" w14:textId="77777777" w:rsidTr="00412D1E">
        <w:tc>
          <w:tcPr>
            <w:tcW w:w="2659" w:type="dxa"/>
            <w:vMerge/>
          </w:tcPr>
          <w:p w14:paraId="4D834A31" w14:textId="77777777" w:rsidR="00112208" w:rsidRPr="00C249C9" w:rsidRDefault="00112208" w:rsidP="00412D1E">
            <w:pPr>
              <w:autoSpaceDE w:val="0"/>
              <w:autoSpaceDN w:val="0"/>
              <w:adjustRightInd w:val="0"/>
              <w:rPr>
                <w:rFonts w:eastAsia="TimesNewRoman,Bold" w:cs="Times New Roman"/>
                <w:b/>
                <w:bCs/>
                <w:sz w:val="20"/>
                <w:lang w:val="lt-LT" w:eastAsia="en-US"/>
              </w:rPr>
            </w:pPr>
          </w:p>
        </w:tc>
        <w:tc>
          <w:tcPr>
            <w:tcW w:w="1135" w:type="dxa"/>
          </w:tcPr>
          <w:p w14:paraId="40C20FAB"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6FDFF31A"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7D7E206E"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6AAF230E"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N (%)</w:t>
            </w:r>
          </w:p>
        </w:tc>
        <w:tc>
          <w:tcPr>
            <w:tcW w:w="1134" w:type="dxa"/>
          </w:tcPr>
          <w:p w14:paraId="5BE0BD1B"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Dažnis per 100 paciento metų</w:t>
            </w:r>
            <w:r w:rsidRPr="00C249C9">
              <w:rPr>
                <w:rFonts w:eastAsia="TimesNewRoman,Bold" w:cs="Times New Roman"/>
                <w:sz w:val="20"/>
                <w:lang w:val="lt-LT" w:eastAsia="en-US"/>
              </w:rPr>
              <w:t>*</w:t>
            </w:r>
          </w:p>
        </w:tc>
        <w:tc>
          <w:tcPr>
            <w:tcW w:w="992" w:type="dxa"/>
          </w:tcPr>
          <w:p w14:paraId="57C399A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05EAD4F8"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1CF8E924"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p w14:paraId="1414C2A7"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N (%)</w:t>
            </w:r>
          </w:p>
        </w:tc>
        <w:tc>
          <w:tcPr>
            <w:tcW w:w="1134" w:type="dxa"/>
            <w:gridSpan w:val="2"/>
          </w:tcPr>
          <w:p w14:paraId="7B7C3976"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b/>
                <w:bCs/>
                <w:sz w:val="20"/>
                <w:lang w:val="lt-LT" w:eastAsia="en-US"/>
              </w:rPr>
              <w:t>Dažnis per 100 paciento metų</w:t>
            </w:r>
            <w:r w:rsidRPr="00C249C9">
              <w:rPr>
                <w:rFonts w:eastAsia="TimesNewRoman,Bold" w:cs="Times New Roman"/>
                <w:sz w:val="20"/>
                <w:lang w:val="lt-LT" w:eastAsia="en-US"/>
              </w:rPr>
              <w:t>*</w:t>
            </w:r>
          </w:p>
        </w:tc>
        <w:tc>
          <w:tcPr>
            <w:tcW w:w="1276" w:type="dxa"/>
            <w:vMerge/>
          </w:tcPr>
          <w:p w14:paraId="67B557EE" w14:textId="77777777" w:rsidR="00112208" w:rsidRPr="00C249C9" w:rsidRDefault="00112208" w:rsidP="00412D1E">
            <w:pPr>
              <w:autoSpaceDE w:val="0"/>
              <w:autoSpaceDN w:val="0"/>
              <w:adjustRightInd w:val="0"/>
              <w:rPr>
                <w:rFonts w:eastAsia="TimesNewRoman,Bold" w:cs="Times New Roman"/>
                <w:b/>
                <w:bCs/>
                <w:sz w:val="20"/>
                <w:lang w:val="lt-LT" w:eastAsia="en-US"/>
              </w:rPr>
            </w:pPr>
          </w:p>
        </w:tc>
        <w:tc>
          <w:tcPr>
            <w:tcW w:w="1134" w:type="dxa"/>
            <w:gridSpan w:val="2"/>
            <w:vMerge/>
          </w:tcPr>
          <w:p w14:paraId="32FB2D3D" w14:textId="77777777" w:rsidR="00112208" w:rsidRPr="00C249C9" w:rsidRDefault="00112208" w:rsidP="00412D1E">
            <w:pPr>
              <w:autoSpaceDE w:val="0"/>
              <w:autoSpaceDN w:val="0"/>
              <w:adjustRightInd w:val="0"/>
              <w:rPr>
                <w:rFonts w:eastAsia="TimesNewRoman,Bold" w:cs="Times New Roman"/>
                <w:b/>
                <w:bCs/>
                <w:sz w:val="20"/>
                <w:lang w:val="lt-LT" w:eastAsia="en-US"/>
              </w:rPr>
            </w:pPr>
          </w:p>
        </w:tc>
      </w:tr>
      <w:tr w:rsidR="00112208" w:rsidRPr="00C249C9" w14:paraId="537245D1" w14:textId="77777777" w:rsidTr="00412D1E">
        <w:tc>
          <w:tcPr>
            <w:tcW w:w="9464" w:type="dxa"/>
            <w:gridSpan w:val="9"/>
          </w:tcPr>
          <w:p w14:paraId="3DB7E8FF"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b/>
                <w:bCs/>
                <w:sz w:val="20"/>
                <w:lang w:val="lt-LT" w:eastAsia="en-US"/>
              </w:rPr>
              <w:t>Ketinimo gydyti populiacijos analizė</w:t>
            </w:r>
          </w:p>
        </w:tc>
      </w:tr>
      <w:tr w:rsidR="00112208" w:rsidRPr="00C249C9" w14:paraId="62EA8DDB" w14:textId="77777777" w:rsidTr="00412D1E">
        <w:tc>
          <w:tcPr>
            <w:tcW w:w="2659" w:type="dxa"/>
          </w:tcPr>
          <w:p w14:paraId="61ED5231"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b/>
                <w:bCs/>
                <w:sz w:val="20"/>
                <w:lang w:val="lt-LT" w:eastAsia="en-US"/>
              </w:rPr>
              <w:t>Pacientų skaičius</w:t>
            </w:r>
          </w:p>
        </w:tc>
        <w:tc>
          <w:tcPr>
            <w:tcW w:w="2269" w:type="dxa"/>
            <w:gridSpan w:val="2"/>
            <w:tcBorders>
              <w:bottom w:val="single" w:sz="4" w:space="0" w:color="auto"/>
            </w:tcBorders>
          </w:tcPr>
          <w:p w14:paraId="687717E3" w14:textId="77777777" w:rsidR="00112208" w:rsidRPr="00C249C9" w:rsidRDefault="00112208" w:rsidP="00412D1E">
            <w:pPr>
              <w:autoSpaceDE w:val="0"/>
              <w:autoSpaceDN w:val="0"/>
              <w:adjustRightInd w:val="0"/>
              <w:jc w:val="center"/>
              <w:rPr>
                <w:rFonts w:eastAsia="TimesNewRoman,Bold" w:cs="Times New Roman"/>
                <w:bCs/>
                <w:sz w:val="20"/>
                <w:lang w:val="lt-LT" w:eastAsia="en-US"/>
              </w:rPr>
            </w:pPr>
            <w:r w:rsidRPr="00C249C9">
              <w:rPr>
                <w:rFonts w:eastAsia="TimesNewRoman,Bold" w:cs="Times New Roman"/>
                <w:bCs/>
                <w:sz w:val="20"/>
                <w:lang w:val="lt-LT" w:eastAsia="en-US"/>
              </w:rPr>
              <w:t>7332</w:t>
            </w:r>
          </w:p>
        </w:tc>
        <w:tc>
          <w:tcPr>
            <w:tcW w:w="2126" w:type="dxa"/>
            <w:gridSpan w:val="3"/>
            <w:tcBorders>
              <w:bottom w:val="single" w:sz="4" w:space="0" w:color="auto"/>
            </w:tcBorders>
          </w:tcPr>
          <w:p w14:paraId="3BDC437F" w14:textId="77777777" w:rsidR="00112208" w:rsidRPr="00C249C9" w:rsidRDefault="00112208" w:rsidP="00412D1E">
            <w:pPr>
              <w:autoSpaceDE w:val="0"/>
              <w:autoSpaceDN w:val="0"/>
              <w:adjustRightInd w:val="0"/>
              <w:jc w:val="center"/>
              <w:rPr>
                <w:rFonts w:eastAsia="TimesNewRoman,Bold" w:cs="Times New Roman"/>
                <w:bCs/>
                <w:sz w:val="20"/>
                <w:lang w:val="lt-LT" w:eastAsia="en-US"/>
              </w:rPr>
            </w:pPr>
            <w:r w:rsidRPr="00C249C9">
              <w:rPr>
                <w:rFonts w:eastAsia="TimesNewRoman,Bold" w:cs="Times New Roman"/>
                <w:bCs/>
                <w:sz w:val="20"/>
                <w:lang w:val="lt-LT" w:eastAsia="en-US"/>
              </w:rPr>
              <w:t>7339</w:t>
            </w:r>
          </w:p>
        </w:tc>
        <w:tc>
          <w:tcPr>
            <w:tcW w:w="1305" w:type="dxa"/>
            <w:gridSpan w:val="2"/>
            <w:vMerge w:val="restart"/>
          </w:tcPr>
          <w:p w14:paraId="0C16256C"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8A6623F"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213E5B3"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05FE390"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9A9D57E"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37015DE"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E03D059"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 xml:space="preserve">0,98 </w:t>
            </w:r>
          </w:p>
          <w:p w14:paraId="335CB2FC"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(0,89 – 1,08)</w:t>
            </w:r>
          </w:p>
        </w:tc>
        <w:tc>
          <w:tcPr>
            <w:tcW w:w="1105" w:type="dxa"/>
            <w:vMerge w:val="restart"/>
          </w:tcPr>
          <w:p w14:paraId="064B406C" w14:textId="77777777" w:rsidR="00112208" w:rsidRPr="00C249C9" w:rsidRDefault="00112208" w:rsidP="00412D1E">
            <w:pPr>
              <w:tabs>
                <w:tab w:val="left" w:pos="567"/>
              </w:tabs>
              <w:autoSpaceDE w:val="0"/>
              <w:autoSpaceDN w:val="0"/>
              <w:adjustRightInd w:val="0"/>
              <w:rPr>
                <w:rFonts w:eastAsia="TimesNewRoman,Bold" w:cs="Times New Roman"/>
                <w:sz w:val="20"/>
                <w:lang w:val="lt-LT" w:eastAsia="en-US"/>
              </w:rPr>
            </w:pPr>
          </w:p>
          <w:p w14:paraId="0FF31EAB" w14:textId="77777777" w:rsidR="00112208" w:rsidRPr="00C249C9" w:rsidRDefault="00112208" w:rsidP="00412D1E">
            <w:pPr>
              <w:tabs>
                <w:tab w:val="left" w:pos="567"/>
              </w:tabs>
              <w:autoSpaceDE w:val="0"/>
              <w:autoSpaceDN w:val="0"/>
              <w:adjustRightInd w:val="0"/>
              <w:rPr>
                <w:rFonts w:eastAsia="TimesNewRoman,Bold" w:cs="Times New Roman"/>
                <w:sz w:val="20"/>
                <w:lang w:val="lt-LT" w:eastAsia="en-US"/>
              </w:rPr>
            </w:pPr>
          </w:p>
          <w:p w14:paraId="7CEC38C5" w14:textId="77777777" w:rsidR="00112208" w:rsidRPr="00C249C9" w:rsidRDefault="00112208" w:rsidP="00412D1E">
            <w:pPr>
              <w:tabs>
                <w:tab w:val="left" w:pos="567"/>
              </w:tabs>
              <w:autoSpaceDE w:val="0"/>
              <w:autoSpaceDN w:val="0"/>
              <w:adjustRightInd w:val="0"/>
              <w:rPr>
                <w:rFonts w:eastAsia="TimesNewRoman,Bold" w:cs="Times New Roman"/>
                <w:sz w:val="20"/>
                <w:lang w:val="lt-LT" w:eastAsia="en-US"/>
              </w:rPr>
            </w:pPr>
          </w:p>
          <w:p w14:paraId="0D4AD5AE" w14:textId="77777777" w:rsidR="00112208" w:rsidRPr="00C249C9" w:rsidRDefault="00112208" w:rsidP="00412D1E">
            <w:pPr>
              <w:tabs>
                <w:tab w:val="left" w:pos="567"/>
              </w:tabs>
              <w:autoSpaceDE w:val="0"/>
              <w:autoSpaceDN w:val="0"/>
              <w:adjustRightInd w:val="0"/>
              <w:rPr>
                <w:rFonts w:eastAsia="TimesNewRoman,Bold" w:cs="Times New Roman"/>
                <w:sz w:val="20"/>
                <w:lang w:val="lt-LT" w:eastAsia="en-US"/>
              </w:rPr>
            </w:pPr>
          </w:p>
          <w:p w14:paraId="0AF42E49" w14:textId="77777777" w:rsidR="00112208" w:rsidRPr="00C249C9" w:rsidRDefault="00112208" w:rsidP="00412D1E">
            <w:pPr>
              <w:tabs>
                <w:tab w:val="left" w:pos="567"/>
              </w:tabs>
              <w:autoSpaceDE w:val="0"/>
              <w:autoSpaceDN w:val="0"/>
              <w:adjustRightInd w:val="0"/>
              <w:rPr>
                <w:rFonts w:eastAsia="TimesNewRoman,Bold" w:cs="Times New Roman"/>
                <w:sz w:val="20"/>
                <w:lang w:val="lt-LT" w:eastAsia="en-US"/>
              </w:rPr>
            </w:pPr>
          </w:p>
          <w:p w14:paraId="54A0513A" w14:textId="77777777" w:rsidR="00112208" w:rsidRPr="00C249C9" w:rsidRDefault="00112208" w:rsidP="00412D1E">
            <w:pPr>
              <w:tabs>
                <w:tab w:val="left" w:pos="567"/>
              </w:tabs>
              <w:autoSpaceDE w:val="0"/>
              <w:autoSpaceDN w:val="0"/>
              <w:adjustRightInd w:val="0"/>
              <w:rPr>
                <w:rFonts w:eastAsia="TimesNewRoman,Bold" w:cs="Times New Roman"/>
                <w:sz w:val="20"/>
                <w:lang w:val="lt-LT" w:eastAsia="en-US"/>
              </w:rPr>
            </w:pPr>
          </w:p>
          <w:p w14:paraId="25590C71" w14:textId="77777777" w:rsidR="00112208" w:rsidRPr="00C249C9" w:rsidRDefault="00112208" w:rsidP="00412D1E">
            <w:pPr>
              <w:tabs>
                <w:tab w:val="left" w:pos="567"/>
              </w:tabs>
              <w:autoSpaceDE w:val="0"/>
              <w:autoSpaceDN w:val="0"/>
              <w:adjustRightInd w:val="0"/>
              <w:rPr>
                <w:rFonts w:eastAsia="TimesNewRoman,Bold" w:cs="Times New Roman"/>
                <w:sz w:val="20"/>
                <w:lang w:val="lt-LT" w:eastAsia="en-US"/>
              </w:rPr>
            </w:pPr>
          </w:p>
          <w:p w14:paraId="643F13E1" w14:textId="77777777" w:rsidR="00112208" w:rsidRPr="00C249C9" w:rsidRDefault="00112208" w:rsidP="00412D1E">
            <w:pPr>
              <w:tabs>
                <w:tab w:val="left" w:pos="567"/>
              </w:tabs>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t>&lt; 0,001</w:t>
            </w:r>
          </w:p>
        </w:tc>
      </w:tr>
      <w:tr w:rsidR="00112208" w:rsidRPr="00C249C9" w14:paraId="50AACE67" w14:textId="77777777" w:rsidTr="00412D1E">
        <w:tc>
          <w:tcPr>
            <w:tcW w:w="2659" w:type="dxa"/>
            <w:tcBorders>
              <w:right w:val="single" w:sz="4" w:space="0" w:color="auto"/>
            </w:tcBorders>
          </w:tcPr>
          <w:p w14:paraId="5B50F2B5"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b/>
                <w:bCs/>
                <w:sz w:val="20"/>
                <w:lang w:val="lt-LT" w:eastAsia="en-US"/>
              </w:rPr>
              <w:t>Pagrindinė sudėtinė vertinamoji baigtis</w:t>
            </w:r>
          </w:p>
          <w:p w14:paraId="4B7BF606" w14:textId="77777777" w:rsidR="00112208" w:rsidRPr="00C249C9" w:rsidRDefault="00112208" w:rsidP="00412D1E">
            <w:pPr>
              <w:autoSpaceDE w:val="0"/>
              <w:autoSpaceDN w:val="0"/>
              <w:adjustRightInd w:val="0"/>
              <w:rPr>
                <w:rFonts w:eastAsia="TimesNewRoman,Bold" w:cs="Times New Roman"/>
                <w:b/>
                <w:bCs/>
                <w:sz w:val="20"/>
                <w:lang w:val="lt-LT" w:eastAsia="en-US"/>
              </w:rPr>
            </w:pPr>
          </w:p>
          <w:p w14:paraId="6D9A3013"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b/>
                <w:bCs/>
                <w:sz w:val="20"/>
                <w:lang w:val="lt-LT" w:eastAsia="en-US"/>
              </w:rPr>
              <w:t xml:space="preserve"> </w:t>
            </w:r>
            <w:r w:rsidRPr="00C249C9">
              <w:rPr>
                <w:rFonts w:eastAsia="TimesNewRoman,Bold" w:cs="Times New Roman"/>
                <w:sz w:val="20"/>
                <w:lang w:val="lt-LT" w:eastAsia="en-US"/>
              </w:rPr>
              <w:t>(kardiovaskulinė mirtis, nemirtinas miokardo infarktas, nemirtinas insultas arba hospitalizacija dėl nestabilios krūtinės anginos)</w:t>
            </w:r>
          </w:p>
        </w:tc>
        <w:tc>
          <w:tcPr>
            <w:tcW w:w="1135" w:type="dxa"/>
            <w:tcBorders>
              <w:left w:val="single" w:sz="4" w:space="0" w:color="auto"/>
              <w:right w:val="single" w:sz="4" w:space="0" w:color="auto"/>
            </w:tcBorders>
          </w:tcPr>
          <w:p w14:paraId="4F333852"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7B047F85"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769D1A6F"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40BFDC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5B12781A"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E9676FA"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D5F467D"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839 (11,4)</w:t>
            </w:r>
          </w:p>
        </w:tc>
        <w:tc>
          <w:tcPr>
            <w:tcW w:w="1134" w:type="dxa"/>
            <w:tcBorders>
              <w:left w:val="single" w:sz="4" w:space="0" w:color="auto"/>
            </w:tcBorders>
          </w:tcPr>
          <w:p w14:paraId="6B1FF203"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3945DAB"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DDA374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7873D37"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A443715"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7601DAC5"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032B5F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4,1</w:t>
            </w:r>
          </w:p>
        </w:tc>
        <w:tc>
          <w:tcPr>
            <w:tcW w:w="1134" w:type="dxa"/>
            <w:gridSpan w:val="2"/>
            <w:tcBorders>
              <w:right w:val="single" w:sz="4" w:space="0" w:color="auto"/>
            </w:tcBorders>
          </w:tcPr>
          <w:p w14:paraId="747BD56A"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DB73A0B"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93A9FA0"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90A789F"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1C227C8"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07CEA1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32D444E"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851 (11,6)</w:t>
            </w:r>
          </w:p>
        </w:tc>
        <w:tc>
          <w:tcPr>
            <w:tcW w:w="992" w:type="dxa"/>
            <w:tcBorders>
              <w:left w:val="single" w:sz="4" w:space="0" w:color="auto"/>
            </w:tcBorders>
          </w:tcPr>
          <w:p w14:paraId="6AA236E8"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C214290"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530377D0"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71836D0"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6FB91A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7C0F36BD"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EB3DBA8"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4,2</w:t>
            </w:r>
          </w:p>
        </w:tc>
        <w:tc>
          <w:tcPr>
            <w:tcW w:w="1305" w:type="dxa"/>
            <w:gridSpan w:val="2"/>
            <w:vMerge/>
          </w:tcPr>
          <w:p w14:paraId="04FEA48F"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p>
        </w:tc>
        <w:tc>
          <w:tcPr>
            <w:tcW w:w="1105" w:type="dxa"/>
            <w:vMerge/>
          </w:tcPr>
          <w:p w14:paraId="37FBC469" w14:textId="77777777" w:rsidR="00112208" w:rsidRPr="00C249C9" w:rsidRDefault="00112208" w:rsidP="00412D1E">
            <w:pPr>
              <w:autoSpaceDE w:val="0"/>
              <w:autoSpaceDN w:val="0"/>
              <w:adjustRightInd w:val="0"/>
              <w:rPr>
                <w:rFonts w:eastAsia="TimesNewRoman,Bold" w:cs="Times New Roman"/>
                <w:b/>
                <w:bCs/>
                <w:sz w:val="20"/>
                <w:lang w:val="lt-LT" w:eastAsia="en-US"/>
              </w:rPr>
            </w:pPr>
          </w:p>
        </w:tc>
      </w:tr>
      <w:tr w:rsidR="00112208" w:rsidRPr="00C249C9" w14:paraId="278EEE1E" w14:textId="77777777" w:rsidTr="00412D1E">
        <w:tc>
          <w:tcPr>
            <w:tcW w:w="2659" w:type="dxa"/>
          </w:tcPr>
          <w:p w14:paraId="43BD3297"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b/>
                <w:bCs/>
                <w:sz w:val="20"/>
                <w:lang w:val="lt-LT" w:eastAsia="en-US"/>
              </w:rPr>
              <w:t xml:space="preserve">Papildoma sudėtinė vertinamoji baigtis </w:t>
            </w:r>
          </w:p>
          <w:p w14:paraId="4C4A9748" w14:textId="77777777" w:rsidR="00112208" w:rsidRPr="00C249C9" w:rsidRDefault="00112208" w:rsidP="00412D1E">
            <w:pPr>
              <w:autoSpaceDE w:val="0"/>
              <w:autoSpaceDN w:val="0"/>
              <w:adjustRightInd w:val="0"/>
              <w:rPr>
                <w:rFonts w:eastAsia="TimesNewRoman,Bold" w:cs="Times New Roman"/>
                <w:b/>
                <w:bCs/>
                <w:sz w:val="20"/>
                <w:lang w:val="lt-LT" w:eastAsia="en-US"/>
              </w:rPr>
            </w:pPr>
          </w:p>
          <w:p w14:paraId="649A897C"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t>(kardiovaskulinė mirtis, nemirtinas miokardo infarktas arba nemirtinas insultas)</w:t>
            </w:r>
          </w:p>
        </w:tc>
        <w:tc>
          <w:tcPr>
            <w:tcW w:w="1135" w:type="dxa"/>
          </w:tcPr>
          <w:p w14:paraId="17993C35"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CA76EC7"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E51CAF7"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52E45D8A"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DE5620F"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745 (10,2)</w:t>
            </w:r>
          </w:p>
        </w:tc>
        <w:tc>
          <w:tcPr>
            <w:tcW w:w="1134" w:type="dxa"/>
          </w:tcPr>
          <w:p w14:paraId="03EF94A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9264474"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C1CC6B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6FF691E"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F705E45"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3,6</w:t>
            </w:r>
          </w:p>
        </w:tc>
        <w:tc>
          <w:tcPr>
            <w:tcW w:w="1134" w:type="dxa"/>
            <w:gridSpan w:val="2"/>
            <w:tcBorders>
              <w:right w:val="single" w:sz="4" w:space="0" w:color="auto"/>
            </w:tcBorders>
          </w:tcPr>
          <w:p w14:paraId="04DD43A7"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779153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B2EC32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C00AA0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0876447"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746 (10,2)</w:t>
            </w:r>
          </w:p>
        </w:tc>
        <w:tc>
          <w:tcPr>
            <w:tcW w:w="992" w:type="dxa"/>
            <w:tcBorders>
              <w:left w:val="single" w:sz="4" w:space="0" w:color="auto"/>
            </w:tcBorders>
          </w:tcPr>
          <w:p w14:paraId="351E9ED5"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72C01D34"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F2D4D33"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7F77A5E"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C1E1DA7"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3,6</w:t>
            </w:r>
          </w:p>
        </w:tc>
        <w:tc>
          <w:tcPr>
            <w:tcW w:w="1305" w:type="dxa"/>
            <w:gridSpan w:val="2"/>
          </w:tcPr>
          <w:p w14:paraId="7A64374D"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71AA888B"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6453B33"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8FCF35D"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0,99</w:t>
            </w:r>
          </w:p>
          <w:p w14:paraId="3B10F67A" w14:textId="77777777" w:rsidR="00112208" w:rsidRPr="00C249C9" w:rsidRDefault="00112208" w:rsidP="00412D1E">
            <w:pPr>
              <w:autoSpaceDE w:val="0"/>
              <w:autoSpaceDN w:val="0"/>
              <w:adjustRightInd w:val="0"/>
              <w:ind w:firstLine="34"/>
              <w:jc w:val="center"/>
              <w:rPr>
                <w:rFonts w:eastAsia="TimesNewRoman,Bold" w:cs="Times New Roman"/>
                <w:b/>
                <w:bCs/>
                <w:sz w:val="20"/>
                <w:lang w:val="lt-LT" w:eastAsia="en-US"/>
              </w:rPr>
            </w:pPr>
            <w:r w:rsidRPr="00C249C9">
              <w:rPr>
                <w:rFonts w:eastAsia="TimesNewRoman,Bold" w:cs="Times New Roman"/>
                <w:sz w:val="20"/>
                <w:lang w:val="lt-LT" w:eastAsia="en-US"/>
              </w:rPr>
              <w:t>(0,89 –1,10)</w:t>
            </w:r>
          </w:p>
        </w:tc>
        <w:tc>
          <w:tcPr>
            <w:tcW w:w="1105" w:type="dxa"/>
          </w:tcPr>
          <w:p w14:paraId="14CC68EF"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0E25EA9"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75637F7"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1ADA58C"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DB4AE48"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&lt; 0,001</w:t>
            </w:r>
          </w:p>
        </w:tc>
      </w:tr>
      <w:tr w:rsidR="00112208" w:rsidRPr="00C249C9" w14:paraId="55DA9F14" w14:textId="77777777" w:rsidTr="00412D1E">
        <w:tc>
          <w:tcPr>
            <w:tcW w:w="3794" w:type="dxa"/>
            <w:gridSpan w:val="2"/>
          </w:tcPr>
          <w:p w14:paraId="3151AA8C"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b/>
                <w:bCs/>
                <w:sz w:val="20"/>
                <w:lang w:val="lt-LT" w:eastAsia="en-US"/>
              </w:rPr>
              <w:t>Papildomos vertinamosios baigtys</w:t>
            </w:r>
          </w:p>
        </w:tc>
        <w:tc>
          <w:tcPr>
            <w:tcW w:w="5670" w:type="dxa"/>
            <w:gridSpan w:val="7"/>
          </w:tcPr>
          <w:p w14:paraId="250898CC" w14:textId="77777777" w:rsidR="00112208" w:rsidRPr="00C249C9" w:rsidRDefault="00112208" w:rsidP="00412D1E">
            <w:pPr>
              <w:autoSpaceDE w:val="0"/>
              <w:autoSpaceDN w:val="0"/>
              <w:adjustRightInd w:val="0"/>
              <w:rPr>
                <w:rFonts w:eastAsia="TimesNewRoman,Bold" w:cs="Times New Roman"/>
                <w:b/>
                <w:bCs/>
                <w:sz w:val="20"/>
                <w:lang w:val="lt-LT" w:eastAsia="en-US"/>
              </w:rPr>
            </w:pPr>
          </w:p>
        </w:tc>
      </w:tr>
      <w:tr w:rsidR="00112208" w:rsidRPr="00C249C9" w14:paraId="619EEDAD" w14:textId="77777777" w:rsidTr="00412D1E">
        <w:tc>
          <w:tcPr>
            <w:tcW w:w="2659" w:type="dxa"/>
          </w:tcPr>
          <w:p w14:paraId="3F159B5B"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t>Kardiovaskulinė mirtis</w:t>
            </w:r>
          </w:p>
        </w:tc>
        <w:tc>
          <w:tcPr>
            <w:tcW w:w="1135" w:type="dxa"/>
          </w:tcPr>
          <w:p w14:paraId="3AF5CAC6"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380 (5,2)</w:t>
            </w:r>
          </w:p>
        </w:tc>
        <w:tc>
          <w:tcPr>
            <w:tcW w:w="1134" w:type="dxa"/>
          </w:tcPr>
          <w:p w14:paraId="0270EA2C"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1,7</w:t>
            </w:r>
          </w:p>
        </w:tc>
        <w:tc>
          <w:tcPr>
            <w:tcW w:w="1134" w:type="dxa"/>
            <w:gridSpan w:val="2"/>
          </w:tcPr>
          <w:p w14:paraId="40D43E1A"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366 (5,0)</w:t>
            </w:r>
          </w:p>
        </w:tc>
        <w:tc>
          <w:tcPr>
            <w:tcW w:w="992" w:type="dxa"/>
          </w:tcPr>
          <w:p w14:paraId="295F340E"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1,7</w:t>
            </w:r>
          </w:p>
        </w:tc>
        <w:tc>
          <w:tcPr>
            <w:tcW w:w="1305" w:type="dxa"/>
            <w:gridSpan w:val="2"/>
          </w:tcPr>
          <w:p w14:paraId="445CC7F0"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 xml:space="preserve">1,03 </w:t>
            </w:r>
          </w:p>
          <w:p w14:paraId="366F2DA3"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(0,89 – 1,19)</w:t>
            </w:r>
          </w:p>
        </w:tc>
        <w:tc>
          <w:tcPr>
            <w:tcW w:w="1105" w:type="dxa"/>
          </w:tcPr>
          <w:p w14:paraId="62368BD2"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0,711</w:t>
            </w:r>
          </w:p>
        </w:tc>
      </w:tr>
      <w:tr w:rsidR="00112208" w:rsidRPr="00C249C9" w14:paraId="5BBD8172" w14:textId="77777777" w:rsidTr="00412D1E">
        <w:tc>
          <w:tcPr>
            <w:tcW w:w="2659" w:type="dxa"/>
          </w:tcPr>
          <w:p w14:paraId="2910DF64"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t>Visi miokardo infarktai (mirtini ir nemirtini)</w:t>
            </w:r>
          </w:p>
        </w:tc>
        <w:tc>
          <w:tcPr>
            <w:tcW w:w="1135" w:type="dxa"/>
          </w:tcPr>
          <w:p w14:paraId="0756B52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46F7680"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300 (4,1)</w:t>
            </w:r>
          </w:p>
        </w:tc>
        <w:tc>
          <w:tcPr>
            <w:tcW w:w="1134" w:type="dxa"/>
          </w:tcPr>
          <w:p w14:paraId="6321D93A"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4975FE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1,4</w:t>
            </w:r>
          </w:p>
        </w:tc>
        <w:tc>
          <w:tcPr>
            <w:tcW w:w="1134" w:type="dxa"/>
            <w:gridSpan w:val="2"/>
          </w:tcPr>
          <w:p w14:paraId="5E473F5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E54DFD0"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316 (4,3)</w:t>
            </w:r>
          </w:p>
        </w:tc>
        <w:tc>
          <w:tcPr>
            <w:tcW w:w="992" w:type="dxa"/>
          </w:tcPr>
          <w:p w14:paraId="491B2327"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1205AEC"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1,5</w:t>
            </w:r>
          </w:p>
        </w:tc>
        <w:tc>
          <w:tcPr>
            <w:tcW w:w="1305" w:type="dxa"/>
            <w:gridSpan w:val="2"/>
          </w:tcPr>
          <w:p w14:paraId="414CDBB6"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0,95</w:t>
            </w:r>
          </w:p>
          <w:p w14:paraId="3C95B600"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(0,81 – 1,11)</w:t>
            </w:r>
          </w:p>
        </w:tc>
        <w:tc>
          <w:tcPr>
            <w:tcW w:w="1105" w:type="dxa"/>
          </w:tcPr>
          <w:p w14:paraId="5673F285"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92BADF6"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0,487</w:t>
            </w:r>
          </w:p>
        </w:tc>
      </w:tr>
      <w:tr w:rsidR="00112208" w:rsidRPr="00C249C9" w14:paraId="4A00A7B6" w14:textId="77777777" w:rsidTr="00412D1E">
        <w:tc>
          <w:tcPr>
            <w:tcW w:w="2659" w:type="dxa"/>
          </w:tcPr>
          <w:p w14:paraId="101BCC68"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t>Visi insultai (mirtini ir nemirtini)</w:t>
            </w:r>
          </w:p>
        </w:tc>
        <w:tc>
          <w:tcPr>
            <w:tcW w:w="1135" w:type="dxa"/>
          </w:tcPr>
          <w:p w14:paraId="157D6B08"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77FBCB2"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178 (2,4)</w:t>
            </w:r>
          </w:p>
        </w:tc>
        <w:tc>
          <w:tcPr>
            <w:tcW w:w="1134" w:type="dxa"/>
          </w:tcPr>
          <w:p w14:paraId="4A76A14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415E581"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0,8</w:t>
            </w:r>
          </w:p>
        </w:tc>
        <w:tc>
          <w:tcPr>
            <w:tcW w:w="1134" w:type="dxa"/>
            <w:gridSpan w:val="2"/>
          </w:tcPr>
          <w:p w14:paraId="17124EFF"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46D4AE7"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183 (2,5)</w:t>
            </w:r>
          </w:p>
        </w:tc>
        <w:tc>
          <w:tcPr>
            <w:tcW w:w="992" w:type="dxa"/>
          </w:tcPr>
          <w:p w14:paraId="5FDF5795"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62FDCE7"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0,9</w:t>
            </w:r>
          </w:p>
        </w:tc>
        <w:tc>
          <w:tcPr>
            <w:tcW w:w="1305" w:type="dxa"/>
            <w:gridSpan w:val="2"/>
          </w:tcPr>
          <w:p w14:paraId="453A415D"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0,97</w:t>
            </w:r>
          </w:p>
          <w:p w14:paraId="66EA7682"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(0,79 – 1,19)</w:t>
            </w:r>
          </w:p>
        </w:tc>
        <w:tc>
          <w:tcPr>
            <w:tcW w:w="1105" w:type="dxa"/>
          </w:tcPr>
          <w:p w14:paraId="4BD13E6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3552F152"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0,760</w:t>
            </w:r>
          </w:p>
        </w:tc>
      </w:tr>
      <w:tr w:rsidR="00112208" w:rsidRPr="00C249C9" w14:paraId="6BE4C39B" w14:textId="77777777" w:rsidTr="00412D1E">
        <w:tc>
          <w:tcPr>
            <w:tcW w:w="2659" w:type="dxa"/>
          </w:tcPr>
          <w:p w14:paraId="162ED18E"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t>Hospitalizacija dėl nestabilios krūtinės anginos</w:t>
            </w:r>
          </w:p>
        </w:tc>
        <w:tc>
          <w:tcPr>
            <w:tcW w:w="1135" w:type="dxa"/>
          </w:tcPr>
          <w:p w14:paraId="1D29DF4C"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6A682E9D"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116 (1,6)</w:t>
            </w:r>
          </w:p>
        </w:tc>
        <w:tc>
          <w:tcPr>
            <w:tcW w:w="1134" w:type="dxa"/>
          </w:tcPr>
          <w:p w14:paraId="39D12C3B"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89A9C31"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0,5</w:t>
            </w:r>
          </w:p>
        </w:tc>
        <w:tc>
          <w:tcPr>
            <w:tcW w:w="1134" w:type="dxa"/>
            <w:gridSpan w:val="2"/>
          </w:tcPr>
          <w:p w14:paraId="4E66C59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57B6F7C3"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129 (1,8)</w:t>
            </w:r>
          </w:p>
        </w:tc>
        <w:tc>
          <w:tcPr>
            <w:tcW w:w="992" w:type="dxa"/>
          </w:tcPr>
          <w:p w14:paraId="214BDFBD"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76D31EB6"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0,6</w:t>
            </w:r>
          </w:p>
        </w:tc>
        <w:tc>
          <w:tcPr>
            <w:tcW w:w="1305" w:type="dxa"/>
            <w:gridSpan w:val="2"/>
          </w:tcPr>
          <w:p w14:paraId="1C4E3025"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0,90</w:t>
            </w:r>
          </w:p>
          <w:p w14:paraId="7E99B103"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(0,70 – 1,16)</w:t>
            </w:r>
          </w:p>
        </w:tc>
        <w:tc>
          <w:tcPr>
            <w:tcW w:w="1105" w:type="dxa"/>
          </w:tcPr>
          <w:p w14:paraId="6928BB6B"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5AAAF77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0,419</w:t>
            </w:r>
          </w:p>
        </w:tc>
      </w:tr>
      <w:tr w:rsidR="00112208" w:rsidRPr="00C249C9" w14:paraId="3DB873D8" w14:textId="77777777" w:rsidTr="00412D1E">
        <w:tc>
          <w:tcPr>
            <w:tcW w:w="2659" w:type="dxa"/>
          </w:tcPr>
          <w:p w14:paraId="42310BAB"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t>Mirtis dėl bet kokios priežasties</w:t>
            </w:r>
          </w:p>
        </w:tc>
        <w:tc>
          <w:tcPr>
            <w:tcW w:w="1135" w:type="dxa"/>
          </w:tcPr>
          <w:p w14:paraId="6E996A6C"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E94A022"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547 (7,5)</w:t>
            </w:r>
          </w:p>
        </w:tc>
        <w:tc>
          <w:tcPr>
            <w:tcW w:w="1134" w:type="dxa"/>
          </w:tcPr>
          <w:p w14:paraId="76CFE53B"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209A0112"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2,5</w:t>
            </w:r>
          </w:p>
        </w:tc>
        <w:tc>
          <w:tcPr>
            <w:tcW w:w="1134" w:type="dxa"/>
            <w:gridSpan w:val="2"/>
          </w:tcPr>
          <w:p w14:paraId="4F27D419"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600A4A3"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537 (7,3)</w:t>
            </w:r>
          </w:p>
        </w:tc>
        <w:tc>
          <w:tcPr>
            <w:tcW w:w="992" w:type="dxa"/>
          </w:tcPr>
          <w:p w14:paraId="21B8EE16"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E9298E9"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 xml:space="preserve">2,5 </w:t>
            </w:r>
          </w:p>
        </w:tc>
        <w:tc>
          <w:tcPr>
            <w:tcW w:w="1305" w:type="dxa"/>
            <w:gridSpan w:val="2"/>
          </w:tcPr>
          <w:p w14:paraId="6900F118"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1,01</w:t>
            </w:r>
          </w:p>
          <w:p w14:paraId="642E0660"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(0,90 – 1,14)</w:t>
            </w:r>
          </w:p>
        </w:tc>
        <w:tc>
          <w:tcPr>
            <w:tcW w:w="1105" w:type="dxa"/>
          </w:tcPr>
          <w:p w14:paraId="54B776DA"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D576B34"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0,875</w:t>
            </w:r>
          </w:p>
        </w:tc>
      </w:tr>
      <w:tr w:rsidR="00112208" w:rsidRPr="00C249C9" w14:paraId="63C64C7F" w14:textId="77777777" w:rsidTr="00412D1E">
        <w:tc>
          <w:tcPr>
            <w:tcW w:w="2659" w:type="dxa"/>
          </w:tcPr>
          <w:p w14:paraId="68410A05" w14:textId="77777777" w:rsidR="00112208" w:rsidRPr="00C249C9" w:rsidRDefault="00112208" w:rsidP="00412D1E">
            <w:pPr>
              <w:autoSpaceDE w:val="0"/>
              <w:autoSpaceDN w:val="0"/>
              <w:adjustRightInd w:val="0"/>
              <w:rPr>
                <w:rFonts w:eastAsia="TimesNewRoman,Bold" w:cs="Times New Roman"/>
                <w:b/>
                <w:bCs/>
                <w:sz w:val="20"/>
                <w:lang w:val="lt-LT" w:eastAsia="en-US"/>
              </w:rPr>
            </w:pPr>
            <w:r w:rsidRPr="00C249C9">
              <w:rPr>
                <w:rFonts w:eastAsia="TimesNewRoman,Bold" w:cs="Times New Roman"/>
                <w:sz w:val="20"/>
                <w:lang w:val="lt-LT" w:eastAsia="en-US"/>
              </w:rPr>
              <w:lastRenderedPageBreak/>
              <w:t>Hospitalizacija dėl širdies nepakankamumo</w:t>
            </w:r>
            <w:r w:rsidRPr="00C249C9">
              <w:rPr>
                <w:rFonts w:eastAsia="TimesNewRoman,Bold" w:cs="Times New Roman"/>
                <w:sz w:val="20"/>
                <w:vertAlign w:val="superscript"/>
                <w:lang w:val="lt-LT" w:eastAsia="en-US"/>
              </w:rPr>
              <w:t>‡</w:t>
            </w:r>
          </w:p>
        </w:tc>
        <w:tc>
          <w:tcPr>
            <w:tcW w:w="1135" w:type="dxa"/>
          </w:tcPr>
          <w:p w14:paraId="222A58E1"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DA07B44"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228 (3,1)</w:t>
            </w:r>
          </w:p>
        </w:tc>
        <w:tc>
          <w:tcPr>
            <w:tcW w:w="1134" w:type="dxa"/>
          </w:tcPr>
          <w:p w14:paraId="20A5BD24"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1155D4F7"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1,1</w:t>
            </w:r>
          </w:p>
        </w:tc>
        <w:tc>
          <w:tcPr>
            <w:tcW w:w="1134" w:type="dxa"/>
            <w:gridSpan w:val="2"/>
          </w:tcPr>
          <w:p w14:paraId="24D7B4C4"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023E7D0D"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229 (3,1)</w:t>
            </w:r>
          </w:p>
        </w:tc>
        <w:tc>
          <w:tcPr>
            <w:tcW w:w="992" w:type="dxa"/>
          </w:tcPr>
          <w:p w14:paraId="325017E4"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5B15A33"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1,1</w:t>
            </w:r>
          </w:p>
        </w:tc>
        <w:tc>
          <w:tcPr>
            <w:tcW w:w="1305" w:type="dxa"/>
            <w:gridSpan w:val="2"/>
          </w:tcPr>
          <w:p w14:paraId="3FDE353D" w14:textId="77777777" w:rsidR="00112208" w:rsidRPr="00C249C9" w:rsidRDefault="00112208" w:rsidP="00412D1E">
            <w:pPr>
              <w:autoSpaceDE w:val="0"/>
              <w:autoSpaceDN w:val="0"/>
              <w:adjustRightInd w:val="0"/>
              <w:jc w:val="center"/>
              <w:rPr>
                <w:rFonts w:eastAsia="TimesNewRoman,Bold" w:cs="Times New Roman"/>
                <w:sz w:val="20"/>
                <w:lang w:val="lt-LT" w:eastAsia="en-US"/>
              </w:rPr>
            </w:pPr>
            <w:r w:rsidRPr="00C249C9">
              <w:rPr>
                <w:rFonts w:eastAsia="TimesNewRoman,Bold" w:cs="Times New Roman"/>
                <w:sz w:val="20"/>
                <w:lang w:val="lt-LT" w:eastAsia="en-US"/>
              </w:rPr>
              <w:t>1,00</w:t>
            </w:r>
          </w:p>
          <w:p w14:paraId="4AAD2F6A"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(0,83 – 1,20)</w:t>
            </w:r>
          </w:p>
        </w:tc>
        <w:tc>
          <w:tcPr>
            <w:tcW w:w="1105" w:type="dxa"/>
          </w:tcPr>
          <w:p w14:paraId="7100CF92" w14:textId="77777777" w:rsidR="00112208" w:rsidRPr="00C249C9" w:rsidRDefault="00112208" w:rsidP="00412D1E">
            <w:pPr>
              <w:autoSpaceDE w:val="0"/>
              <w:autoSpaceDN w:val="0"/>
              <w:adjustRightInd w:val="0"/>
              <w:jc w:val="center"/>
              <w:rPr>
                <w:rFonts w:eastAsia="TimesNewRoman,Bold" w:cs="Times New Roman"/>
                <w:sz w:val="20"/>
                <w:lang w:val="lt-LT" w:eastAsia="en-US"/>
              </w:rPr>
            </w:pPr>
          </w:p>
          <w:p w14:paraId="4727FA9E" w14:textId="77777777" w:rsidR="00112208" w:rsidRPr="00C249C9" w:rsidRDefault="00112208" w:rsidP="00412D1E">
            <w:pPr>
              <w:autoSpaceDE w:val="0"/>
              <w:autoSpaceDN w:val="0"/>
              <w:adjustRightInd w:val="0"/>
              <w:jc w:val="center"/>
              <w:rPr>
                <w:rFonts w:eastAsia="TimesNewRoman,Bold" w:cs="Times New Roman"/>
                <w:b/>
                <w:bCs/>
                <w:sz w:val="20"/>
                <w:lang w:val="lt-LT" w:eastAsia="en-US"/>
              </w:rPr>
            </w:pPr>
            <w:r w:rsidRPr="00C249C9">
              <w:rPr>
                <w:rFonts w:eastAsia="TimesNewRoman,Bold" w:cs="Times New Roman"/>
                <w:sz w:val="20"/>
                <w:lang w:val="lt-LT" w:eastAsia="en-US"/>
              </w:rPr>
              <w:t>0,983</w:t>
            </w:r>
          </w:p>
        </w:tc>
      </w:tr>
    </w:tbl>
    <w:p w14:paraId="4971A0D1"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vertAlign w:val="superscript"/>
          <w:lang w:val="lt-LT" w:eastAsia="en-US"/>
        </w:rPr>
        <w:t xml:space="preserve">* </w:t>
      </w:r>
      <w:r w:rsidRPr="00C249C9">
        <w:rPr>
          <w:rFonts w:eastAsia="TimesNewRoman,Bold" w:cs="Times New Roman"/>
          <w:sz w:val="22"/>
          <w:szCs w:val="22"/>
          <w:lang w:val="lt-LT" w:eastAsia="en-US"/>
        </w:rPr>
        <w:t>Dažnis per 100 paciento metų apskaičiuotas taip: 100 × (iš viso pacientų, patyrusių 1 ar daugiau reiškinių tinkamų stebėsenos laikotarpiu per visą paciento metų stebėsenos laikotarpį).</w:t>
      </w:r>
    </w:p>
    <w:p w14:paraId="2733555C" w14:textId="77777777" w:rsidR="00112208" w:rsidRPr="00C249C9" w:rsidRDefault="00112208" w:rsidP="00112208">
      <w:pPr>
        <w:autoSpaceDE w:val="0"/>
        <w:autoSpaceDN w:val="0"/>
        <w:adjustRightInd w:val="0"/>
        <w:rPr>
          <w:rFonts w:eastAsia="TimesNewRoman,Bold" w:cs="Times New Roman"/>
          <w:sz w:val="22"/>
          <w:szCs w:val="22"/>
          <w:lang w:val="lt-LT" w:eastAsia="en-US"/>
        </w:rPr>
      </w:pPr>
    </w:p>
    <w:p w14:paraId="775E5F51"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vertAlign w:val="superscript"/>
          <w:lang w:val="lt-LT" w:eastAsia="en-US"/>
        </w:rPr>
        <w:t xml:space="preserve">† </w:t>
      </w:r>
      <w:r w:rsidRPr="00C249C9">
        <w:rPr>
          <w:rFonts w:eastAsia="TimesNewRoman,Bold" w:cs="Times New Roman"/>
          <w:sz w:val="22"/>
          <w:szCs w:val="22"/>
          <w:lang w:val="lt-LT" w:eastAsia="en-US"/>
        </w:rPr>
        <w:t xml:space="preserve">Remiantis </w:t>
      </w:r>
      <w:r w:rsidRPr="00C249C9">
        <w:rPr>
          <w:rFonts w:eastAsia="TimesNewRoman,Italic" w:cs="Times New Roman"/>
          <w:i/>
          <w:iCs/>
          <w:sz w:val="22"/>
          <w:szCs w:val="22"/>
          <w:lang w:val="lt-LT" w:eastAsia="en-US"/>
        </w:rPr>
        <w:t xml:space="preserve">Cox </w:t>
      </w:r>
      <w:r w:rsidRPr="00C249C9">
        <w:rPr>
          <w:rFonts w:eastAsia="TimesNewRoman,Bold" w:cs="Times New Roman"/>
          <w:sz w:val="22"/>
          <w:szCs w:val="22"/>
          <w:lang w:val="lt-LT" w:eastAsia="en-US"/>
        </w:rPr>
        <w:t>modeliu, suskirstant pagal regioną. Sudėtinių vertinamųjų baigčių p-vertės atitinka „neprastesnio“ tyrimo, kuriuo siekiama įrodyti, kad rizikos santykis yra mažesnis nei 1,3. Visų kitų vertinamųjų baigčių p-vertės atitinka rizikos santykio skirtumų testą.</w:t>
      </w:r>
    </w:p>
    <w:p w14:paraId="7A7BAFC4" w14:textId="77777777" w:rsidR="00112208" w:rsidRPr="00C249C9" w:rsidRDefault="00112208" w:rsidP="00112208">
      <w:pPr>
        <w:autoSpaceDE w:val="0"/>
        <w:autoSpaceDN w:val="0"/>
        <w:adjustRightInd w:val="0"/>
        <w:rPr>
          <w:rFonts w:eastAsia="TimesNewRoman,Bold" w:cs="Times New Roman"/>
          <w:sz w:val="22"/>
          <w:szCs w:val="22"/>
          <w:lang w:val="lt-LT" w:eastAsia="en-US"/>
        </w:rPr>
      </w:pPr>
    </w:p>
    <w:p w14:paraId="7612F074" w14:textId="77777777" w:rsidR="00112208" w:rsidRPr="00C249C9" w:rsidRDefault="00112208" w:rsidP="00112208">
      <w:pPr>
        <w:autoSpaceDE w:val="0"/>
        <w:autoSpaceDN w:val="0"/>
        <w:adjustRightInd w:val="0"/>
        <w:rPr>
          <w:rFonts w:eastAsia="TimesNewRoman,Bold" w:cs="Times New Roman"/>
          <w:sz w:val="22"/>
          <w:szCs w:val="22"/>
          <w:lang w:val="lt-LT" w:eastAsia="en-US"/>
        </w:rPr>
      </w:pPr>
      <w:r w:rsidRPr="00C249C9">
        <w:rPr>
          <w:rFonts w:eastAsia="TimesNewRoman,Bold" w:cs="Times New Roman"/>
          <w:sz w:val="22"/>
          <w:szCs w:val="22"/>
          <w:vertAlign w:val="superscript"/>
          <w:lang w:val="lt-LT" w:eastAsia="en-US"/>
        </w:rPr>
        <w:t xml:space="preserve">‡ </w:t>
      </w:r>
      <w:r w:rsidRPr="00C249C9">
        <w:rPr>
          <w:rFonts w:eastAsia="TimesNewRoman,Bold" w:cs="Times New Roman"/>
          <w:sz w:val="22"/>
          <w:szCs w:val="22"/>
          <w:lang w:val="lt-LT" w:eastAsia="en-US"/>
        </w:rPr>
        <w:t>Hospitalizavimo dėl širdies nepakankamumo analizė buvo pakoreguota pagal prieš pradedant tyrimą buvusį širdies nepakankamumą.</w:t>
      </w:r>
    </w:p>
    <w:p w14:paraId="4F9F94E4" w14:textId="77777777" w:rsidR="00112208" w:rsidRPr="00C249C9" w:rsidRDefault="00112208" w:rsidP="00112208">
      <w:pPr>
        <w:autoSpaceDE w:val="0"/>
        <w:autoSpaceDN w:val="0"/>
        <w:adjustRightInd w:val="0"/>
        <w:rPr>
          <w:rFonts w:eastAsia="TimesNewRoman,Bold" w:cs="Times New Roman"/>
          <w:sz w:val="22"/>
          <w:szCs w:val="22"/>
          <w:lang w:val="lt-LT" w:eastAsia="en-US"/>
        </w:rPr>
      </w:pPr>
    </w:p>
    <w:p w14:paraId="381FC752" w14:textId="77777777" w:rsidR="00112208" w:rsidRPr="00C249C9" w:rsidRDefault="00112208" w:rsidP="00112208">
      <w:pPr>
        <w:autoSpaceDE w:val="0"/>
        <w:autoSpaceDN w:val="0"/>
        <w:adjustRightInd w:val="0"/>
        <w:rPr>
          <w:rFonts w:eastAsia="TimesNewRoman,Bold" w:cs="Times New Roman"/>
          <w:sz w:val="22"/>
          <w:szCs w:val="22"/>
          <w:u w:val="single"/>
          <w:lang w:val="lt-LT" w:eastAsia="en-US"/>
        </w:rPr>
      </w:pPr>
      <w:r w:rsidRPr="00C249C9">
        <w:rPr>
          <w:rFonts w:eastAsia="TimesNewRoman,Bold" w:cs="Times New Roman"/>
          <w:sz w:val="22"/>
          <w:szCs w:val="22"/>
          <w:u w:val="single"/>
          <w:lang w:val="lt-LT" w:eastAsia="en-US"/>
        </w:rPr>
        <w:t>Vaikų populiacija</w:t>
      </w:r>
    </w:p>
    <w:p w14:paraId="362E5C1F" w14:textId="77777777" w:rsidR="00112208" w:rsidRDefault="00112208" w:rsidP="00112208">
      <w:pPr>
        <w:autoSpaceDE w:val="0"/>
        <w:autoSpaceDN w:val="0"/>
        <w:adjustRightInd w:val="0"/>
        <w:rPr>
          <w:rFonts w:eastAsia="TimesNewRoman,Bold" w:cs="Times New Roman"/>
          <w:sz w:val="22"/>
          <w:szCs w:val="22"/>
          <w:lang w:val="lt-LT" w:eastAsia="en-US"/>
        </w:rPr>
      </w:pPr>
      <w:r w:rsidRPr="00E43EA7">
        <w:rPr>
          <w:rFonts w:eastAsia="TimesNewRoman,Bold" w:cs="Times New Roman"/>
          <w:sz w:val="22"/>
          <w:szCs w:val="22"/>
          <w:lang w:val="lt-LT" w:eastAsia="en-US"/>
        </w:rPr>
        <w:t>Buvo atliktas 54 savaičių trukmės, dvigubai koduotas tyrimas, siekiant įvertinti kartą per parą</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skiriamos 100</w:t>
      </w:r>
      <w:r>
        <w:rPr>
          <w:rFonts w:eastAsia="TimesNewRoman,Bold" w:cs="Times New Roman"/>
          <w:sz w:val="22"/>
          <w:szCs w:val="22"/>
          <w:lang w:val="lt-LT" w:eastAsia="en-US"/>
        </w:rPr>
        <w:t> </w:t>
      </w:r>
      <w:r w:rsidRPr="00E43EA7">
        <w:rPr>
          <w:rFonts w:eastAsia="TimesNewRoman,Bold" w:cs="Times New Roman"/>
          <w:sz w:val="22"/>
          <w:szCs w:val="22"/>
          <w:lang w:val="lt-LT" w:eastAsia="en-US"/>
        </w:rPr>
        <w:t>mg sitagliptino dozės veiksmingumą ir saugumą vaikams (nuo 10 iki 17 metų), kurie</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sirgo 2 tipo diabetu ir kurie bent 12 savaičių nevartojo jokių gliukozės kiekį mažinančių vaistinių</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preparatų (kai HbA1c rodmuo buvo nuo 6,5</w:t>
      </w:r>
      <w:r>
        <w:rPr>
          <w:rFonts w:eastAsia="TimesNewRoman,Bold" w:cs="Times New Roman"/>
          <w:sz w:val="22"/>
          <w:szCs w:val="22"/>
          <w:lang w:val="lt-LT" w:eastAsia="en-US"/>
        </w:rPr>
        <w:t> </w:t>
      </w:r>
      <w:r w:rsidRPr="00E43EA7">
        <w:rPr>
          <w:rFonts w:eastAsia="TimesNewRoman,Bold" w:cs="Times New Roman"/>
          <w:sz w:val="22"/>
          <w:szCs w:val="22"/>
          <w:lang w:val="lt-LT" w:eastAsia="en-US"/>
        </w:rPr>
        <w:t>% iki 10</w:t>
      </w:r>
      <w:r>
        <w:rPr>
          <w:rFonts w:eastAsia="TimesNewRoman,Bold" w:cs="Times New Roman"/>
          <w:sz w:val="22"/>
          <w:szCs w:val="22"/>
          <w:lang w:val="lt-LT" w:eastAsia="en-US"/>
        </w:rPr>
        <w:t> </w:t>
      </w:r>
      <w:r w:rsidRPr="00E43EA7">
        <w:rPr>
          <w:rFonts w:eastAsia="TimesNewRoman,Bold" w:cs="Times New Roman"/>
          <w:sz w:val="22"/>
          <w:szCs w:val="22"/>
          <w:lang w:val="lt-LT" w:eastAsia="en-US"/>
        </w:rPr>
        <w:t>%) arba bent 12 savaičių vartojo stabilią insulino</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dozę (kai HbA1c rodmuo buvo nuo 7</w:t>
      </w:r>
      <w:r>
        <w:rPr>
          <w:rFonts w:eastAsia="TimesNewRoman,Bold" w:cs="Times New Roman"/>
          <w:sz w:val="22"/>
          <w:szCs w:val="22"/>
          <w:lang w:val="lt-LT" w:eastAsia="en-US"/>
        </w:rPr>
        <w:t> </w:t>
      </w:r>
      <w:r w:rsidRPr="00E43EA7">
        <w:rPr>
          <w:rFonts w:eastAsia="TimesNewRoman,Bold" w:cs="Times New Roman"/>
          <w:sz w:val="22"/>
          <w:szCs w:val="22"/>
          <w:lang w:val="lt-LT" w:eastAsia="en-US"/>
        </w:rPr>
        <w:t>% iki 10</w:t>
      </w:r>
      <w:r>
        <w:rPr>
          <w:rFonts w:eastAsia="TimesNewRoman,Bold" w:cs="Times New Roman"/>
          <w:sz w:val="22"/>
          <w:szCs w:val="22"/>
          <w:lang w:val="lt-LT" w:eastAsia="en-US"/>
        </w:rPr>
        <w:t> </w:t>
      </w:r>
      <w:r w:rsidRPr="00E43EA7">
        <w:rPr>
          <w:rFonts w:eastAsia="TimesNewRoman,Bold" w:cs="Times New Roman"/>
          <w:sz w:val="22"/>
          <w:szCs w:val="22"/>
          <w:lang w:val="lt-LT" w:eastAsia="en-US"/>
        </w:rPr>
        <w:t>%). Pacientai atsitiktine tvarka buvo suskirstyti į grupes</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ir jiems 20 savaičių buvo skiriama arba 100</w:t>
      </w:r>
      <w:r>
        <w:rPr>
          <w:rFonts w:eastAsia="TimesNewRoman,Bold" w:cs="Times New Roman"/>
          <w:sz w:val="22"/>
          <w:szCs w:val="22"/>
          <w:lang w:val="lt-LT" w:eastAsia="en-US"/>
        </w:rPr>
        <w:t> </w:t>
      </w:r>
      <w:r w:rsidRPr="00E43EA7">
        <w:rPr>
          <w:rFonts w:eastAsia="TimesNewRoman,Bold" w:cs="Times New Roman"/>
          <w:sz w:val="22"/>
          <w:szCs w:val="22"/>
          <w:lang w:val="lt-LT" w:eastAsia="en-US"/>
        </w:rPr>
        <w:t>mg sitagliptino dozė kartą per parą, arba placebas.</w:t>
      </w:r>
    </w:p>
    <w:p w14:paraId="2B90E81B" w14:textId="77777777" w:rsidR="00112208" w:rsidRPr="00C249C9" w:rsidRDefault="00112208" w:rsidP="00112208">
      <w:pPr>
        <w:autoSpaceDE w:val="0"/>
        <w:autoSpaceDN w:val="0"/>
        <w:adjustRightInd w:val="0"/>
        <w:rPr>
          <w:rFonts w:eastAsia="MathExt" w:cs="Times New Roman"/>
          <w:sz w:val="22"/>
          <w:szCs w:val="22"/>
          <w:lang w:val="lt-LT" w:eastAsia="en-US"/>
        </w:rPr>
      </w:pPr>
      <w:r w:rsidRPr="00E43EA7">
        <w:rPr>
          <w:rFonts w:eastAsia="TimesNewRoman,Bold" w:cs="Times New Roman"/>
          <w:sz w:val="22"/>
          <w:szCs w:val="22"/>
          <w:lang w:val="lt-LT" w:eastAsia="en-US"/>
        </w:rPr>
        <w:t>Vidutinis pradinis HbA1c rodmuo buvo 7,5</w:t>
      </w:r>
      <w:r>
        <w:rPr>
          <w:rFonts w:eastAsia="TimesNewRoman,Bold" w:cs="Times New Roman"/>
          <w:sz w:val="22"/>
          <w:szCs w:val="22"/>
          <w:lang w:val="lt-LT" w:eastAsia="en-US"/>
        </w:rPr>
        <w:t> </w:t>
      </w:r>
      <w:r w:rsidRPr="00E43EA7">
        <w:rPr>
          <w:rFonts w:eastAsia="TimesNewRoman,Bold" w:cs="Times New Roman"/>
          <w:sz w:val="22"/>
          <w:szCs w:val="22"/>
          <w:lang w:val="lt-LT" w:eastAsia="en-US"/>
        </w:rPr>
        <w:t>%. Gydymas 100 mg sitagliptino doze nelėmė reikšmingo</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HbA1c rodmens pagerėjimo po 20 savaičių. HbA1c rodmens sumažėjimas pacientams, kurie vartojo</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sitagliptino (N = 95), buvo 0,0</w:t>
      </w:r>
      <w:r>
        <w:rPr>
          <w:rFonts w:eastAsia="TimesNewRoman,Bold" w:cs="Times New Roman"/>
          <w:sz w:val="22"/>
          <w:szCs w:val="22"/>
          <w:lang w:val="lt-LT" w:eastAsia="en-US"/>
        </w:rPr>
        <w:t> </w:t>
      </w:r>
      <w:r w:rsidRPr="00E43EA7">
        <w:rPr>
          <w:rFonts w:eastAsia="TimesNewRoman,Bold" w:cs="Times New Roman"/>
          <w:sz w:val="22"/>
          <w:szCs w:val="22"/>
          <w:lang w:val="lt-LT" w:eastAsia="en-US"/>
        </w:rPr>
        <w:t>%, lyginant su 0,2 % sumažėjimu placebo vartojusiems pacientams</w:t>
      </w:r>
      <w:r>
        <w:rPr>
          <w:rFonts w:eastAsia="TimesNewRoman,Bold" w:cs="Times New Roman"/>
          <w:sz w:val="22"/>
          <w:szCs w:val="22"/>
          <w:lang w:val="lt-LT" w:eastAsia="en-US"/>
        </w:rPr>
        <w:t xml:space="preserve"> </w:t>
      </w:r>
      <w:r w:rsidRPr="00E43EA7">
        <w:rPr>
          <w:rFonts w:eastAsia="TimesNewRoman,Bold" w:cs="Times New Roman"/>
          <w:sz w:val="22"/>
          <w:szCs w:val="22"/>
          <w:lang w:val="lt-LT" w:eastAsia="en-US"/>
        </w:rPr>
        <w:t>(N = 95), t. y., skirtumas buvo -0,2</w:t>
      </w:r>
      <w:r>
        <w:rPr>
          <w:rFonts w:eastAsia="TimesNewRoman,Bold" w:cs="Times New Roman"/>
          <w:sz w:val="22"/>
          <w:szCs w:val="22"/>
          <w:lang w:val="lt-LT" w:eastAsia="en-US"/>
        </w:rPr>
        <w:t> </w:t>
      </w:r>
      <w:r w:rsidRPr="00E43EA7">
        <w:rPr>
          <w:rFonts w:eastAsia="TimesNewRoman,Bold" w:cs="Times New Roman"/>
          <w:sz w:val="22"/>
          <w:szCs w:val="22"/>
          <w:lang w:val="lt-LT" w:eastAsia="en-US"/>
        </w:rPr>
        <w:t>% (95 % PI: -0,7; 0,3). Žr. 4.2 skyrių.</w:t>
      </w:r>
    </w:p>
    <w:p w14:paraId="71251B4A" w14:textId="77777777" w:rsidR="00112208" w:rsidRPr="00C249C9" w:rsidRDefault="00112208" w:rsidP="00112208">
      <w:pPr>
        <w:tabs>
          <w:tab w:val="left" w:pos="567"/>
        </w:tabs>
        <w:autoSpaceDE w:val="0"/>
        <w:autoSpaceDN w:val="0"/>
        <w:adjustRightInd w:val="0"/>
        <w:rPr>
          <w:rFonts w:eastAsia="MathExt" w:cs="Times New Roman"/>
          <w:sz w:val="22"/>
          <w:szCs w:val="22"/>
          <w:lang w:val="lt-LT" w:eastAsia="en-US"/>
        </w:rPr>
      </w:pPr>
    </w:p>
    <w:p w14:paraId="3794CAAA"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Farmakokinetinės savybės</w:t>
      </w:r>
    </w:p>
    <w:p w14:paraId="622F9B12" w14:textId="77777777" w:rsidR="00112208" w:rsidRPr="00C249C9" w:rsidRDefault="00112208" w:rsidP="00112208">
      <w:pPr>
        <w:keepNext/>
        <w:tabs>
          <w:tab w:val="left" w:pos="567"/>
        </w:tabs>
        <w:ind w:left="567" w:hanging="567"/>
        <w:outlineLvl w:val="0"/>
        <w:rPr>
          <w:rFonts w:eastAsia="Times New Roman" w:cs="Times New Roman"/>
          <w:b/>
          <w:noProof/>
          <w:sz w:val="22"/>
          <w:szCs w:val="22"/>
          <w:lang w:val="lt-LT" w:eastAsia="lt-LT" w:bidi="lt-LT"/>
        </w:rPr>
      </w:pPr>
    </w:p>
    <w:p w14:paraId="575CEE09"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Absorbcija</w:t>
      </w:r>
    </w:p>
    <w:p w14:paraId="2324A9B6"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Sveikų tiriamųjų išgėrusių vieną 100 mg dozę, organizme sitagliptinas buvo greitai absorbuotas, didžiausia koncentracija plazmoje (T</w:t>
      </w:r>
      <w:r w:rsidRPr="00C249C9">
        <w:rPr>
          <w:rFonts w:cs="Times New Roman"/>
          <w:sz w:val="22"/>
          <w:szCs w:val="22"/>
          <w:vertAlign w:val="subscript"/>
          <w:lang w:val="lt-LT" w:eastAsia="en-US"/>
        </w:rPr>
        <w:t>max</w:t>
      </w:r>
      <w:r w:rsidRPr="00C249C9">
        <w:rPr>
          <w:rFonts w:cs="Times New Roman"/>
          <w:sz w:val="22"/>
          <w:szCs w:val="22"/>
          <w:lang w:val="lt-LT" w:eastAsia="en-US"/>
        </w:rPr>
        <w:t xml:space="preserve"> mediana) atsirado po 1 – 4 valandų, vidutinis sitagliptino PPK buvo 8,52 µM•val., C</w:t>
      </w:r>
      <w:r w:rsidRPr="00C249C9">
        <w:rPr>
          <w:rFonts w:cs="Times New Roman"/>
          <w:sz w:val="22"/>
          <w:szCs w:val="22"/>
          <w:vertAlign w:val="subscript"/>
          <w:lang w:val="lt-LT" w:eastAsia="en-US"/>
        </w:rPr>
        <w:t>max</w:t>
      </w:r>
      <w:r w:rsidRPr="00C249C9">
        <w:rPr>
          <w:rFonts w:cs="Times New Roman"/>
          <w:sz w:val="22"/>
          <w:szCs w:val="22"/>
          <w:lang w:val="lt-LT" w:eastAsia="en-US"/>
        </w:rPr>
        <w:t xml:space="preserve"> – 950 nM. Absoliutus sitagliptino biologinis prieinamumas yra maždaug 87 %. Kadangi labai riebus maistas kartu vartojamo sitagliptino farmakokinetikai įtakos neturėjo, todėl sitagliptiną galima gerti valgant arba nevalgius.</w:t>
      </w:r>
    </w:p>
    <w:p w14:paraId="508F67CF" w14:textId="77777777" w:rsidR="00112208" w:rsidRPr="00C249C9" w:rsidRDefault="00112208" w:rsidP="00112208">
      <w:pPr>
        <w:autoSpaceDE w:val="0"/>
        <w:autoSpaceDN w:val="0"/>
        <w:adjustRightInd w:val="0"/>
        <w:rPr>
          <w:rFonts w:cs="Times New Roman"/>
          <w:sz w:val="22"/>
          <w:szCs w:val="22"/>
          <w:lang w:val="lt-LT" w:eastAsia="en-US"/>
        </w:rPr>
      </w:pPr>
    </w:p>
    <w:p w14:paraId="288E4EF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Sitagliptino PPK didėjo proporcingai dozei. C</w:t>
      </w:r>
      <w:r w:rsidRPr="00C249C9">
        <w:rPr>
          <w:rFonts w:cs="Times New Roman"/>
          <w:sz w:val="22"/>
          <w:szCs w:val="22"/>
          <w:vertAlign w:val="subscript"/>
          <w:lang w:val="lt-LT" w:eastAsia="en-US"/>
        </w:rPr>
        <w:t>max</w:t>
      </w:r>
      <w:r w:rsidRPr="00C249C9">
        <w:rPr>
          <w:rFonts w:cs="Times New Roman"/>
          <w:sz w:val="22"/>
          <w:szCs w:val="22"/>
          <w:lang w:val="lt-LT" w:eastAsia="en-US"/>
        </w:rPr>
        <w:t xml:space="preserve"> ir C</w:t>
      </w:r>
      <w:r w:rsidRPr="00C249C9">
        <w:rPr>
          <w:rFonts w:cs="Times New Roman"/>
          <w:sz w:val="22"/>
          <w:szCs w:val="22"/>
          <w:vertAlign w:val="subscript"/>
          <w:lang w:val="lt-LT" w:eastAsia="en-US"/>
        </w:rPr>
        <w:t>24val</w:t>
      </w:r>
      <w:r w:rsidRPr="00C249C9">
        <w:rPr>
          <w:rFonts w:cs="Times New Roman"/>
          <w:sz w:val="22"/>
          <w:szCs w:val="22"/>
          <w:lang w:val="lt-LT" w:eastAsia="en-US"/>
        </w:rPr>
        <w:t>. proporcingumas dozei nebuvo nustatytas (C</w:t>
      </w:r>
      <w:r w:rsidRPr="00C249C9">
        <w:rPr>
          <w:rFonts w:cs="Times New Roman"/>
          <w:sz w:val="22"/>
          <w:szCs w:val="22"/>
          <w:vertAlign w:val="subscript"/>
          <w:lang w:val="lt-LT" w:eastAsia="en-US"/>
        </w:rPr>
        <w:t>max</w:t>
      </w:r>
      <w:r w:rsidRPr="00C249C9">
        <w:rPr>
          <w:rFonts w:cs="Times New Roman"/>
          <w:sz w:val="22"/>
          <w:szCs w:val="22"/>
          <w:lang w:val="lt-LT" w:eastAsia="en-US"/>
        </w:rPr>
        <w:t xml:space="preserve"> didėjo daugiau negu proporcingai dozei, C</w:t>
      </w:r>
      <w:r w:rsidRPr="00C249C9">
        <w:rPr>
          <w:rFonts w:cs="Times New Roman"/>
          <w:sz w:val="22"/>
          <w:szCs w:val="22"/>
          <w:vertAlign w:val="subscript"/>
          <w:lang w:val="lt-LT" w:eastAsia="en-US"/>
        </w:rPr>
        <w:t xml:space="preserve">24val. </w:t>
      </w:r>
      <w:r w:rsidRPr="00C249C9">
        <w:rPr>
          <w:rFonts w:cs="Times New Roman"/>
          <w:sz w:val="22"/>
          <w:szCs w:val="22"/>
          <w:lang w:val="lt-LT" w:eastAsia="en-US"/>
        </w:rPr>
        <w:t>– mažiau negu proporcingai dozei).</w:t>
      </w:r>
    </w:p>
    <w:p w14:paraId="7678EAC4" w14:textId="77777777" w:rsidR="00112208" w:rsidRPr="00C249C9" w:rsidRDefault="00112208" w:rsidP="00112208">
      <w:pPr>
        <w:autoSpaceDE w:val="0"/>
        <w:autoSpaceDN w:val="0"/>
        <w:adjustRightInd w:val="0"/>
        <w:rPr>
          <w:rFonts w:cs="Times New Roman"/>
          <w:sz w:val="22"/>
          <w:szCs w:val="22"/>
          <w:lang w:val="lt-LT" w:eastAsia="en-US"/>
        </w:rPr>
      </w:pPr>
    </w:p>
    <w:p w14:paraId="17D35D83"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Pasiskirstymas</w:t>
      </w:r>
    </w:p>
    <w:p w14:paraId="22B72B41"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Sušvirkštus į veną vieną 100 mg sitagliptino dozę, sveikų žmonių organizme vidutinis pasiskirstymo tūris tuo metu, kai apykaita pusiausvyrinė, yra maždaug 198 litrai. Sitagliptino kiekis, kuris laikinai prisijungia pri</w:t>
      </w:r>
      <w:r>
        <w:rPr>
          <w:rFonts w:cs="Times New Roman"/>
          <w:sz w:val="22"/>
          <w:szCs w:val="22"/>
          <w:lang w:val="lt-LT" w:eastAsia="en-US"/>
        </w:rPr>
        <w:t>e plazmos baltymų yra mažas (38 </w:t>
      </w:r>
      <w:r w:rsidRPr="00C249C9">
        <w:rPr>
          <w:rFonts w:cs="Times New Roman"/>
          <w:sz w:val="22"/>
          <w:szCs w:val="22"/>
          <w:lang w:val="lt-LT" w:eastAsia="en-US"/>
        </w:rPr>
        <w:t>%).</w:t>
      </w:r>
    </w:p>
    <w:p w14:paraId="68032D16" w14:textId="77777777" w:rsidR="00112208" w:rsidRPr="00C249C9" w:rsidRDefault="00112208" w:rsidP="00112208">
      <w:pPr>
        <w:autoSpaceDE w:val="0"/>
        <w:autoSpaceDN w:val="0"/>
        <w:adjustRightInd w:val="0"/>
        <w:rPr>
          <w:rFonts w:cs="Times New Roman"/>
          <w:sz w:val="22"/>
          <w:szCs w:val="22"/>
          <w:lang w:val="lt-LT" w:eastAsia="en-US"/>
        </w:rPr>
      </w:pPr>
    </w:p>
    <w:p w14:paraId="5CE581FA"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Biotransformacija</w:t>
      </w:r>
    </w:p>
    <w:p w14:paraId="6BB83D9E"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Sitagliptino metabolizuojama mažai, daugiausia jis pašalinamas s</w:t>
      </w:r>
      <w:r>
        <w:rPr>
          <w:rFonts w:cs="Times New Roman"/>
          <w:sz w:val="22"/>
          <w:szCs w:val="22"/>
          <w:lang w:val="lt-LT" w:eastAsia="en-US"/>
        </w:rPr>
        <w:t>u šlapimu nepakitęs. Maždaug 79 </w:t>
      </w:r>
      <w:r w:rsidRPr="00C249C9">
        <w:rPr>
          <w:rFonts w:cs="Times New Roman"/>
          <w:sz w:val="22"/>
          <w:szCs w:val="22"/>
          <w:lang w:val="lt-LT" w:eastAsia="en-US"/>
        </w:rPr>
        <w:t>% sitagliptino išsiskiria su šlapimu nepakitusio preparato pavidalu.</w:t>
      </w:r>
    </w:p>
    <w:p w14:paraId="1620C286" w14:textId="77777777" w:rsidR="00112208" w:rsidRPr="00C249C9" w:rsidRDefault="00112208" w:rsidP="00112208">
      <w:pPr>
        <w:autoSpaceDE w:val="0"/>
        <w:autoSpaceDN w:val="0"/>
        <w:adjustRightInd w:val="0"/>
        <w:rPr>
          <w:rFonts w:cs="Times New Roman"/>
          <w:sz w:val="22"/>
          <w:szCs w:val="22"/>
          <w:lang w:val="lt-LT" w:eastAsia="en-US"/>
        </w:rPr>
      </w:pPr>
    </w:p>
    <w:p w14:paraId="01D3465B"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Išgėrus žymėto [</w:t>
      </w:r>
      <w:r w:rsidRPr="00C249C9">
        <w:rPr>
          <w:rFonts w:cs="Times New Roman"/>
          <w:sz w:val="22"/>
          <w:szCs w:val="22"/>
          <w:vertAlign w:val="superscript"/>
          <w:lang w:val="lt-LT" w:eastAsia="en-US"/>
        </w:rPr>
        <w:t>14</w:t>
      </w:r>
      <w:r w:rsidRPr="00C249C9">
        <w:rPr>
          <w:rFonts w:cs="Times New Roman"/>
          <w:sz w:val="22"/>
          <w:szCs w:val="22"/>
          <w:lang w:val="lt-LT" w:eastAsia="en-US"/>
        </w:rPr>
        <w:t>C</w:t>
      </w:r>
      <w:r>
        <w:rPr>
          <w:rFonts w:cs="Times New Roman"/>
          <w:sz w:val="22"/>
          <w:szCs w:val="22"/>
          <w:lang w:val="lt-LT" w:eastAsia="en-US"/>
        </w:rPr>
        <w:t>] sitagliptino dozę, maždaug 16 </w:t>
      </w:r>
      <w:r w:rsidRPr="00C249C9">
        <w:rPr>
          <w:rFonts w:cs="Times New Roman"/>
          <w:sz w:val="22"/>
          <w:szCs w:val="22"/>
          <w:lang w:val="lt-LT" w:eastAsia="en-US"/>
        </w:rPr>
        <w:t xml:space="preserve">% radioaktyvumo buvo išskirta su sitagliptino metabolitais. Buvo aptikti šešių metabolitų pėdsakai ir nelauktina, kad jie prisideda prie sitagliptino DPP-4 slopinamojo aktyvumo plazmoje. Tyrimai </w:t>
      </w:r>
      <w:r w:rsidRPr="00C249C9">
        <w:rPr>
          <w:rFonts w:eastAsia="TimesNewRoman,Italic" w:cs="Times New Roman"/>
          <w:i/>
          <w:iCs/>
          <w:sz w:val="22"/>
          <w:szCs w:val="22"/>
          <w:lang w:val="lt-LT" w:eastAsia="en-US"/>
        </w:rPr>
        <w:t xml:space="preserve">in vitro </w:t>
      </w:r>
      <w:r w:rsidRPr="00C249C9">
        <w:rPr>
          <w:rFonts w:cs="Times New Roman"/>
          <w:sz w:val="22"/>
          <w:szCs w:val="22"/>
          <w:lang w:val="lt-LT" w:eastAsia="en-US"/>
        </w:rPr>
        <w:t>parodė, kad svarbiausias fermentas, atsakingas už ribotą sitagliptino metabolizmą yra CYP3A4, dalyvaujant ir CYP2C8.</w:t>
      </w:r>
    </w:p>
    <w:p w14:paraId="213EC2F7" w14:textId="77777777" w:rsidR="00112208" w:rsidRPr="00C249C9" w:rsidRDefault="00112208" w:rsidP="00112208">
      <w:pPr>
        <w:autoSpaceDE w:val="0"/>
        <w:autoSpaceDN w:val="0"/>
        <w:adjustRightInd w:val="0"/>
        <w:rPr>
          <w:rFonts w:cs="Times New Roman"/>
          <w:sz w:val="22"/>
          <w:szCs w:val="22"/>
          <w:lang w:val="lt-LT" w:eastAsia="en-US"/>
        </w:rPr>
      </w:pPr>
    </w:p>
    <w:p w14:paraId="7FCA302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Tyrimų </w:t>
      </w:r>
      <w:r w:rsidRPr="00C249C9">
        <w:rPr>
          <w:rFonts w:eastAsia="TimesNewRoman,Italic" w:cs="Times New Roman"/>
          <w:i/>
          <w:iCs/>
          <w:sz w:val="22"/>
          <w:szCs w:val="22"/>
          <w:lang w:val="lt-LT" w:eastAsia="en-US"/>
        </w:rPr>
        <w:t xml:space="preserve">in vitro </w:t>
      </w:r>
      <w:r w:rsidRPr="00C249C9">
        <w:rPr>
          <w:rFonts w:cs="Times New Roman"/>
          <w:sz w:val="22"/>
          <w:szCs w:val="22"/>
          <w:lang w:val="lt-LT" w:eastAsia="en-US"/>
        </w:rPr>
        <w:t>duomenys rodo, kad sitagliptinas CYP izofermentų CYP3A4, 2C8, 2C9, 2D6, 1A2, 2C19 bei 2B6 neslopina, o CYP3A4 ir CYP1A2 neindukuoja.</w:t>
      </w:r>
    </w:p>
    <w:p w14:paraId="0AA668BE" w14:textId="77777777" w:rsidR="00112208" w:rsidRPr="00C249C9" w:rsidRDefault="00112208" w:rsidP="00112208">
      <w:pPr>
        <w:autoSpaceDE w:val="0"/>
        <w:autoSpaceDN w:val="0"/>
        <w:adjustRightInd w:val="0"/>
        <w:rPr>
          <w:rFonts w:cs="Times New Roman"/>
          <w:sz w:val="22"/>
          <w:szCs w:val="22"/>
          <w:lang w:val="lt-LT" w:eastAsia="en-US"/>
        </w:rPr>
      </w:pPr>
    </w:p>
    <w:p w14:paraId="2D0CFE64"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Eliminacija</w:t>
      </w:r>
    </w:p>
    <w:p w14:paraId="66881319"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Iš sveikų asmenų, išgėrusių 100 mg žymėto [</w:t>
      </w:r>
      <w:r w:rsidRPr="00C249C9">
        <w:rPr>
          <w:rFonts w:cs="Times New Roman"/>
          <w:sz w:val="22"/>
          <w:szCs w:val="22"/>
          <w:vertAlign w:val="superscript"/>
          <w:lang w:val="lt-LT" w:eastAsia="en-US"/>
        </w:rPr>
        <w:t>14</w:t>
      </w:r>
      <w:r w:rsidRPr="00C249C9">
        <w:rPr>
          <w:rFonts w:cs="Times New Roman"/>
          <w:sz w:val="22"/>
          <w:szCs w:val="22"/>
          <w:lang w:val="lt-LT" w:eastAsia="en-US"/>
        </w:rPr>
        <w:t>C] sitagliptino dozę, organizmo maždaug 100 % radioaktyvumo išsiskyrė su i</w:t>
      </w:r>
      <w:r>
        <w:rPr>
          <w:rFonts w:cs="Times New Roman"/>
          <w:sz w:val="22"/>
          <w:szCs w:val="22"/>
          <w:lang w:val="lt-LT" w:eastAsia="en-US"/>
        </w:rPr>
        <w:t>šmatomis (13 %) bei šlapimu (87 </w:t>
      </w:r>
      <w:r w:rsidRPr="00C249C9">
        <w:rPr>
          <w:rFonts w:cs="Times New Roman"/>
          <w:sz w:val="22"/>
          <w:szCs w:val="22"/>
          <w:lang w:val="lt-LT" w:eastAsia="en-US"/>
        </w:rPr>
        <w:t>%) per savaitę. Išgėrus 100 mg sitagliptino dozę, jo galutinės pusinės eliminacijos tariamasis periodas (t</w:t>
      </w:r>
      <w:r w:rsidRPr="00C249C9">
        <w:rPr>
          <w:rFonts w:cs="Times New Roman"/>
          <w:sz w:val="22"/>
          <w:szCs w:val="22"/>
          <w:vertAlign w:val="subscript"/>
          <w:lang w:val="lt-LT" w:eastAsia="en-US"/>
        </w:rPr>
        <w:t>1/2</w:t>
      </w:r>
      <w:r w:rsidRPr="00C249C9">
        <w:rPr>
          <w:rFonts w:cs="Times New Roman"/>
          <w:sz w:val="22"/>
          <w:szCs w:val="22"/>
          <w:lang w:val="lt-LT" w:eastAsia="en-US"/>
        </w:rPr>
        <w:t xml:space="preserve">) buvo 12,4 valandos. </w:t>
      </w:r>
      <w:r w:rsidRPr="00C249C9">
        <w:rPr>
          <w:rFonts w:cs="Times New Roman"/>
          <w:sz w:val="22"/>
          <w:szCs w:val="22"/>
          <w:lang w:val="lt-LT" w:eastAsia="en-US"/>
        </w:rPr>
        <w:lastRenderedPageBreak/>
        <w:t>Vartojant kartotines dozes, sitagliptino organizme kaupiasi labai nedaug. Vaistinio preparato klirensas inkstuose buvo maždaug 350 ml/min.</w:t>
      </w:r>
    </w:p>
    <w:p w14:paraId="0D519EF2" w14:textId="77777777" w:rsidR="00112208" w:rsidRPr="00C249C9" w:rsidRDefault="00112208" w:rsidP="00112208">
      <w:pPr>
        <w:autoSpaceDE w:val="0"/>
        <w:autoSpaceDN w:val="0"/>
        <w:adjustRightInd w:val="0"/>
        <w:rPr>
          <w:rFonts w:cs="Times New Roman"/>
          <w:sz w:val="22"/>
          <w:szCs w:val="22"/>
          <w:lang w:val="lt-LT" w:eastAsia="en-US"/>
        </w:rPr>
      </w:pPr>
    </w:p>
    <w:p w14:paraId="0F4B5CDE"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Sitagliptinas šalinamas daugiausiai pro inkstus aktyvia sekrecija į kanalėlius. Sitagliptinas yra žmogaus organinių anijonų nešiklio-3 (angl. </w:t>
      </w:r>
      <w:r w:rsidRPr="00C249C9">
        <w:rPr>
          <w:rFonts w:cs="Times New Roman"/>
          <w:i/>
          <w:sz w:val="22"/>
          <w:szCs w:val="22"/>
          <w:lang w:val="lt-LT" w:eastAsia="en-US"/>
        </w:rPr>
        <w:t>hOAT-3</w:t>
      </w:r>
      <w:r w:rsidRPr="00C249C9">
        <w:rPr>
          <w:rFonts w:cs="Times New Roman"/>
          <w:sz w:val="22"/>
          <w:szCs w:val="22"/>
          <w:lang w:val="lt-LT" w:eastAsia="en-US"/>
        </w:rPr>
        <w:t xml:space="preserve">), kuris galbūt dalyvauja ir sitagliptino išsiskyrime pro inkstus, substratas. Klinikinė hOAT-3 dalyvavimo sitagliptino pernašoje reikšmė nenustatyta. Be to, sitagliptinas yra ir glikoproteino P, irgi galinčio dalyvauti sitagliptino šalinime pro inkstus, substratas. Vis dėlto glikoproteino P inhibitorius ciklosporinas sitagliptino inkstų klirenso nemažina. Sitagliptinas nėra nešiklių OCT2, OAT1 ar PEPT1/2 substratas. </w:t>
      </w:r>
      <w:r w:rsidRPr="00C249C9">
        <w:rPr>
          <w:rFonts w:eastAsia="TimesNewRoman,Italic" w:cs="Times New Roman"/>
          <w:i/>
          <w:iCs/>
          <w:sz w:val="22"/>
          <w:szCs w:val="22"/>
          <w:lang w:val="lt-LT" w:eastAsia="en-US"/>
        </w:rPr>
        <w:t xml:space="preserve">In vitro </w:t>
      </w:r>
      <w:r w:rsidRPr="00C249C9">
        <w:rPr>
          <w:rFonts w:cs="Times New Roman"/>
          <w:sz w:val="22"/>
          <w:szCs w:val="22"/>
          <w:lang w:val="lt-LT" w:eastAsia="en-US"/>
        </w:rPr>
        <w:t>gydymui reikšminga sitagliptino koncentracija OAT3 (IC50 = 160 µM) ar glikoproteino P (iki 250 µM) vykdomos pernašos neslopino. Klinikinių tyrimų metu sitagliptinas šiek tiek veikė digoksino koncentraciją plazmoje, taigi, galėtų truputį slopinti P glikoproteiną.</w:t>
      </w:r>
    </w:p>
    <w:p w14:paraId="593677E7" w14:textId="77777777" w:rsidR="00112208" w:rsidRPr="00C249C9" w:rsidRDefault="00112208" w:rsidP="00112208">
      <w:pPr>
        <w:autoSpaceDE w:val="0"/>
        <w:autoSpaceDN w:val="0"/>
        <w:adjustRightInd w:val="0"/>
        <w:rPr>
          <w:rFonts w:cs="Times New Roman"/>
          <w:sz w:val="22"/>
          <w:szCs w:val="22"/>
          <w:lang w:val="lt-LT" w:eastAsia="en-US"/>
        </w:rPr>
      </w:pPr>
    </w:p>
    <w:p w14:paraId="19A2CF28"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Ypatingos populiacijos</w:t>
      </w:r>
    </w:p>
    <w:p w14:paraId="15F1FD2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Sveikų žmonių ar pacientų, sergančių </w:t>
      </w:r>
      <w:r>
        <w:rPr>
          <w:rFonts w:cs="Times New Roman"/>
          <w:sz w:val="22"/>
          <w:szCs w:val="22"/>
          <w:lang w:val="lt-LT" w:eastAsia="en-US"/>
        </w:rPr>
        <w:t>2 tipo</w:t>
      </w:r>
      <w:r w:rsidRPr="00C249C9">
        <w:rPr>
          <w:rFonts w:cs="Times New Roman"/>
          <w:sz w:val="22"/>
          <w:szCs w:val="22"/>
          <w:lang w:val="lt-LT" w:eastAsia="en-US"/>
        </w:rPr>
        <w:t xml:space="preserve"> cukriniu diabetu, organizme sitagliptino farmakokinetika paprastai buvo panaši.</w:t>
      </w:r>
    </w:p>
    <w:p w14:paraId="7F88E5C0"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41E3063D"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Sutrikusi inkstų funkcija</w:t>
      </w:r>
    </w:p>
    <w:p w14:paraId="3D732601" w14:textId="77777777" w:rsidR="00112208" w:rsidRPr="00A23DE4"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Buvo atliktas vienos dozės atviras klinikinis tyrimas, kurio metu vertinta sumažintos sitagliptino doz</w:t>
      </w:r>
      <w:r>
        <w:rPr>
          <w:rFonts w:cs="Times New Roman"/>
          <w:sz w:val="22"/>
          <w:szCs w:val="22"/>
          <w:lang w:val="lt-LT" w:eastAsia="en-US"/>
        </w:rPr>
        <w:t>ė</w:t>
      </w:r>
      <w:r w:rsidRPr="00C249C9">
        <w:rPr>
          <w:rFonts w:cs="Times New Roman"/>
          <w:sz w:val="22"/>
          <w:szCs w:val="22"/>
          <w:lang w:val="lt-LT" w:eastAsia="en-US"/>
        </w:rPr>
        <w:t xml:space="preserve">s (50 mg) farmakokinetika pacientų, sergančių įvairaus sunkumo lėtiniu inkstų funkcijos sutrikimu, organizme, palyginti su farmakokinetika sveikų kontrolinės grupės tiriamųjų organizme. </w:t>
      </w:r>
      <w:r w:rsidRPr="00A23DE4">
        <w:rPr>
          <w:rFonts w:cs="Times New Roman"/>
          <w:sz w:val="22"/>
          <w:szCs w:val="22"/>
          <w:lang w:val="lt-LT" w:eastAsia="en-US"/>
        </w:rPr>
        <w:t>Tyrime dalyvavo</w:t>
      </w:r>
      <w:r>
        <w:rPr>
          <w:rFonts w:cs="Times New Roman"/>
          <w:sz w:val="22"/>
          <w:szCs w:val="22"/>
          <w:lang w:val="lt-LT" w:eastAsia="en-US"/>
        </w:rPr>
        <w:t xml:space="preserve"> </w:t>
      </w:r>
      <w:r w:rsidRPr="00A23DE4">
        <w:rPr>
          <w:rFonts w:cs="Times New Roman"/>
          <w:sz w:val="22"/>
          <w:szCs w:val="22"/>
          <w:lang w:val="lt-LT" w:eastAsia="en-US"/>
        </w:rPr>
        <w:t>pacientai, kuriems buvo nustatytas lengvas, vidutinio sunkumo ar sunkus inkstų funkcijos sutrikimas,</w:t>
      </w:r>
      <w:r>
        <w:rPr>
          <w:rFonts w:cs="Times New Roman"/>
          <w:sz w:val="22"/>
          <w:szCs w:val="22"/>
          <w:lang w:val="lt-LT" w:eastAsia="en-US"/>
        </w:rPr>
        <w:t xml:space="preserve"> </w:t>
      </w:r>
      <w:r w:rsidRPr="00A23DE4">
        <w:rPr>
          <w:rFonts w:cs="Times New Roman"/>
          <w:sz w:val="22"/>
          <w:szCs w:val="22"/>
          <w:lang w:val="lt-LT" w:eastAsia="en-US"/>
        </w:rPr>
        <w:t>o taip pat pacientai, kuriems buvo GSIL ir kuriems buvo atliekamos hemodializės procedūros. Be to,</w:t>
      </w:r>
      <w:r>
        <w:rPr>
          <w:rFonts w:cs="Times New Roman"/>
          <w:sz w:val="22"/>
          <w:szCs w:val="22"/>
          <w:lang w:val="lt-LT" w:eastAsia="en-US"/>
        </w:rPr>
        <w:t xml:space="preserve"> </w:t>
      </w:r>
      <w:r w:rsidRPr="00A23DE4">
        <w:rPr>
          <w:rFonts w:cs="Times New Roman"/>
          <w:sz w:val="22"/>
          <w:szCs w:val="22"/>
          <w:lang w:val="lt-LT" w:eastAsia="en-US"/>
        </w:rPr>
        <w:t>inkstų funkcijos sutrikimo įtaka sitagliptino farmakokinetikai 2 tipo cukriniu diabetu sergantiems</w:t>
      </w:r>
      <w:r>
        <w:rPr>
          <w:rFonts w:cs="Times New Roman"/>
          <w:sz w:val="22"/>
          <w:szCs w:val="22"/>
          <w:lang w:val="lt-LT" w:eastAsia="en-US"/>
        </w:rPr>
        <w:t xml:space="preserve"> </w:t>
      </w:r>
      <w:r w:rsidRPr="00A23DE4">
        <w:rPr>
          <w:rFonts w:cs="Times New Roman"/>
          <w:sz w:val="22"/>
          <w:szCs w:val="22"/>
          <w:lang w:val="lt-LT" w:eastAsia="en-US"/>
        </w:rPr>
        <w:t>pacientams, kuriems buvo lengvas, vidutinio sunkumo ar sunkus inkstų funkcijos sutrikimas (įskaitant</w:t>
      </w:r>
      <w:r>
        <w:rPr>
          <w:rFonts w:cs="Times New Roman"/>
          <w:sz w:val="22"/>
          <w:szCs w:val="22"/>
          <w:lang w:val="lt-LT" w:eastAsia="en-US"/>
        </w:rPr>
        <w:t xml:space="preserve"> </w:t>
      </w:r>
      <w:r w:rsidRPr="00A23DE4">
        <w:rPr>
          <w:rFonts w:cs="Times New Roman"/>
          <w:sz w:val="22"/>
          <w:szCs w:val="22"/>
          <w:lang w:val="lt-LT" w:eastAsia="en-US"/>
        </w:rPr>
        <w:t>GSIL), buvo įvertinta populiacijų farmakokinetikos analizės metodu.</w:t>
      </w:r>
      <w:r>
        <w:rPr>
          <w:rFonts w:cs="Times New Roman"/>
          <w:sz w:val="22"/>
          <w:szCs w:val="22"/>
          <w:lang w:val="lt-LT" w:eastAsia="en-US"/>
        </w:rPr>
        <w:t xml:space="preserve"> </w:t>
      </w:r>
      <w:r w:rsidRPr="00A23DE4">
        <w:rPr>
          <w:rFonts w:cs="Times New Roman"/>
          <w:sz w:val="22"/>
          <w:szCs w:val="22"/>
          <w:lang w:val="lt-LT" w:eastAsia="en-US"/>
        </w:rPr>
        <w:t>Lyginant su sveikais kontrolinės grupės tiriamaisiais, pacientams, kuriems buvo lengvas inkstų</w:t>
      </w:r>
      <w:r>
        <w:rPr>
          <w:rFonts w:cs="Times New Roman"/>
          <w:sz w:val="22"/>
          <w:szCs w:val="22"/>
          <w:lang w:val="lt-LT" w:eastAsia="en-US"/>
        </w:rPr>
        <w:t xml:space="preserve"> </w:t>
      </w:r>
      <w:r w:rsidRPr="00A23DE4">
        <w:rPr>
          <w:rFonts w:cs="Times New Roman"/>
          <w:sz w:val="22"/>
          <w:szCs w:val="22"/>
          <w:lang w:val="lt-LT" w:eastAsia="en-US"/>
        </w:rPr>
        <w:t>funkcijos sutrikimas (GFG nuo ≥</w:t>
      </w:r>
      <w:r>
        <w:rPr>
          <w:rFonts w:cs="Times New Roman"/>
          <w:sz w:val="22"/>
          <w:szCs w:val="22"/>
          <w:lang w:val="lt-LT" w:eastAsia="en-US"/>
        </w:rPr>
        <w:t> </w:t>
      </w:r>
      <w:r w:rsidRPr="00A23DE4">
        <w:rPr>
          <w:rFonts w:cs="Times New Roman"/>
          <w:sz w:val="22"/>
          <w:szCs w:val="22"/>
          <w:lang w:val="lt-LT" w:eastAsia="en-US"/>
        </w:rPr>
        <w:t>60</w:t>
      </w:r>
      <w:r>
        <w:rPr>
          <w:rFonts w:cs="Times New Roman"/>
          <w:sz w:val="22"/>
          <w:szCs w:val="22"/>
          <w:lang w:val="lt-LT" w:eastAsia="en-US"/>
        </w:rPr>
        <w:t> </w:t>
      </w:r>
      <w:r w:rsidRPr="00A23DE4">
        <w:rPr>
          <w:rFonts w:cs="Times New Roman"/>
          <w:sz w:val="22"/>
          <w:szCs w:val="22"/>
          <w:lang w:val="lt-LT" w:eastAsia="en-US"/>
        </w:rPr>
        <w:t>ml/min. iki &lt;</w:t>
      </w:r>
      <w:r>
        <w:rPr>
          <w:rFonts w:cs="Times New Roman"/>
          <w:sz w:val="22"/>
          <w:szCs w:val="22"/>
          <w:lang w:val="lt-LT" w:eastAsia="en-US"/>
        </w:rPr>
        <w:t> </w:t>
      </w:r>
      <w:r w:rsidRPr="00A23DE4">
        <w:rPr>
          <w:rFonts w:cs="Times New Roman"/>
          <w:sz w:val="22"/>
          <w:szCs w:val="22"/>
          <w:lang w:val="lt-LT" w:eastAsia="en-US"/>
        </w:rPr>
        <w:t>90</w:t>
      </w:r>
      <w:r>
        <w:rPr>
          <w:rFonts w:cs="Times New Roman"/>
          <w:sz w:val="22"/>
          <w:szCs w:val="22"/>
          <w:lang w:val="lt-LT" w:eastAsia="en-US"/>
        </w:rPr>
        <w:t> </w:t>
      </w:r>
      <w:r w:rsidRPr="00A23DE4">
        <w:rPr>
          <w:rFonts w:cs="Times New Roman"/>
          <w:sz w:val="22"/>
          <w:szCs w:val="22"/>
          <w:lang w:val="lt-LT" w:eastAsia="en-US"/>
        </w:rPr>
        <w:t>ml/min.) arba vidutinio sunkumo inkstų</w:t>
      </w:r>
      <w:r>
        <w:rPr>
          <w:rFonts w:cs="Times New Roman"/>
          <w:sz w:val="22"/>
          <w:szCs w:val="22"/>
          <w:lang w:val="lt-LT" w:eastAsia="en-US"/>
        </w:rPr>
        <w:t xml:space="preserve"> </w:t>
      </w:r>
      <w:r w:rsidRPr="00A23DE4">
        <w:rPr>
          <w:rFonts w:cs="Times New Roman"/>
          <w:sz w:val="22"/>
          <w:szCs w:val="22"/>
          <w:lang w:val="lt-LT" w:eastAsia="en-US"/>
        </w:rPr>
        <w:t>funkcijos sutrikimas (GFG nuo ≥</w:t>
      </w:r>
      <w:r>
        <w:rPr>
          <w:rFonts w:cs="Times New Roman"/>
          <w:sz w:val="22"/>
          <w:szCs w:val="22"/>
          <w:lang w:val="lt-LT" w:eastAsia="en-US"/>
        </w:rPr>
        <w:t> </w:t>
      </w:r>
      <w:r w:rsidRPr="00A23DE4">
        <w:rPr>
          <w:rFonts w:cs="Times New Roman"/>
          <w:sz w:val="22"/>
          <w:szCs w:val="22"/>
          <w:lang w:val="lt-LT" w:eastAsia="en-US"/>
        </w:rPr>
        <w:t>45</w:t>
      </w:r>
      <w:r>
        <w:rPr>
          <w:rFonts w:cs="Times New Roman"/>
          <w:sz w:val="22"/>
          <w:szCs w:val="22"/>
          <w:lang w:val="lt-LT" w:eastAsia="en-US"/>
        </w:rPr>
        <w:t> </w:t>
      </w:r>
      <w:r w:rsidRPr="00A23DE4">
        <w:rPr>
          <w:rFonts w:cs="Times New Roman"/>
          <w:sz w:val="22"/>
          <w:szCs w:val="22"/>
          <w:lang w:val="lt-LT" w:eastAsia="en-US"/>
        </w:rPr>
        <w:t>ml/min. iki &lt;</w:t>
      </w:r>
      <w:r>
        <w:rPr>
          <w:rFonts w:cs="Times New Roman"/>
          <w:sz w:val="22"/>
          <w:szCs w:val="22"/>
          <w:lang w:val="lt-LT" w:eastAsia="en-US"/>
        </w:rPr>
        <w:t> </w:t>
      </w:r>
      <w:r w:rsidRPr="00A23DE4">
        <w:rPr>
          <w:rFonts w:cs="Times New Roman"/>
          <w:sz w:val="22"/>
          <w:szCs w:val="22"/>
          <w:lang w:val="lt-LT" w:eastAsia="en-US"/>
        </w:rPr>
        <w:t>60</w:t>
      </w:r>
      <w:r>
        <w:rPr>
          <w:rFonts w:cs="Times New Roman"/>
          <w:sz w:val="22"/>
          <w:szCs w:val="22"/>
          <w:lang w:val="lt-LT" w:eastAsia="en-US"/>
        </w:rPr>
        <w:t> </w:t>
      </w:r>
      <w:r w:rsidRPr="00A23DE4">
        <w:rPr>
          <w:rFonts w:cs="Times New Roman"/>
          <w:sz w:val="22"/>
          <w:szCs w:val="22"/>
          <w:lang w:val="lt-LT" w:eastAsia="en-US"/>
        </w:rPr>
        <w:t>ml/min.), sitagliptino AUC plazmoje rodiklis</w:t>
      </w:r>
      <w:r>
        <w:rPr>
          <w:rFonts w:cs="Times New Roman"/>
          <w:sz w:val="22"/>
          <w:szCs w:val="22"/>
          <w:lang w:val="lt-LT" w:eastAsia="en-US"/>
        </w:rPr>
        <w:t xml:space="preserve"> </w:t>
      </w:r>
      <w:r w:rsidRPr="00A23DE4">
        <w:rPr>
          <w:rFonts w:cs="Times New Roman"/>
          <w:sz w:val="22"/>
          <w:szCs w:val="22"/>
          <w:lang w:val="lt-LT" w:eastAsia="en-US"/>
        </w:rPr>
        <w:t>buvo padidėjęs atitinkamai maždaug 1,2 karto ir 1,6 karto. Kadangi toks padidėjimo mastas nėra</w:t>
      </w:r>
      <w:r>
        <w:rPr>
          <w:rFonts w:cs="Times New Roman"/>
          <w:sz w:val="22"/>
          <w:szCs w:val="22"/>
          <w:lang w:val="lt-LT" w:eastAsia="en-US"/>
        </w:rPr>
        <w:t xml:space="preserve"> </w:t>
      </w:r>
      <w:r w:rsidRPr="00A23DE4">
        <w:rPr>
          <w:rFonts w:cs="Times New Roman"/>
          <w:sz w:val="22"/>
          <w:szCs w:val="22"/>
          <w:lang w:val="lt-LT" w:eastAsia="en-US"/>
        </w:rPr>
        <w:t>kliniškai reikšmingas, šiems pacientams dozės keisti nereikia.</w:t>
      </w:r>
    </w:p>
    <w:p w14:paraId="0585D806" w14:textId="77777777" w:rsidR="00112208" w:rsidRDefault="00112208" w:rsidP="00112208">
      <w:pPr>
        <w:autoSpaceDE w:val="0"/>
        <w:autoSpaceDN w:val="0"/>
        <w:adjustRightInd w:val="0"/>
        <w:rPr>
          <w:rFonts w:eastAsia="TimesNewRoman,Italic" w:cs="Times New Roman"/>
          <w:i/>
          <w:iCs/>
          <w:sz w:val="22"/>
          <w:szCs w:val="22"/>
          <w:lang w:val="lt-LT" w:eastAsia="en-US"/>
        </w:rPr>
      </w:pPr>
      <w:r w:rsidRPr="00A23DE4">
        <w:rPr>
          <w:rFonts w:cs="Times New Roman"/>
          <w:sz w:val="22"/>
          <w:szCs w:val="22"/>
          <w:lang w:val="lt-LT" w:eastAsia="en-US"/>
        </w:rPr>
        <w:t>Pacientų, kuriems buvo vidutinio sunkumo inkstų sutrikimas (GFG nuo ≥</w:t>
      </w:r>
      <w:r>
        <w:rPr>
          <w:rFonts w:cs="Times New Roman"/>
          <w:sz w:val="22"/>
          <w:szCs w:val="22"/>
          <w:lang w:val="lt-LT" w:eastAsia="en-US"/>
        </w:rPr>
        <w:t> </w:t>
      </w:r>
      <w:r w:rsidRPr="00A23DE4">
        <w:rPr>
          <w:rFonts w:cs="Times New Roman"/>
          <w:sz w:val="22"/>
          <w:szCs w:val="22"/>
          <w:lang w:val="lt-LT" w:eastAsia="en-US"/>
        </w:rPr>
        <w:t>30</w:t>
      </w:r>
      <w:r>
        <w:rPr>
          <w:rFonts w:cs="Times New Roman"/>
          <w:sz w:val="22"/>
          <w:szCs w:val="22"/>
          <w:lang w:val="lt-LT" w:eastAsia="en-US"/>
        </w:rPr>
        <w:t> </w:t>
      </w:r>
      <w:r w:rsidRPr="00A23DE4">
        <w:rPr>
          <w:rFonts w:cs="Times New Roman"/>
          <w:sz w:val="22"/>
          <w:szCs w:val="22"/>
          <w:lang w:val="lt-LT" w:eastAsia="en-US"/>
        </w:rPr>
        <w:t>ml/min. iki</w:t>
      </w:r>
      <w:r>
        <w:rPr>
          <w:rFonts w:cs="Times New Roman"/>
          <w:sz w:val="22"/>
          <w:szCs w:val="22"/>
          <w:lang w:val="lt-LT" w:eastAsia="en-US"/>
        </w:rPr>
        <w:t xml:space="preserve"> </w:t>
      </w:r>
      <w:r w:rsidRPr="00A23DE4">
        <w:rPr>
          <w:rFonts w:cs="Times New Roman"/>
          <w:sz w:val="22"/>
          <w:szCs w:val="22"/>
          <w:lang w:val="lt-LT" w:eastAsia="en-US"/>
        </w:rPr>
        <w:t>&lt;</w:t>
      </w:r>
      <w:r>
        <w:rPr>
          <w:rFonts w:cs="Times New Roman"/>
          <w:sz w:val="22"/>
          <w:szCs w:val="22"/>
          <w:lang w:val="lt-LT" w:eastAsia="en-US"/>
        </w:rPr>
        <w:t> </w:t>
      </w:r>
      <w:r w:rsidRPr="00A23DE4">
        <w:rPr>
          <w:rFonts w:cs="Times New Roman"/>
          <w:sz w:val="22"/>
          <w:szCs w:val="22"/>
          <w:lang w:val="lt-LT" w:eastAsia="en-US"/>
        </w:rPr>
        <w:t>45</w:t>
      </w:r>
      <w:r>
        <w:rPr>
          <w:rFonts w:cs="Times New Roman"/>
          <w:sz w:val="22"/>
          <w:szCs w:val="22"/>
          <w:lang w:val="lt-LT" w:eastAsia="en-US"/>
        </w:rPr>
        <w:t> </w:t>
      </w:r>
      <w:r w:rsidRPr="00A23DE4">
        <w:rPr>
          <w:rFonts w:cs="Times New Roman"/>
          <w:sz w:val="22"/>
          <w:szCs w:val="22"/>
          <w:lang w:val="lt-LT" w:eastAsia="en-US"/>
        </w:rPr>
        <w:t>ml/min.), organizme sitagliptino AUC plazmoje rodiklis buvo padidėjęs maždaug 2 kartus, o</w:t>
      </w:r>
      <w:r>
        <w:rPr>
          <w:rFonts w:cs="Times New Roman"/>
          <w:sz w:val="22"/>
          <w:szCs w:val="22"/>
          <w:lang w:val="lt-LT" w:eastAsia="en-US"/>
        </w:rPr>
        <w:t xml:space="preserve"> </w:t>
      </w:r>
      <w:r w:rsidRPr="00A23DE4">
        <w:rPr>
          <w:rFonts w:cs="Times New Roman"/>
          <w:sz w:val="22"/>
          <w:szCs w:val="22"/>
          <w:lang w:val="lt-LT" w:eastAsia="en-US"/>
        </w:rPr>
        <w:t>pacientų, kuriems buvo sunkus inkstų sutrikimas (GFG &lt; 30</w:t>
      </w:r>
      <w:r>
        <w:rPr>
          <w:rFonts w:cs="Times New Roman"/>
          <w:sz w:val="22"/>
          <w:szCs w:val="22"/>
          <w:lang w:val="lt-LT" w:eastAsia="en-US"/>
        </w:rPr>
        <w:t> </w:t>
      </w:r>
      <w:r w:rsidRPr="00A23DE4">
        <w:rPr>
          <w:rFonts w:cs="Times New Roman"/>
          <w:sz w:val="22"/>
          <w:szCs w:val="22"/>
          <w:lang w:val="lt-LT" w:eastAsia="en-US"/>
        </w:rPr>
        <w:t>ml/min.) ar kurie dėl GSIL buvo gydomi</w:t>
      </w:r>
      <w:r>
        <w:rPr>
          <w:rFonts w:cs="Times New Roman"/>
          <w:sz w:val="22"/>
          <w:szCs w:val="22"/>
          <w:lang w:val="lt-LT" w:eastAsia="en-US"/>
        </w:rPr>
        <w:t xml:space="preserve"> </w:t>
      </w:r>
      <w:r w:rsidRPr="00A23DE4">
        <w:rPr>
          <w:rFonts w:cs="Times New Roman"/>
          <w:sz w:val="22"/>
          <w:szCs w:val="22"/>
          <w:lang w:val="lt-LT" w:eastAsia="en-US"/>
        </w:rPr>
        <w:t>hemodialize, – maždaug 4 kartus. Hemodialize sitagliptino buvo pašalinta nedaug (13,5</w:t>
      </w:r>
      <w:r>
        <w:rPr>
          <w:rFonts w:cs="Times New Roman"/>
          <w:sz w:val="22"/>
          <w:szCs w:val="22"/>
          <w:lang w:val="lt-LT" w:eastAsia="en-US"/>
        </w:rPr>
        <w:t> </w:t>
      </w:r>
      <w:r w:rsidRPr="00A23DE4">
        <w:rPr>
          <w:rFonts w:cs="Times New Roman"/>
          <w:sz w:val="22"/>
          <w:szCs w:val="22"/>
          <w:lang w:val="lt-LT" w:eastAsia="en-US"/>
        </w:rPr>
        <w:t>% per 3-4</w:t>
      </w:r>
      <w:r>
        <w:rPr>
          <w:rFonts w:cs="Times New Roman"/>
          <w:sz w:val="22"/>
          <w:szCs w:val="22"/>
          <w:lang w:val="lt-LT" w:eastAsia="en-US"/>
        </w:rPr>
        <w:t xml:space="preserve"> </w:t>
      </w:r>
      <w:r w:rsidRPr="00A23DE4">
        <w:rPr>
          <w:rFonts w:cs="Times New Roman"/>
          <w:sz w:val="22"/>
          <w:szCs w:val="22"/>
          <w:lang w:val="lt-LT" w:eastAsia="en-US"/>
        </w:rPr>
        <w:t>valandų hemodializę, kuri buvo pradėta, praėjus 4 val. po dozės pavartojimo). Norint pasiekti</w:t>
      </w:r>
      <w:r>
        <w:rPr>
          <w:rFonts w:cs="Times New Roman"/>
          <w:sz w:val="22"/>
          <w:szCs w:val="22"/>
          <w:lang w:val="lt-LT" w:eastAsia="en-US"/>
        </w:rPr>
        <w:t xml:space="preserve"> </w:t>
      </w:r>
      <w:r w:rsidRPr="00A23DE4">
        <w:rPr>
          <w:rFonts w:cs="Times New Roman"/>
          <w:sz w:val="22"/>
          <w:szCs w:val="22"/>
          <w:lang w:val="lt-LT" w:eastAsia="en-US"/>
        </w:rPr>
        <w:t>sitagliptino koncentraciją plazmoje panašią į tą, kuri susidaro pacientų, kurių inkstų veikla yra</w:t>
      </w:r>
      <w:r>
        <w:rPr>
          <w:rFonts w:cs="Times New Roman"/>
          <w:sz w:val="22"/>
          <w:szCs w:val="22"/>
          <w:lang w:val="lt-LT" w:eastAsia="en-US"/>
        </w:rPr>
        <w:t xml:space="preserve"> </w:t>
      </w:r>
      <w:r w:rsidRPr="00A23DE4">
        <w:rPr>
          <w:rFonts w:cs="Times New Roman"/>
          <w:sz w:val="22"/>
          <w:szCs w:val="22"/>
          <w:lang w:val="lt-LT" w:eastAsia="en-US"/>
        </w:rPr>
        <w:t>normali, organizme, pacientus, kuriems GFG yra &lt; 45</w:t>
      </w:r>
      <w:r>
        <w:rPr>
          <w:rFonts w:cs="Times New Roman"/>
          <w:sz w:val="22"/>
          <w:szCs w:val="22"/>
          <w:lang w:val="lt-LT" w:eastAsia="en-US"/>
        </w:rPr>
        <w:t> </w:t>
      </w:r>
      <w:r w:rsidRPr="00A23DE4">
        <w:rPr>
          <w:rFonts w:cs="Times New Roman"/>
          <w:sz w:val="22"/>
          <w:szCs w:val="22"/>
          <w:lang w:val="lt-LT" w:eastAsia="en-US"/>
        </w:rPr>
        <w:t>ml/min., rekomenduojama gydyti mažesnėmis</w:t>
      </w:r>
      <w:r>
        <w:rPr>
          <w:rFonts w:cs="Times New Roman"/>
          <w:sz w:val="22"/>
          <w:szCs w:val="22"/>
          <w:lang w:val="lt-LT" w:eastAsia="en-US"/>
        </w:rPr>
        <w:t xml:space="preserve"> </w:t>
      </w:r>
      <w:r w:rsidRPr="00A23DE4">
        <w:rPr>
          <w:rFonts w:cs="Times New Roman"/>
          <w:sz w:val="22"/>
          <w:szCs w:val="22"/>
          <w:lang w:val="lt-LT" w:eastAsia="en-US"/>
        </w:rPr>
        <w:t>dozėmis (žr. 4.2 skyrių).</w:t>
      </w:r>
    </w:p>
    <w:p w14:paraId="7ABD019E" w14:textId="77777777" w:rsidR="00112208" w:rsidRDefault="00112208" w:rsidP="00112208">
      <w:pPr>
        <w:autoSpaceDE w:val="0"/>
        <w:autoSpaceDN w:val="0"/>
        <w:adjustRightInd w:val="0"/>
        <w:rPr>
          <w:rFonts w:eastAsia="TimesNewRoman,Italic" w:cs="Times New Roman"/>
          <w:i/>
          <w:iCs/>
          <w:sz w:val="22"/>
          <w:szCs w:val="22"/>
          <w:lang w:val="lt-LT" w:eastAsia="en-US"/>
        </w:rPr>
      </w:pPr>
    </w:p>
    <w:p w14:paraId="3FF40761"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Sutrikusi kepenų funkcija</w:t>
      </w:r>
    </w:p>
    <w:p w14:paraId="0FCBED2E"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Pacientams, kuriems yra lengvas arba vidutinio sunkumo kepenų funkcijos sutrikimas (</w:t>
      </w:r>
      <w:r w:rsidRPr="00C249C9">
        <w:rPr>
          <w:rFonts w:eastAsia="TimesNewRoman,Italic" w:cs="Times New Roman"/>
          <w:i/>
          <w:sz w:val="22"/>
          <w:szCs w:val="22"/>
          <w:lang w:val="lt-LT" w:eastAsia="en-US"/>
        </w:rPr>
        <w:t>Child-Pugh</w:t>
      </w:r>
      <w:r w:rsidRPr="00C249C9">
        <w:rPr>
          <w:rFonts w:eastAsia="TimesNewRoman,Italic" w:cs="Times New Roman"/>
          <w:sz w:val="22"/>
          <w:szCs w:val="22"/>
          <w:lang w:val="lt-LT" w:eastAsia="en-US"/>
        </w:rPr>
        <w:t xml:space="preserve"> rodmuo ≤ 9), sitagliptino dozės keisti nereikia. Pacientų, kuriems yra sunkus kepenų funkcijos sutrikimas (</w:t>
      </w:r>
      <w:r w:rsidRPr="00C249C9">
        <w:rPr>
          <w:rFonts w:eastAsia="TimesNewRoman,Italic" w:cs="Times New Roman"/>
          <w:i/>
          <w:sz w:val="22"/>
          <w:szCs w:val="22"/>
          <w:lang w:val="lt-LT" w:eastAsia="en-US"/>
        </w:rPr>
        <w:t>Child-Pugh</w:t>
      </w:r>
      <w:r w:rsidRPr="00C249C9">
        <w:rPr>
          <w:rFonts w:eastAsia="TimesNewRoman,Italic" w:cs="Times New Roman"/>
          <w:sz w:val="22"/>
          <w:szCs w:val="22"/>
          <w:lang w:val="lt-LT" w:eastAsia="en-US"/>
        </w:rPr>
        <w:t xml:space="preserve"> rodmuo &gt; 9), klinikinės gydymo patirties nėra. Vis dėlto nėra tikėtina, kad sunkus kepenų funkcijos sutrikimas galėtų paveikti sitagliptino farmakokinetiką, nes daugiausiai vaistinio preparato pašalinama pro inkstus.</w:t>
      </w:r>
    </w:p>
    <w:p w14:paraId="1D56C87E"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255647E4"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Senyvi pacientai</w:t>
      </w:r>
    </w:p>
    <w:p w14:paraId="7A10BF8E"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Dėl amžiaus dozės keisti nereikia. Remiantis populiacijų farmakokinetikos duomenų, gautų I ir II fazės tyrimų metu, analize, amžius sitagliptino farmakokinetikai klinikai reikšmingo poveikio nedarė. Senyvų (65 - 80 metų) žmonių kraujo plazmoje sitagliptin</w:t>
      </w:r>
      <w:r>
        <w:rPr>
          <w:rFonts w:eastAsia="TimesNewRoman,Italic" w:cs="Times New Roman"/>
          <w:sz w:val="22"/>
          <w:szCs w:val="22"/>
          <w:lang w:val="lt-LT" w:eastAsia="en-US"/>
        </w:rPr>
        <w:t>o koncentracija buvo maždaug 19 </w:t>
      </w:r>
      <w:r w:rsidRPr="00C249C9">
        <w:rPr>
          <w:rFonts w:eastAsia="TimesNewRoman,Italic" w:cs="Times New Roman"/>
          <w:sz w:val="22"/>
          <w:szCs w:val="22"/>
          <w:lang w:val="lt-LT" w:eastAsia="en-US"/>
        </w:rPr>
        <w:t>% didesnė nei jaunesnių asmenų.</w:t>
      </w:r>
    </w:p>
    <w:p w14:paraId="6F91A098"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40CAEAB8"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Vaikų populiacija</w:t>
      </w:r>
    </w:p>
    <w:p w14:paraId="439B664A"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76299">
        <w:rPr>
          <w:rFonts w:eastAsia="TimesNewRoman,Italic" w:cs="Times New Roman"/>
          <w:sz w:val="22"/>
          <w:szCs w:val="22"/>
          <w:lang w:val="lt-LT" w:eastAsia="en-US"/>
        </w:rPr>
        <w:t>Buvo ištirtos sitagliptino (vienkartinių 50</w:t>
      </w:r>
      <w:r>
        <w:rPr>
          <w:rFonts w:eastAsia="TimesNewRoman,Italic" w:cs="Times New Roman"/>
          <w:sz w:val="22"/>
          <w:szCs w:val="22"/>
          <w:lang w:val="lt-LT" w:eastAsia="en-US"/>
        </w:rPr>
        <w:t> </w:t>
      </w:r>
      <w:r w:rsidRPr="00C76299">
        <w:rPr>
          <w:rFonts w:eastAsia="TimesNewRoman,Italic" w:cs="Times New Roman"/>
          <w:sz w:val="22"/>
          <w:szCs w:val="22"/>
          <w:lang w:val="lt-LT" w:eastAsia="en-US"/>
        </w:rPr>
        <w:t>mg, 100</w:t>
      </w:r>
      <w:r>
        <w:rPr>
          <w:rFonts w:eastAsia="TimesNewRoman,Italic" w:cs="Times New Roman"/>
          <w:sz w:val="22"/>
          <w:szCs w:val="22"/>
          <w:lang w:val="lt-LT" w:eastAsia="en-US"/>
        </w:rPr>
        <w:t> </w:t>
      </w:r>
      <w:r w:rsidRPr="00C76299">
        <w:rPr>
          <w:rFonts w:eastAsia="TimesNewRoman,Italic" w:cs="Times New Roman"/>
          <w:sz w:val="22"/>
          <w:szCs w:val="22"/>
          <w:lang w:val="lt-LT" w:eastAsia="en-US"/>
        </w:rPr>
        <w:t>mg ir 200</w:t>
      </w:r>
      <w:r>
        <w:rPr>
          <w:rFonts w:eastAsia="TimesNewRoman,Italic" w:cs="Times New Roman"/>
          <w:sz w:val="22"/>
          <w:szCs w:val="22"/>
          <w:lang w:val="lt-LT" w:eastAsia="en-US"/>
        </w:rPr>
        <w:t> </w:t>
      </w:r>
      <w:r w:rsidRPr="00C76299">
        <w:rPr>
          <w:rFonts w:eastAsia="TimesNewRoman,Italic" w:cs="Times New Roman"/>
          <w:sz w:val="22"/>
          <w:szCs w:val="22"/>
          <w:lang w:val="lt-LT" w:eastAsia="en-US"/>
        </w:rPr>
        <w:t>mg dozių) farmakokinetinės savybės</w:t>
      </w:r>
      <w:r>
        <w:rPr>
          <w:rFonts w:eastAsia="TimesNewRoman,Italic" w:cs="Times New Roman"/>
          <w:sz w:val="22"/>
          <w:szCs w:val="22"/>
          <w:lang w:val="lt-LT" w:eastAsia="en-US"/>
        </w:rPr>
        <w:t xml:space="preserve"> </w:t>
      </w:r>
      <w:r w:rsidRPr="00C76299">
        <w:rPr>
          <w:rFonts w:eastAsia="TimesNewRoman,Italic" w:cs="Times New Roman"/>
          <w:sz w:val="22"/>
          <w:szCs w:val="22"/>
          <w:lang w:val="lt-LT" w:eastAsia="en-US"/>
        </w:rPr>
        <w:t>2 tipo diabetu sergantiems vaikams (nuo 10 iki 17 metų). Šioje populiacijoje pagal dozę koreguotas</w:t>
      </w:r>
      <w:r>
        <w:rPr>
          <w:rFonts w:eastAsia="TimesNewRoman,Italic" w:cs="Times New Roman"/>
          <w:sz w:val="22"/>
          <w:szCs w:val="22"/>
          <w:lang w:val="lt-LT" w:eastAsia="en-US"/>
        </w:rPr>
        <w:t xml:space="preserve"> </w:t>
      </w:r>
      <w:r w:rsidRPr="00C76299">
        <w:rPr>
          <w:rFonts w:eastAsia="TimesNewRoman,Italic" w:cs="Times New Roman"/>
          <w:sz w:val="22"/>
          <w:szCs w:val="22"/>
          <w:lang w:val="lt-LT" w:eastAsia="en-US"/>
        </w:rPr>
        <w:t>sitagliptino AUC rodmuo plazmoje buvo maždaug 18</w:t>
      </w:r>
      <w:r>
        <w:rPr>
          <w:rFonts w:eastAsia="TimesNewRoman,Italic" w:cs="Times New Roman"/>
          <w:sz w:val="22"/>
          <w:szCs w:val="22"/>
          <w:lang w:val="lt-LT" w:eastAsia="en-US"/>
        </w:rPr>
        <w:t> </w:t>
      </w:r>
      <w:r w:rsidRPr="00C76299">
        <w:rPr>
          <w:rFonts w:eastAsia="TimesNewRoman,Italic" w:cs="Times New Roman"/>
          <w:sz w:val="22"/>
          <w:szCs w:val="22"/>
          <w:lang w:val="lt-LT" w:eastAsia="en-US"/>
        </w:rPr>
        <w:t>% mažesnis, lyginant su nustatytuoju rodmeniu</w:t>
      </w:r>
      <w:r>
        <w:rPr>
          <w:rFonts w:eastAsia="TimesNewRoman,Italic" w:cs="Times New Roman"/>
          <w:sz w:val="22"/>
          <w:szCs w:val="22"/>
          <w:lang w:val="lt-LT" w:eastAsia="en-US"/>
        </w:rPr>
        <w:t xml:space="preserve"> </w:t>
      </w:r>
      <w:r w:rsidRPr="00C76299">
        <w:rPr>
          <w:rFonts w:eastAsia="TimesNewRoman,Italic" w:cs="Times New Roman"/>
          <w:sz w:val="22"/>
          <w:szCs w:val="22"/>
          <w:lang w:val="lt-LT" w:eastAsia="en-US"/>
        </w:rPr>
        <w:lastRenderedPageBreak/>
        <w:t>2 tipo diabetu sergantiems suaugusiems pacientams, kurie vartojo 100</w:t>
      </w:r>
      <w:r>
        <w:rPr>
          <w:rFonts w:eastAsia="TimesNewRoman,Italic" w:cs="Times New Roman"/>
          <w:sz w:val="22"/>
          <w:szCs w:val="22"/>
          <w:lang w:val="lt-LT" w:eastAsia="en-US"/>
        </w:rPr>
        <w:t> </w:t>
      </w:r>
      <w:r w:rsidRPr="00C76299">
        <w:rPr>
          <w:rFonts w:eastAsia="TimesNewRoman,Italic" w:cs="Times New Roman"/>
          <w:sz w:val="22"/>
          <w:szCs w:val="22"/>
          <w:lang w:val="lt-LT" w:eastAsia="en-US"/>
        </w:rPr>
        <w:t>mg dozę. Šis skirtumas,</w:t>
      </w:r>
      <w:r>
        <w:rPr>
          <w:rFonts w:eastAsia="TimesNewRoman,Italic" w:cs="Times New Roman"/>
          <w:sz w:val="22"/>
          <w:szCs w:val="22"/>
          <w:lang w:val="lt-LT" w:eastAsia="en-US"/>
        </w:rPr>
        <w:t xml:space="preserve"> </w:t>
      </w:r>
      <w:r w:rsidRPr="00C76299">
        <w:rPr>
          <w:rFonts w:eastAsia="TimesNewRoman,Italic" w:cs="Times New Roman"/>
          <w:sz w:val="22"/>
          <w:szCs w:val="22"/>
          <w:lang w:val="lt-LT" w:eastAsia="en-US"/>
        </w:rPr>
        <w:t>lyginant su suaugusiais pacientais, nelaikomas kliniškai reikšmingu, atsižvelgiant į plokščią FK / FD</w:t>
      </w:r>
      <w:r>
        <w:rPr>
          <w:rFonts w:eastAsia="TimesNewRoman,Italic" w:cs="Times New Roman"/>
          <w:sz w:val="22"/>
          <w:szCs w:val="22"/>
          <w:lang w:val="lt-LT" w:eastAsia="en-US"/>
        </w:rPr>
        <w:t xml:space="preserve"> </w:t>
      </w:r>
      <w:r w:rsidRPr="00C76299">
        <w:rPr>
          <w:rFonts w:eastAsia="TimesNewRoman,Italic" w:cs="Times New Roman"/>
          <w:sz w:val="22"/>
          <w:szCs w:val="22"/>
          <w:lang w:val="lt-LT" w:eastAsia="en-US"/>
        </w:rPr>
        <w:t>ryšį tarp 50</w:t>
      </w:r>
      <w:r>
        <w:rPr>
          <w:rFonts w:eastAsia="TimesNewRoman,Italic" w:cs="Times New Roman"/>
          <w:sz w:val="22"/>
          <w:szCs w:val="22"/>
          <w:lang w:val="lt-LT" w:eastAsia="en-US"/>
        </w:rPr>
        <w:t> </w:t>
      </w:r>
      <w:r w:rsidRPr="00C76299">
        <w:rPr>
          <w:rFonts w:eastAsia="TimesNewRoman,Italic" w:cs="Times New Roman"/>
          <w:sz w:val="22"/>
          <w:szCs w:val="22"/>
          <w:lang w:val="lt-LT" w:eastAsia="en-US"/>
        </w:rPr>
        <w:t>mg ir 100</w:t>
      </w:r>
      <w:r>
        <w:rPr>
          <w:rFonts w:eastAsia="TimesNewRoman,Italic" w:cs="Times New Roman"/>
          <w:sz w:val="22"/>
          <w:szCs w:val="22"/>
          <w:lang w:val="lt-LT" w:eastAsia="en-US"/>
        </w:rPr>
        <w:t> </w:t>
      </w:r>
      <w:r w:rsidRPr="00C76299">
        <w:rPr>
          <w:rFonts w:eastAsia="TimesNewRoman,Italic" w:cs="Times New Roman"/>
          <w:sz w:val="22"/>
          <w:szCs w:val="22"/>
          <w:lang w:val="lt-LT" w:eastAsia="en-US"/>
        </w:rPr>
        <w:t>mg dozių. Su jaunesniais kaip 10 metų vaikais klinikinių sitagliptino tyrimų</w:t>
      </w:r>
      <w:r>
        <w:rPr>
          <w:rFonts w:eastAsia="TimesNewRoman,Italic" w:cs="Times New Roman"/>
          <w:sz w:val="22"/>
          <w:szCs w:val="22"/>
          <w:lang w:val="lt-LT" w:eastAsia="en-US"/>
        </w:rPr>
        <w:t xml:space="preserve"> </w:t>
      </w:r>
      <w:r w:rsidRPr="00C76299">
        <w:rPr>
          <w:rFonts w:eastAsia="TimesNewRoman,Italic" w:cs="Times New Roman"/>
          <w:sz w:val="22"/>
          <w:szCs w:val="22"/>
          <w:lang w:val="lt-LT" w:eastAsia="en-US"/>
        </w:rPr>
        <w:t>neatlikta.</w:t>
      </w:r>
    </w:p>
    <w:p w14:paraId="3BB00FBB"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p>
    <w:p w14:paraId="6C585385" w14:textId="77777777" w:rsidR="00112208" w:rsidRPr="00C249C9" w:rsidRDefault="00112208" w:rsidP="00112208">
      <w:pPr>
        <w:autoSpaceDE w:val="0"/>
        <w:autoSpaceDN w:val="0"/>
        <w:adjustRightInd w:val="0"/>
        <w:rPr>
          <w:rFonts w:eastAsia="TimesNewRoman,Italic" w:cs="Times New Roman"/>
          <w:i/>
          <w:iCs/>
          <w:sz w:val="22"/>
          <w:szCs w:val="22"/>
          <w:lang w:val="lt-LT" w:eastAsia="en-US"/>
        </w:rPr>
      </w:pPr>
      <w:r w:rsidRPr="00C249C9">
        <w:rPr>
          <w:rFonts w:eastAsia="TimesNewRoman,Italic" w:cs="Times New Roman"/>
          <w:i/>
          <w:iCs/>
          <w:sz w:val="22"/>
          <w:szCs w:val="22"/>
          <w:lang w:val="lt-LT" w:eastAsia="en-US"/>
        </w:rPr>
        <w:t>Kitų grupių pacientai</w:t>
      </w:r>
    </w:p>
    <w:p w14:paraId="13890650"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Dėl lyties, rasės ar kūno masės indekso (KMI) dozės keisti nereikia. Remiantis bendra I fazės farmakokinetikos tyrimų duomenų ir populiacijos farmakokinetikos duomenų, gautų I ir II fazių tyrimų metu, analize, minėti veiksniai klinikai reikšmingo poveikio sitagliptino farmakokinetikai neturėjo.</w:t>
      </w:r>
    </w:p>
    <w:p w14:paraId="0AC3DB3F" w14:textId="77777777" w:rsidR="00112208" w:rsidRPr="00C249C9" w:rsidRDefault="00112208" w:rsidP="00112208">
      <w:pPr>
        <w:autoSpaceDE w:val="0"/>
        <w:autoSpaceDN w:val="0"/>
        <w:adjustRightInd w:val="0"/>
        <w:rPr>
          <w:rFonts w:eastAsia="TimesNewRoman,Italic" w:cs="Times New Roman"/>
          <w:sz w:val="22"/>
          <w:szCs w:val="22"/>
          <w:lang w:val="lt-LT" w:eastAsia="en-US"/>
        </w:rPr>
      </w:pPr>
    </w:p>
    <w:p w14:paraId="16BEAB7F"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Ikiklinikinių saugumo tyrimų duomenys</w:t>
      </w:r>
    </w:p>
    <w:p w14:paraId="2BC5F60A" w14:textId="77777777" w:rsidR="00112208" w:rsidRPr="00C249C9" w:rsidRDefault="00112208" w:rsidP="00112208">
      <w:pPr>
        <w:autoSpaceDE w:val="0"/>
        <w:autoSpaceDN w:val="0"/>
        <w:adjustRightInd w:val="0"/>
        <w:rPr>
          <w:rFonts w:eastAsia="TimesNewRoman,Italic" w:cs="Times New Roman"/>
          <w:sz w:val="22"/>
          <w:szCs w:val="22"/>
          <w:lang w:val="lt-LT" w:eastAsia="en-US"/>
        </w:rPr>
      </w:pPr>
    </w:p>
    <w:p w14:paraId="647C9B5F"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Toksinis poveikis graužikų inkstams ir kepenims pasireiškė tada, kai vaistinio preparato ekspozicija jų organizme buvo 58 kartus didesnė už atsirandančią žmogaus organizme. Poveikio nesukelianti ekspozicija graužikų organizme buvo 19 kartų didesnė už atsirandančią žmogaus organizme.</w:t>
      </w:r>
    </w:p>
    <w:p w14:paraId="1B617F21"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Žiurkėms, kurių organizme medikamento ekspozicija buvo 67 kartus didesnė už atsirandančią žmogaus organizme, buvo priešakinių dantų pokyčių. Remiantis 14 savaičių trukmės tyrimais su žiurkėmis, šio poveikio nesukelianti ekspozicija buvo 58 kartus didesnė už atsirandančią terapinę doz</w:t>
      </w:r>
      <w:r>
        <w:rPr>
          <w:rFonts w:eastAsia="TimesNewRoman,Italic" w:cs="Times New Roman"/>
          <w:sz w:val="22"/>
          <w:szCs w:val="22"/>
          <w:lang w:val="lt-LT" w:eastAsia="en-US"/>
        </w:rPr>
        <w:t>ę</w:t>
      </w:r>
      <w:r w:rsidRPr="00C249C9">
        <w:rPr>
          <w:rFonts w:eastAsia="TimesNewRoman,Italic" w:cs="Times New Roman"/>
          <w:sz w:val="22"/>
          <w:szCs w:val="22"/>
          <w:lang w:val="lt-LT" w:eastAsia="en-US"/>
        </w:rPr>
        <w:t xml:space="preserve"> vartojančio žmogaus organizme. Šių duomenų reikšmė žmogui nežinoma. Šunims, kurių organizme ekspozicija buvo 23 kartus didesnė už atsirandančią terapinę dozę vartojančio žmogaus organizme, atsirado laikinų su gydymu susijusių fizinių simptomų. Kai kurie iš jų rodo toksinį poveikį nervų sistemai, pvz., kvėpavimas prasižiojus, seilėtekis, vėmimas baltomis putomis, ataksija, drebulys, aktyvumo sumažėjimas ir (arba) kuprota laikysena. Be to, histologiniu tyrimu nustatyta labai lengva ar lengva skeleto raumenų degeneracija, kai ekspozicija buvo maždaug 23 kartus didesnė už atsirandančią žmogaus organizme. Šio pokyčio nesukelianti ekspozicija buvo 6 kartus didesnė už atsirandančią terapinę dozę vartojančio žmogaus organizme. </w:t>
      </w:r>
    </w:p>
    <w:p w14:paraId="0656D2E2"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Ikiklinikinių tyrimų metu sitagliptino genotoksinio poveikio nepastebėta. Pelėms sitagliptinas kancerogeninio poveikio nesukėlė. Žiurkėms, kurių organizme ekspozicija buvo 58 kartus didesnė už atsirandančią terapinę dozę vartojančio žmogaus organizme, dažniau atsirado kepenų adenom</w:t>
      </w:r>
      <w:r>
        <w:rPr>
          <w:rFonts w:eastAsia="TimesNewRoman,Italic" w:cs="Times New Roman"/>
          <w:sz w:val="22"/>
          <w:szCs w:val="22"/>
          <w:lang w:val="lt-LT" w:eastAsia="en-US"/>
        </w:rPr>
        <w:t>ų</w:t>
      </w:r>
      <w:r w:rsidRPr="00C249C9">
        <w:rPr>
          <w:rFonts w:eastAsia="TimesNewRoman,Italic" w:cs="Times New Roman"/>
          <w:sz w:val="22"/>
          <w:szCs w:val="22"/>
          <w:lang w:val="lt-LT" w:eastAsia="en-US"/>
        </w:rPr>
        <w:t xml:space="preserve"> ar karcinom</w:t>
      </w:r>
      <w:r>
        <w:rPr>
          <w:rFonts w:eastAsia="TimesNewRoman,Italic" w:cs="Times New Roman"/>
          <w:sz w:val="22"/>
          <w:szCs w:val="22"/>
          <w:lang w:val="lt-LT" w:eastAsia="en-US"/>
        </w:rPr>
        <w:t>ų</w:t>
      </w:r>
      <w:r w:rsidRPr="00C249C9">
        <w:rPr>
          <w:rFonts w:eastAsia="TimesNewRoman,Italic" w:cs="Times New Roman"/>
          <w:sz w:val="22"/>
          <w:szCs w:val="22"/>
          <w:lang w:val="lt-LT" w:eastAsia="en-US"/>
        </w:rPr>
        <w:t>. Kadangi įrodyta, jog žiurkėms toksinis poveikis kepenims koreliuoja su kepenų naviko atsiradimu, todėl tikėtina, kad šis kepenų naviko padažnėjimas žiurkėms buvo antrinis dėl šios didelės dozės sukeliamo lėtinio toksinio poveikio kepenims. Nemanoma, kad pastebėti navikiniai pokyčiai galėtų būti svarbūs gydant žmogų, nes saugumo ribos yra didelės (šių pokyčių nesukelianti ekspozicija yra 19 kartų didesnė už atsirandančią terapinę dozę vartojančio žmogaus organizme).</w:t>
      </w:r>
    </w:p>
    <w:p w14:paraId="4BE4DCED"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Nepageidaujamo poveikio žiurkių patelių ir patinų, sitagliptino vartojusių prieš poravimąsi ir poravimosi metu, vaisingumui nepastebėta.</w:t>
      </w:r>
    </w:p>
    <w:p w14:paraId="25FC4C1D"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Tyrimų su žiurkėmis metu nepageidaujamo poveikio vystymuisi prenataliniu ir postnataliniu laikotarpiu nepastebėta.</w:t>
      </w:r>
    </w:p>
    <w:p w14:paraId="5B00AA1C" w14:textId="77777777" w:rsidR="00112208" w:rsidRPr="00C249C9" w:rsidRDefault="00112208" w:rsidP="00112208">
      <w:pPr>
        <w:autoSpaceDE w:val="0"/>
        <w:autoSpaceDN w:val="0"/>
        <w:adjustRightInd w:val="0"/>
        <w:rPr>
          <w:rFonts w:eastAsia="TimesNewRoman,Italic" w:cs="Times New Roman"/>
          <w:sz w:val="22"/>
          <w:szCs w:val="22"/>
          <w:lang w:val="lt-LT" w:eastAsia="en-US"/>
        </w:rPr>
      </w:pPr>
      <w:r w:rsidRPr="00C249C9">
        <w:rPr>
          <w:rFonts w:eastAsia="TimesNewRoman,Italic" w:cs="Times New Roman"/>
          <w:sz w:val="22"/>
          <w:szCs w:val="22"/>
          <w:lang w:val="lt-LT" w:eastAsia="en-US"/>
        </w:rPr>
        <w:t>Toksinio poveikio reprodukcijai tyrimų metu vaikingų žiurkių, kurių organizme ekspozicija buvo daugiau kaip 29 kartus didesnė už atsirandančią terapinę dozę vartojančio žmogaus organizme, vaisiui</w:t>
      </w:r>
      <w:r w:rsidRPr="00C249C9">
        <w:rPr>
          <w:rFonts w:cs="Times New Roman"/>
          <w:sz w:val="22"/>
          <w:szCs w:val="22"/>
          <w:lang w:val="lt-LT" w:eastAsia="en-US"/>
        </w:rPr>
        <w:t xml:space="preserve"> šiek tiek dažniau atsirado nuo vaistinio preparato priklausomų šonkaulių sklaidos trūkumų (ne visi šonkauliai, hipoplastiški ar banguoti šonkauliai). Toksinis poveikis vaikingoms triušių patelėms pasireiškė tada, kai jų organizme ekspozicija buvo daugiau kaip 29 kartus didesnė už atsirandančią terapinę dozę vartojančio žmogaus organizme. Kadangi saugumo ribos yra plačios, todėl šie duomenys reikšmingos rizikos žmogaus reprodukcinei funkcijai nerodo. Žindymo laikotarpiu į žiurkių pieną patenka daug sitagliptino (koncentracijos piene ir plazmoje santykis yra 4:1).</w:t>
      </w:r>
    </w:p>
    <w:p w14:paraId="438AC924" w14:textId="77777777" w:rsidR="00112208" w:rsidRPr="00C249C9" w:rsidRDefault="00112208" w:rsidP="00112208">
      <w:pPr>
        <w:numPr>
          <w:ilvl w:val="12"/>
          <w:numId w:val="0"/>
        </w:numPr>
        <w:tabs>
          <w:tab w:val="left" w:pos="567"/>
        </w:tabs>
        <w:ind w:right="-2"/>
        <w:rPr>
          <w:rFonts w:eastAsia="Times New Roman" w:cs="Times New Roman"/>
          <w:iCs/>
          <w:noProof/>
          <w:sz w:val="22"/>
          <w:szCs w:val="22"/>
          <w:lang w:val="lt-LT" w:eastAsia="lt-LT" w:bidi="lt-LT"/>
        </w:rPr>
      </w:pPr>
    </w:p>
    <w:p w14:paraId="3E53432B" w14:textId="77777777" w:rsidR="00112208" w:rsidRPr="00C249C9" w:rsidRDefault="00112208" w:rsidP="00112208">
      <w:pPr>
        <w:keepNext/>
        <w:tabs>
          <w:tab w:val="left" w:pos="567"/>
        </w:tabs>
        <w:rPr>
          <w:rFonts w:eastAsia="Times New Roman" w:cs="Times New Roman"/>
          <w:noProof/>
          <w:sz w:val="22"/>
          <w:szCs w:val="22"/>
          <w:highlight w:val="yellow"/>
          <w:lang w:val="lt-LT" w:eastAsia="lt-LT" w:bidi="lt-LT"/>
        </w:rPr>
      </w:pPr>
    </w:p>
    <w:p w14:paraId="1B44A157" w14:textId="77777777" w:rsidR="00112208" w:rsidRPr="00C249C9" w:rsidRDefault="00112208" w:rsidP="00112208">
      <w:pPr>
        <w:keepNext/>
        <w:numPr>
          <w:ilvl w:val="0"/>
          <w:numId w:val="3"/>
        </w:numPr>
        <w:tabs>
          <w:tab w:val="left" w:pos="567"/>
        </w:tabs>
        <w:suppressAutoHyphens/>
        <w:spacing w:line="260" w:lineRule="exact"/>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FARMACINĖ INFORMACIJA</w:t>
      </w:r>
    </w:p>
    <w:p w14:paraId="32EE3C7B"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78930529"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Pagalbinių medžiagų sąrašas</w:t>
      </w:r>
    </w:p>
    <w:p w14:paraId="3B39E4DD" w14:textId="77777777" w:rsidR="00112208" w:rsidRPr="00C249C9" w:rsidRDefault="00112208" w:rsidP="00112208">
      <w:pPr>
        <w:keepNext/>
        <w:tabs>
          <w:tab w:val="left" w:pos="567"/>
        </w:tabs>
        <w:rPr>
          <w:rFonts w:eastAsia="Times New Roman" w:cs="Times New Roman"/>
          <w:i/>
          <w:noProof/>
          <w:sz w:val="22"/>
          <w:szCs w:val="22"/>
          <w:lang w:val="lt-LT" w:eastAsia="lt-LT" w:bidi="lt-LT"/>
        </w:rPr>
      </w:pPr>
    </w:p>
    <w:p w14:paraId="370DCC93"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Tabletės šerdis</w:t>
      </w:r>
    </w:p>
    <w:p w14:paraId="276DF886"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Mikrokristalinė celiuliozė (E460)</w:t>
      </w:r>
    </w:p>
    <w:p w14:paraId="40E3ED5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Bevandenis kalcio-vandenilio fosfatas </w:t>
      </w:r>
    </w:p>
    <w:p w14:paraId="0315197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Kroskarmeliozės natrio druska </w:t>
      </w:r>
    </w:p>
    <w:p w14:paraId="5B7DE109"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lastRenderedPageBreak/>
        <w:t>Magnio stearatas</w:t>
      </w:r>
    </w:p>
    <w:p w14:paraId="072F001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Natrio stearilfumaratas</w:t>
      </w:r>
    </w:p>
    <w:p w14:paraId="31228F4D" w14:textId="77777777" w:rsidR="00112208" w:rsidRPr="00C249C9" w:rsidRDefault="00112208" w:rsidP="00112208">
      <w:pPr>
        <w:autoSpaceDE w:val="0"/>
        <w:autoSpaceDN w:val="0"/>
        <w:adjustRightInd w:val="0"/>
        <w:rPr>
          <w:rFonts w:cs="Times New Roman"/>
          <w:sz w:val="22"/>
          <w:szCs w:val="22"/>
          <w:lang w:val="lt-LT" w:eastAsia="en-US"/>
        </w:rPr>
      </w:pPr>
    </w:p>
    <w:p w14:paraId="15E051DF" w14:textId="77777777" w:rsidR="00112208" w:rsidRPr="00C249C9" w:rsidRDefault="00112208" w:rsidP="00112208">
      <w:pPr>
        <w:autoSpaceDE w:val="0"/>
        <w:autoSpaceDN w:val="0"/>
        <w:adjustRightInd w:val="0"/>
        <w:rPr>
          <w:rFonts w:cs="Times New Roman"/>
          <w:sz w:val="22"/>
          <w:szCs w:val="22"/>
          <w:u w:val="single"/>
          <w:lang w:val="lt-LT" w:eastAsia="en-US"/>
        </w:rPr>
      </w:pPr>
      <w:r w:rsidRPr="00C249C9">
        <w:rPr>
          <w:rFonts w:cs="Times New Roman"/>
          <w:sz w:val="22"/>
          <w:szCs w:val="22"/>
          <w:u w:val="single"/>
          <w:lang w:val="lt-LT" w:eastAsia="en-US"/>
        </w:rPr>
        <w:t>Tabletės plėvelė</w:t>
      </w:r>
    </w:p>
    <w:p w14:paraId="59B183C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Polivinilo alkoholis (E1203)</w:t>
      </w:r>
    </w:p>
    <w:p w14:paraId="0A18F96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Titano dioksidas (E171)</w:t>
      </w:r>
    </w:p>
    <w:p w14:paraId="7B24C047"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Makrogolis (E1521)</w:t>
      </w:r>
    </w:p>
    <w:p w14:paraId="4BF1582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Talkas (E553b)</w:t>
      </w:r>
    </w:p>
    <w:p w14:paraId="04CFD3D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25</w:t>
      </w:r>
      <w:r>
        <w:rPr>
          <w:rFonts w:cs="Times New Roman"/>
          <w:sz w:val="22"/>
          <w:szCs w:val="22"/>
          <w:lang w:val="lt-LT" w:eastAsia="en-US"/>
        </w:rPr>
        <w:t> </w:t>
      </w:r>
      <w:r w:rsidRPr="00C249C9">
        <w:rPr>
          <w:rFonts w:cs="Times New Roman"/>
          <w:sz w:val="22"/>
          <w:szCs w:val="22"/>
          <w:lang w:val="lt-LT" w:eastAsia="en-US"/>
        </w:rPr>
        <w:t>mg: geltonasis geležies oksidas (E172)</w:t>
      </w:r>
    </w:p>
    <w:p w14:paraId="33FDD83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50</w:t>
      </w:r>
      <w:r>
        <w:rPr>
          <w:rFonts w:cs="Times New Roman"/>
          <w:sz w:val="22"/>
          <w:szCs w:val="22"/>
          <w:lang w:val="lt-LT" w:eastAsia="en-US"/>
        </w:rPr>
        <w:t> </w:t>
      </w:r>
      <w:r w:rsidRPr="00C249C9">
        <w:rPr>
          <w:rFonts w:cs="Times New Roman"/>
          <w:sz w:val="22"/>
          <w:szCs w:val="22"/>
          <w:lang w:val="lt-LT" w:eastAsia="en-US"/>
        </w:rPr>
        <w:t>mg: raudonasis geležies oksidas (E172)</w:t>
      </w:r>
    </w:p>
    <w:p w14:paraId="2C5D5170"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100</w:t>
      </w:r>
      <w:r>
        <w:rPr>
          <w:rFonts w:cs="Times New Roman"/>
          <w:sz w:val="22"/>
          <w:szCs w:val="22"/>
          <w:lang w:val="lt-LT" w:eastAsia="en-US"/>
        </w:rPr>
        <w:t> </w:t>
      </w:r>
      <w:r w:rsidRPr="00C249C9">
        <w:rPr>
          <w:rFonts w:cs="Times New Roman"/>
          <w:sz w:val="22"/>
          <w:szCs w:val="22"/>
          <w:lang w:val="lt-LT" w:eastAsia="en-US"/>
        </w:rPr>
        <w:t>mg: geltonasis geležies oksidas (E172) ir raudonasis geležies oksidas (E172)</w:t>
      </w:r>
    </w:p>
    <w:p w14:paraId="1309EEC9" w14:textId="77777777" w:rsidR="00112208" w:rsidRPr="00C249C9" w:rsidRDefault="00112208" w:rsidP="00112208">
      <w:pPr>
        <w:autoSpaceDE w:val="0"/>
        <w:autoSpaceDN w:val="0"/>
        <w:adjustRightInd w:val="0"/>
        <w:rPr>
          <w:rFonts w:cs="Times New Roman"/>
          <w:sz w:val="22"/>
          <w:szCs w:val="22"/>
          <w:lang w:val="lt-LT" w:eastAsia="en-US"/>
        </w:rPr>
      </w:pPr>
    </w:p>
    <w:p w14:paraId="7F1A583A"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Nesuderinamumas</w:t>
      </w:r>
    </w:p>
    <w:p w14:paraId="30B7A6A7"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108118A2" w14:textId="77777777" w:rsidR="00112208" w:rsidRPr="00C249C9" w:rsidRDefault="00112208" w:rsidP="00112208">
      <w:pPr>
        <w:tabs>
          <w:tab w:val="left" w:pos="567"/>
        </w:tabs>
        <w:rPr>
          <w:rFonts w:eastAsia="Times New Roman" w:cs="Times New Roman"/>
          <w:sz w:val="22"/>
          <w:szCs w:val="22"/>
          <w:lang w:val="lt-LT" w:eastAsia="lt-LT" w:bidi="lt-LT"/>
        </w:rPr>
      </w:pPr>
      <w:r w:rsidRPr="00C249C9">
        <w:rPr>
          <w:rFonts w:eastAsia="Times New Roman" w:cs="Times New Roman"/>
          <w:sz w:val="22"/>
          <w:szCs w:val="22"/>
          <w:lang w:val="lt-LT" w:eastAsia="lt-LT" w:bidi="lt-LT"/>
        </w:rPr>
        <w:t>Duomenys nebūtini.</w:t>
      </w:r>
    </w:p>
    <w:p w14:paraId="439AA8A9"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F4542DF"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Tinkamumo laikas</w:t>
      </w:r>
    </w:p>
    <w:p w14:paraId="3F2338EF"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454BED15"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3 metai.</w:t>
      </w:r>
    </w:p>
    <w:p w14:paraId="0CD32AAE"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C1905D8"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Specialios laikymo sąlygos</w:t>
      </w:r>
    </w:p>
    <w:p w14:paraId="0701DE87" w14:textId="77777777" w:rsidR="00112208" w:rsidRPr="00C249C9" w:rsidRDefault="00112208" w:rsidP="00112208">
      <w:pPr>
        <w:keepNext/>
        <w:tabs>
          <w:tab w:val="left" w:pos="567"/>
        </w:tabs>
        <w:ind w:left="567" w:hanging="567"/>
        <w:outlineLvl w:val="0"/>
        <w:rPr>
          <w:rFonts w:eastAsia="Times New Roman" w:cs="Times New Roman"/>
          <w:noProof/>
          <w:sz w:val="22"/>
          <w:szCs w:val="22"/>
          <w:lang w:val="lt-LT" w:eastAsia="lt-LT" w:bidi="lt-LT"/>
        </w:rPr>
      </w:pPr>
    </w:p>
    <w:p w14:paraId="6DC29737"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cs="Times New Roman"/>
          <w:sz w:val="22"/>
          <w:szCs w:val="22"/>
          <w:lang w:val="lt-LT" w:eastAsia="en-US"/>
        </w:rPr>
        <w:t>Šiam vaistiniam preparatui specialių laikymo sąlygų nereikia.</w:t>
      </w:r>
    </w:p>
    <w:p w14:paraId="5D2FFF55" w14:textId="77777777" w:rsidR="00112208" w:rsidRPr="00C249C9" w:rsidRDefault="00112208" w:rsidP="00112208">
      <w:pPr>
        <w:keepNext/>
        <w:tabs>
          <w:tab w:val="left" w:pos="567"/>
        </w:tabs>
        <w:spacing w:line="260" w:lineRule="exact"/>
        <w:ind w:left="570"/>
        <w:outlineLvl w:val="0"/>
        <w:rPr>
          <w:rFonts w:eastAsia="Times New Roman" w:cs="Times New Roman"/>
          <w:b/>
          <w:noProof/>
          <w:sz w:val="22"/>
          <w:szCs w:val="22"/>
          <w:lang w:val="lt-LT" w:eastAsia="lt-LT" w:bidi="lt-LT"/>
        </w:rPr>
      </w:pPr>
    </w:p>
    <w:p w14:paraId="15633E84"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Talpyklės pobūdis ir jos turinys </w:t>
      </w:r>
    </w:p>
    <w:p w14:paraId="1B62113E" w14:textId="77777777" w:rsidR="00112208" w:rsidRPr="00C249C9" w:rsidRDefault="00112208" w:rsidP="00112208">
      <w:pPr>
        <w:keepNext/>
        <w:tabs>
          <w:tab w:val="left" w:pos="567"/>
        </w:tabs>
        <w:spacing w:line="260" w:lineRule="exact"/>
        <w:ind w:left="570"/>
        <w:outlineLvl w:val="0"/>
        <w:rPr>
          <w:rFonts w:eastAsia="Times New Roman" w:cs="Times New Roman"/>
          <w:b/>
          <w:noProof/>
          <w:sz w:val="22"/>
          <w:szCs w:val="22"/>
          <w:lang w:val="lt-LT" w:eastAsia="lt-LT" w:bidi="lt-LT"/>
        </w:rPr>
      </w:pPr>
    </w:p>
    <w:p w14:paraId="1C3C2F59" w14:textId="77777777" w:rsidR="00112208" w:rsidRPr="006A4298" w:rsidRDefault="00112208" w:rsidP="00112208">
      <w:pPr>
        <w:autoSpaceDE w:val="0"/>
        <w:autoSpaceDN w:val="0"/>
        <w:adjustRightInd w:val="0"/>
        <w:rPr>
          <w:rFonts w:cs="Times New Roman"/>
          <w:sz w:val="22"/>
          <w:szCs w:val="22"/>
          <w:lang w:val="lt-LT" w:eastAsia="en-US"/>
        </w:rPr>
      </w:pPr>
      <w:r w:rsidRPr="006A4298">
        <w:rPr>
          <w:rFonts w:cs="Times New Roman"/>
          <w:sz w:val="22"/>
          <w:szCs w:val="22"/>
          <w:lang w:val="lt-LT" w:eastAsia="en-US"/>
        </w:rPr>
        <w:t>PA/Al</w:t>
      </w:r>
      <w:r w:rsidRPr="00864F78">
        <w:rPr>
          <w:rFonts w:cs="Times New Roman"/>
          <w:sz w:val="22"/>
          <w:szCs w:val="22"/>
          <w:lang w:val="lt-LT" w:eastAsia="en-US"/>
        </w:rPr>
        <w:t>/PVC</w:t>
      </w:r>
      <w:r w:rsidRPr="009C699C">
        <w:rPr>
          <w:rFonts w:cs="Times New Roman"/>
          <w:sz w:val="22"/>
          <w:szCs w:val="22"/>
          <w:lang w:val="lt-LT" w:eastAsia="en-US"/>
        </w:rPr>
        <w:t>//</w:t>
      </w:r>
      <w:r w:rsidRPr="00A73D6B">
        <w:rPr>
          <w:rFonts w:cs="Times New Roman"/>
          <w:sz w:val="22"/>
          <w:szCs w:val="22"/>
          <w:lang w:val="lt-LT" w:eastAsia="en-US"/>
        </w:rPr>
        <w:t>Al</w:t>
      </w:r>
      <w:r w:rsidRPr="000B1325">
        <w:rPr>
          <w:rFonts w:cs="Times New Roman"/>
          <w:sz w:val="22"/>
          <w:szCs w:val="22"/>
          <w:lang w:val="lt-LT" w:eastAsia="en-US"/>
        </w:rPr>
        <w:t xml:space="preserve"> lizdinės plokštelės po </w:t>
      </w:r>
      <w:r w:rsidRPr="004D73DC">
        <w:rPr>
          <w:sz w:val="22"/>
          <w:szCs w:val="22"/>
          <w:lang w:val="lt-LT"/>
        </w:rPr>
        <w:t>14, 28, 30, 56, 84, 90 arba 98 tabletes.</w:t>
      </w:r>
    </w:p>
    <w:p w14:paraId="4BF1292C" w14:textId="77777777" w:rsidR="00112208" w:rsidRPr="00C249C9" w:rsidRDefault="00112208" w:rsidP="00112208">
      <w:pPr>
        <w:autoSpaceDE w:val="0"/>
        <w:autoSpaceDN w:val="0"/>
        <w:adjustRightInd w:val="0"/>
        <w:rPr>
          <w:rFonts w:cs="Times New Roman"/>
          <w:sz w:val="22"/>
          <w:szCs w:val="22"/>
          <w:lang w:val="lt-LT" w:eastAsia="en-US"/>
        </w:rPr>
      </w:pPr>
    </w:p>
    <w:p w14:paraId="7DC54D87"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Gali būti tiekiamos ne visų dydžių pakuotės.</w:t>
      </w:r>
    </w:p>
    <w:p w14:paraId="153C3E5D"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43313540" w14:textId="77777777" w:rsidR="00112208" w:rsidRPr="00C249C9" w:rsidRDefault="00112208" w:rsidP="00112208">
      <w:pPr>
        <w:keepNext/>
        <w:numPr>
          <w:ilvl w:val="1"/>
          <w:numId w:val="3"/>
        </w:numPr>
        <w:tabs>
          <w:tab w:val="left" w:pos="567"/>
        </w:tabs>
        <w:spacing w:line="260" w:lineRule="exact"/>
        <w:outlineLvl w:val="0"/>
        <w:rPr>
          <w:rFonts w:eastAsia="Times New Roman" w:cs="Times New Roman"/>
          <w:noProof/>
          <w:sz w:val="22"/>
          <w:szCs w:val="22"/>
          <w:lang w:val="lt-LT" w:eastAsia="lt-LT" w:bidi="lt-LT"/>
        </w:rPr>
      </w:pPr>
      <w:bookmarkStart w:id="0" w:name="OLE_LINK1"/>
      <w:r w:rsidRPr="00C249C9">
        <w:rPr>
          <w:rFonts w:eastAsia="Times New Roman" w:cs="Times New Roman"/>
          <w:b/>
          <w:noProof/>
          <w:sz w:val="22"/>
          <w:szCs w:val="22"/>
          <w:lang w:val="lt-LT" w:eastAsia="lt-LT" w:bidi="lt-LT"/>
        </w:rPr>
        <w:t xml:space="preserve">Specialūs reikalavimai atliekoms tvarkyti </w:t>
      </w:r>
    </w:p>
    <w:p w14:paraId="51D4AC52"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66E397FC" w14:textId="77777777" w:rsidR="00112208" w:rsidRPr="00C249C9" w:rsidRDefault="00112208" w:rsidP="00112208">
      <w:pPr>
        <w:tabs>
          <w:tab w:val="left" w:pos="567"/>
        </w:tabs>
        <w:rPr>
          <w:rFonts w:eastAsia="Times New Roman" w:cs="Times New Roman"/>
          <w:sz w:val="22"/>
          <w:szCs w:val="22"/>
          <w:lang w:val="lt-LT" w:eastAsia="lt-LT" w:bidi="lt-LT"/>
        </w:rPr>
      </w:pPr>
      <w:r w:rsidRPr="00C249C9">
        <w:rPr>
          <w:rFonts w:eastAsia="Times New Roman" w:cs="Times New Roman"/>
          <w:sz w:val="22"/>
          <w:szCs w:val="22"/>
          <w:lang w:val="lt-LT" w:eastAsia="lt-LT" w:bidi="lt-LT"/>
        </w:rPr>
        <w:t>Nesuvartotą vaistinį preparatą ar atliekas reikia tvarkyti laikantis vietinių reikalavimų.</w:t>
      </w:r>
    </w:p>
    <w:bookmarkEnd w:id="0"/>
    <w:p w14:paraId="444A825A" w14:textId="77777777" w:rsidR="00112208" w:rsidRPr="00C249C9" w:rsidRDefault="00112208" w:rsidP="00112208">
      <w:pPr>
        <w:tabs>
          <w:tab w:val="left" w:pos="567"/>
        </w:tabs>
        <w:rPr>
          <w:rFonts w:eastAsia="Times New Roman" w:cs="Times New Roman"/>
          <w:sz w:val="22"/>
          <w:szCs w:val="22"/>
          <w:lang w:val="lt-LT" w:eastAsia="lt-LT" w:bidi="lt-LT"/>
        </w:rPr>
      </w:pPr>
    </w:p>
    <w:p w14:paraId="79778E6F"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7AA02D0F" w14:textId="77777777" w:rsidR="00112208" w:rsidRPr="00C249C9" w:rsidRDefault="00112208" w:rsidP="00112208">
      <w:pPr>
        <w:keepNext/>
        <w:numPr>
          <w:ilvl w:val="0"/>
          <w:numId w:val="3"/>
        </w:numPr>
        <w:tabs>
          <w:tab w:val="left" w:pos="567"/>
        </w:tabs>
        <w:spacing w:line="260" w:lineRule="exact"/>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REGISTRUOTOJAS</w:t>
      </w:r>
    </w:p>
    <w:p w14:paraId="6DED98A6" w14:textId="77777777" w:rsidR="00112208" w:rsidRPr="00C249C9" w:rsidRDefault="00112208" w:rsidP="00112208">
      <w:pPr>
        <w:keepNext/>
        <w:tabs>
          <w:tab w:val="left" w:pos="567"/>
        </w:tabs>
        <w:rPr>
          <w:rFonts w:eastAsia="Times New Roman" w:cs="Times New Roman"/>
          <w:noProof/>
          <w:sz w:val="22"/>
          <w:szCs w:val="22"/>
          <w:highlight w:val="yellow"/>
          <w:lang w:val="lt-LT" w:eastAsia="lt-LT" w:bidi="lt-LT"/>
        </w:rPr>
      </w:pPr>
    </w:p>
    <w:p w14:paraId="4F06106A"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Medochemie Ltd.</w:t>
      </w:r>
    </w:p>
    <w:p w14:paraId="36B092F1"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1 – 10 Constantinoupoleos Street</w:t>
      </w:r>
    </w:p>
    <w:p w14:paraId="2F01F8A0"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3011 Limassol</w:t>
      </w:r>
    </w:p>
    <w:p w14:paraId="79ABDA21"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Kipras</w:t>
      </w:r>
    </w:p>
    <w:p w14:paraId="50DC132E"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25D8BAD5"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06843F2B" w14:textId="77777777" w:rsidR="00112208" w:rsidRPr="00C249C9" w:rsidRDefault="00112208" w:rsidP="00112208">
      <w:pPr>
        <w:keepNext/>
        <w:numPr>
          <w:ilvl w:val="0"/>
          <w:numId w:val="3"/>
        </w:numPr>
        <w:tabs>
          <w:tab w:val="left" w:pos="567"/>
        </w:tabs>
        <w:spacing w:line="260" w:lineRule="exact"/>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REGISTRACIJOS PAŽYMĖJIMO NUMERIS (-IAI) </w:t>
      </w:r>
    </w:p>
    <w:p w14:paraId="1A781A88" w14:textId="77777777" w:rsidR="00112208" w:rsidRDefault="00112208" w:rsidP="00112208">
      <w:pPr>
        <w:tabs>
          <w:tab w:val="left" w:pos="567"/>
        </w:tabs>
        <w:rPr>
          <w:rFonts w:eastAsia="Times New Roman" w:cs="Times New Roman"/>
          <w:noProof/>
          <w:sz w:val="22"/>
          <w:szCs w:val="22"/>
          <w:highlight w:val="yellow"/>
          <w:lang w:val="lt-LT" w:eastAsia="lt-LT" w:bidi="lt-LT"/>
        </w:rPr>
      </w:pPr>
    </w:p>
    <w:p w14:paraId="0C9E98F1" w14:textId="77777777" w:rsidR="00112208" w:rsidRDefault="00112208" w:rsidP="00112208">
      <w:pPr>
        <w:tabs>
          <w:tab w:val="left" w:pos="567"/>
        </w:tabs>
        <w:rPr>
          <w:rFonts w:eastAsia="Times New Roman" w:cs="Times New Roman"/>
          <w:sz w:val="22"/>
          <w:szCs w:val="22"/>
          <w:lang w:val="lt-LT" w:eastAsia="lt-LT" w:bidi="lt-LT"/>
        </w:rPr>
        <w:sectPr w:rsidR="00112208" w:rsidSect="00736841">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pPr>
    </w:p>
    <w:p w14:paraId="3B5E1E9B" w14:textId="504748D6" w:rsidR="00112208" w:rsidRPr="005D02AB" w:rsidRDefault="00112208" w:rsidP="00112208">
      <w:pPr>
        <w:tabs>
          <w:tab w:val="left" w:pos="567"/>
        </w:tabs>
        <w:rPr>
          <w:rFonts w:eastAsia="Times New Roman" w:cs="Times New Roman"/>
          <w:sz w:val="22"/>
          <w:szCs w:val="22"/>
          <w:u w:val="single"/>
          <w:lang w:val="lt-LT" w:eastAsia="lt-LT" w:bidi="lt-LT"/>
        </w:rPr>
      </w:pPr>
      <w:r w:rsidRPr="005D02AB">
        <w:rPr>
          <w:rFonts w:eastAsia="Times New Roman" w:cs="Times New Roman"/>
          <w:sz w:val="22"/>
          <w:szCs w:val="22"/>
          <w:u w:val="single"/>
          <w:lang w:val="lt-LT" w:eastAsia="lt-LT" w:bidi="lt-LT"/>
        </w:rPr>
        <w:t>25 mg</w:t>
      </w:r>
    </w:p>
    <w:p w14:paraId="43A393C5" w14:textId="77777777" w:rsidR="005D02AB" w:rsidRPr="005D02AB" w:rsidRDefault="005D02AB" w:rsidP="005D02AB">
      <w:pPr>
        <w:tabs>
          <w:tab w:val="left" w:pos="567"/>
        </w:tabs>
        <w:rPr>
          <w:rFonts w:eastAsia="Times New Roman" w:cs="Times New Roman"/>
          <w:noProof/>
          <w:sz w:val="22"/>
          <w:szCs w:val="22"/>
          <w:lang w:val="lt-LT" w:eastAsia="lt-LT" w:bidi="lt-LT"/>
        </w:rPr>
      </w:pPr>
      <w:r w:rsidRPr="005D02AB">
        <w:rPr>
          <w:rFonts w:eastAsia="Times New Roman" w:cs="Times New Roman"/>
          <w:noProof/>
          <w:sz w:val="22"/>
          <w:szCs w:val="22"/>
          <w:lang w:val="lt-LT" w:eastAsia="lt-LT" w:bidi="lt-LT"/>
        </w:rPr>
        <w:t>LT/1/17/4116/001 – N14</w:t>
      </w:r>
    </w:p>
    <w:p w14:paraId="7568CAE6" w14:textId="77777777" w:rsidR="005D02AB" w:rsidRPr="005D02AB" w:rsidRDefault="005D02AB" w:rsidP="005D02AB">
      <w:pPr>
        <w:tabs>
          <w:tab w:val="left" w:pos="567"/>
        </w:tabs>
        <w:rPr>
          <w:rFonts w:eastAsia="Times New Roman" w:cs="Times New Roman"/>
          <w:noProof/>
          <w:sz w:val="22"/>
          <w:szCs w:val="22"/>
          <w:lang w:val="lt-LT" w:eastAsia="lt-LT" w:bidi="lt-LT"/>
        </w:rPr>
      </w:pPr>
      <w:r w:rsidRPr="005D02AB">
        <w:rPr>
          <w:rFonts w:eastAsia="Times New Roman" w:cs="Times New Roman"/>
          <w:noProof/>
          <w:sz w:val="22"/>
          <w:szCs w:val="22"/>
          <w:lang w:val="lt-LT" w:eastAsia="lt-LT" w:bidi="lt-LT"/>
        </w:rPr>
        <w:t>LT/1/17/4116/002 – N28</w:t>
      </w:r>
    </w:p>
    <w:p w14:paraId="503CCDB1" w14:textId="77777777" w:rsidR="005D02AB" w:rsidRPr="005D02AB" w:rsidRDefault="005D02AB" w:rsidP="005D02AB">
      <w:pPr>
        <w:tabs>
          <w:tab w:val="left" w:pos="567"/>
        </w:tabs>
        <w:rPr>
          <w:rFonts w:eastAsia="Times New Roman" w:cs="Times New Roman"/>
          <w:noProof/>
          <w:sz w:val="22"/>
          <w:szCs w:val="22"/>
          <w:lang w:val="lt-LT" w:eastAsia="lt-LT" w:bidi="lt-LT"/>
        </w:rPr>
      </w:pPr>
      <w:r w:rsidRPr="005D02AB">
        <w:rPr>
          <w:rFonts w:eastAsia="Times New Roman" w:cs="Times New Roman"/>
          <w:noProof/>
          <w:sz w:val="22"/>
          <w:szCs w:val="22"/>
          <w:lang w:val="lt-LT" w:eastAsia="lt-LT" w:bidi="lt-LT"/>
        </w:rPr>
        <w:t>LT/1/17/4116/003 – N30</w:t>
      </w:r>
    </w:p>
    <w:p w14:paraId="47ABEE1F" w14:textId="77777777" w:rsidR="005D02AB" w:rsidRPr="005D02AB" w:rsidRDefault="005D02AB" w:rsidP="005D02AB">
      <w:pPr>
        <w:tabs>
          <w:tab w:val="left" w:pos="567"/>
        </w:tabs>
        <w:rPr>
          <w:rFonts w:eastAsia="Times New Roman" w:cs="Times New Roman"/>
          <w:noProof/>
          <w:sz w:val="22"/>
          <w:szCs w:val="22"/>
          <w:lang w:val="lt-LT" w:eastAsia="lt-LT" w:bidi="lt-LT"/>
        </w:rPr>
      </w:pPr>
      <w:r w:rsidRPr="005D02AB">
        <w:rPr>
          <w:rFonts w:eastAsia="Times New Roman" w:cs="Times New Roman"/>
          <w:noProof/>
          <w:sz w:val="22"/>
          <w:szCs w:val="22"/>
          <w:lang w:val="lt-LT" w:eastAsia="lt-LT" w:bidi="lt-LT"/>
        </w:rPr>
        <w:t>LT/1/17/4116/004 – N56</w:t>
      </w:r>
    </w:p>
    <w:p w14:paraId="29DAE78A" w14:textId="77777777" w:rsidR="005D02AB" w:rsidRPr="005D02AB" w:rsidRDefault="005D02AB" w:rsidP="005D02AB">
      <w:pPr>
        <w:tabs>
          <w:tab w:val="left" w:pos="567"/>
        </w:tabs>
        <w:rPr>
          <w:rFonts w:eastAsia="Times New Roman" w:cs="Times New Roman"/>
          <w:noProof/>
          <w:sz w:val="22"/>
          <w:szCs w:val="22"/>
          <w:lang w:val="lt-LT" w:eastAsia="lt-LT" w:bidi="lt-LT"/>
        </w:rPr>
      </w:pPr>
      <w:r w:rsidRPr="005D02AB">
        <w:rPr>
          <w:rFonts w:eastAsia="Times New Roman" w:cs="Times New Roman"/>
          <w:noProof/>
          <w:sz w:val="22"/>
          <w:szCs w:val="22"/>
          <w:lang w:val="lt-LT" w:eastAsia="lt-LT" w:bidi="lt-LT"/>
        </w:rPr>
        <w:t>LT/1/17/4116/005 – N84</w:t>
      </w:r>
    </w:p>
    <w:p w14:paraId="4DF16F86" w14:textId="77777777" w:rsidR="005D02AB" w:rsidRPr="005D02AB" w:rsidRDefault="005D02AB" w:rsidP="005D02AB">
      <w:pPr>
        <w:tabs>
          <w:tab w:val="left" w:pos="567"/>
        </w:tabs>
        <w:rPr>
          <w:rFonts w:eastAsia="Times New Roman" w:cs="Times New Roman"/>
          <w:noProof/>
          <w:sz w:val="22"/>
          <w:szCs w:val="22"/>
          <w:lang w:val="lt-LT" w:eastAsia="lt-LT" w:bidi="lt-LT"/>
        </w:rPr>
      </w:pPr>
      <w:r w:rsidRPr="005D02AB">
        <w:rPr>
          <w:rFonts w:eastAsia="Times New Roman" w:cs="Times New Roman"/>
          <w:noProof/>
          <w:sz w:val="22"/>
          <w:szCs w:val="22"/>
          <w:lang w:val="lt-LT" w:eastAsia="lt-LT" w:bidi="lt-LT"/>
        </w:rPr>
        <w:t>LT/1/17/4116/006 – N90</w:t>
      </w:r>
    </w:p>
    <w:p w14:paraId="040A2FCF" w14:textId="4B6D73E0" w:rsidR="00112208" w:rsidRDefault="005D02AB" w:rsidP="005D02AB">
      <w:pPr>
        <w:tabs>
          <w:tab w:val="left" w:pos="567"/>
        </w:tabs>
        <w:rPr>
          <w:rFonts w:eastAsia="Times New Roman" w:cs="Times New Roman"/>
          <w:noProof/>
          <w:sz w:val="22"/>
          <w:szCs w:val="22"/>
          <w:lang w:val="lt-LT" w:eastAsia="lt-LT" w:bidi="lt-LT"/>
        </w:rPr>
      </w:pPr>
      <w:r w:rsidRPr="005D02AB">
        <w:rPr>
          <w:rFonts w:eastAsia="Times New Roman" w:cs="Times New Roman"/>
          <w:noProof/>
          <w:sz w:val="22"/>
          <w:szCs w:val="22"/>
          <w:lang w:val="lt-LT" w:eastAsia="lt-LT" w:bidi="lt-LT"/>
        </w:rPr>
        <w:t>LT/1/17/4116/007 – N98</w:t>
      </w:r>
    </w:p>
    <w:p w14:paraId="41033D9A" w14:textId="77777777" w:rsidR="005D02AB" w:rsidRDefault="005D02AB" w:rsidP="005D02AB">
      <w:pPr>
        <w:tabs>
          <w:tab w:val="left" w:pos="567"/>
        </w:tabs>
        <w:rPr>
          <w:rFonts w:eastAsia="Times New Roman" w:cs="Times New Roman"/>
          <w:noProof/>
          <w:sz w:val="22"/>
          <w:szCs w:val="22"/>
          <w:highlight w:val="yellow"/>
          <w:lang w:val="lt-LT" w:eastAsia="lt-LT" w:bidi="lt-LT"/>
        </w:rPr>
      </w:pPr>
    </w:p>
    <w:p w14:paraId="15D8C562" w14:textId="405BDEDD" w:rsidR="00112208" w:rsidRPr="005D02AB" w:rsidRDefault="00112208" w:rsidP="00112208">
      <w:pPr>
        <w:tabs>
          <w:tab w:val="left" w:pos="567"/>
        </w:tabs>
        <w:rPr>
          <w:rFonts w:eastAsia="Times New Roman" w:cs="Times New Roman"/>
          <w:sz w:val="22"/>
          <w:szCs w:val="22"/>
          <w:u w:val="single"/>
          <w:lang w:val="lt-LT" w:eastAsia="lt-LT" w:bidi="lt-LT"/>
        </w:rPr>
      </w:pPr>
      <w:r w:rsidRPr="005D02AB">
        <w:rPr>
          <w:rFonts w:eastAsia="Times New Roman" w:cs="Times New Roman"/>
          <w:sz w:val="22"/>
          <w:szCs w:val="22"/>
          <w:u w:val="single"/>
          <w:lang w:val="lt-LT" w:eastAsia="lt-LT" w:bidi="lt-LT"/>
        </w:rPr>
        <w:t>50 mg</w:t>
      </w:r>
    </w:p>
    <w:p w14:paraId="78427BD3"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LT/1/17/4116/008 – N14 </w:t>
      </w:r>
    </w:p>
    <w:p w14:paraId="29954816"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LT/1/17/4116/009 – N28 </w:t>
      </w:r>
    </w:p>
    <w:p w14:paraId="5EFB4656"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LT/1/17/4116/010 – N30 </w:t>
      </w:r>
    </w:p>
    <w:p w14:paraId="68C642FB"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LT/1/17/4116/011 – N56 </w:t>
      </w:r>
    </w:p>
    <w:p w14:paraId="19048D0C"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LT/1/17/4116/012 – N84 </w:t>
      </w:r>
    </w:p>
    <w:p w14:paraId="5EA3D47B"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LT/1/17/4116/013 – N90 </w:t>
      </w:r>
    </w:p>
    <w:p w14:paraId="5AE66D35" w14:textId="3400A25B" w:rsidR="00112208" w:rsidRDefault="005D02AB" w:rsidP="005D02AB">
      <w:pPr>
        <w:tabs>
          <w:tab w:val="left" w:pos="567"/>
        </w:tabs>
        <w:rPr>
          <w:rFonts w:cs="Times New Roman"/>
          <w:color w:val="000000"/>
          <w:sz w:val="22"/>
          <w:szCs w:val="22"/>
          <w:lang w:val="lt-LT" w:eastAsia="en-US"/>
        </w:rPr>
      </w:pPr>
      <w:r w:rsidRPr="005D02AB">
        <w:rPr>
          <w:rFonts w:cs="Times New Roman"/>
          <w:color w:val="000000"/>
          <w:sz w:val="22"/>
          <w:szCs w:val="22"/>
          <w:lang w:val="lt-LT" w:eastAsia="en-US"/>
        </w:rPr>
        <w:t xml:space="preserve">LT/1/17/4116/014 – N98 </w:t>
      </w:r>
    </w:p>
    <w:p w14:paraId="1761394E" w14:textId="77777777" w:rsidR="005D02AB" w:rsidRPr="005D02AB" w:rsidRDefault="005D02AB" w:rsidP="005D02AB">
      <w:pPr>
        <w:tabs>
          <w:tab w:val="left" w:pos="567"/>
        </w:tabs>
        <w:rPr>
          <w:rFonts w:eastAsia="Times New Roman" w:cs="Times New Roman"/>
          <w:noProof/>
          <w:sz w:val="22"/>
          <w:szCs w:val="22"/>
          <w:highlight w:val="yellow"/>
          <w:lang w:val="lt-LT" w:eastAsia="lt-LT" w:bidi="lt-LT"/>
        </w:rPr>
      </w:pPr>
    </w:p>
    <w:p w14:paraId="54F8684A" w14:textId="4583D288" w:rsidR="00112208" w:rsidRPr="005D02AB" w:rsidRDefault="00112208" w:rsidP="00112208">
      <w:pPr>
        <w:tabs>
          <w:tab w:val="left" w:pos="567"/>
        </w:tabs>
        <w:rPr>
          <w:rFonts w:eastAsia="Times New Roman" w:cs="Times New Roman"/>
          <w:sz w:val="22"/>
          <w:szCs w:val="22"/>
          <w:u w:val="single"/>
          <w:lang w:val="lt-LT" w:eastAsia="lt-LT" w:bidi="lt-LT"/>
        </w:rPr>
      </w:pPr>
      <w:r w:rsidRPr="005D02AB">
        <w:rPr>
          <w:rFonts w:eastAsia="Times New Roman" w:cs="Times New Roman"/>
          <w:sz w:val="22"/>
          <w:szCs w:val="22"/>
          <w:u w:val="single"/>
          <w:lang w:val="lt-LT" w:eastAsia="lt-LT" w:bidi="lt-LT"/>
        </w:rPr>
        <w:t>100 mg</w:t>
      </w:r>
    </w:p>
    <w:p w14:paraId="639B4B98"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LT/1/17/4116/015 – N14 </w:t>
      </w:r>
    </w:p>
    <w:p w14:paraId="57AFEE5E"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LT/1/17/4116/016 – N28 </w:t>
      </w:r>
    </w:p>
    <w:p w14:paraId="1358786C"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LT/1/17/4116/017 – N30 </w:t>
      </w:r>
    </w:p>
    <w:p w14:paraId="44108CC5"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LT/1/17/4116/018 – N56 </w:t>
      </w:r>
    </w:p>
    <w:p w14:paraId="49F52A9F"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LT/1/17/4116/019 – N84 </w:t>
      </w:r>
    </w:p>
    <w:p w14:paraId="5D70F36C" w14:textId="77777777" w:rsidR="005D02AB" w:rsidRPr="005D02AB" w:rsidRDefault="005D02AB" w:rsidP="005D02AB">
      <w:pPr>
        <w:autoSpaceDE w:val="0"/>
        <w:autoSpaceDN w:val="0"/>
        <w:adjustRightInd w:val="0"/>
        <w:rPr>
          <w:rFonts w:cs="Times New Roman"/>
          <w:color w:val="000000"/>
          <w:sz w:val="22"/>
          <w:szCs w:val="22"/>
          <w:lang w:val="lt-LT" w:eastAsia="en-US"/>
        </w:rPr>
      </w:pPr>
      <w:r w:rsidRPr="005D02AB">
        <w:rPr>
          <w:rFonts w:cs="Times New Roman"/>
          <w:color w:val="000000"/>
          <w:sz w:val="22"/>
          <w:szCs w:val="22"/>
          <w:lang w:val="lt-LT" w:eastAsia="en-US"/>
        </w:rPr>
        <w:t xml:space="preserve">LT/1/17/4116/020 – N90 </w:t>
      </w:r>
    </w:p>
    <w:p w14:paraId="48A19F11" w14:textId="52527736" w:rsidR="00112208" w:rsidRDefault="005D02AB" w:rsidP="005D02AB">
      <w:pPr>
        <w:tabs>
          <w:tab w:val="left" w:pos="567"/>
        </w:tabs>
        <w:rPr>
          <w:bCs/>
          <w:sz w:val="22"/>
          <w:szCs w:val="22"/>
          <w:lang w:val="lt-LT"/>
        </w:rPr>
      </w:pPr>
      <w:r w:rsidRPr="005D02AB">
        <w:rPr>
          <w:rFonts w:cs="Times New Roman"/>
          <w:color w:val="000000"/>
          <w:sz w:val="22"/>
          <w:szCs w:val="22"/>
          <w:lang w:val="lt-LT" w:eastAsia="en-US"/>
        </w:rPr>
        <w:t>LT/1/17/4116/021 – N98</w:t>
      </w:r>
      <w:r w:rsidRPr="005D02AB">
        <w:rPr>
          <w:rFonts w:cs="Times New Roman"/>
          <w:color w:val="000000"/>
          <w:sz w:val="23"/>
          <w:szCs w:val="23"/>
          <w:lang w:val="lt-LT" w:eastAsia="en-US"/>
        </w:rPr>
        <w:t xml:space="preserve"> </w:t>
      </w:r>
      <w:r w:rsidR="00112208" w:rsidRPr="003C1C77">
        <w:rPr>
          <w:bCs/>
          <w:sz w:val="22"/>
          <w:szCs w:val="22"/>
          <w:lang w:val="lt-LT"/>
        </w:rPr>
        <w:t xml:space="preserve"> </w:t>
      </w:r>
    </w:p>
    <w:p w14:paraId="7B603C31" w14:textId="77777777" w:rsidR="00112208" w:rsidRDefault="00112208" w:rsidP="00112208">
      <w:pPr>
        <w:tabs>
          <w:tab w:val="left" w:pos="567"/>
        </w:tabs>
        <w:rPr>
          <w:rFonts w:eastAsia="Times New Roman" w:cs="Times New Roman"/>
          <w:noProof/>
          <w:sz w:val="22"/>
          <w:szCs w:val="22"/>
          <w:highlight w:val="yellow"/>
          <w:lang w:val="lt-LT" w:eastAsia="lt-LT" w:bidi="lt-LT"/>
        </w:rPr>
        <w:sectPr w:rsidR="00112208" w:rsidSect="006A276D">
          <w:endnotePr>
            <w:numFmt w:val="decimal"/>
          </w:endnotePr>
          <w:type w:val="continuous"/>
          <w:pgSz w:w="11907" w:h="16840" w:code="9"/>
          <w:pgMar w:top="1134" w:right="1418" w:bottom="1134" w:left="1418" w:header="737" w:footer="737" w:gutter="0"/>
          <w:cols w:num="3" w:space="720"/>
          <w:titlePg/>
          <w:docGrid w:linePitch="299"/>
        </w:sectPr>
      </w:pPr>
    </w:p>
    <w:p w14:paraId="35F22F05"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2702992D" w14:textId="77777777" w:rsidR="00112208" w:rsidRPr="00C249C9" w:rsidRDefault="00112208" w:rsidP="00112208">
      <w:pPr>
        <w:keepNext/>
        <w:numPr>
          <w:ilvl w:val="0"/>
          <w:numId w:val="3"/>
        </w:numPr>
        <w:tabs>
          <w:tab w:val="left" w:pos="567"/>
        </w:tabs>
        <w:spacing w:line="260" w:lineRule="exact"/>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lastRenderedPageBreak/>
        <w:t>REGISTRAVIMO / PERREGISTRAVIMO DATA</w:t>
      </w:r>
    </w:p>
    <w:p w14:paraId="29BB1C54" w14:textId="77777777" w:rsidR="00112208" w:rsidRDefault="00112208" w:rsidP="00112208">
      <w:pPr>
        <w:widowControl w:val="0"/>
        <w:tabs>
          <w:tab w:val="left" w:pos="567"/>
          <w:tab w:val="left" w:pos="2160"/>
        </w:tabs>
        <w:snapToGrid w:val="0"/>
        <w:rPr>
          <w:rFonts w:eastAsia="Times New Roman" w:cs="Times New Roman"/>
          <w:sz w:val="22"/>
          <w:szCs w:val="22"/>
          <w:lang w:val="lt-LT"/>
        </w:rPr>
      </w:pPr>
    </w:p>
    <w:p w14:paraId="0A3A9936" w14:textId="748649C9" w:rsidR="00112208" w:rsidRDefault="00112208" w:rsidP="00112208">
      <w:pPr>
        <w:widowControl w:val="0"/>
        <w:tabs>
          <w:tab w:val="left" w:pos="567"/>
          <w:tab w:val="left" w:pos="2160"/>
        </w:tabs>
        <w:snapToGrid w:val="0"/>
        <w:rPr>
          <w:rFonts w:eastAsia="Times New Roman" w:cs="Times New Roman"/>
          <w:snapToGrid w:val="0"/>
          <w:sz w:val="22"/>
          <w:szCs w:val="24"/>
          <w:lang w:val="lt-LT" w:eastAsia="en-US"/>
        </w:rPr>
      </w:pPr>
      <w:r w:rsidRPr="00C249C9">
        <w:rPr>
          <w:rFonts w:eastAsia="Times New Roman" w:cs="Times New Roman"/>
          <w:sz w:val="22"/>
          <w:szCs w:val="22"/>
          <w:lang w:val="lt-LT"/>
        </w:rPr>
        <w:t>Registravimo data</w:t>
      </w:r>
      <w:r>
        <w:rPr>
          <w:rFonts w:eastAsia="Times New Roman" w:cs="Times New Roman"/>
          <w:sz w:val="22"/>
          <w:szCs w:val="22"/>
          <w:lang w:val="lt-LT"/>
        </w:rPr>
        <w:t xml:space="preserve"> </w:t>
      </w:r>
      <w:r w:rsidRPr="009900C7">
        <w:rPr>
          <w:rFonts w:eastAsia="Times New Roman" w:cs="Times New Roman"/>
          <w:snapToGrid w:val="0"/>
          <w:sz w:val="22"/>
          <w:szCs w:val="24"/>
          <w:lang w:val="lt-LT" w:eastAsia="en-US"/>
        </w:rPr>
        <w:t>2017 m. liepos 27 d.</w:t>
      </w:r>
    </w:p>
    <w:p w14:paraId="5B1528E3" w14:textId="247948D3" w:rsidR="009E22CB" w:rsidRPr="00C249C9" w:rsidRDefault="009E22CB" w:rsidP="00112208">
      <w:pPr>
        <w:widowControl w:val="0"/>
        <w:tabs>
          <w:tab w:val="left" w:pos="567"/>
          <w:tab w:val="left" w:pos="2160"/>
        </w:tabs>
        <w:snapToGrid w:val="0"/>
        <w:rPr>
          <w:rFonts w:eastAsia="Times New Roman" w:cs="Times New Roman"/>
          <w:sz w:val="22"/>
          <w:szCs w:val="22"/>
          <w:lang w:val="lt-LT"/>
        </w:rPr>
      </w:pPr>
      <w:r>
        <w:rPr>
          <w:rFonts w:eastAsia="Times New Roman" w:cs="Times New Roman"/>
          <w:snapToGrid w:val="0"/>
          <w:sz w:val="22"/>
          <w:szCs w:val="24"/>
          <w:lang w:val="lt-LT" w:eastAsia="en-US"/>
        </w:rPr>
        <w:t>Paskutinio perregistravimo data</w:t>
      </w:r>
      <w:r w:rsidR="005D02AB">
        <w:rPr>
          <w:rFonts w:eastAsia="Times New Roman" w:cs="Times New Roman"/>
          <w:snapToGrid w:val="0"/>
          <w:sz w:val="22"/>
          <w:szCs w:val="24"/>
          <w:lang w:val="lt-LT" w:eastAsia="en-US"/>
        </w:rPr>
        <w:t xml:space="preserve"> 2021 m. gruodžio 13 d.</w:t>
      </w:r>
    </w:p>
    <w:p w14:paraId="0514662B"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7AA01FE9"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6BF538DC" w14:textId="77777777" w:rsidR="00112208" w:rsidRPr="00C249C9" w:rsidRDefault="00112208" w:rsidP="00112208">
      <w:pPr>
        <w:keepNext/>
        <w:numPr>
          <w:ilvl w:val="0"/>
          <w:numId w:val="3"/>
        </w:numPr>
        <w:tabs>
          <w:tab w:val="left" w:pos="567"/>
        </w:tabs>
        <w:spacing w:line="260" w:lineRule="exact"/>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TEKSTO PERŽIŪROS DATA</w:t>
      </w:r>
    </w:p>
    <w:p w14:paraId="39933CA5" w14:textId="77777777" w:rsidR="00112208" w:rsidRPr="00C249C9" w:rsidRDefault="00112208" w:rsidP="00112208">
      <w:pPr>
        <w:widowControl w:val="0"/>
        <w:tabs>
          <w:tab w:val="left" w:pos="567"/>
          <w:tab w:val="left" w:pos="2160"/>
        </w:tabs>
        <w:snapToGrid w:val="0"/>
        <w:rPr>
          <w:rFonts w:eastAsia="Times New Roman" w:cs="Times New Roman"/>
          <w:sz w:val="22"/>
          <w:szCs w:val="22"/>
          <w:lang w:val="lt-LT"/>
        </w:rPr>
      </w:pPr>
    </w:p>
    <w:p w14:paraId="35056A4C" w14:textId="4BA40070" w:rsidR="00112208" w:rsidRDefault="005D02AB" w:rsidP="00112208">
      <w:pPr>
        <w:numPr>
          <w:ilvl w:val="12"/>
          <w:numId w:val="0"/>
        </w:numPr>
        <w:tabs>
          <w:tab w:val="left" w:pos="567"/>
        </w:tabs>
        <w:ind w:right="-2"/>
        <w:rPr>
          <w:rFonts w:eastAsia="Times New Roman" w:cs="Times New Roman"/>
          <w:iCs/>
          <w:noProof/>
          <w:sz w:val="22"/>
          <w:szCs w:val="22"/>
          <w:lang w:val="lt-LT" w:eastAsia="lt-LT" w:bidi="lt-LT"/>
        </w:rPr>
      </w:pPr>
      <w:r>
        <w:rPr>
          <w:rFonts w:eastAsia="Times New Roman" w:cs="Times New Roman"/>
          <w:iCs/>
          <w:noProof/>
          <w:sz w:val="22"/>
          <w:szCs w:val="22"/>
          <w:lang w:val="lt-LT" w:eastAsia="lt-LT" w:bidi="lt-LT"/>
        </w:rPr>
        <w:t>2021 m. gruodžio 13 d.</w:t>
      </w:r>
    </w:p>
    <w:p w14:paraId="068CCE67" w14:textId="77777777" w:rsidR="005D02AB" w:rsidRPr="00C249C9" w:rsidRDefault="005D02AB" w:rsidP="00112208">
      <w:pPr>
        <w:numPr>
          <w:ilvl w:val="12"/>
          <w:numId w:val="0"/>
        </w:numPr>
        <w:tabs>
          <w:tab w:val="left" w:pos="567"/>
        </w:tabs>
        <w:ind w:right="-2"/>
        <w:rPr>
          <w:rFonts w:eastAsia="Times New Roman" w:cs="Times New Roman"/>
          <w:iCs/>
          <w:noProof/>
          <w:sz w:val="22"/>
          <w:szCs w:val="22"/>
          <w:lang w:val="lt-LT" w:eastAsia="lt-LT" w:bidi="lt-LT"/>
        </w:rPr>
      </w:pPr>
    </w:p>
    <w:p w14:paraId="2BCBC166" w14:textId="77777777" w:rsidR="00112208" w:rsidRPr="00C249C9" w:rsidRDefault="00112208" w:rsidP="00112208">
      <w:pPr>
        <w:tabs>
          <w:tab w:val="left" w:pos="5954"/>
          <w:tab w:val="left" w:pos="6237"/>
          <w:tab w:val="left" w:pos="6663"/>
          <w:tab w:val="left" w:pos="6946"/>
        </w:tabs>
        <w:rPr>
          <w:rFonts w:eastAsia="SimSun" w:cs="Times New Roman"/>
          <w:sz w:val="22"/>
          <w:szCs w:val="22"/>
          <w:lang w:val="lt-LT" w:eastAsia="en-US"/>
        </w:rPr>
      </w:pPr>
      <w:r w:rsidRPr="00C249C9">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C249C9">
        <w:rPr>
          <w:rFonts w:eastAsia="SimSun" w:cs="Times New Roman"/>
          <w:i/>
          <w:noProof/>
          <w:sz w:val="22"/>
          <w:szCs w:val="22"/>
          <w:lang w:val="lt-LT" w:eastAsia="en-US"/>
        </w:rPr>
        <w:t xml:space="preserve"> </w:t>
      </w:r>
      <w:hyperlink r:id="rId12" w:history="1">
        <w:r w:rsidRPr="00C249C9">
          <w:rPr>
            <w:rFonts w:eastAsia="SimSun" w:cs="Times New Roman"/>
            <w:color w:val="0000FF"/>
            <w:sz w:val="22"/>
            <w:szCs w:val="22"/>
            <w:u w:val="single"/>
            <w:lang w:val="lt-LT" w:eastAsia="en-US"/>
          </w:rPr>
          <w:t>http://www.vvkt.lt</w:t>
        </w:r>
      </w:hyperlink>
    </w:p>
    <w:p w14:paraId="42C72D16" w14:textId="77777777" w:rsidR="00112208" w:rsidRPr="00C249C9" w:rsidRDefault="00112208" w:rsidP="00112208">
      <w:pPr>
        <w:numPr>
          <w:ilvl w:val="12"/>
          <w:numId w:val="0"/>
        </w:numPr>
        <w:tabs>
          <w:tab w:val="left" w:pos="567"/>
        </w:tabs>
        <w:ind w:right="-2"/>
        <w:rPr>
          <w:rFonts w:eastAsia="Times New Roman" w:cs="Times New Roman"/>
          <w:noProof/>
          <w:sz w:val="22"/>
          <w:szCs w:val="22"/>
          <w:highlight w:val="yellow"/>
          <w:lang w:val="lt-LT" w:eastAsia="lt-LT" w:bidi="lt-LT"/>
        </w:rPr>
      </w:pPr>
    </w:p>
    <w:p w14:paraId="6E198652" w14:textId="77777777" w:rsidR="00112208" w:rsidRPr="00C249C9" w:rsidRDefault="00112208" w:rsidP="00112208">
      <w:pPr>
        <w:numPr>
          <w:ilvl w:val="12"/>
          <w:numId w:val="0"/>
        </w:numPr>
        <w:tabs>
          <w:tab w:val="left" w:pos="567"/>
        </w:tabs>
        <w:ind w:right="-2"/>
        <w:rPr>
          <w:rFonts w:eastAsia="Times New Roman" w:cs="Times New Roman"/>
          <w:noProof/>
          <w:sz w:val="22"/>
          <w:szCs w:val="22"/>
          <w:highlight w:val="yellow"/>
          <w:lang w:val="lt-LT" w:eastAsia="lt-LT" w:bidi="lt-LT"/>
        </w:rPr>
      </w:pPr>
      <w:r w:rsidRPr="00C249C9">
        <w:rPr>
          <w:rFonts w:eastAsia="Times New Roman" w:cs="Times New Roman"/>
          <w:sz w:val="22"/>
          <w:szCs w:val="22"/>
          <w:highlight w:val="yellow"/>
          <w:lang w:val="lt-LT" w:eastAsia="lt-LT" w:bidi="lt-LT"/>
        </w:rPr>
        <w:br w:type="page"/>
      </w:r>
    </w:p>
    <w:p w14:paraId="6442F61E"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77E8C053"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372731C7"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75AD826C"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1C714EFD"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41F00D29"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3135C226"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766606FD"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43271A49"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4E283E75"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78F0E378"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4C53720C"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384B0F26"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32910803"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00ED2174"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242901C2"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5435462B"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1AD1CB09"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7D66C72C"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6AF3D7F2"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27B04D96"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319D31E9"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769076E2"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F2DA1A2" w14:textId="77777777" w:rsidR="00112208" w:rsidRPr="00C249C9" w:rsidRDefault="00112208" w:rsidP="00112208">
      <w:pPr>
        <w:tabs>
          <w:tab w:val="left" w:pos="567"/>
        </w:tabs>
        <w:jc w:val="center"/>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II PRIEDAS</w:t>
      </w:r>
    </w:p>
    <w:p w14:paraId="349E7C20" w14:textId="77777777" w:rsidR="00112208" w:rsidRPr="00C249C9" w:rsidRDefault="00112208" w:rsidP="00112208">
      <w:pPr>
        <w:tabs>
          <w:tab w:val="left" w:pos="567"/>
        </w:tabs>
        <w:jc w:val="center"/>
        <w:rPr>
          <w:rFonts w:eastAsia="Times New Roman" w:cs="Times New Roman"/>
          <w:noProof/>
          <w:sz w:val="22"/>
          <w:szCs w:val="22"/>
          <w:lang w:val="lt-LT" w:eastAsia="lt-LT" w:bidi="lt-LT"/>
        </w:rPr>
      </w:pPr>
    </w:p>
    <w:p w14:paraId="3F0C9AE9" w14:textId="77777777" w:rsidR="00112208" w:rsidRPr="00C249C9" w:rsidRDefault="00112208" w:rsidP="00112208">
      <w:pPr>
        <w:tabs>
          <w:tab w:val="left" w:pos="567"/>
        </w:tabs>
        <w:spacing w:line="260" w:lineRule="exact"/>
        <w:jc w:val="center"/>
        <w:rPr>
          <w:rFonts w:eastAsia="Times New Roman" w:cs="Times New Roman"/>
          <w:i/>
          <w:snapToGrid w:val="0"/>
          <w:sz w:val="22"/>
          <w:szCs w:val="22"/>
          <w:lang w:val="lt-LT" w:eastAsia="en-US"/>
        </w:rPr>
      </w:pPr>
      <w:r w:rsidRPr="00C249C9">
        <w:rPr>
          <w:rFonts w:eastAsia="Times New Roman" w:cs="Times New Roman"/>
          <w:b/>
          <w:snapToGrid w:val="0"/>
          <w:sz w:val="22"/>
          <w:szCs w:val="22"/>
          <w:lang w:val="lt-LT" w:eastAsia="en-US"/>
        </w:rPr>
        <w:t>REGISTRACIJOS SĄLYGOS</w:t>
      </w:r>
    </w:p>
    <w:p w14:paraId="619FBAD4" w14:textId="77777777" w:rsidR="00112208" w:rsidRPr="00C249C9" w:rsidRDefault="00112208" w:rsidP="00112208">
      <w:pPr>
        <w:tabs>
          <w:tab w:val="left" w:pos="567"/>
        </w:tabs>
        <w:ind w:right="1416"/>
        <w:rPr>
          <w:rFonts w:eastAsia="Times New Roman" w:cs="Times New Roman"/>
          <w:noProof/>
          <w:sz w:val="22"/>
          <w:szCs w:val="22"/>
          <w:lang w:val="lt-LT" w:eastAsia="lt-LT" w:bidi="lt-LT"/>
        </w:rPr>
      </w:pPr>
    </w:p>
    <w:p w14:paraId="47CF3D38" w14:textId="77777777" w:rsidR="00112208" w:rsidRPr="00C249C9" w:rsidRDefault="00112208" w:rsidP="00112208">
      <w:pPr>
        <w:numPr>
          <w:ilvl w:val="0"/>
          <w:numId w:val="4"/>
        </w:numPr>
        <w:tabs>
          <w:tab w:val="left" w:pos="567"/>
          <w:tab w:val="left" w:pos="1701"/>
          <w:tab w:val="left" w:pos="7797"/>
        </w:tabs>
        <w:spacing w:line="260" w:lineRule="exact"/>
        <w:ind w:right="1274"/>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GAMINTOJAS (-AI), ATSAKINGAS (-I) UŽ SERIJŲ IŠLEIDIMĄ</w:t>
      </w:r>
    </w:p>
    <w:p w14:paraId="746C5DE4" w14:textId="77777777" w:rsidR="00112208" w:rsidRPr="00C249C9" w:rsidRDefault="00112208" w:rsidP="00112208">
      <w:pPr>
        <w:tabs>
          <w:tab w:val="left" w:pos="567"/>
        </w:tabs>
        <w:ind w:left="567" w:hanging="1701"/>
        <w:rPr>
          <w:rFonts w:eastAsia="Times New Roman" w:cs="Times New Roman"/>
          <w:noProof/>
          <w:sz w:val="22"/>
          <w:szCs w:val="22"/>
          <w:lang w:val="lt-LT" w:eastAsia="lt-LT" w:bidi="lt-LT"/>
        </w:rPr>
      </w:pPr>
    </w:p>
    <w:p w14:paraId="7C5AD7C7" w14:textId="77777777" w:rsidR="00112208" w:rsidRPr="00C249C9" w:rsidRDefault="00112208" w:rsidP="00112208">
      <w:pPr>
        <w:numPr>
          <w:ilvl w:val="0"/>
          <w:numId w:val="4"/>
        </w:numPr>
        <w:tabs>
          <w:tab w:val="left" w:pos="567"/>
          <w:tab w:val="left" w:pos="1701"/>
        </w:tabs>
        <w:spacing w:line="260" w:lineRule="exact"/>
        <w:ind w:right="1418"/>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TIEKIMO IR VARTOJIMO SĄLYGOS AR APRIBOJIMAI</w:t>
      </w:r>
    </w:p>
    <w:p w14:paraId="4414F97C" w14:textId="77777777" w:rsidR="00112208" w:rsidRPr="00C249C9" w:rsidRDefault="00112208" w:rsidP="00112208">
      <w:pPr>
        <w:tabs>
          <w:tab w:val="left" w:pos="567"/>
        </w:tabs>
        <w:ind w:left="567" w:hanging="567"/>
        <w:rPr>
          <w:rFonts w:eastAsia="Times New Roman" w:cs="Times New Roman"/>
          <w:noProof/>
          <w:sz w:val="22"/>
          <w:szCs w:val="22"/>
          <w:lang w:val="lt-LT" w:eastAsia="lt-LT" w:bidi="lt-LT"/>
        </w:rPr>
      </w:pPr>
    </w:p>
    <w:p w14:paraId="73B3DE30" w14:textId="77777777" w:rsidR="00112208" w:rsidRPr="00C249C9" w:rsidRDefault="00112208" w:rsidP="00112208">
      <w:pPr>
        <w:tabs>
          <w:tab w:val="left" w:pos="567"/>
        </w:tabs>
        <w:ind w:right="1416"/>
        <w:rPr>
          <w:rFonts w:eastAsia="Times New Roman" w:cs="Times New Roman"/>
          <w:b/>
          <w:sz w:val="22"/>
          <w:szCs w:val="22"/>
          <w:lang w:val="lt-LT" w:eastAsia="lt-LT" w:bidi="lt-LT"/>
        </w:rPr>
      </w:pPr>
    </w:p>
    <w:p w14:paraId="565FD6F7" w14:textId="77777777" w:rsidR="00112208" w:rsidRPr="00C249C9" w:rsidRDefault="00112208" w:rsidP="00112208">
      <w:pPr>
        <w:ind w:left="567" w:hanging="567"/>
        <w:rPr>
          <w:rFonts w:eastAsia="Times New Roman" w:cs="Times New Roman"/>
          <w:b/>
          <w:snapToGrid w:val="0"/>
          <w:sz w:val="22"/>
          <w:szCs w:val="22"/>
          <w:lang w:val="lt-LT" w:eastAsia="en-US"/>
        </w:rPr>
      </w:pPr>
      <w:r w:rsidRPr="00C249C9">
        <w:rPr>
          <w:rFonts w:eastAsia="Times New Roman" w:cs="Times New Roman"/>
          <w:sz w:val="22"/>
          <w:szCs w:val="22"/>
          <w:lang w:val="lt-LT" w:eastAsia="lt-LT" w:bidi="lt-LT"/>
        </w:rPr>
        <w:br w:type="page"/>
      </w:r>
      <w:r w:rsidRPr="00C249C9">
        <w:rPr>
          <w:rFonts w:eastAsia="Times New Roman" w:cs="Times New Roman"/>
          <w:b/>
          <w:snapToGrid w:val="0"/>
          <w:sz w:val="22"/>
          <w:szCs w:val="22"/>
          <w:lang w:val="lt-LT" w:eastAsia="en-US"/>
        </w:rPr>
        <w:lastRenderedPageBreak/>
        <w:t>A.</w:t>
      </w:r>
      <w:r w:rsidRPr="00C249C9">
        <w:rPr>
          <w:rFonts w:eastAsia="Times New Roman" w:cs="Times New Roman"/>
          <w:b/>
          <w:snapToGrid w:val="0"/>
          <w:sz w:val="22"/>
          <w:szCs w:val="22"/>
          <w:lang w:val="lt-LT" w:eastAsia="en-US"/>
        </w:rPr>
        <w:tab/>
        <w:t>GAMINTOJAS (-AI), ATSAKINGAS (-I) UŽ SERIJŲ IŠLEIDIMĄ</w:t>
      </w:r>
    </w:p>
    <w:p w14:paraId="35C6A191" w14:textId="77777777" w:rsidR="00112208" w:rsidRPr="00C249C9" w:rsidRDefault="00112208" w:rsidP="00112208">
      <w:pPr>
        <w:tabs>
          <w:tab w:val="left" w:pos="567"/>
        </w:tabs>
        <w:spacing w:line="260" w:lineRule="exact"/>
        <w:rPr>
          <w:rFonts w:eastAsia="Times New Roman" w:cs="Times New Roman"/>
          <w:snapToGrid w:val="0"/>
          <w:sz w:val="22"/>
          <w:szCs w:val="22"/>
          <w:lang w:val="lt-LT" w:eastAsia="en-US"/>
        </w:rPr>
      </w:pPr>
    </w:p>
    <w:p w14:paraId="2030F75E" w14:textId="77777777" w:rsidR="00112208" w:rsidRPr="00C249C9" w:rsidRDefault="00112208" w:rsidP="00112208">
      <w:pPr>
        <w:tabs>
          <w:tab w:val="left" w:pos="567"/>
        </w:tabs>
        <w:jc w:val="both"/>
        <w:rPr>
          <w:rFonts w:eastAsia="Times New Roman" w:cs="Times New Roman"/>
          <w:snapToGrid w:val="0"/>
          <w:sz w:val="22"/>
          <w:szCs w:val="24"/>
          <w:lang w:val="lt-LT" w:eastAsia="en-US"/>
        </w:rPr>
      </w:pPr>
      <w:r w:rsidRPr="00C249C9">
        <w:rPr>
          <w:rFonts w:eastAsia="Times New Roman" w:cs="Times New Roman"/>
          <w:noProof/>
          <w:snapToGrid w:val="0"/>
          <w:sz w:val="22"/>
          <w:szCs w:val="24"/>
          <w:u w:val="single"/>
          <w:lang w:val="lt-LT" w:eastAsia="en-US"/>
        </w:rPr>
        <w:t>Gamintojo (-ų), atsakingo (-ų) už serijų išleidimą, pavadinimas (-ai) ir adresas (-ai)</w:t>
      </w:r>
    </w:p>
    <w:p w14:paraId="118E93C3" w14:textId="77777777" w:rsidR="00112208" w:rsidRPr="004D73DC" w:rsidRDefault="00112208" w:rsidP="00112208">
      <w:pPr>
        <w:tabs>
          <w:tab w:val="left" w:pos="567"/>
        </w:tabs>
        <w:spacing w:line="260" w:lineRule="exact"/>
        <w:rPr>
          <w:rFonts w:eastAsia="Times New Roman" w:cs="Times New Roman"/>
          <w:b/>
          <w:bCs/>
          <w:sz w:val="22"/>
          <w:szCs w:val="22"/>
          <w:lang w:val="lt-LT" w:eastAsia="en-GB"/>
        </w:rPr>
      </w:pPr>
    </w:p>
    <w:p w14:paraId="25C765AD" w14:textId="77777777" w:rsidR="00112208" w:rsidRPr="00AF4338" w:rsidRDefault="00112208" w:rsidP="00112208">
      <w:pPr>
        <w:rPr>
          <w:rFonts w:eastAsia="SimSun" w:cs="Times New Roman"/>
          <w:sz w:val="22"/>
          <w:szCs w:val="22"/>
          <w:lang w:val="lt-LT"/>
        </w:rPr>
      </w:pPr>
      <w:r w:rsidRPr="00AF4338">
        <w:rPr>
          <w:rFonts w:eastAsia="SimSun" w:cs="Times New Roman"/>
          <w:sz w:val="22"/>
          <w:szCs w:val="22"/>
          <w:lang w:val="lt-LT"/>
        </w:rPr>
        <w:t>Medochemie Ltd.</w:t>
      </w:r>
    </w:p>
    <w:p w14:paraId="6D945C69" w14:textId="77777777" w:rsidR="00112208" w:rsidRPr="00AF4338" w:rsidRDefault="00112208" w:rsidP="00112208">
      <w:pPr>
        <w:rPr>
          <w:rFonts w:eastAsia="SimSun" w:cs="Times New Roman"/>
          <w:sz w:val="22"/>
          <w:szCs w:val="22"/>
          <w:lang w:val="lt-LT"/>
        </w:rPr>
      </w:pPr>
      <w:r>
        <w:rPr>
          <w:rFonts w:eastAsia="SimSun" w:cs="Times New Roman"/>
          <w:sz w:val="22"/>
          <w:szCs w:val="22"/>
          <w:lang w:val="lt-LT"/>
        </w:rPr>
        <w:t xml:space="preserve">Central Factory: </w:t>
      </w:r>
      <w:r w:rsidRPr="00AF4338">
        <w:rPr>
          <w:rFonts w:eastAsia="SimSun" w:cs="Times New Roman"/>
          <w:sz w:val="22"/>
          <w:szCs w:val="22"/>
          <w:lang w:val="lt-LT"/>
        </w:rPr>
        <w:t>1 – 10 Constantinoupoleos Street</w:t>
      </w:r>
    </w:p>
    <w:p w14:paraId="6FAA1BAE" w14:textId="77777777" w:rsidR="00112208" w:rsidRPr="00AF4338" w:rsidRDefault="00112208" w:rsidP="00112208">
      <w:pPr>
        <w:rPr>
          <w:rFonts w:eastAsia="SimSun" w:cs="Times New Roman"/>
          <w:sz w:val="22"/>
          <w:szCs w:val="22"/>
          <w:lang w:val="lt-LT"/>
        </w:rPr>
      </w:pPr>
      <w:r w:rsidRPr="00AF4338">
        <w:rPr>
          <w:rFonts w:eastAsia="SimSun" w:cs="Times New Roman"/>
          <w:sz w:val="22"/>
          <w:szCs w:val="22"/>
          <w:lang w:val="lt-LT"/>
        </w:rPr>
        <w:t>3011 Limassol</w:t>
      </w:r>
    </w:p>
    <w:p w14:paraId="6BF4E602" w14:textId="77777777" w:rsidR="00112208" w:rsidRDefault="00112208" w:rsidP="00112208">
      <w:pPr>
        <w:rPr>
          <w:rFonts w:eastAsia="SimSun" w:cs="Times New Roman"/>
          <w:sz w:val="22"/>
          <w:szCs w:val="22"/>
          <w:lang w:val="lt-LT"/>
        </w:rPr>
      </w:pPr>
      <w:r w:rsidRPr="00AF4338">
        <w:rPr>
          <w:rFonts w:eastAsia="SimSun" w:cs="Times New Roman"/>
          <w:sz w:val="22"/>
          <w:szCs w:val="22"/>
          <w:lang w:val="lt-LT"/>
        </w:rPr>
        <w:t>Kipras</w:t>
      </w:r>
    </w:p>
    <w:p w14:paraId="2D28C80C" w14:textId="77777777" w:rsidR="00112208" w:rsidRPr="00C249C9" w:rsidRDefault="00112208" w:rsidP="00112208">
      <w:pPr>
        <w:tabs>
          <w:tab w:val="left" w:pos="567"/>
        </w:tabs>
        <w:spacing w:line="260" w:lineRule="exact"/>
        <w:rPr>
          <w:rFonts w:eastAsia="Times New Roman" w:cs="Times New Roman"/>
          <w:snapToGrid w:val="0"/>
          <w:sz w:val="22"/>
          <w:szCs w:val="22"/>
          <w:lang w:val="lt-LT" w:eastAsia="en-US"/>
        </w:rPr>
      </w:pPr>
    </w:p>
    <w:p w14:paraId="108F4ECD" w14:textId="77777777" w:rsidR="00112208" w:rsidRPr="00C249C9" w:rsidRDefault="00112208" w:rsidP="00112208">
      <w:pPr>
        <w:tabs>
          <w:tab w:val="left" w:pos="567"/>
        </w:tabs>
        <w:spacing w:line="260" w:lineRule="exact"/>
        <w:rPr>
          <w:rFonts w:eastAsia="Times New Roman" w:cs="Times New Roman"/>
          <w:snapToGrid w:val="0"/>
          <w:sz w:val="22"/>
          <w:szCs w:val="22"/>
          <w:lang w:val="lt-LT" w:eastAsia="en-US"/>
        </w:rPr>
      </w:pPr>
    </w:p>
    <w:p w14:paraId="64CECB2A" w14:textId="77777777" w:rsidR="00112208" w:rsidRPr="00C249C9" w:rsidRDefault="00112208" w:rsidP="00112208">
      <w:pPr>
        <w:tabs>
          <w:tab w:val="left" w:pos="567"/>
        </w:tabs>
        <w:ind w:left="567" w:hanging="567"/>
        <w:rPr>
          <w:rFonts w:eastAsia="Times New Roman" w:cs="Times New Roman"/>
          <w:snapToGrid w:val="0"/>
          <w:sz w:val="22"/>
          <w:szCs w:val="22"/>
          <w:lang w:val="lt-LT" w:eastAsia="en-US"/>
        </w:rPr>
      </w:pPr>
      <w:r w:rsidRPr="00C249C9">
        <w:rPr>
          <w:rFonts w:eastAsia="Times New Roman" w:cs="Times New Roman"/>
          <w:b/>
          <w:noProof/>
          <w:snapToGrid w:val="0"/>
          <w:sz w:val="22"/>
          <w:szCs w:val="22"/>
          <w:lang w:val="lt-LT" w:eastAsia="en-US"/>
        </w:rPr>
        <w:t>B.</w:t>
      </w:r>
      <w:r w:rsidRPr="00C249C9">
        <w:rPr>
          <w:rFonts w:eastAsia="Times New Roman" w:cs="Times New Roman"/>
          <w:b/>
          <w:snapToGrid w:val="0"/>
          <w:sz w:val="22"/>
          <w:szCs w:val="22"/>
          <w:lang w:val="lt-LT" w:eastAsia="en-US"/>
        </w:rPr>
        <w:tab/>
      </w:r>
      <w:r w:rsidRPr="00C249C9">
        <w:rPr>
          <w:rFonts w:eastAsia="Times New Roman" w:cs="Times New Roman"/>
          <w:b/>
          <w:noProof/>
          <w:snapToGrid w:val="0"/>
          <w:sz w:val="22"/>
          <w:szCs w:val="22"/>
          <w:lang w:val="lt-LT" w:eastAsia="en-US"/>
        </w:rPr>
        <w:t>TIEKIMO IR VARTOJIMO SĄLYGOS AR APRIBOJIMAI</w:t>
      </w:r>
    </w:p>
    <w:p w14:paraId="6C54E90A" w14:textId="77777777" w:rsidR="00112208" w:rsidRPr="00C249C9" w:rsidRDefault="00112208" w:rsidP="00112208">
      <w:pPr>
        <w:tabs>
          <w:tab w:val="left" w:pos="567"/>
        </w:tabs>
        <w:spacing w:line="260" w:lineRule="exact"/>
        <w:rPr>
          <w:rFonts w:eastAsia="Times New Roman" w:cs="Times New Roman"/>
          <w:snapToGrid w:val="0"/>
          <w:sz w:val="22"/>
          <w:szCs w:val="22"/>
          <w:lang w:val="lt-LT" w:eastAsia="en-US"/>
        </w:rPr>
      </w:pPr>
    </w:p>
    <w:p w14:paraId="107D1C39" w14:textId="77777777" w:rsidR="00112208" w:rsidRPr="00C249C9" w:rsidRDefault="00112208" w:rsidP="00112208">
      <w:pPr>
        <w:tabs>
          <w:tab w:val="left" w:pos="567"/>
        </w:tabs>
        <w:spacing w:line="260" w:lineRule="exact"/>
        <w:rPr>
          <w:rFonts w:eastAsia="Times New Roman" w:cs="Times New Roman"/>
          <w:snapToGrid w:val="0"/>
          <w:sz w:val="22"/>
          <w:szCs w:val="22"/>
          <w:lang w:val="lt-LT" w:eastAsia="en-US"/>
        </w:rPr>
      </w:pPr>
      <w:r w:rsidRPr="00C249C9">
        <w:rPr>
          <w:rFonts w:eastAsia="Times New Roman" w:cs="Times New Roman"/>
          <w:snapToGrid w:val="0"/>
          <w:sz w:val="22"/>
          <w:szCs w:val="22"/>
          <w:lang w:val="lt-LT" w:eastAsia="en-US"/>
        </w:rPr>
        <w:t>Receptinis vaistinis preparatas.</w:t>
      </w:r>
    </w:p>
    <w:p w14:paraId="2AB0664A" w14:textId="77777777" w:rsidR="00112208" w:rsidRPr="00C249C9" w:rsidRDefault="00112208" w:rsidP="00112208">
      <w:pPr>
        <w:tabs>
          <w:tab w:val="left" w:pos="567"/>
        </w:tabs>
        <w:ind w:right="566"/>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br w:type="page"/>
      </w:r>
    </w:p>
    <w:p w14:paraId="4C50E578"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56801C76"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0BD0BBFA"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61C828E1"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56D52F61" w14:textId="77777777" w:rsidR="00112208" w:rsidRPr="00C249C9" w:rsidRDefault="00112208" w:rsidP="00112208">
      <w:pPr>
        <w:tabs>
          <w:tab w:val="left" w:pos="567"/>
        </w:tabs>
        <w:rPr>
          <w:rFonts w:eastAsia="Times New Roman" w:cs="Times New Roman"/>
          <w:sz w:val="22"/>
          <w:szCs w:val="22"/>
          <w:highlight w:val="yellow"/>
          <w:lang w:val="lt-LT" w:eastAsia="lt-LT" w:bidi="lt-LT"/>
        </w:rPr>
      </w:pPr>
    </w:p>
    <w:p w14:paraId="4B878ECE" w14:textId="77777777" w:rsidR="00112208" w:rsidRPr="00C249C9" w:rsidRDefault="00112208" w:rsidP="00112208">
      <w:pPr>
        <w:tabs>
          <w:tab w:val="left" w:pos="567"/>
        </w:tabs>
        <w:rPr>
          <w:rFonts w:eastAsia="Times New Roman" w:cs="Times New Roman"/>
          <w:sz w:val="22"/>
          <w:szCs w:val="22"/>
          <w:highlight w:val="yellow"/>
          <w:lang w:val="lt-LT" w:eastAsia="lt-LT" w:bidi="lt-LT"/>
        </w:rPr>
      </w:pPr>
    </w:p>
    <w:p w14:paraId="2A7E4443" w14:textId="77777777" w:rsidR="00112208" w:rsidRPr="00C249C9" w:rsidRDefault="00112208" w:rsidP="00112208">
      <w:pPr>
        <w:tabs>
          <w:tab w:val="left" w:pos="567"/>
        </w:tabs>
        <w:rPr>
          <w:rFonts w:eastAsia="Times New Roman" w:cs="Times New Roman"/>
          <w:sz w:val="22"/>
          <w:szCs w:val="22"/>
          <w:highlight w:val="yellow"/>
          <w:lang w:val="lt-LT" w:eastAsia="lt-LT" w:bidi="lt-LT"/>
        </w:rPr>
      </w:pPr>
    </w:p>
    <w:p w14:paraId="490D867F" w14:textId="77777777" w:rsidR="00112208" w:rsidRPr="00C249C9" w:rsidRDefault="00112208" w:rsidP="00112208">
      <w:pPr>
        <w:tabs>
          <w:tab w:val="left" w:pos="567"/>
        </w:tabs>
        <w:rPr>
          <w:rFonts w:eastAsia="Times New Roman" w:cs="Times New Roman"/>
          <w:sz w:val="22"/>
          <w:szCs w:val="22"/>
          <w:highlight w:val="yellow"/>
          <w:lang w:val="lt-LT" w:eastAsia="lt-LT" w:bidi="lt-LT"/>
        </w:rPr>
      </w:pPr>
    </w:p>
    <w:p w14:paraId="26ED8CE8" w14:textId="77777777" w:rsidR="00112208" w:rsidRPr="00C249C9" w:rsidRDefault="00112208" w:rsidP="00112208">
      <w:pPr>
        <w:tabs>
          <w:tab w:val="left" w:pos="567"/>
        </w:tabs>
        <w:rPr>
          <w:rFonts w:eastAsia="Times New Roman" w:cs="Times New Roman"/>
          <w:sz w:val="22"/>
          <w:szCs w:val="22"/>
          <w:highlight w:val="yellow"/>
          <w:lang w:val="lt-LT" w:eastAsia="lt-LT" w:bidi="lt-LT"/>
        </w:rPr>
      </w:pPr>
    </w:p>
    <w:p w14:paraId="024360CC"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6DE534A5"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0D21832D"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59B208AC"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1E039896"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0B016DC4"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50DC9F51" w14:textId="77777777" w:rsidR="00112208" w:rsidRPr="00C249C9" w:rsidRDefault="00112208" w:rsidP="00112208">
      <w:pPr>
        <w:tabs>
          <w:tab w:val="left" w:pos="567"/>
        </w:tabs>
        <w:rPr>
          <w:rFonts w:eastAsia="Times New Roman" w:cs="Times New Roman"/>
          <w:noProof/>
          <w:sz w:val="22"/>
          <w:szCs w:val="22"/>
          <w:highlight w:val="yellow"/>
          <w:lang w:val="lt-LT" w:eastAsia="lt-LT" w:bidi="lt-LT"/>
        </w:rPr>
      </w:pPr>
    </w:p>
    <w:p w14:paraId="3AD8B939"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27468E89"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58D6D48A"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4A4A9D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C158D86"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61E352C0"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68EA805D" w14:textId="77777777" w:rsidR="00112208" w:rsidRPr="00C249C9" w:rsidRDefault="00112208" w:rsidP="00112208">
      <w:pPr>
        <w:tabs>
          <w:tab w:val="left" w:pos="567"/>
        </w:tabs>
        <w:outlineLvl w:val="0"/>
        <w:rPr>
          <w:rFonts w:eastAsia="Times New Roman" w:cs="Times New Roman"/>
          <w:b/>
          <w:noProof/>
          <w:sz w:val="22"/>
          <w:szCs w:val="22"/>
          <w:lang w:val="lt-LT" w:eastAsia="lt-LT" w:bidi="lt-LT"/>
        </w:rPr>
      </w:pPr>
    </w:p>
    <w:p w14:paraId="074B7037" w14:textId="77777777" w:rsidR="00112208" w:rsidRPr="00C249C9" w:rsidRDefault="00112208" w:rsidP="00112208">
      <w:pPr>
        <w:tabs>
          <w:tab w:val="left" w:pos="567"/>
        </w:tabs>
        <w:jc w:val="center"/>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III PRIEDAS</w:t>
      </w:r>
    </w:p>
    <w:p w14:paraId="741CAE31" w14:textId="77777777" w:rsidR="00112208" w:rsidRPr="00C249C9" w:rsidRDefault="00112208" w:rsidP="00112208">
      <w:pPr>
        <w:tabs>
          <w:tab w:val="left" w:pos="567"/>
        </w:tabs>
        <w:jc w:val="center"/>
        <w:rPr>
          <w:rFonts w:eastAsia="Times New Roman" w:cs="Times New Roman"/>
          <w:b/>
          <w:noProof/>
          <w:sz w:val="22"/>
          <w:szCs w:val="22"/>
          <w:lang w:val="lt-LT" w:eastAsia="lt-LT" w:bidi="lt-LT"/>
        </w:rPr>
      </w:pPr>
    </w:p>
    <w:p w14:paraId="0B538132" w14:textId="77777777" w:rsidR="00112208" w:rsidRPr="00C249C9" w:rsidRDefault="00112208" w:rsidP="00112208">
      <w:pPr>
        <w:tabs>
          <w:tab w:val="left" w:pos="567"/>
        </w:tabs>
        <w:jc w:val="center"/>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ŽENKLINIMAS IR PAKUOTĖS LAPELIS</w:t>
      </w:r>
    </w:p>
    <w:p w14:paraId="1D900427" w14:textId="77777777" w:rsidR="00112208" w:rsidRPr="00C249C9" w:rsidRDefault="00112208" w:rsidP="00112208">
      <w:pPr>
        <w:tabs>
          <w:tab w:val="left" w:pos="567"/>
        </w:tabs>
        <w:rPr>
          <w:rFonts w:eastAsia="Times New Roman" w:cs="Times New Roman"/>
          <w:b/>
          <w:noProof/>
          <w:sz w:val="22"/>
          <w:szCs w:val="22"/>
          <w:highlight w:val="yellow"/>
          <w:lang w:val="lt-LT" w:eastAsia="lt-LT" w:bidi="lt-LT"/>
        </w:rPr>
      </w:pPr>
      <w:r w:rsidRPr="00C249C9">
        <w:rPr>
          <w:rFonts w:eastAsia="Times New Roman" w:cs="Times New Roman"/>
          <w:sz w:val="22"/>
          <w:szCs w:val="22"/>
          <w:highlight w:val="yellow"/>
          <w:lang w:val="lt-LT" w:eastAsia="lt-LT" w:bidi="lt-LT"/>
        </w:rPr>
        <w:br w:type="page"/>
      </w:r>
    </w:p>
    <w:p w14:paraId="38FC0D5B"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89936F3"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68DDC86A"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1F5E76E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06055BEF"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16A4A0A4"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4B36BA0"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234ADDF"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29FF0833"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7EA4B3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25564A3"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11029643"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2B4B4209"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013127D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55D325E5"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2061AF84"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5E971A6A"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65DD4EF0"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62A45B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EC29431"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19BBF38B"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5A7AE9DF"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86AE9B4"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894621F" w14:textId="77777777" w:rsidR="00112208" w:rsidRPr="00C249C9" w:rsidRDefault="00112208" w:rsidP="00112208">
      <w:pPr>
        <w:tabs>
          <w:tab w:val="left" w:pos="567"/>
        </w:tabs>
        <w:jc w:val="center"/>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A. ŽENKLINIMAS</w:t>
      </w:r>
    </w:p>
    <w:p w14:paraId="6F854741" w14:textId="77777777" w:rsidR="00112208" w:rsidRPr="00C249C9" w:rsidRDefault="00112208" w:rsidP="00112208">
      <w:pPr>
        <w:shd w:val="clear" w:color="auto" w:fill="FFFFFF"/>
        <w:tabs>
          <w:tab w:val="left" w:pos="567"/>
        </w:tabs>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br w:type="page"/>
      </w:r>
    </w:p>
    <w:p w14:paraId="670B7C86" w14:textId="77777777" w:rsidR="00112208" w:rsidRPr="00C249C9" w:rsidRDefault="00112208" w:rsidP="00112208">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lastRenderedPageBreak/>
        <w:t>INFORMACIJA ANT IŠORINĖS PAKUOTĖS</w:t>
      </w:r>
    </w:p>
    <w:p w14:paraId="3EB520E2" w14:textId="77777777" w:rsidR="00112208" w:rsidRPr="00C249C9" w:rsidRDefault="00112208" w:rsidP="00112208">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45BB4FC6" w14:textId="77777777" w:rsidR="00112208" w:rsidRPr="00C249C9" w:rsidRDefault="00112208" w:rsidP="00112208">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C249C9">
        <w:rPr>
          <w:rFonts w:eastAsia="Times New Roman" w:cs="Times New Roman"/>
          <w:b/>
          <w:noProof/>
          <w:sz w:val="22"/>
          <w:szCs w:val="22"/>
          <w:lang w:val="lt-LT" w:eastAsia="lt-LT" w:bidi="lt-LT"/>
        </w:rPr>
        <w:t>KARTONO DĖŽUTĖ</w:t>
      </w:r>
    </w:p>
    <w:p w14:paraId="3DF03852" w14:textId="77777777" w:rsidR="00112208" w:rsidRPr="00C249C9" w:rsidRDefault="00112208" w:rsidP="00112208">
      <w:pPr>
        <w:tabs>
          <w:tab w:val="left" w:pos="567"/>
        </w:tabs>
        <w:rPr>
          <w:rFonts w:eastAsia="Times New Roman" w:cs="Times New Roman"/>
          <w:sz w:val="22"/>
          <w:szCs w:val="22"/>
          <w:lang w:val="lt-LT" w:eastAsia="lt-LT" w:bidi="lt-LT"/>
        </w:rPr>
      </w:pPr>
    </w:p>
    <w:p w14:paraId="43AD7004"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6FAF1534"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VAISTINIO PREPARATO PAVADINIMAS</w:t>
      </w:r>
    </w:p>
    <w:p w14:paraId="2ACD5E3C"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23A4DE78" w14:textId="77777777" w:rsidR="00112208" w:rsidRPr="00C249C9" w:rsidRDefault="00112208" w:rsidP="0011220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25 mg plėvele dengtos tabletės</w:t>
      </w:r>
    </w:p>
    <w:p w14:paraId="06F75DB1" w14:textId="77777777" w:rsidR="00112208" w:rsidRPr="00C652F8" w:rsidRDefault="00112208" w:rsidP="00112208">
      <w:pPr>
        <w:widowControl w:val="0"/>
        <w:tabs>
          <w:tab w:val="left" w:pos="567"/>
        </w:tabs>
        <w:rPr>
          <w:rFonts w:eastAsia="Times New Roman" w:cs="Times New Roman"/>
          <w:sz w:val="22"/>
          <w:szCs w:val="22"/>
          <w:highlight w:val="lightGray"/>
          <w:lang w:val="lt-LT" w:eastAsia="lt-LT" w:bidi="lt-LT"/>
        </w:rPr>
      </w:pPr>
      <w:r w:rsidRPr="00C652F8">
        <w:rPr>
          <w:rFonts w:eastAsia="Times New Roman" w:cs="Times New Roman"/>
          <w:sz w:val="22"/>
          <w:szCs w:val="22"/>
          <w:highlight w:val="lightGray"/>
          <w:lang w:val="lt-LT" w:eastAsia="lt-LT" w:bidi="lt-LT"/>
        </w:rPr>
        <w:t xml:space="preserve">JIMANDIN </w:t>
      </w:r>
      <w:r w:rsidRPr="00C652F8">
        <w:rPr>
          <w:rFonts w:eastAsia="Times New Roman" w:cs="Times New Roman"/>
          <w:sz w:val="22"/>
          <w:szCs w:val="22"/>
          <w:highlight w:val="lightGray"/>
          <w:lang w:val="en-US" w:eastAsia="lt-LT" w:bidi="lt-LT"/>
        </w:rPr>
        <w:t>50</w:t>
      </w:r>
      <w:r w:rsidRPr="00C652F8">
        <w:rPr>
          <w:rFonts w:eastAsia="Times New Roman" w:cs="Times New Roman"/>
          <w:sz w:val="22"/>
          <w:szCs w:val="22"/>
          <w:highlight w:val="lightGray"/>
          <w:lang w:val="lt-LT" w:eastAsia="lt-LT" w:bidi="lt-LT"/>
        </w:rPr>
        <w:t> mg plėvele dengtos tabletės</w:t>
      </w:r>
    </w:p>
    <w:p w14:paraId="5AD1F656" w14:textId="77777777" w:rsidR="00112208" w:rsidRPr="00C249C9" w:rsidRDefault="00112208" w:rsidP="00112208">
      <w:pPr>
        <w:widowControl w:val="0"/>
        <w:tabs>
          <w:tab w:val="left" w:pos="567"/>
        </w:tabs>
        <w:rPr>
          <w:rFonts w:eastAsia="Times New Roman" w:cs="Times New Roman"/>
          <w:sz w:val="22"/>
          <w:szCs w:val="22"/>
          <w:lang w:val="lt-LT" w:eastAsia="lt-LT" w:bidi="lt-LT"/>
        </w:rPr>
      </w:pPr>
      <w:r w:rsidRPr="00C652F8">
        <w:rPr>
          <w:rFonts w:eastAsia="Times New Roman" w:cs="Times New Roman"/>
          <w:sz w:val="22"/>
          <w:szCs w:val="22"/>
          <w:highlight w:val="lightGray"/>
          <w:lang w:val="lt-LT" w:eastAsia="lt-LT" w:bidi="lt-LT"/>
        </w:rPr>
        <w:t>JIMANDIN 100 mg plėvele dengtos tabletės</w:t>
      </w:r>
    </w:p>
    <w:p w14:paraId="43E4336F" w14:textId="710333FF" w:rsidR="00112208" w:rsidRPr="00C249C9" w:rsidRDefault="009E22CB" w:rsidP="00112208">
      <w:pPr>
        <w:tabs>
          <w:tab w:val="left" w:pos="567"/>
        </w:tabs>
        <w:rPr>
          <w:rFonts w:eastAsia="Times New Roman" w:cs="Times New Roman"/>
          <w:noProof/>
          <w:sz w:val="22"/>
          <w:szCs w:val="22"/>
          <w:lang w:val="lt-LT" w:eastAsia="lt-LT" w:bidi="lt-LT"/>
        </w:rPr>
      </w:pPr>
      <w:r>
        <w:rPr>
          <w:rFonts w:cs="Times New Roman"/>
          <w:sz w:val="22"/>
          <w:szCs w:val="22"/>
          <w:lang w:val="lt-LT" w:eastAsia="en-US"/>
        </w:rPr>
        <w:t>s</w:t>
      </w:r>
      <w:r w:rsidR="00112208" w:rsidRPr="00C249C9">
        <w:rPr>
          <w:rFonts w:cs="Times New Roman"/>
          <w:sz w:val="22"/>
          <w:szCs w:val="22"/>
          <w:lang w:val="lt-LT" w:eastAsia="en-US"/>
        </w:rPr>
        <w:t>itagliptinum</w:t>
      </w:r>
    </w:p>
    <w:p w14:paraId="2495FC46"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28FBBFD4"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5CFAFCE8"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VEIKLIOJI (-IOS) MEDŽIAGA (-OS) IR JOS (-Ų) KIEKIS (-IAI)</w:t>
      </w:r>
    </w:p>
    <w:p w14:paraId="23C548C5"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6285640A" w14:textId="77777777" w:rsidR="00112208" w:rsidRPr="00C249C9" w:rsidRDefault="00112208" w:rsidP="00112208">
      <w:pPr>
        <w:tabs>
          <w:tab w:val="left" w:pos="567"/>
        </w:tabs>
        <w:rPr>
          <w:rFonts w:cs="Times New Roman"/>
          <w:sz w:val="22"/>
          <w:szCs w:val="22"/>
          <w:lang w:val="lt-LT" w:eastAsia="en-US"/>
        </w:rPr>
      </w:pPr>
      <w:r w:rsidRPr="00C249C9">
        <w:rPr>
          <w:rFonts w:cs="Times New Roman"/>
          <w:sz w:val="22"/>
          <w:szCs w:val="22"/>
          <w:lang w:val="lt-LT" w:eastAsia="en-US"/>
        </w:rPr>
        <w:t>Kiekvienoje plėvele dengtoje tabletėje yra 25 mg sitagliptino.</w:t>
      </w:r>
    </w:p>
    <w:p w14:paraId="325BAF7F" w14:textId="77777777" w:rsidR="00112208" w:rsidRPr="00C249C9" w:rsidRDefault="00112208" w:rsidP="00112208">
      <w:pPr>
        <w:tabs>
          <w:tab w:val="left" w:pos="567"/>
        </w:tabs>
        <w:rPr>
          <w:rFonts w:eastAsia="Times New Roman" w:cs="Times New Roman"/>
          <w:noProof/>
          <w:sz w:val="22"/>
          <w:szCs w:val="22"/>
          <w:highlight w:val="lightGray"/>
          <w:lang w:val="lt-LT" w:eastAsia="lt-LT" w:bidi="lt-LT"/>
        </w:rPr>
      </w:pPr>
      <w:r w:rsidRPr="00C249C9">
        <w:rPr>
          <w:rFonts w:cs="Times New Roman"/>
          <w:sz w:val="22"/>
          <w:szCs w:val="22"/>
          <w:highlight w:val="lightGray"/>
          <w:lang w:val="lt-LT" w:eastAsia="en-US"/>
        </w:rPr>
        <w:t>Kiekvienoje plėvele dengtoje tabletėje yra 50 mg sitagliptino.</w:t>
      </w:r>
    </w:p>
    <w:p w14:paraId="02686924"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cs="Times New Roman"/>
          <w:sz w:val="22"/>
          <w:szCs w:val="22"/>
          <w:highlight w:val="lightGray"/>
          <w:lang w:val="lt-LT" w:eastAsia="en-US"/>
        </w:rPr>
        <w:t>Kiekvienoje plėvele dengtoje tabletėje yra 100 mg sitagliptino.</w:t>
      </w:r>
    </w:p>
    <w:p w14:paraId="7A9640EC"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71459C70"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68F6B74"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PAGALBINIŲ MEDŽIAGŲ SĄRAŠAS</w:t>
      </w:r>
    </w:p>
    <w:p w14:paraId="1719F0DF"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593A6989"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30EF9466"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FARMACINĖ FORMA IR KIEKIS PAKUOTĖJE</w:t>
      </w:r>
    </w:p>
    <w:p w14:paraId="721CC88C" w14:textId="77777777" w:rsidR="00112208" w:rsidRPr="00C249C9" w:rsidRDefault="00112208" w:rsidP="00112208">
      <w:pPr>
        <w:autoSpaceDE w:val="0"/>
        <w:autoSpaceDN w:val="0"/>
        <w:adjustRightInd w:val="0"/>
        <w:rPr>
          <w:rFonts w:cs="Times New Roman"/>
          <w:sz w:val="22"/>
          <w:szCs w:val="22"/>
          <w:lang w:val="lt-LT" w:eastAsia="en-US"/>
        </w:rPr>
      </w:pPr>
    </w:p>
    <w:p w14:paraId="5546853D" w14:textId="77777777" w:rsidR="00112208" w:rsidRPr="00C249C9" w:rsidRDefault="00112208" w:rsidP="00112208">
      <w:pPr>
        <w:autoSpaceDE w:val="0"/>
        <w:autoSpaceDN w:val="0"/>
        <w:adjustRightInd w:val="0"/>
        <w:rPr>
          <w:rFonts w:cs="Times New Roman"/>
          <w:sz w:val="22"/>
          <w:szCs w:val="22"/>
          <w:lang w:val="lt-LT" w:eastAsia="en-US"/>
        </w:rPr>
      </w:pPr>
      <w:r w:rsidRPr="00D25C3D">
        <w:rPr>
          <w:rFonts w:cs="Times New Roman"/>
          <w:sz w:val="22"/>
          <w:szCs w:val="22"/>
          <w:highlight w:val="lightGray"/>
          <w:lang w:val="lt-LT" w:eastAsia="en-US"/>
        </w:rPr>
        <w:t>Plėvele dengtos tabletės</w:t>
      </w:r>
    </w:p>
    <w:p w14:paraId="0D726209" w14:textId="77777777" w:rsidR="00112208" w:rsidRPr="00C249C9" w:rsidRDefault="00112208" w:rsidP="00112208">
      <w:pPr>
        <w:autoSpaceDE w:val="0"/>
        <w:autoSpaceDN w:val="0"/>
        <w:adjustRightInd w:val="0"/>
        <w:rPr>
          <w:rFonts w:cs="Times New Roman"/>
          <w:sz w:val="22"/>
          <w:szCs w:val="22"/>
          <w:lang w:val="lt-LT" w:eastAsia="en-US"/>
        </w:rPr>
      </w:pPr>
    </w:p>
    <w:p w14:paraId="7827A3D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14 </w:t>
      </w:r>
      <w:r w:rsidRPr="00ED5B06">
        <w:rPr>
          <w:sz w:val="22"/>
          <w:highlight w:val="lightGray"/>
          <w:lang w:val="lt-LT"/>
        </w:rPr>
        <w:t>plėvele dengtų</w:t>
      </w:r>
      <w:r w:rsidRPr="00C249C9">
        <w:rPr>
          <w:rFonts w:cs="Times New Roman"/>
          <w:sz w:val="22"/>
          <w:szCs w:val="22"/>
          <w:lang w:val="lt-LT" w:eastAsia="en-US"/>
        </w:rPr>
        <w:t xml:space="preserve"> tablečių</w:t>
      </w:r>
    </w:p>
    <w:p w14:paraId="23C4A41B" w14:textId="77777777" w:rsidR="00112208" w:rsidRPr="00C249C9" w:rsidRDefault="00112208" w:rsidP="00112208">
      <w:pPr>
        <w:autoSpaceDE w:val="0"/>
        <w:autoSpaceDN w:val="0"/>
        <w:adjustRightInd w:val="0"/>
        <w:rPr>
          <w:rFonts w:cs="Times New Roman"/>
          <w:sz w:val="22"/>
          <w:szCs w:val="22"/>
          <w:highlight w:val="lightGray"/>
          <w:lang w:val="lt-LT" w:eastAsia="en-US"/>
        </w:rPr>
      </w:pPr>
      <w:r w:rsidRPr="00C249C9">
        <w:rPr>
          <w:rFonts w:cs="Times New Roman"/>
          <w:sz w:val="22"/>
          <w:szCs w:val="22"/>
          <w:highlight w:val="lightGray"/>
          <w:lang w:val="lt-LT" w:eastAsia="en-US"/>
        </w:rPr>
        <w:t>28 plėvele dengtos tabletės</w:t>
      </w:r>
    </w:p>
    <w:p w14:paraId="49D85A2D" w14:textId="77777777" w:rsidR="00112208" w:rsidRPr="00C249C9" w:rsidRDefault="00112208" w:rsidP="00112208">
      <w:pPr>
        <w:autoSpaceDE w:val="0"/>
        <w:autoSpaceDN w:val="0"/>
        <w:adjustRightInd w:val="0"/>
        <w:rPr>
          <w:rFonts w:cs="Times New Roman"/>
          <w:sz w:val="22"/>
          <w:szCs w:val="22"/>
          <w:highlight w:val="lightGray"/>
          <w:lang w:val="lt-LT" w:eastAsia="en-US"/>
        </w:rPr>
      </w:pPr>
      <w:r w:rsidRPr="00C249C9">
        <w:rPr>
          <w:rFonts w:cs="Times New Roman"/>
          <w:sz w:val="22"/>
          <w:szCs w:val="22"/>
          <w:highlight w:val="lightGray"/>
          <w:lang w:val="lt-LT" w:eastAsia="en-US"/>
        </w:rPr>
        <w:t>30 plėvele dengtų tablečių</w:t>
      </w:r>
    </w:p>
    <w:p w14:paraId="0C085D4C" w14:textId="77777777" w:rsidR="00112208" w:rsidRPr="00C249C9" w:rsidRDefault="00112208" w:rsidP="00112208">
      <w:pPr>
        <w:autoSpaceDE w:val="0"/>
        <w:autoSpaceDN w:val="0"/>
        <w:adjustRightInd w:val="0"/>
        <w:rPr>
          <w:rFonts w:cs="Times New Roman"/>
          <w:sz w:val="22"/>
          <w:szCs w:val="22"/>
          <w:highlight w:val="lightGray"/>
          <w:lang w:val="lt-LT" w:eastAsia="en-US"/>
        </w:rPr>
      </w:pPr>
      <w:r w:rsidRPr="00C249C9">
        <w:rPr>
          <w:rFonts w:cs="Times New Roman"/>
          <w:sz w:val="22"/>
          <w:szCs w:val="22"/>
          <w:highlight w:val="lightGray"/>
          <w:lang w:val="lt-LT" w:eastAsia="en-US"/>
        </w:rPr>
        <w:t>56 plėvele dengtos tabletės</w:t>
      </w:r>
    </w:p>
    <w:p w14:paraId="37EFE422" w14:textId="77777777" w:rsidR="00112208" w:rsidRPr="00C249C9" w:rsidRDefault="00112208" w:rsidP="00112208">
      <w:pPr>
        <w:autoSpaceDE w:val="0"/>
        <w:autoSpaceDN w:val="0"/>
        <w:adjustRightInd w:val="0"/>
        <w:rPr>
          <w:rFonts w:cs="Times New Roman"/>
          <w:sz w:val="22"/>
          <w:szCs w:val="22"/>
          <w:highlight w:val="lightGray"/>
          <w:lang w:val="lt-LT" w:eastAsia="en-US"/>
        </w:rPr>
      </w:pPr>
      <w:r w:rsidRPr="00C249C9">
        <w:rPr>
          <w:rFonts w:cs="Times New Roman"/>
          <w:sz w:val="22"/>
          <w:szCs w:val="22"/>
          <w:highlight w:val="lightGray"/>
          <w:lang w:val="lt-LT" w:eastAsia="en-US"/>
        </w:rPr>
        <w:t>84 plėvele dengtos tabletės</w:t>
      </w:r>
    </w:p>
    <w:p w14:paraId="090FB6AF" w14:textId="77777777" w:rsidR="00112208" w:rsidRPr="00C249C9" w:rsidRDefault="00112208" w:rsidP="00112208">
      <w:pPr>
        <w:autoSpaceDE w:val="0"/>
        <w:autoSpaceDN w:val="0"/>
        <w:adjustRightInd w:val="0"/>
        <w:rPr>
          <w:rFonts w:cs="Times New Roman"/>
          <w:sz w:val="22"/>
          <w:szCs w:val="22"/>
          <w:highlight w:val="lightGray"/>
          <w:lang w:val="lt-LT" w:eastAsia="en-US"/>
        </w:rPr>
      </w:pPr>
      <w:r w:rsidRPr="00C249C9">
        <w:rPr>
          <w:rFonts w:cs="Times New Roman"/>
          <w:sz w:val="22"/>
          <w:szCs w:val="22"/>
          <w:highlight w:val="lightGray"/>
          <w:lang w:val="lt-LT" w:eastAsia="en-US"/>
        </w:rPr>
        <w:t>90 plėvele dengtų tablečių</w:t>
      </w:r>
    </w:p>
    <w:p w14:paraId="3AE0123E"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highlight w:val="lightGray"/>
          <w:lang w:val="lt-LT" w:eastAsia="en-US"/>
        </w:rPr>
        <w:t>98 plėvele dengtos tabletės</w:t>
      </w:r>
    </w:p>
    <w:p w14:paraId="4128B6FB"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52008895"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7984AE51"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VARTOJIMO METODAS IR BŪDAS (-AI)</w:t>
      </w:r>
    </w:p>
    <w:p w14:paraId="722052BB"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5D12D322"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cs="Times New Roman"/>
          <w:sz w:val="22"/>
          <w:szCs w:val="22"/>
          <w:lang w:val="lt-LT" w:eastAsia="en-US"/>
        </w:rPr>
        <w:t>Vartoti per burną.</w:t>
      </w:r>
    </w:p>
    <w:p w14:paraId="363A9B4A"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Prieš vartojimą perskaitykite pakuotės lapelį.</w:t>
      </w:r>
    </w:p>
    <w:p w14:paraId="01643ADB" w14:textId="77777777" w:rsidR="00112208" w:rsidRDefault="00112208" w:rsidP="00112208">
      <w:pPr>
        <w:tabs>
          <w:tab w:val="left" w:pos="567"/>
        </w:tabs>
        <w:rPr>
          <w:rFonts w:eastAsia="Times New Roman" w:cs="Times New Roman"/>
          <w:noProof/>
          <w:sz w:val="22"/>
          <w:szCs w:val="22"/>
          <w:lang w:val="lt-LT" w:eastAsia="lt-LT" w:bidi="lt-LT"/>
        </w:rPr>
      </w:pPr>
    </w:p>
    <w:p w14:paraId="7D329648"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8BC473D"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SPECIALUS ĮSPĖJIMAS, KAD VAISTINĮ PREPARATĄ BŪTINA LAIKYTI VAIKAMS NEPASTEBIMOJE IR NEPASIEKIAMOJE VIETOJE</w:t>
      </w:r>
    </w:p>
    <w:p w14:paraId="0A05B094"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1753C0D6" w14:textId="77777777" w:rsidR="00112208" w:rsidRPr="00C249C9" w:rsidRDefault="00112208" w:rsidP="00112208">
      <w:pPr>
        <w:tabs>
          <w:tab w:val="left" w:pos="567"/>
        </w:tabs>
        <w:outlineLvl w:val="0"/>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Laikyti vaikams nepastebimoje ir nepasiekiamoje vietoje.</w:t>
      </w:r>
    </w:p>
    <w:p w14:paraId="03198586"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05240681"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521A2568"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KITAS (-I) SPECIALUS (-ŪS) ĮSPĖJIMAS (-AI) (JEI REIKIA)</w:t>
      </w:r>
    </w:p>
    <w:p w14:paraId="5019ED7F"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0DB9132E" w14:textId="77777777" w:rsidR="00112208" w:rsidRPr="00C249C9" w:rsidRDefault="00112208" w:rsidP="00112208">
      <w:pPr>
        <w:tabs>
          <w:tab w:val="left" w:pos="567"/>
          <w:tab w:val="left" w:pos="749"/>
        </w:tabs>
        <w:rPr>
          <w:rFonts w:eastAsia="Times New Roman" w:cs="Times New Roman"/>
          <w:sz w:val="22"/>
          <w:szCs w:val="22"/>
          <w:lang w:val="lt-LT" w:eastAsia="lt-LT" w:bidi="lt-LT"/>
        </w:rPr>
      </w:pPr>
    </w:p>
    <w:p w14:paraId="102190B9"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TINKAMUMO LAIKAS</w:t>
      </w:r>
    </w:p>
    <w:p w14:paraId="72B9C7D8" w14:textId="77777777" w:rsidR="00112208" w:rsidRPr="00C249C9" w:rsidRDefault="00112208" w:rsidP="00112208">
      <w:pPr>
        <w:keepNext/>
        <w:tabs>
          <w:tab w:val="left" w:pos="567"/>
        </w:tabs>
        <w:rPr>
          <w:rFonts w:eastAsia="Times New Roman" w:cs="Times New Roman"/>
          <w:sz w:val="22"/>
          <w:szCs w:val="22"/>
          <w:lang w:val="lt-LT" w:eastAsia="lt-LT" w:bidi="lt-LT"/>
        </w:rPr>
      </w:pPr>
    </w:p>
    <w:p w14:paraId="5C34A3FA" w14:textId="77777777" w:rsidR="00112208" w:rsidRPr="00C249C9" w:rsidRDefault="00112208" w:rsidP="00112208">
      <w:pPr>
        <w:tabs>
          <w:tab w:val="left" w:pos="567"/>
        </w:tabs>
        <w:rPr>
          <w:rFonts w:cs="Times New Roman"/>
          <w:sz w:val="22"/>
          <w:szCs w:val="22"/>
          <w:lang w:val="lt-LT" w:eastAsia="en-US"/>
        </w:rPr>
      </w:pPr>
      <w:r>
        <w:rPr>
          <w:rFonts w:cs="Times New Roman"/>
          <w:sz w:val="22"/>
          <w:szCs w:val="22"/>
          <w:lang w:val="lt-LT" w:eastAsia="en-US"/>
        </w:rPr>
        <w:t>EXP</w:t>
      </w:r>
      <w:r w:rsidRPr="00C249C9">
        <w:rPr>
          <w:rFonts w:cs="Times New Roman"/>
          <w:sz w:val="22"/>
          <w:szCs w:val="22"/>
          <w:lang w:val="lt-LT" w:eastAsia="en-US"/>
        </w:rPr>
        <w:t xml:space="preserve">: </w:t>
      </w:r>
      <w:r w:rsidRPr="00C249C9">
        <w:rPr>
          <w:rFonts w:cs="Times New Roman"/>
          <w:sz w:val="22"/>
          <w:szCs w:val="22"/>
          <w:highlight w:val="lightGray"/>
          <w:lang w:val="lt-LT" w:eastAsia="en-US"/>
        </w:rPr>
        <w:t>{mm-MMMM}</w:t>
      </w:r>
    </w:p>
    <w:p w14:paraId="6A83870F" w14:textId="77777777" w:rsidR="00112208" w:rsidRPr="00C249C9" w:rsidRDefault="00112208" w:rsidP="00112208">
      <w:pPr>
        <w:tabs>
          <w:tab w:val="left" w:pos="567"/>
        </w:tabs>
        <w:rPr>
          <w:rFonts w:cs="Times New Roman"/>
          <w:sz w:val="22"/>
          <w:szCs w:val="22"/>
          <w:highlight w:val="yellow"/>
          <w:lang w:val="lt-LT" w:eastAsia="en-US"/>
        </w:rPr>
      </w:pPr>
    </w:p>
    <w:p w14:paraId="52E1311A"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24258671"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SPECIALIOS LAIKYMO SĄLYGOS</w:t>
      </w:r>
    </w:p>
    <w:p w14:paraId="4EA36847" w14:textId="77777777" w:rsidR="00112208" w:rsidRPr="00C249C9" w:rsidRDefault="00112208" w:rsidP="00112208">
      <w:pPr>
        <w:keepNext/>
        <w:tabs>
          <w:tab w:val="left" w:pos="567"/>
        </w:tabs>
        <w:rPr>
          <w:rFonts w:eastAsia="Times New Roman" w:cs="Times New Roman"/>
          <w:noProof/>
          <w:sz w:val="22"/>
          <w:szCs w:val="22"/>
          <w:lang w:val="lt-LT" w:eastAsia="lt-LT" w:bidi="lt-LT"/>
        </w:rPr>
      </w:pPr>
    </w:p>
    <w:p w14:paraId="6DE453B7" w14:textId="77777777" w:rsidR="00112208" w:rsidRPr="00C249C9" w:rsidRDefault="00112208" w:rsidP="00112208">
      <w:pPr>
        <w:tabs>
          <w:tab w:val="left" w:pos="567"/>
        </w:tabs>
        <w:ind w:left="567" w:hanging="567"/>
        <w:rPr>
          <w:rFonts w:eastAsia="Times New Roman" w:cs="Times New Roman"/>
          <w:noProof/>
          <w:sz w:val="22"/>
          <w:szCs w:val="22"/>
          <w:lang w:val="lt-LT" w:eastAsia="lt-LT" w:bidi="lt-LT"/>
        </w:rPr>
      </w:pPr>
    </w:p>
    <w:p w14:paraId="6B6C9135"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SPECIALIOS ATSARGUMO PRIEMONĖS DĖL NESUVARTOTO VAISTINIO PREPARATO AR JO ATLIEKŲ TVARKYMO (JEI REIKIA)</w:t>
      </w:r>
    </w:p>
    <w:p w14:paraId="3F0B96AA"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3A9FCDB4"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FA332FB"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REGISTRUOTOJO PAVADINIMAS IR ADRESAS</w:t>
      </w:r>
    </w:p>
    <w:p w14:paraId="52E790B0"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000C829" w14:textId="3331B61A"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Medochemie Ltd.</w:t>
      </w:r>
      <w:r w:rsidR="004478F5">
        <w:rPr>
          <w:rFonts w:eastAsia="SimSun" w:cs="Times New Roman"/>
          <w:sz w:val="22"/>
          <w:szCs w:val="22"/>
          <w:lang w:val="lt-LT"/>
        </w:rPr>
        <w:t xml:space="preserve">, </w:t>
      </w:r>
      <w:r w:rsidRPr="00C249C9">
        <w:rPr>
          <w:rFonts w:eastAsia="SimSun" w:cs="Times New Roman"/>
          <w:sz w:val="22"/>
          <w:szCs w:val="22"/>
          <w:lang w:val="lt-LT"/>
        </w:rPr>
        <w:t>1 – 10 Constantinoupoleos Street</w:t>
      </w:r>
      <w:r w:rsidR="004478F5">
        <w:rPr>
          <w:rFonts w:eastAsia="SimSun" w:cs="Times New Roman"/>
          <w:sz w:val="22"/>
          <w:szCs w:val="22"/>
          <w:lang w:val="lt-LT"/>
        </w:rPr>
        <w:t xml:space="preserve">, </w:t>
      </w:r>
      <w:r w:rsidRPr="00C249C9">
        <w:rPr>
          <w:rFonts w:eastAsia="SimSun" w:cs="Times New Roman"/>
          <w:sz w:val="22"/>
          <w:szCs w:val="22"/>
          <w:lang w:val="lt-LT"/>
        </w:rPr>
        <w:t>3011 Limassol</w:t>
      </w:r>
      <w:r w:rsidR="004478F5">
        <w:rPr>
          <w:rFonts w:eastAsia="SimSun" w:cs="Times New Roman"/>
          <w:sz w:val="22"/>
          <w:szCs w:val="22"/>
          <w:lang w:val="lt-LT"/>
        </w:rPr>
        <w:t xml:space="preserve">, </w:t>
      </w:r>
      <w:r w:rsidRPr="00C249C9">
        <w:rPr>
          <w:rFonts w:eastAsia="SimSun" w:cs="Times New Roman"/>
          <w:sz w:val="22"/>
          <w:szCs w:val="22"/>
          <w:lang w:val="lt-LT"/>
        </w:rPr>
        <w:t>Kipras</w:t>
      </w:r>
    </w:p>
    <w:p w14:paraId="090B75F5"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7B9002A"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2F47FBAA"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 xml:space="preserve">REGISTRACIJOS PAŽYMĖJIMO NUMERIS (-IAI) </w:t>
      </w:r>
    </w:p>
    <w:p w14:paraId="778E6945" w14:textId="77777777" w:rsidR="00112208" w:rsidRDefault="00112208" w:rsidP="00112208">
      <w:pPr>
        <w:tabs>
          <w:tab w:val="left" w:pos="567"/>
        </w:tabs>
        <w:rPr>
          <w:rFonts w:eastAsia="Times New Roman" w:cs="Times New Roman"/>
          <w:noProof/>
          <w:sz w:val="22"/>
          <w:szCs w:val="22"/>
          <w:lang w:val="lt-LT" w:eastAsia="lt-LT" w:bidi="lt-LT"/>
        </w:rPr>
      </w:pPr>
    </w:p>
    <w:p w14:paraId="42B6D91B"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25 mg</w:t>
      </w:r>
    </w:p>
    <w:p w14:paraId="7BB3AA03" w14:textId="77777777" w:rsidR="005D02AB" w:rsidRPr="005D02AB" w:rsidRDefault="005D02AB" w:rsidP="005D02AB">
      <w:pPr>
        <w:tabs>
          <w:tab w:val="left" w:pos="567"/>
        </w:tabs>
        <w:rPr>
          <w:sz w:val="22"/>
          <w:szCs w:val="22"/>
          <w:highlight w:val="lightGray"/>
          <w:lang w:val="lt-LT"/>
        </w:rPr>
      </w:pPr>
      <w:r w:rsidRPr="005D02AB">
        <w:rPr>
          <w:rFonts w:eastAsia="Times New Roman" w:cs="Times New Roman"/>
          <w:noProof/>
          <w:sz w:val="22"/>
          <w:szCs w:val="22"/>
          <w:lang w:val="lt-LT" w:eastAsia="lt-LT" w:bidi="lt-LT"/>
        </w:rPr>
        <w:t xml:space="preserve">LT/1/17/4116/001 </w:t>
      </w:r>
      <w:r w:rsidRPr="005D02AB">
        <w:rPr>
          <w:sz w:val="22"/>
          <w:szCs w:val="22"/>
          <w:highlight w:val="lightGray"/>
          <w:lang w:val="lt-LT"/>
        </w:rPr>
        <w:t>– N14</w:t>
      </w:r>
    </w:p>
    <w:p w14:paraId="368E20B0"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LT/1/17/4116/002 – N28</w:t>
      </w:r>
    </w:p>
    <w:p w14:paraId="0588D37D"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LT/1/17/4116/003 – N30</w:t>
      </w:r>
    </w:p>
    <w:p w14:paraId="6D2603D3"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LT/1/17/4116/004 – N56</w:t>
      </w:r>
    </w:p>
    <w:p w14:paraId="666DB64D"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LT/1/17/4116/005 – N84</w:t>
      </w:r>
    </w:p>
    <w:p w14:paraId="19F7A388"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LT/1/17/4116/006 – N90</w:t>
      </w:r>
    </w:p>
    <w:p w14:paraId="4C49600A"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LT/1/17/4116/007 – N98</w:t>
      </w:r>
    </w:p>
    <w:p w14:paraId="35F62BFC" w14:textId="77777777" w:rsidR="005D02AB" w:rsidRPr="005D02AB" w:rsidRDefault="005D02AB" w:rsidP="005D02AB">
      <w:pPr>
        <w:tabs>
          <w:tab w:val="left" w:pos="567"/>
        </w:tabs>
        <w:rPr>
          <w:sz w:val="22"/>
          <w:szCs w:val="22"/>
          <w:highlight w:val="lightGray"/>
          <w:lang w:val="lt-LT"/>
        </w:rPr>
      </w:pPr>
    </w:p>
    <w:p w14:paraId="40023FE8"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50 mg</w:t>
      </w:r>
    </w:p>
    <w:p w14:paraId="315A8D8F" w14:textId="77777777" w:rsidR="005D02AB" w:rsidRPr="005D02AB" w:rsidRDefault="005D02AB" w:rsidP="005D02AB">
      <w:pPr>
        <w:tabs>
          <w:tab w:val="left" w:pos="567"/>
        </w:tabs>
        <w:rPr>
          <w:sz w:val="22"/>
          <w:szCs w:val="22"/>
          <w:highlight w:val="lightGray"/>
          <w:lang w:val="lt-LT"/>
        </w:rPr>
      </w:pPr>
      <w:r w:rsidRPr="005D02AB">
        <w:rPr>
          <w:rFonts w:eastAsia="Times New Roman" w:cs="Times New Roman"/>
          <w:noProof/>
          <w:sz w:val="22"/>
          <w:szCs w:val="22"/>
          <w:lang w:val="lt-LT" w:eastAsia="lt-LT" w:bidi="lt-LT"/>
        </w:rPr>
        <w:t xml:space="preserve">LT/1/17/4116/008 </w:t>
      </w:r>
      <w:r w:rsidRPr="005D02AB">
        <w:rPr>
          <w:sz w:val="22"/>
          <w:szCs w:val="22"/>
          <w:highlight w:val="lightGray"/>
          <w:lang w:val="lt-LT"/>
        </w:rPr>
        <w:t xml:space="preserve">– N14 </w:t>
      </w:r>
    </w:p>
    <w:p w14:paraId="79F57E76"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LT/1/17/4116/009 – N28 </w:t>
      </w:r>
    </w:p>
    <w:p w14:paraId="5A017B10"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LT/1/17/4116/010 – N30 </w:t>
      </w:r>
    </w:p>
    <w:p w14:paraId="05DAFAF2"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LT/1/17/4116/011 – N56 </w:t>
      </w:r>
    </w:p>
    <w:p w14:paraId="3CD9B922"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LT/1/17/4116/012 – N84 </w:t>
      </w:r>
    </w:p>
    <w:p w14:paraId="07A00F11"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LT/1/17/4116/013 – N90 </w:t>
      </w:r>
    </w:p>
    <w:p w14:paraId="226EBE1E"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LT/1/17/4116/014 – N98 </w:t>
      </w:r>
    </w:p>
    <w:p w14:paraId="0D804E8E" w14:textId="77777777" w:rsidR="005D02AB" w:rsidRPr="005D02AB" w:rsidRDefault="005D02AB" w:rsidP="005D02AB">
      <w:pPr>
        <w:tabs>
          <w:tab w:val="left" w:pos="567"/>
        </w:tabs>
        <w:rPr>
          <w:sz w:val="22"/>
          <w:szCs w:val="22"/>
          <w:highlight w:val="lightGray"/>
          <w:lang w:val="lt-LT"/>
        </w:rPr>
      </w:pPr>
    </w:p>
    <w:p w14:paraId="0E526645"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100 mg</w:t>
      </w:r>
    </w:p>
    <w:p w14:paraId="0A2A1FE4" w14:textId="77777777" w:rsidR="005D02AB" w:rsidRPr="005D02AB" w:rsidRDefault="005D02AB" w:rsidP="005D02AB">
      <w:pPr>
        <w:tabs>
          <w:tab w:val="left" w:pos="567"/>
        </w:tabs>
        <w:rPr>
          <w:sz w:val="22"/>
          <w:szCs w:val="22"/>
          <w:highlight w:val="lightGray"/>
          <w:lang w:val="lt-LT"/>
        </w:rPr>
      </w:pPr>
      <w:r w:rsidRPr="005D02AB">
        <w:rPr>
          <w:rFonts w:eastAsia="Times New Roman" w:cs="Times New Roman"/>
          <w:noProof/>
          <w:sz w:val="22"/>
          <w:szCs w:val="22"/>
          <w:lang w:val="lt-LT" w:eastAsia="lt-LT" w:bidi="lt-LT"/>
        </w:rPr>
        <w:t xml:space="preserve">LT/1/17/4116/015 </w:t>
      </w:r>
      <w:r w:rsidRPr="005D02AB">
        <w:rPr>
          <w:sz w:val="22"/>
          <w:szCs w:val="22"/>
          <w:highlight w:val="lightGray"/>
          <w:lang w:val="lt-LT"/>
        </w:rPr>
        <w:t xml:space="preserve">– N14 </w:t>
      </w:r>
    </w:p>
    <w:p w14:paraId="0D16117F"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LT/1/17/4116/016 – N28 </w:t>
      </w:r>
    </w:p>
    <w:p w14:paraId="22A9FA4C"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LT/1/17/4116/017 – N30 </w:t>
      </w:r>
    </w:p>
    <w:p w14:paraId="6DF4022F"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LT/1/17/4116/018 – N56 </w:t>
      </w:r>
    </w:p>
    <w:p w14:paraId="4504B757"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LT/1/17/4116/019 – N84 </w:t>
      </w:r>
    </w:p>
    <w:p w14:paraId="60FA5E98" w14:textId="77777777" w:rsidR="005D02AB" w:rsidRPr="005D02AB" w:rsidRDefault="005D02AB" w:rsidP="005D02AB">
      <w:pPr>
        <w:tabs>
          <w:tab w:val="left" w:pos="567"/>
        </w:tabs>
        <w:rPr>
          <w:sz w:val="22"/>
          <w:szCs w:val="22"/>
          <w:highlight w:val="lightGray"/>
          <w:lang w:val="lt-LT"/>
        </w:rPr>
      </w:pPr>
      <w:r w:rsidRPr="005D02AB">
        <w:rPr>
          <w:sz w:val="22"/>
          <w:szCs w:val="22"/>
          <w:highlight w:val="lightGray"/>
          <w:lang w:val="lt-LT"/>
        </w:rPr>
        <w:t xml:space="preserve">LT/1/17/4116/020 – N90 </w:t>
      </w:r>
    </w:p>
    <w:p w14:paraId="2C3D4256" w14:textId="2D078A1C" w:rsidR="00112208" w:rsidRDefault="005D02AB" w:rsidP="005D02AB">
      <w:pPr>
        <w:tabs>
          <w:tab w:val="left" w:pos="567"/>
        </w:tabs>
        <w:rPr>
          <w:rFonts w:eastAsia="Times New Roman" w:cs="Times New Roman"/>
          <w:noProof/>
          <w:sz w:val="22"/>
          <w:szCs w:val="22"/>
          <w:lang w:val="lt-LT" w:eastAsia="lt-LT" w:bidi="lt-LT"/>
        </w:rPr>
      </w:pPr>
      <w:r w:rsidRPr="005D02AB">
        <w:rPr>
          <w:sz w:val="22"/>
          <w:szCs w:val="22"/>
          <w:highlight w:val="lightGray"/>
          <w:lang w:val="lt-LT"/>
        </w:rPr>
        <w:t>LT/1/17/4116/021 – N98</w:t>
      </w:r>
      <w:r w:rsidRPr="005D02AB">
        <w:rPr>
          <w:rFonts w:eastAsia="Times New Roman" w:cs="Times New Roman"/>
          <w:noProof/>
          <w:sz w:val="22"/>
          <w:szCs w:val="22"/>
          <w:lang w:val="lt-LT" w:eastAsia="lt-LT" w:bidi="lt-LT"/>
        </w:rPr>
        <w:t xml:space="preserve">  </w:t>
      </w:r>
    </w:p>
    <w:p w14:paraId="154A2240" w14:textId="77777777" w:rsidR="005D02AB" w:rsidRPr="00C249C9" w:rsidRDefault="005D02AB" w:rsidP="005D02AB">
      <w:pPr>
        <w:tabs>
          <w:tab w:val="left" w:pos="567"/>
        </w:tabs>
        <w:rPr>
          <w:rFonts w:eastAsia="Times New Roman" w:cs="Times New Roman"/>
          <w:noProof/>
          <w:sz w:val="22"/>
          <w:szCs w:val="22"/>
          <w:lang w:val="lt-LT" w:eastAsia="lt-LT" w:bidi="lt-LT"/>
        </w:rPr>
      </w:pPr>
    </w:p>
    <w:p w14:paraId="45269B82"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7528A1E4"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249C9">
        <w:rPr>
          <w:rFonts w:eastAsia="Times New Roman" w:cs="Times New Roman"/>
          <w:b/>
          <w:noProof/>
          <w:sz w:val="22"/>
          <w:szCs w:val="22"/>
          <w:lang w:val="lt-LT" w:eastAsia="lt-LT" w:bidi="lt-LT"/>
        </w:rPr>
        <w:t xml:space="preserve">SERIJOS NUMERIS </w:t>
      </w:r>
    </w:p>
    <w:p w14:paraId="32D79599"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392EC78" w14:textId="77777777" w:rsidR="00112208" w:rsidRPr="00C249C9" w:rsidRDefault="00112208" w:rsidP="00112208">
      <w:pPr>
        <w:tabs>
          <w:tab w:val="left" w:pos="567"/>
        </w:tabs>
        <w:rPr>
          <w:rFonts w:cs="Times New Roman"/>
          <w:sz w:val="22"/>
          <w:szCs w:val="22"/>
          <w:lang w:val="lt-LT" w:eastAsia="en-US"/>
        </w:rPr>
      </w:pPr>
      <w:r>
        <w:rPr>
          <w:rFonts w:cs="Times New Roman"/>
          <w:sz w:val="22"/>
          <w:szCs w:val="22"/>
          <w:lang w:val="lt-LT" w:eastAsia="en-US"/>
        </w:rPr>
        <w:t>Lot</w:t>
      </w:r>
      <w:r w:rsidRPr="00C249C9">
        <w:rPr>
          <w:rFonts w:cs="Times New Roman"/>
          <w:sz w:val="22"/>
          <w:szCs w:val="22"/>
          <w:lang w:val="lt-LT" w:eastAsia="en-US"/>
        </w:rPr>
        <w:t>:</w:t>
      </w:r>
    </w:p>
    <w:p w14:paraId="068681ED" w14:textId="77777777" w:rsidR="00112208" w:rsidRPr="00C249C9" w:rsidRDefault="00112208" w:rsidP="00112208">
      <w:pPr>
        <w:tabs>
          <w:tab w:val="left" w:pos="567"/>
        </w:tabs>
        <w:rPr>
          <w:rFonts w:cs="Times New Roman"/>
          <w:sz w:val="22"/>
          <w:szCs w:val="22"/>
          <w:lang w:val="lt-LT" w:eastAsia="en-US"/>
        </w:rPr>
      </w:pPr>
    </w:p>
    <w:p w14:paraId="71331BC4"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50BD10A9"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PARDAVIMO (IŠDAVIMO) TVARKA</w:t>
      </w:r>
    </w:p>
    <w:p w14:paraId="0034F0F3" w14:textId="77777777" w:rsidR="00112208" w:rsidRPr="00C249C9" w:rsidRDefault="00112208" w:rsidP="00112208">
      <w:pPr>
        <w:tabs>
          <w:tab w:val="left" w:pos="567"/>
        </w:tabs>
        <w:rPr>
          <w:rFonts w:eastAsia="Times New Roman" w:cs="Times New Roman"/>
          <w:i/>
          <w:noProof/>
          <w:sz w:val="22"/>
          <w:szCs w:val="22"/>
          <w:lang w:val="lt-LT" w:eastAsia="lt-LT" w:bidi="lt-LT"/>
        </w:rPr>
      </w:pPr>
    </w:p>
    <w:p w14:paraId="0A0C4DAF" w14:textId="77777777" w:rsidR="00112208" w:rsidRPr="00C249C9" w:rsidRDefault="00112208" w:rsidP="00112208">
      <w:pPr>
        <w:rPr>
          <w:rFonts w:eastAsia="Times New Roman" w:cs="Times New Roman"/>
          <w:sz w:val="22"/>
          <w:szCs w:val="22"/>
          <w:lang w:val="lt-LT" w:eastAsia="en-US"/>
        </w:rPr>
      </w:pPr>
      <w:r>
        <w:rPr>
          <w:rFonts w:eastAsia="Times New Roman" w:cs="Times New Roman"/>
          <w:sz w:val="22"/>
          <w:szCs w:val="22"/>
          <w:lang w:val="lt-LT" w:eastAsia="en-US"/>
        </w:rPr>
        <w:t>Receptinis vaistas</w:t>
      </w:r>
      <w:r w:rsidRPr="00C249C9">
        <w:rPr>
          <w:rFonts w:eastAsia="Times New Roman" w:cs="Times New Roman"/>
          <w:sz w:val="22"/>
          <w:szCs w:val="22"/>
          <w:lang w:val="lt-LT" w:eastAsia="en-US"/>
        </w:rPr>
        <w:t>.</w:t>
      </w:r>
    </w:p>
    <w:p w14:paraId="150CD6EB"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289DBAE6"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4617C35D"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lastRenderedPageBreak/>
        <w:t>VARTOJIMO INSTRUKCIJA</w:t>
      </w:r>
    </w:p>
    <w:p w14:paraId="18AE92A7"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7C3CD3F3"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449C15D3"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INFORMACIJA BRAILIO RAŠTU</w:t>
      </w:r>
    </w:p>
    <w:p w14:paraId="32FE25EE"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5B01F2FA" w14:textId="77777777" w:rsidR="00112208" w:rsidRPr="00C249C9" w:rsidRDefault="00112208" w:rsidP="00112208">
      <w:pPr>
        <w:tabs>
          <w:tab w:val="left" w:pos="567"/>
        </w:tabs>
        <w:rPr>
          <w:rFonts w:eastAsia="Times New Roman" w:cs="Times New Roman"/>
          <w:sz w:val="22"/>
          <w:szCs w:val="22"/>
          <w:lang w:val="lt-LT" w:eastAsia="lt-LT" w:bidi="lt-LT"/>
        </w:rPr>
      </w:pPr>
      <w:r w:rsidRPr="00C249C9">
        <w:rPr>
          <w:rFonts w:eastAsia="Times New Roman" w:cs="Times New Roman"/>
          <w:sz w:val="22"/>
          <w:szCs w:val="22"/>
          <w:lang w:val="lt-LT" w:eastAsia="lt-LT" w:bidi="lt-LT"/>
        </w:rPr>
        <w:t>jimandin 25 mg</w:t>
      </w:r>
    </w:p>
    <w:p w14:paraId="74D340A7" w14:textId="77777777" w:rsidR="00112208" w:rsidRPr="00C249C9" w:rsidRDefault="00112208" w:rsidP="00112208">
      <w:pPr>
        <w:tabs>
          <w:tab w:val="left" w:pos="567"/>
        </w:tabs>
        <w:rPr>
          <w:rFonts w:eastAsia="Times New Roman" w:cs="Times New Roman"/>
          <w:sz w:val="22"/>
          <w:szCs w:val="22"/>
          <w:highlight w:val="lightGray"/>
          <w:lang w:val="lt-LT" w:eastAsia="lt-LT" w:bidi="lt-LT"/>
        </w:rPr>
      </w:pPr>
      <w:r w:rsidRPr="00C249C9">
        <w:rPr>
          <w:rFonts w:eastAsia="Times New Roman" w:cs="Times New Roman"/>
          <w:sz w:val="22"/>
          <w:szCs w:val="22"/>
          <w:highlight w:val="lightGray"/>
          <w:lang w:val="lt-LT" w:eastAsia="lt-LT" w:bidi="lt-LT"/>
        </w:rPr>
        <w:t>jimandin 50 mg</w:t>
      </w:r>
    </w:p>
    <w:p w14:paraId="67642CB8" w14:textId="77777777" w:rsidR="00112208" w:rsidRPr="00C249C9" w:rsidRDefault="00112208" w:rsidP="00112208">
      <w:pPr>
        <w:tabs>
          <w:tab w:val="left" w:pos="567"/>
        </w:tabs>
        <w:rPr>
          <w:rFonts w:eastAsia="Times New Roman" w:cs="Times New Roman"/>
          <w:sz w:val="22"/>
          <w:szCs w:val="22"/>
          <w:lang w:val="lt-LT" w:eastAsia="lt-LT" w:bidi="lt-LT"/>
        </w:rPr>
      </w:pPr>
      <w:r w:rsidRPr="00C249C9">
        <w:rPr>
          <w:rFonts w:eastAsia="Times New Roman" w:cs="Times New Roman"/>
          <w:sz w:val="22"/>
          <w:szCs w:val="22"/>
          <w:highlight w:val="lightGray"/>
          <w:lang w:val="lt-LT" w:eastAsia="lt-LT" w:bidi="lt-LT"/>
        </w:rPr>
        <w:t>jimandin 100 mg</w:t>
      </w:r>
    </w:p>
    <w:p w14:paraId="091477F9" w14:textId="77777777" w:rsidR="00112208" w:rsidRPr="00C249C9" w:rsidRDefault="00112208" w:rsidP="00112208">
      <w:pPr>
        <w:tabs>
          <w:tab w:val="left" w:pos="567"/>
        </w:tabs>
        <w:rPr>
          <w:rFonts w:eastAsia="Times New Roman" w:cs="Times New Roman"/>
          <w:noProof/>
          <w:sz w:val="22"/>
          <w:szCs w:val="22"/>
          <w:shd w:val="clear" w:color="auto" w:fill="CCCCCC"/>
          <w:lang w:val="lt-LT" w:eastAsia="lt-LT" w:bidi="lt-LT"/>
        </w:rPr>
      </w:pPr>
    </w:p>
    <w:p w14:paraId="714B38DC" w14:textId="77777777" w:rsidR="00112208" w:rsidRPr="00C249C9" w:rsidRDefault="00112208" w:rsidP="00112208">
      <w:pPr>
        <w:tabs>
          <w:tab w:val="left" w:pos="567"/>
        </w:tabs>
        <w:rPr>
          <w:rFonts w:eastAsia="Times New Roman" w:cs="Times New Roman"/>
          <w:noProof/>
          <w:sz w:val="22"/>
          <w:szCs w:val="22"/>
          <w:shd w:val="clear" w:color="auto" w:fill="CCCCCC"/>
          <w:lang w:val="lt-LT" w:eastAsia="lt-LT" w:bidi="lt-LT"/>
        </w:rPr>
      </w:pPr>
    </w:p>
    <w:p w14:paraId="6DD152F8"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249C9">
        <w:rPr>
          <w:rFonts w:eastAsia="Times New Roman" w:cs="Times New Roman"/>
          <w:b/>
          <w:noProof/>
          <w:sz w:val="22"/>
          <w:szCs w:val="22"/>
          <w:lang w:val="lt-LT" w:eastAsia="lt-LT" w:bidi="lt-LT"/>
        </w:rPr>
        <w:t>UNIKALUS IDENTIFIKATORIUS – 2D BRŪKŠNINIS KODAS</w:t>
      </w:r>
    </w:p>
    <w:p w14:paraId="1268E876" w14:textId="77777777" w:rsidR="00112208" w:rsidRPr="00C249C9" w:rsidRDefault="00112208" w:rsidP="00112208">
      <w:pPr>
        <w:rPr>
          <w:rFonts w:eastAsia="Times New Roman" w:cs="Times New Roman"/>
          <w:noProof/>
          <w:sz w:val="22"/>
          <w:szCs w:val="22"/>
          <w:lang w:val="lt-LT" w:eastAsia="lt-LT" w:bidi="lt-LT"/>
        </w:rPr>
      </w:pPr>
    </w:p>
    <w:p w14:paraId="5DAAADCA"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eastAsia="Times New Roman" w:cs="Times New Roman"/>
          <w:noProof/>
          <w:sz w:val="22"/>
          <w:szCs w:val="22"/>
          <w:highlight w:val="lightGray"/>
          <w:lang w:val="lt-LT" w:eastAsia="lt-LT" w:bidi="lt-LT"/>
        </w:rPr>
        <w:t>2D brūkšninis kodas su nurodytu unikaliu identifikatoriumi.</w:t>
      </w:r>
    </w:p>
    <w:p w14:paraId="77D9FDB0" w14:textId="77777777" w:rsidR="00112208" w:rsidRDefault="00112208" w:rsidP="00112208">
      <w:pPr>
        <w:tabs>
          <w:tab w:val="left" w:pos="567"/>
        </w:tabs>
        <w:rPr>
          <w:rFonts w:eastAsia="Times New Roman" w:cs="Times New Roman"/>
          <w:noProof/>
          <w:sz w:val="22"/>
          <w:szCs w:val="22"/>
          <w:shd w:val="clear" w:color="auto" w:fill="CCCCCC"/>
          <w:lang w:val="lt-LT" w:eastAsia="lt-LT" w:bidi="lt-LT"/>
        </w:rPr>
      </w:pPr>
    </w:p>
    <w:p w14:paraId="00E64AF1" w14:textId="77777777" w:rsidR="00112208" w:rsidRPr="00C249C9" w:rsidRDefault="00112208" w:rsidP="00112208">
      <w:pPr>
        <w:tabs>
          <w:tab w:val="left" w:pos="567"/>
        </w:tabs>
        <w:rPr>
          <w:rFonts w:eastAsia="Times New Roman" w:cs="Times New Roman"/>
          <w:noProof/>
          <w:sz w:val="22"/>
          <w:szCs w:val="22"/>
          <w:shd w:val="clear" w:color="auto" w:fill="CCCCCC"/>
          <w:lang w:val="lt-LT" w:eastAsia="lt-LT" w:bidi="lt-LT"/>
        </w:rPr>
      </w:pPr>
    </w:p>
    <w:p w14:paraId="1DD5B8B9" w14:textId="77777777" w:rsidR="00112208" w:rsidRPr="00C249C9" w:rsidRDefault="00112208" w:rsidP="00112208">
      <w:pPr>
        <w:rPr>
          <w:rFonts w:eastAsia="Times New Roman" w:cs="Times New Roman"/>
          <w:noProof/>
          <w:vanish/>
          <w:sz w:val="22"/>
          <w:szCs w:val="22"/>
          <w:lang w:val="lt-LT" w:eastAsia="lt-LT" w:bidi="lt-LT"/>
        </w:rPr>
      </w:pPr>
    </w:p>
    <w:p w14:paraId="2B1C5B64" w14:textId="77777777" w:rsidR="00112208" w:rsidRPr="00C249C9" w:rsidRDefault="00112208" w:rsidP="00112208">
      <w:pPr>
        <w:keepNext/>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249C9">
        <w:rPr>
          <w:rFonts w:eastAsia="Times New Roman" w:cs="Times New Roman"/>
          <w:b/>
          <w:noProof/>
          <w:sz w:val="22"/>
          <w:szCs w:val="22"/>
          <w:lang w:val="lt-LT" w:eastAsia="lt-LT" w:bidi="lt-LT"/>
        </w:rPr>
        <w:t>UNIKALUS IDENTIFIKATORIUS – ŽMONĖMS SUPRANTAMI DUOMENYS</w:t>
      </w:r>
    </w:p>
    <w:p w14:paraId="79EAC38F" w14:textId="77777777" w:rsidR="00112208" w:rsidRPr="00C249C9" w:rsidRDefault="00112208" w:rsidP="00112208">
      <w:pPr>
        <w:rPr>
          <w:rFonts w:eastAsia="Times New Roman" w:cs="Times New Roman"/>
          <w:noProof/>
          <w:sz w:val="22"/>
          <w:szCs w:val="22"/>
          <w:lang w:val="lt-LT" w:eastAsia="lt-LT" w:bidi="lt-LT"/>
        </w:rPr>
      </w:pPr>
    </w:p>
    <w:p w14:paraId="3E5D3E4C" w14:textId="77777777" w:rsidR="00112208" w:rsidRPr="00864F78" w:rsidRDefault="00112208" w:rsidP="00112208">
      <w:pPr>
        <w:tabs>
          <w:tab w:val="left" w:pos="567"/>
        </w:tabs>
        <w:spacing w:line="260" w:lineRule="exact"/>
        <w:rPr>
          <w:rFonts w:eastAsia="Times New Roman" w:cs="Times New Roman"/>
          <w:sz w:val="22"/>
          <w:szCs w:val="22"/>
          <w:lang w:val="lt-LT" w:eastAsia="lt-LT" w:bidi="lt-LT"/>
        </w:rPr>
      </w:pPr>
      <w:r w:rsidRPr="00864F78">
        <w:rPr>
          <w:rFonts w:eastAsia="Times New Roman" w:cs="Times New Roman"/>
          <w:sz w:val="22"/>
          <w:szCs w:val="22"/>
          <w:lang w:val="lt-LT" w:eastAsia="lt-LT" w:bidi="lt-LT"/>
        </w:rPr>
        <w:t xml:space="preserve">PC: </w:t>
      </w:r>
      <w:r w:rsidRPr="004D73DC">
        <w:rPr>
          <w:sz w:val="22"/>
          <w:szCs w:val="22"/>
          <w:lang w:val="lt-LT"/>
        </w:rPr>
        <w:t>{numeris}</w:t>
      </w:r>
    </w:p>
    <w:p w14:paraId="1A2BB6B7" w14:textId="77777777" w:rsidR="00112208" w:rsidRPr="00504FE3" w:rsidRDefault="00112208" w:rsidP="00112208">
      <w:pPr>
        <w:tabs>
          <w:tab w:val="left" w:pos="567"/>
        </w:tabs>
        <w:spacing w:line="260" w:lineRule="exact"/>
        <w:rPr>
          <w:sz w:val="22"/>
          <w:szCs w:val="22"/>
          <w:lang w:val="lt-LT"/>
        </w:rPr>
      </w:pPr>
      <w:r w:rsidRPr="00864F78">
        <w:rPr>
          <w:rFonts w:eastAsia="Times New Roman" w:cs="Times New Roman"/>
          <w:sz w:val="22"/>
          <w:szCs w:val="22"/>
          <w:lang w:val="lt-LT" w:eastAsia="lt-LT" w:bidi="lt-LT"/>
        </w:rPr>
        <w:t>SN:</w:t>
      </w:r>
      <w:r w:rsidRPr="00864F78">
        <w:rPr>
          <w:sz w:val="22"/>
          <w:szCs w:val="22"/>
          <w:lang w:val="lt-LT"/>
        </w:rPr>
        <w:t xml:space="preserve"> </w:t>
      </w:r>
      <w:r w:rsidRPr="004D73DC">
        <w:rPr>
          <w:sz w:val="22"/>
          <w:szCs w:val="22"/>
          <w:lang w:val="lt-LT"/>
        </w:rPr>
        <w:t>{numeris}</w:t>
      </w:r>
    </w:p>
    <w:p w14:paraId="1A0D3A70" w14:textId="77777777" w:rsidR="00112208" w:rsidRPr="00504FE3" w:rsidRDefault="00112208" w:rsidP="00112208">
      <w:pPr>
        <w:tabs>
          <w:tab w:val="left" w:pos="567"/>
        </w:tabs>
        <w:spacing w:line="260" w:lineRule="exact"/>
        <w:rPr>
          <w:rFonts w:eastAsia="Times New Roman" w:cs="Times New Roman"/>
          <w:sz w:val="22"/>
          <w:szCs w:val="22"/>
          <w:lang w:val="lt-LT" w:eastAsia="lt-LT" w:bidi="lt-LT"/>
        </w:rPr>
      </w:pPr>
      <w:r w:rsidRPr="004D73DC">
        <w:rPr>
          <w:rFonts w:eastAsia="Times New Roman" w:cs="Times New Roman"/>
          <w:sz w:val="22"/>
          <w:szCs w:val="22"/>
          <w:highlight w:val="lightGray"/>
          <w:lang w:val="lt-LT" w:eastAsia="lt-LT" w:bidi="lt-LT"/>
        </w:rPr>
        <w:t xml:space="preserve">NN: </w:t>
      </w:r>
      <w:r w:rsidRPr="00864F78">
        <w:rPr>
          <w:sz w:val="22"/>
          <w:szCs w:val="22"/>
          <w:highlight w:val="lightGray"/>
          <w:lang w:val="lt-LT"/>
        </w:rPr>
        <w:t>{numeris}</w:t>
      </w:r>
    </w:p>
    <w:p w14:paraId="088797C2" w14:textId="77777777" w:rsidR="00112208" w:rsidRPr="00C249C9" w:rsidRDefault="00112208" w:rsidP="00112208">
      <w:pPr>
        <w:tabs>
          <w:tab w:val="left" w:pos="567"/>
        </w:tabs>
        <w:spacing w:line="260" w:lineRule="exact"/>
        <w:ind w:left="-198"/>
        <w:rPr>
          <w:rFonts w:eastAsia="Times New Roman" w:cs="Times New Roman"/>
          <w:sz w:val="22"/>
          <w:szCs w:val="22"/>
          <w:lang w:val="lt-LT" w:eastAsia="lt-LT" w:bidi="lt-LT"/>
        </w:rPr>
      </w:pPr>
    </w:p>
    <w:p w14:paraId="54D5A260" w14:textId="77777777" w:rsidR="00112208" w:rsidRPr="00C249C9" w:rsidRDefault="00112208" w:rsidP="00112208">
      <w:pPr>
        <w:tabs>
          <w:tab w:val="left" w:pos="567"/>
        </w:tabs>
        <w:rPr>
          <w:rFonts w:eastAsia="Times New Roman" w:cs="Times New Roman"/>
          <w:b/>
          <w:noProof/>
          <w:sz w:val="22"/>
          <w:szCs w:val="22"/>
          <w:highlight w:val="yellow"/>
          <w:lang w:val="lt-LT" w:eastAsia="lt-LT" w:bidi="lt-LT"/>
        </w:rPr>
      </w:pPr>
      <w:r w:rsidRPr="00C249C9">
        <w:rPr>
          <w:rFonts w:eastAsia="Times New Roman" w:cs="Times New Roman"/>
          <w:sz w:val="22"/>
          <w:szCs w:val="22"/>
          <w:highlight w:val="yellow"/>
          <w:lang w:val="lt-LT" w:eastAsia="lt-LT" w:bidi="lt-LT"/>
        </w:rPr>
        <w:br w:type="page"/>
      </w:r>
    </w:p>
    <w:p w14:paraId="22C31FDB" w14:textId="77777777" w:rsidR="00112208" w:rsidRPr="00C249C9" w:rsidRDefault="00112208" w:rsidP="00112208">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lastRenderedPageBreak/>
        <w:t>MINIMALI INFORMACIJA ANT LIZDINIŲ PLOKŠTELIŲ ARBA DVISLUOKSNIŲ JUOSTELIŲ</w:t>
      </w:r>
    </w:p>
    <w:p w14:paraId="32A9EC60" w14:textId="77777777" w:rsidR="00112208" w:rsidRPr="00C249C9" w:rsidRDefault="00112208" w:rsidP="00112208">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3BDDF438" w14:textId="77777777" w:rsidR="00112208" w:rsidRPr="00C249C9" w:rsidRDefault="00112208" w:rsidP="00112208">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PA/Al/PVC (Al/Al</w:t>
      </w:r>
      <w:r w:rsidRPr="00C249C9">
        <w:rPr>
          <w:rFonts w:eastAsia="Times New Roman" w:cs="Times New Roman"/>
          <w:b/>
          <w:noProof/>
          <w:sz w:val="22"/>
          <w:szCs w:val="22"/>
          <w:lang w:val="lt-LT" w:eastAsia="lt-LT" w:bidi="lt-LT"/>
        </w:rPr>
        <w:t>)</w:t>
      </w:r>
      <w:r>
        <w:rPr>
          <w:rFonts w:eastAsia="Times New Roman" w:cs="Times New Roman"/>
          <w:b/>
          <w:noProof/>
          <w:sz w:val="22"/>
          <w:szCs w:val="22"/>
          <w:lang w:val="lt-LT" w:eastAsia="lt-LT" w:bidi="lt-LT"/>
        </w:rPr>
        <w:t xml:space="preserve"> </w:t>
      </w:r>
      <w:r w:rsidRPr="00C249C9">
        <w:rPr>
          <w:rFonts w:eastAsia="Times New Roman" w:cs="Times New Roman"/>
          <w:b/>
          <w:noProof/>
          <w:sz w:val="22"/>
          <w:szCs w:val="22"/>
          <w:lang w:val="lt-LT" w:eastAsia="lt-LT" w:bidi="lt-LT"/>
        </w:rPr>
        <w:t>LIZDINĖ PLOKŠTELĖ</w:t>
      </w:r>
    </w:p>
    <w:p w14:paraId="4CEEDDE9"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02C41E1F"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38C44302" w14:textId="77777777" w:rsidR="00112208" w:rsidRPr="00C249C9" w:rsidRDefault="00112208" w:rsidP="00112208">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VAISTINIO PREPARATO PAVADINIMAS</w:t>
      </w:r>
    </w:p>
    <w:p w14:paraId="5C4B82F6" w14:textId="77777777" w:rsidR="00112208" w:rsidRPr="00C249C9" w:rsidRDefault="00112208" w:rsidP="00112208">
      <w:pPr>
        <w:tabs>
          <w:tab w:val="left" w:pos="567"/>
        </w:tabs>
        <w:rPr>
          <w:rFonts w:eastAsia="Times New Roman" w:cs="Times New Roman"/>
          <w:i/>
          <w:noProof/>
          <w:sz w:val="22"/>
          <w:szCs w:val="22"/>
          <w:lang w:val="lt-LT" w:eastAsia="lt-LT" w:bidi="lt-LT"/>
        </w:rPr>
      </w:pPr>
    </w:p>
    <w:p w14:paraId="57EC030A" w14:textId="77777777" w:rsidR="00112208" w:rsidRPr="00C249C9" w:rsidRDefault="00112208" w:rsidP="00112208">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25 mg plėvele dengtos tabletės</w:t>
      </w:r>
    </w:p>
    <w:p w14:paraId="143D7126" w14:textId="77777777" w:rsidR="00112208" w:rsidRPr="00C652F8" w:rsidRDefault="00112208" w:rsidP="00112208">
      <w:pPr>
        <w:widowControl w:val="0"/>
        <w:tabs>
          <w:tab w:val="left" w:pos="567"/>
        </w:tabs>
        <w:rPr>
          <w:rFonts w:eastAsia="Times New Roman" w:cs="Times New Roman"/>
          <w:sz w:val="22"/>
          <w:szCs w:val="22"/>
          <w:highlight w:val="lightGray"/>
          <w:lang w:val="lt-LT" w:eastAsia="lt-LT" w:bidi="lt-LT"/>
        </w:rPr>
      </w:pPr>
      <w:r w:rsidRPr="00C652F8">
        <w:rPr>
          <w:rFonts w:eastAsia="Times New Roman" w:cs="Times New Roman"/>
          <w:sz w:val="22"/>
          <w:szCs w:val="22"/>
          <w:highlight w:val="lightGray"/>
          <w:lang w:val="lt-LT" w:eastAsia="lt-LT" w:bidi="lt-LT"/>
        </w:rPr>
        <w:t>JIMANDIN 50 mg plėvele dengtos tabletės</w:t>
      </w:r>
    </w:p>
    <w:p w14:paraId="142A8278" w14:textId="77777777" w:rsidR="00112208" w:rsidRPr="00C249C9" w:rsidRDefault="00112208" w:rsidP="00112208">
      <w:pPr>
        <w:widowControl w:val="0"/>
        <w:tabs>
          <w:tab w:val="left" w:pos="567"/>
        </w:tabs>
        <w:rPr>
          <w:rFonts w:eastAsia="Times New Roman" w:cs="Times New Roman"/>
          <w:sz w:val="22"/>
          <w:szCs w:val="22"/>
          <w:lang w:val="lt-LT" w:eastAsia="lt-LT" w:bidi="lt-LT"/>
        </w:rPr>
      </w:pPr>
      <w:r w:rsidRPr="00C652F8">
        <w:rPr>
          <w:rFonts w:eastAsia="Times New Roman" w:cs="Times New Roman"/>
          <w:sz w:val="22"/>
          <w:szCs w:val="22"/>
          <w:highlight w:val="lightGray"/>
          <w:lang w:val="lt-LT" w:eastAsia="lt-LT" w:bidi="lt-LT"/>
        </w:rPr>
        <w:t>JIMANDIN 100 mg plėvele dengtos tabletės</w:t>
      </w:r>
    </w:p>
    <w:p w14:paraId="3DDBE9E5" w14:textId="4487CA50" w:rsidR="00112208" w:rsidRPr="00C249C9" w:rsidRDefault="004478F5" w:rsidP="00112208">
      <w:pPr>
        <w:tabs>
          <w:tab w:val="left" w:pos="567"/>
        </w:tabs>
        <w:rPr>
          <w:rFonts w:eastAsia="Times New Roman" w:cs="Times New Roman"/>
          <w:noProof/>
          <w:sz w:val="22"/>
          <w:szCs w:val="22"/>
          <w:lang w:val="lt-LT" w:eastAsia="lt-LT" w:bidi="lt-LT"/>
        </w:rPr>
      </w:pPr>
      <w:r>
        <w:rPr>
          <w:rFonts w:cs="Times New Roman"/>
          <w:sz w:val="22"/>
          <w:szCs w:val="22"/>
          <w:lang w:val="lt-LT" w:eastAsia="en-US"/>
        </w:rPr>
        <w:t>s</w:t>
      </w:r>
      <w:r w:rsidR="00112208" w:rsidRPr="00C249C9">
        <w:rPr>
          <w:rFonts w:cs="Times New Roman"/>
          <w:sz w:val="22"/>
          <w:szCs w:val="22"/>
          <w:lang w:val="lt-LT" w:eastAsia="en-US"/>
        </w:rPr>
        <w:t>itagliptinum</w:t>
      </w:r>
    </w:p>
    <w:p w14:paraId="38A8C7CA" w14:textId="77777777" w:rsidR="00112208" w:rsidRPr="00C249C9" w:rsidRDefault="00112208" w:rsidP="00112208">
      <w:pPr>
        <w:tabs>
          <w:tab w:val="left" w:pos="567"/>
        </w:tabs>
        <w:rPr>
          <w:rFonts w:eastAsia="Times New Roman" w:cs="Times New Roman"/>
          <w:sz w:val="22"/>
          <w:szCs w:val="22"/>
          <w:highlight w:val="yellow"/>
          <w:lang w:val="lt-LT" w:eastAsia="lt-LT" w:bidi="lt-LT"/>
        </w:rPr>
      </w:pPr>
    </w:p>
    <w:p w14:paraId="3E0562CE" w14:textId="77777777" w:rsidR="00112208" w:rsidRPr="00C249C9" w:rsidRDefault="00112208" w:rsidP="00112208">
      <w:pPr>
        <w:tabs>
          <w:tab w:val="left" w:pos="567"/>
        </w:tabs>
        <w:rPr>
          <w:rFonts w:eastAsia="Times New Roman" w:cs="Times New Roman"/>
          <w:sz w:val="22"/>
          <w:szCs w:val="22"/>
          <w:lang w:val="lt-LT" w:eastAsia="lt-LT" w:bidi="lt-LT"/>
        </w:rPr>
      </w:pPr>
    </w:p>
    <w:p w14:paraId="6FAC4B2E" w14:textId="77777777" w:rsidR="00112208" w:rsidRPr="00C249C9" w:rsidRDefault="00112208" w:rsidP="00112208">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sidRPr="00C249C9">
        <w:rPr>
          <w:rFonts w:eastAsia="Times New Roman" w:cs="Times New Roman"/>
          <w:b/>
          <w:sz w:val="22"/>
          <w:szCs w:val="22"/>
          <w:lang w:val="lt-LT" w:eastAsia="lt-LT" w:bidi="lt-LT"/>
        </w:rPr>
        <w:t>REGISTRUOTOJO PAVADINIMAS</w:t>
      </w:r>
    </w:p>
    <w:p w14:paraId="3FCD1574"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1BEF6C72" w14:textId="516422AC" w:rsidR="00112208" w:rsidRPr="00C249C9" w:rsidRDefault="004478F5" w:rsidP="00112208">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Medochemie Ltd {</w:t>
      </w:r>
      <w:r w:rsidRPr="00ED5B06">
        <w:rPr>
          <w:sz w:val="22"/>
          <w:lang w:val="lt-LT"/>
        </w:rPr>
        <w:t>logotipas}</w:t>
      </w:r>
    </w:p>
    <w:p w14:paraId="4B201BD1" w14:textId="77777777" w:rsidR="00112208" w:rsidRPr="00C249C9" w:rsidRDefault="00112208" w:rsidP="00112208">
      <w:pPr>
        <w:tabs>
          <w:tab w:val="left" w:pos="567"/>
        </w:tabs>
        <w:rPr>
          <w:rFonts w:eastAsia="Times New Roman" w:cs="Times New Roman"/>
          <w:sz w:val="22"/>
          <w:szCs w:val="22"/>
          <w:lang w:val="lt-LT" w:eastAsia="lt-LT" w:bidi="lt-LT"/>
        </w:rPr>
      </w:pPr>
    </w:p>
    <w:p w14:paraId="29D808EE" w14:textId="77777777" w:rsidR="00112208" w:rsidRPr="00C249C9" w:rsidRDefault="00112208" w:rsidP="00112208">
      <w:pPr>
        <w:tabs>
          <w:tab w:val="left" w:pos="567"/>
        </w:tabs>
        <w:rPr>
          <w:rFonts w:eastAsia="Times New Roman" w:cs="Times New Roman"/>
          <w:sz w:val="22"/>
          <w:szCs w:val="22"/>
          <w:lang w:val="lt-LT" w:eastAsia="lt-LT" w:bidi="lt-LT"/>
        </w:rPr>
      </w:pPr>
    </w:p>
    <w:p w14:paraId="5FDB4A6E" w14:textId="77777777" w:rsidR="00112208" w:rsidRPr="00C249C9" w:rsidRDefault="00112208" w:rsidP="00112208">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TINKAMUMO LAIKAS</w:t>
      </w:r>
    </w:p>
    <w:p w14:paraId="7AC35219"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323177C1" w14:textId="77777777" w:rsidR="00112208" w:rsidRPr="00C249C9" w:rsidRDefault="00112208" w:rsidP="00112208">
      <w:pPr>
        <w:pStyle w:val="NoSpacing"/>
        <w:rPr>
          <w:szCs w:val="22"/>
          <w:lang w:val="lt-LT"/>
        </w:rPr>
      </w:pPr>
      <w:r w:rsidRPr="00C249C9">
        <w:rPr>
          <w:noProof/>
          <w:szCs w:val="22"/>
          <w:highlight w:val="lightGray"/>
          <w:lang w:val="lt-LT" w:eastAsia="lt-LT" w:bidi="lt-LT"/>
        </w:rPr>
        <w:t>EXP</w:t>
      </w:r>
      <w:r>
        <w:rPr>
          <w:noProof/>
          <w:szCs w:val="22"/>
          <w:highlight w:val="lightGray"/>
          <w:lang w:val="lt-LT" w:eastAsia="lt-LT" w:bidi="lt-LT"/>
        </w:rPr>
        <w:t xml:space="preserve"> </w:t>
      </w:r>
      <w:r w:rsidRPr="003F7712">
        <w:rPr>
          <w:szCs w:val="22"/>
          <w:highlight w:val="lightGray"/>
          <w:lang w:val="lt-LT"/>
        </w:rPr>
        <w:t>{mm-MMMM}</w:t>
      </w:r>
    </w:p>
    <w:p w14:paraId="2ECBE588"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5F3151A5"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02160C79" w14:textId="77777777" w:rsidR="00112208" w:rsidRPr="00C249C9" w:rsidRDefault="00112208" w:rsidP="00112208">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 xml:space="preserve">SERIJOS NUMERIS </w:t>
      </w:r>
    </w:p>
    <w:p w14:paraId="22E93628"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67CF58D9" w14:textId="77777777" w:rsidR="00112208" w:rsidRPr="00C249C9" w:rsidRDefault="00112208" w:rsidP="00112208">
      <w:pPr>
        <w:tabs>
          <w:tab w:val="left" w:pos="567"/>
        </w:tabs>
        <w:rPr>
          <w:rFonts w:eastAsia="Times New Roman" w:cs="Times New Roman"/>
          <w:noProof/>
          <w:sz w:val="22"/>
          <w:szCs w:val="22"/>
          <w:lang w:val="lt-LT" w:eastAsia="lt-LT" w:bidi="lt-LT"/>
        </w:rPr>
      </w:pPr>
      <w:r w:rsidRPr="00C249C9">
        <w:rPr>
          <w:rFonts w:eastAsia="Times New Roman" w:cs="Times New Roman"/>
          <w:noProof/>
          <w:sz w:val="22"/>
          <w:szCs w:val="22"/>
          <w:highlight w:val="lightGray"/>
          <w:lang w:val="lt-LT" w:eastAsia="lt-LT" w:bidi="lt-LT"/>
        </w:rPr>
        <w:t>Lot</w:t>
      </w:r>
    </w:p>
    <w:p w14:paraId="18907625"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79111FD6"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20FF5000" w14:textId="77777777" w:rsidR="00112208" w:rsidRPr="00C249C9" w:rsidRDefault="00112208" w:rsidP="00112208">
      <w:pPr>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KITA</w:t>
      </w:r>
    </w:p>
    <w:p w14:paraId="7DACE231"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6C6E7BF7" w14:textId="77777777" w:rsidR="00112208" w:rsidRPr="00C249C9" w:rsidRDefault="00112208" w:rsidP="00112208">
      <w:pPr>
        <w:tabs>
          <w:tab w:val="left" w:pos="567"/>
        </w:tabs>
        <w:rPr>
          <w:rFonts w:eastAsia="Times New Roman" w:cs="Times New Roman"/>
          <w:noProof/>
          <w:sz w:val="22"/>
          <w:szCs w:val="22"/>
          <w:lang w:val="lt-LT" w:eastAsia="lt-LT" w:bidi="lt-LT"/>
        </w:rPr>
      </w:pPr>
    </w:p>
    <w:p w14:paraId="6596B0D5" w14:textId="77777777" w:rsidR="00112208" w:rsidRPr="00C249C9" w:rsidRDefault="00112208" w:rsidP="00112208">
      <w:pPr>
        <w:tabs>
          <w:tab w:val="left" w:pos="567"/>
        </w:tabs>
        <w:outlineLvl w:val="0"/>
        <w:rPr>
          <w:rFonts w:eastAsia="Times New Roman" w:cs="Times New Roman"/>
          <w:b/>
          <w:sz w:val="22"/>
          <w:szCs w:val="22"/>
          <w:lang w:val="lt-LT" w:eastAsia="lt-LT" w:bidi="lt-LT"/>
        </w:rPr>
      </w:pPr>
      <w:r w:rsidRPr="00C249C9">
        <w:rPr>
          <w:rFonts w:eastAsia="Times New Roman" w:cs="Times New Roman"/>
          <w:b/>
          <w:sz w:val="22"/>
          <w:szCs w:val="22"/>
          <w:lang w:val="lt-LT" w:eastAsia="lt-LT" w:bidi="lt-LT"/>
        </w:rPr>
        <w:br w:type="page"/>
      </w:r>
    </w:p>
    <w:p w14:paraId="610AD031"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6E1C875"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ED4167B"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96F4EC4"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E2D861F"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37F5A0F"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37AEC299"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66C368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075D0A9"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02D2AC87"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6731754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6F6E2F5D"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11C078E"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5B5ACDB1"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591E9EC"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09C7EEC9"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562045A6"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2F1CC6B9"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E0083BD"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74CAF65F"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295A9F83"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14A627F4" w14:textId="77777777" w:rsidR="00112208" w:rsidRPr="00C249C9" w:rsidRDefault="00112208" w:rsidP="00112208">
      <w:pPr>
        <w:tabs>
          <w:tab w:val="left" w:pos="567"/>
        </w:tabs>
        <w:outlineLvl w:val="0"/>
        <w:rPr>
          <w:rFonts w:eastAsia="Times New Roman" w:cs="Times New Roman"/>
          <w:b/>
          <w:noProof/>
          <w:sz w:val="22"/>
          <w:szCs w:val="22"/>
          <w:highlight w:val="yellow"/>
          <w:lang w:val="lt-LT" w:eastAsia="lt-LT" w:bidi="lt-LT"/>
        </w:rPr>
      </w:pPr>
    </w:p>
    <w:p w14:paraId="45577A6E" w14:textId="77777777" w:rsidR="00112208" w:rsidRPr="00C249C9" w:rsidRDefault="00112208" w:rsidP="00112208">
      <w:pPr>
        <w:tabs>
          <w:tab w:val="left" w:pos="567"/>
        </w:tabs>
        <w:jc w:val="center"/>
        <w:outlineLvl w:val="0"/>
        <w:rPr>
          <w:rFonts w:eastAsia="Times New Roman" w:cs="Times New Roman"/>
          <w:b/>
          <w:noProof/>
          <w:sz w:val="22"/>
          <w:szCs w:val="22"/>
          <w:lang w:val="lt-LT" w:eastAsia="lt-LT" w:bidi="lt-LT"/>
        </w:rPr>
      </w:pPr>
    </w:p>
    <w:p w14:paraId="4800B00B" w14:textId="77777777" w:rsidR="00112208" w:rsidRPr="00C249C9" w:rsidRDefault="00112208" w:rsidP="00112208">
      <w:pPr>
        <w:tabs>
          <w:tab w:val="left" w:pos="567"/>
        </w:tabs>
        <w:jc w:val="center"/>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B. PAKUOTĖS LAPELIS</w:t>
      </w:r>
    </w:p>
    <w:p w14:paraId="5D6E66EB" w14:textId="77777777" w:rsidR="00112208" w:rsidRPr="00C249C9" w:rsidRDefault="00112208" w:rsidP="00112208">
      <w:pPr>
        <w:jc w:val="center"/>
        <w:outlineLvl w:val="0"/>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br w:type="page"/>
      </w:r>
      <w:r w:rsidRPr="00C249C9">
        <w:rPr>
          <w:rFonts w:eastAsia="Times New Roman" w:cs="Times New Roman"/>
          <w:b/>
          <w:noProof/>
          <w:sz w:val="22"/>
          <w:szCs w:val="22"/>
          <w:lang w:val="lt-LT" w:eastAsia="lt-LT" w:bidi="lt-LT"/>
        </w:rPr>
        <w:lastRenderedPageBreak/>
        <w:t>Pakuotės lapelis: informacija pacientui</w:t>
      </w:r>
    </w:p>
    <w:p w14:paraId="6F6F25CD" w14:textId="77777777" w:rsidR="00112208" w:rsidRPr="00C249C9" w:rsidRDefault="00112208" w:rsidP="00112208">
      <w:pPr>
        <w:numPr>
          <w:ilvl w:val="12"/>
          <w:numId w:val="0"/>
        </w:numPr>
        <w:shd w:val="clear" w:color="auto" w:fill="FFFFFF"/>
        <w:jc w:val="center"/>
        <w:rPr>
          <w:rFonts w:eastAsia="Times New Roman" w:cs="Times New Roman"/>
          <w:noProof/>
          <w:sz w:val="22"/>
          <w:szCs w:val="22"/>
          <w:lang w:val="lt-LT" w:eastAsia="lt-LT" w:bidi="lt-LT"/>
        </w:rPr>
      </w:pPr>
    </w:p>
    <w:p w14:paraId="160A20E9" w14:textId="77777777" w:rsidR="00112208" w:rsidRPr="00CC53DE" w:rsidRDefault="00112208" w:rsidP="00112208">
      <w:pPr>
        <w:widowControl w:val="0"/>
        <w:tabs>
          <w:tab w:val="left" w:pos="567"/>
        </w:tabs>
        <w:jc w:val="center"/>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 25 mg plėvele dengtos tabletės</w:t>
      </w:r>
    </w:p>
    <w:p w14:paraId="1D9D52CE" w14:textId="77777777" w:rsidR="00112208" w:rsidRPr="00CC53DE" w:rsidRDefault="00112208" w:rsidP="00112208">
      <w:pPr>
        <w:widowControl w:val="0"/>
        <w:tabs>
          <w:tab w:val="left" w:pos="567"/>
        </w:tabs>
        <w:jc w:val="center"/>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 xml:space="preserve">JIMANDIN </w:t>
      </w:r>
      <w:r>
        <w:rPr>
          <w:rFonts w:eastAsia="Times New Roman" w:cs="Times New Roman"/>
          <w:b/>
          <w:sz w:val="22"/>
          <w:szCs w:val="22"/>
          <w:lang w:val="lt-LT" w:eastAsia="lt-LT" w:bidi="lt-LT"/>
        </w:rPr>
        <w:t>50</w:t>
      </w:r>
      <w:r w:rsidRPr="00CC53DE">
        <w:rPr>
          <w:rFonts w:eastAsia="Times New Roman" w:cs="Times New Roman"/>
          <w:b/>
          <w:sz w:val="22"/>
          <w:szCs w:val="22"/>
          <w:lang w:val="lt-LT" w:eastAsia="lt-LT" w:bidi="lt-LT"/>
        </w:rPr>
        <w:t> mg plėvele dengtos tabletės</w:t>
      </w:r>
    </w:p>
    <w:p w14:paraId="377E593E" w14:textId="77777777" w:rsidR="00112208" w:rsidRPr="00C249C9" w:rsidRDefault="00112208" w:rsidP="00112208">
      <w:pPr>
        <w:widowControl w:val="0"/>
        <w:tabs>
          <w:tab w:val="left" w:pos="567"/>
        </w:tabs>
        <w:jc w:val="center"/>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sz w:val="22"/>
          <w:szCs w:val="22"/>
          <w:lang w:val="lt-LT" w:eastAsia="lt-LT" w:bidi="lt-LT"/>
        </w:rPr>
        <w:t>100 mg plėvele dengtos tabletės</w:t>
      </w:r>
    </w:p>
    <w:p w14:paraId="0532600A" w14:textId="542EEDF3" w:rsidR="00112208" w:rsidRPr="00C249C9" w:rsidRDefault="00783EEB" w:rsidP="00112208">
      <w:pPr>
        <w:numPr>
          <w:ilvl w:val="12"/>
          <w:numId w:val="0"/>
        </w:numPr>
        <w:jc w:val="center"/>
        <w:rPr>
          <w:rFonts w:eastAsia="Times New Roman" w:cs="Times New Roman"/>
          <w:noProof/>
          <w:sz w:val="22"/>
          <w:szCs w:val="22"/>
          <w:lang w:val="lt-LT" w:eastAsia="lt-LT" w:bidi="lt-LT"/>
        </w:rPr>
      </w:pPr>
      <w:r>
        <w:rPr>
          <w:rFonts w:eastAsia="Times New Roman" w:cs="Times New Roman"/>
          <w:sz w:val="22"/>
          <w:szCs w:val="22"/>
          <w:lang w:val="lt-LT" w:eastAsia="lt-LT" w:bidi="lt-LT"/>
        </w:rPr>
        <w:t>s</w:t>
      </w:r>
      <w:r w:rsidR="00112208" w:rsidRPr="00C249C9">
        <w:rPr>
          <w:rFonts w:eastAsia="Times New Roman" w:cs="Times New Roman"/>
          <w:sz w:val="22"/>
          <w:szCs w:val="22"/>
          <w:lang w:val="lt-LT" w:eastAsia="lt-LT" w:bidi="lt-LT"/>
        </w:rPr>
        <w:t>itagliptinas</w:t>
      </w:r>
    </w:p>
    <w:p w14:paraId="789B222A" w14:textId="77777777" w:rsidR="00112208" w:rsidRPr="00C249C9" w:rsidRDefault="00112208" w:rsidP="00112208">
      <w:pPr>
        <w:rPr>
          <w:rFonts w:eastAsia="Times New Roman" w:cs="Times New Roman"/>
          <w:noProof/>
          <w:sz w:val="22"/>
          <w:szCs w:val="22"/>
          <w:lang w:val="lt-LT" w:eastAsia="lt-LT" w:bidi="lt-LT"/>
        </w:rPr>
      </w:pPr>
    </w:p>
    <w:p w14:paraId="727AB0D9" w14:textId="77777777" w:rsidR="00112208" w:rsidRPr="00C249C9" w:rsidRDefault="00112208" w:rsidP="00112208">
      <w:pPr>
        <w:suppressAutoHyphens/>
        <w:rPr>
          <w:rFonts w:eastAsia="Times New Roman" w:cs="Times New Roman"/>
          <w:noProof/>
          <w:sz w:val="22"/>
          <w:szCs w:val="22"/>
          <w:lang w:val="lt-LT" w:eastAsia="lt-LT" w:bidi="lt-LT"/>
        </w:rPr>
      </w:pPr>
      <w:r w:rsidRPr="00C249C9">
        <w:rPr>
          <w:rFonts w:eastAsia="Times New Roman" w:cs="Times New Roman"/>
          <w:b/>
          <w:sz w:val="22"/>
          <w:szCs w:val="22"/>
          <w:lang w:val="lt-LT" w:eastAsia="lt-LT" w:bidi="lt-LT"/>
        </w:rPr>
        <w:t>Atidžiai perskaitykite visą šį lapelį, prieš pradėdami vartoti vaistą, nes jame pateikiama Jums svarbi informacija</w:t>
      </w:r>
      <w:r w:rsidRPr="00C249C9">
        <w:rPr>
          <w:rFonts w:eastAsia="Times New Roman" w:cs="Times New Roman"/>
          <w:b/>
          <w:noProof/>
          <w:sz w:val="22"/>
          <w:szCs w:val="22"/>
          <w:lang w:val="lt-LT" w:eastAsia="lt-LT" w:bidi="lt-LT"/>
        </w:rPr>
        <w:t>.</w:t>
      </w:r>
    </w:p>
    <w:p w14:paraId="67DF5DF4" w14:textId="77777777" w:rsidR="00112208" w:rsidRPr="00C249C9" w:rsidRDefault="00112208" w:rsidP="0011220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Neišmeskite šio lapelio, nes vėl gali prireikti jį perskaityti. </w:t>
      </w:r>
    </w:p>
    <w:p w14:paraId="7F2453D8" w14:textId="77777777" w:rsidR="00112208" w:rsidRPr="00C249C9" w:rsidRDefault="00112208" w:rsidP="0011220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Jeigu kiltų daugiau klausimų, kreipkitės į gydytoją</w:t>
      </w:r>
      <w:r>
        <w:rPr>
          <w:rFonts w:eastAsia="Times New Roman" w:cs="Times New Roman"/>
          <w:sz w:val="22"/>
          <w:szCs w:val="22"/>
          <w:lang w:val="lt-LT" w:eastAsia="lt-LT" w:bidi="lt-LT"/>
        </w:rPr>
        <w:t xml:space="preserve"> arba</w:t>
      </w:r>
      <w:r w:rsidRPr="00C249C9">
        <w:rPr>
          <w:rFonts w:eastAsia="Times New Roman" w:cs="Times New Roman"/>
          <w:sz w:val="22"/>
          <w:szCs w:val="22"/>
          <w:lang w:val="lt-LT" w:eastAsia="lt-LT" w:bidi="lt-LT"/>
        </w:rPr>
        <w:t xml:space="preserve"> vaistininką.</w:t>
      </w:r>
    </w:p>
    <w:p w14:paraId="2FB18F7D" w14:textId="77777777" w:rsidR="00112208" w:rsidRPr="00C249C9" w:rsidRDefault="00112208" w:rsidP="00112208">
      <w:pPr>
        <w:tabs>
          <w:tab w:val="left" w:pos="567"/>
        </w:tabs>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w:t>
      </w:r>
      <w:r w:rsidRPr="00C249C9">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C249C9">
        <w:rPr>
          <w:rFonts w:eastAsia="Times New Roman" w:cs="Times New Roman"/>
          <w:noProof/>
          <w:color w:val="008000"/>
          <w:sz w:val="22"/>
          <w:szCs w:val="22"/>
          <w:lang w:val="lt-LT" w:eastAsia="lt-LT" w:bidi="lt-LT"/>
        </w:rPr>
        <w:t xml:space="preserve"> </w:t>
      </w:r>
    </w:p>
    <w:p w14:paraId="49DA785D" w14:textId="77777777" w:rsidR="00112208" w:rsidRPr="00C249C9" w:rsidRDefault="00112208" w:rsidP="00112208">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C249C9">
        <w:rPr>
          <w:rFonts w:eastAsia="Times New Roman" w:cs="Times New Roman"/>
          <w:sz w:val="22"/>
          <w:szCs w:val="22"/>
          <w:lang w:val="lt-LT" w:eastAsia="lt-LT" w:bidi="lt-LT"/>
        </w:rPr>
        <w:t>Jeigu pasireiškė šalutinis poveikis (net jeigu jis šiame lapelyje nenurodytas),</w:t>
      </w:r>
      <w:r w:rsidRPr="00C249C9">
        <w:rPr>
          <w:rFonts w:eastAsia="Times New Roman" w:cs="Times New Roman"/>
          <w:color w:val="FF0000"/>
          <w:sz w:val="22"/>
          <w:szCs w:val="22"/>
          <w:lang w:val="lt-LT" w:eastAsia="lt-LT" w:bidi="lt-LT"/>
        </w:rPr>
        <w:t xml:space="preserve"> </w:t>
      </w:r>
      <w:r w:rsidRPr="00C249C9">
        <w:rPr>
          <w:rFonts w:eastAsia="Times New Roman" w:cs="Times New Roman"/>
          <w:sz w:val="22"/>
          <w:szCs w:val="22"/>
          <w:lang w:val="lt-LT" w:eastAsia="lt-LT" w:bidi="lt-LT"/>
        </w:rPr>
        <w:t>kreipkitės į gydytoją</w:t>
      </w:r>
      <w:r>
        <w:rPr>
          <w:rFonts w:eastAsia="Times New Roman" w:cs="Times New Roman"/>
          <w:sz w:val="22"/>
          <w:szCs w:val="22"/>
          <w:lang w:val="lt-LT" w:eastAsia="lt-LT" w:bidi="lt-LT"/>
        </w:rPr>
        <w:t xml:space="preserve"> arba</w:t>
      </w:r>
      <w:r w:rsidRPr="00C249C9">
        <w:rPr>
          <w:rFonts w:eastAsia="Times New Roman" w:cs="Times New Roman"/>
          <w:sz w:val="22"/>
          <w:szCs w:val="22"/>
          <w:lang w:val="lt-LT" w:eastAsia="lt-LT" w:bidi="lt-LT"/>
        </w:rPr>
        <w:t xml:space="preserve"> vaistininką. Žr. 4 skyrių.</w:t>
      </w:r>
    </w:p>
    <w:p w14:paraId="3E71164E" w14:textId="77777777" w:rsidR="00112208" w:rsidRPr="00C249C9" w:rsidRDefault="00112208" w:rsidP="00112208">
      <w:pPr>
        <w:ind w:right="-2"/>
        <w:rPr>
          <w:rFonts w:eastAsia="Times New Roman" w:cs="Times New Roman"/>
          <w:noProof/>
          <w:sz w:val="22"/>
          <w:szCs w:val="22"/>
          <w:lang w:val="lt-LT" w:eastAsia="lt-LT" w:bidi="lt-LT"/>
        </w:rPr>
      </w:pPr>
    </w:p>
    <w:p w14:paraId="137179DE" w14:textId="77777777" w:rsidR="00112208" w:rsidRPr="00C249C9" w:rsidRDefault="00112208" w:rsidP="00112208">
      <w:pPr>
        <w:keepNext/>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sz w:val="22"/>
          <w:szCs w:val="22"/>
          <w:lang w:val="lt-LT" w:eastAsia="lt-LT" w:bidi="lt-LT"/>
        </w:rPr>
        <w:t>Apie ką rašoma šiame lapelyje?</w:t>
      </w:r>
    </w:p>
    <w:p w14:paraId="035CF0BA" w14:textId="77777777" w:rsidR="00112208" w:rsidRPr="00C249C9" w:rsidRDefault="00112208" w:rsidP="00112208">
      <w:pPr>
        <w:keepNext/>
        <w:numPr>
          <w:ilvl w:val="12"/>
          <w:numId w:val="0"/>
        </w:numPr>
        <w:ind w:right="-2"/>
        <w:outlineLvl w:val="0"/>
        <w:rPr>
          <w:rFonts w:eastAsia="Times New Roman" w:cs="Times New Roman"/>
          <w:noProof/>
          <w:sz w:val="22"/>
          <w:szCs w:val="22"/>
          <w:lang w:val="lt-LT" w:eastAsia="lt-LT" w:bidi="lt-LT"/>
        </w:rPr>
      </w:pPr>
    </w:p>
    <w:p w14:paraId="1F8BB017"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Kas yra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ir kam jis vartojamas </w:t>
      </w:r>
    </w:p>
    <w:p w14:paraId="4CEF35C0"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Kas žinotina prieš vartojant </w:t>
      </w:r>
      <w:r>
        <w:rPr>
          <w:rFonts w:eastAsia="Times New Roman" w:cs="Times New Roman"/>
          <w:sz w:val="22"/>
          <w:szCs w:val="22"/>
          <w:lang w:val="lt-LT" w:eastAsia="lt-LT" w:bidi="lt-LT"/>
        </w:rPr>
        <w:t>JIMANDIN</w:t>
      </w:r>
    </w:p>
    <w:p w14:paraId="0FEDE6F6"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Kaip vartoti </w:t>
      </w:r>
      <w:r>
        <w:rPr>
          <w:rFonts w:eastAsia="Times New Roman" w:cs="Times New Roman"/>
          <w:sz w:val="22"/>
          <w:szCs w:val="22"/>
          <w:lang w:val="lt-LT" w:eastAsia="lt-LT" w:bidi="lt-LT"/>
        </w:rPr>
        <w:t>JIMANDIN</w:t>
      </w:r>
    </w:p>
    <w:p w14:paraId="34C22789"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Galimas šalutinis</w:t>
      </w:r>
      <w:r>
        <w:rPr>
          <w:rFonts w:eastAsia="Times New Roman" w:cs="Times New Roman"/>
          <w:sz w:val="22"/>
          <w:szCs w:val="22"/>
          <w:lang w:val="lt-LT" w:eastAsia="lt-LT" w:bidi="lt-LT"/>
        </w:rPr>
        <w:t xml:space="preserve"> poveikis</w:t>
      </w:r>
    </w:p>
    <w:p w14:paraId="17738724"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Kaip laikyti </w:t>
      </w:r>
      <w:r>
        <w:rPr>
          <w:rFonts w:eastAsia="Times New Roman" w:cs="Times New Roman"/>
          <w:sz w:val="22"/>
          <w:szCs w:val="22"/>
          <w:lang w:val="lt-LT" w:eastAsia="lt-LT" w:bidi="lt-LT"/>
        </w:rPr>
        <w:t>JIMANDIN</w:t>
      </w:r>
    </w:p>
    <w:p w14:paraId="461437C9" w14:textId="77777777" w:rsidR="00112208" w:rsidRPr="00C249C9" w:rsidRDefault="00112208" w:rsidP="00112208">
      <w:pPr>
        <w:numPr>
          <w:ilvl w:val="0"/>
          <w:numId w:val="7"/>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Pakuotės turinys ir kita informacija</w:t>
      </w:r>
    </w:p>
    <w:p w14:paraId="10ACED58"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5519FBD8" w14:textId="77777777" w:rsidR="00112208" w:rsidRPr="00C249C9" w:rsidRDefault="00112208" w:rsidP="00112208">
      <w:pPr>
        <w:numPr>
          <w:ilvl w:val="12"/>
          <w:numId w:val="0"/>
        </w:numPr>
        <w:rPr>
          <w:rFonts w:eastAsia="Times New Roman" w:cs="Times New Roman"/>
          <w:noProof/>
          <w:sz w:val="22"/>
          <w:szCs w:val="22"/>
          <w:lang w:val="lt-LT" w:eastAsia="lt-LT" w:bidi="lt-LT"/>
        </w:rPr>
      </w:pPr>
    </w:p>
    <w:p w14:paraId="60DF741E"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Kas yra </w:t>
      </w: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noProof/>
          <w:sz w:val="22"/>
          <w:szCs w:val="22"/>
          <w:lang w:val="lt-LT" w:eastAsia="lt-LT" w:bidi="lt-LT"/>
        </w:rPr>
        <w:t>ir kam jis vartojamas</w:t>
      </w:r>
    </w:p>
    <w:p w14:paraId="77769D41" w14:textId="77777777" w:rsidR="00112208" w:rsidRPr="00C249C9" w:rsidRDefault="00112208" w:rsidP="00112208">
      <w:pPr>
        <w:numPr>
          <w:ilvl w:val="12"/>
          <w:numId w:val="0"/>
        </w:numPr>
        <w:rPr>
          <w:rFonts w:eastAsia="Times New Roman" w:cs="Times New Roman"/>
          <w:noProof/>
          <w:sz w:val="22"/>
          <w:szCs w:val="22"/>
          <w:lang w:val="lt-LT" w:eastAsia="lt-LT" w:bidi="lt-LT"/>
        </w:rPr>
      </w:pPr>
    </w:p>
    <w:p w14:paraId="1C7BB835" w14:textId="77777777" w:rsidR="00112208" w:rsidRPr="00C249C9" w:rsidRDefault="00112208" w:rsidP="00112208">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 xml:space="preserve">sudėtyje yra veikliosios medžiagos sitagliptino, kuris yra vaistų klasės, vadinamos DPP-4 inhibitoriais (dipeptidilpeptidazės-4 inhibitoriais), atstovas, kuris mažina cukraus kiekį </w:t>
      </w:r>
      <w:r>
        <w:rPr>
          <w:rFonts w:cs="Times New Roman"/>
          <w:sz w:val="22"/>
          <w:szCs w:val="22"/>
          <w:lang w:val="lt-LT" w:eastAsia="en-US"/>
        </w:rPr>
        <w:t>2 tipo</w:t>
      </w:r>
      <w:r w:rsidRPr="00C249C9">
        <w:rPr>
          <w:rFonts w:cs="Times New Roman"/>
          <w:sz w:val="22"/>
          <w:szCs w:val="22"/>
          <w:lang w:val="lt-LT" w:eastAsia="en-US"/>
        </w:rPr>
        <w:t xml:space="preserve"> cukriniu diabetu sergančių pacientų kraujyje.</w:t>
      </w:r>
    </w:p>
    <w:p w14:paraId="51568AD1"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Šis vaistas padeda padidinti insulino kiekį pavalgius ir sumažina paties organizmo gaminamo cukraus kiekį.</w:t>
      </w:r>
    </w:p>
    <w:p w14:paraId="00184B4C"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Jūsų gydytojas paskyrė šį vaistą, kad jis padėtų sumažinti cukraus kiekį kraujyje, kuris yra per didelis Jums sergant </w:t>
      </w:r>
      <w:r>
        <w:rPr>
          <w:rFonts w:cs="Times New Roman"/>
          <w:sz w:val="22"/>
          <w:szCs w:val="22"/>
          <w:lang w:val="lt-LT" w:eastAsia="en-US"/>
        </w:rPr>
        <w:t>2 tipo</w:t>
      </w:r>
      <w:r w:rsidRPr="00C249C9">
        <w:rPr>
          <w:rFonts w:cs="Times New Roman"/>
          <w:sz w:val="22"/>
          <w:szCs w:val="22"/>
          <w:lang w:val="lt-LT" w:eastAsia="en-US"/>
        </w:rPr>
        <w:t xml:space="preserve"> cukriniu diabetu. Šis vaistas gali būti vartojamas vienas arba kartu su kitais cukraus kiekį kraujyje mažinančiais vaistais (insulinu, metforminu, sulfonilurėjos preparatu ar glitazonais), kurių Jūs nuo cukrinio diabeto galbūt jau vartojate kartu vykdydami mitybos ir fizinių pratimų programą.</w:t>
      </w:r>
    </w:p>
    <w:p w14:paraId="3F0D4E25" w14:textId="77777777" w:rsidR="00112208" w:rsidRPr="00C249C9" w:rsidRDefault="00112208" w:rsidP="00112208">
      <w:pPr>
        <w:autoSpaceDE w:val="0"/>
        <w:autoSpaceDN w:val="0"/>
        <w:adjustRightInd w:val="0"/>
        <w:rPr>
          <w:rFonts w:cs="Times New Roman"/>
          <w:sz w:val="22"/>
          <w:szCs w:val="22"/>
          <w:lang w:val="lt-LT" w:eastAsia="en-US"/>
        </w:rPr>
      </w:pPr>
    </w:p>
    <w:p w14:paraId="7C7BA95F"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 xml:space="preserve">Kas yra </w:t>
      </w:r>
      <w:r>
        <w:rPr>
          <w:rFonts w:cs="Times New Roman"/>
          <w:b/>
          <w:sz w:val="22"/>
          <w:szCs w:val="22"/>
          <w:lang w:val="lt-LT" w:eastAsia="en-US"/>
        </w:rPr>
        <w:t>2 tipo</w:t>
      </w:r>
      <w:r w:rsidRPr="00C249C9">
        <w:rPr>
          <w:rFonts w:cs="Times New Roman"/>
          <w:b/>
          <w:sz w:val="22"/>
          <w:szCs w:val="22"/>
          <w:lang w:val="lt-LT" w:eastAsia="en-US"/>
        </w:rPr>
        <w:t xml:space="preserve"> cukrinis diabetas?</w:t>
      </w:r>
    </w:p>
    <w:p w14:paraId="2F1D9760"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 tipo</w:t>
      </w:r>
      <w:r w:rsidRPr="00C249C9">
        <w:rPr>
          <w:rFonts w:cs="Times New Roman"/>
          <w:sz w:val="22"/>
          <w:szCs w:val="22"/>
          <w:lang w:val="lt-LT" w:eastAsia="en-US"/>
        </w:rPr>
        <w:t xml:space="preserve"> cukrinis diabetas yra būklė, kai Jūsų organizmas gamina nepakankamai insulino, o ir tas insulinas, kurį Jūsų organizmas pagamina, neveikia taip gerai, kaip turėtų veikti. Be to, Jūsų organizme susidaro per daug cukraus. Kai taip atsitinka, kraujyje jo (gliukozės) padaugėja. Tai gali sukelti sunkius sveikatos sutrikimus, įskaitant širdies, inkstų ligą, aklumą ar galūnių amputaciją (nupjovimą).</w:t>
      </w:r>
    </w:p>
    <w:p w14:paraId="1D450D14" w14:textId="77777777" w:rsidR="00112208" w:rsidRPr="00C249C9" w:rsidRDefault="00112208" w:rsidP="00112208">
      <w:pPr>
        <w:ind w:right="-2"/>
        <w:rPr>
          <w:rFonts w:eastAsia="Times New Roman" w:cs="Times New Roman"/>
          <w:noProof/>
          <w:sz w:val="22"/>
          <w:szCs w:val="22"/>
          <w:lang w:val="lt-LT" w:eastAsia="lt-LT" w:bidi="lt-LT"/>
        </w:rPr>
      </w:pPr>
    </w:p>
    <w:p w14:paraId="7D136B83" w14:textId="77777777" w:rsidR="00112208" w:rsidRPr="00C249C9" w:rsidRDefault="00112208" w:rsidP="00112208">
      <w:pPr>
        <w:ind w:right="-2"/>
        <w:rPr>
          <w:rFonts w:eastAsia="Times New Roman" w:cs="Times New Roman"/>
          <w:noProof/>
          <w:sz w:val="22"/>
          <w:szCs w:val="22"/>
          <w:lang w:val="lt-LT" w:eastAsia="lt-LT" w:bidi="lt-LT"/>
        </w:rPr>
      </w:pPr>
    </w:p>
    <w:p w14:paraId="6D108A15"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Kas žinotina prieš vartojant </w:t>
      </w:r>
      <w:r w:rsidRPr="00CC53DE">
        <w:rPr>
          <w:rFonts w:eastAsia="Times New Roman" w:cs="Times New Roman"/>
          <w:b/>
          <w:sz w:val="22"/>
          <w:szCs w:val="22"/>
          <w:lang w:val="lt-LT" w:eastAsia="lt-LT" w:bidi="lt-LT"/>
        </w:rPr>
        <w:t>JIMANDIN</w:t>
      </w:r>
    </w:p>
    <w:p w14:paraId="2E8E2D75" w14:textId="77777777" w:rsidR="00112208" w:rsidRPr="00C249C9" w:rsidRDefault="00112208" w:rsidP="00112208">
      <w:pPr>
        <w:keepNext/>
        <w:numPr>
          <w:ilvl w:val="12"/>
          <w:numId w:val="0"/>
        </w:numPr>
        <w:outlineLvl w:val="0"/>
        <w:rPr>
          <w:rFonts w:eastAsia="Times New Roman" w:cs="Times New Roman"/>
          <w:i/>
          <w:noProof/>
          <w:sz w:val="22"/>
          <w:szCs w:val="22"/>
          <w:lang w:val="lt-LT" w:eastAsia="lt-LT" w:bidi="lt-LT"/>
        </w:rPr>
      </w:pPr>
    </w:p>
    <w:p w14:paraId="1F72B5A7" w14:textId="286D046D" w:rsidR="00112208" w:rsidRPr="00C249C9" w:rsidRDefault="00112208" w:rsidP="00112208">
      <w:pPr>
        <w:keepNext/>
        <w:numPr>
          <w:ilvl w:val="12"/>
          <w:numId w:val="0"/>
        </w:numPr>
        <w:outlineLvl w:val="0"/>
        <w:rPr>
          <w:rFonts w:eastAsia="Times New Roman" w:cs="Times New Roman"/>
          <w:noProof/>
          <w:sz w:val="22"/>
          <w:szCs w:val="22"/>
          <w:lang w:val="lt-LT" w:eastAsia="lt-LT" w:bidi="lt-LT"/>
        </w:rPr>
      </w:pP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noProof/>
          <w:sz w:val="22"/>
          <w:szCs w:val="22"/>
          <w:lang w:val="lt-LT" w:eastAsia="lt-LT" w:bidi="lt-LT"/>
        </w:rPr>
        <w:t xml:space="preserve">vartoti </w:t>
      </w:r>
      <w:r w:rsidR="00783EEB">
        <w:rPr>
          <w:rFonts w:eastAsia="Times New Roman" w:cs="Times New Roman"/>
          <w:b/>
          <w:noProof/>
          <w:sz w:val="22"/>
          <w:szCs w:val="22"/>
          <w:lang w:val="lt-LT" w:eastAsia="lt-LT" w:bidi="lt-LT"/>
        </w:rPr>
        <w:t>draudžiama</w:t>
      </w:r>
    </w:p>
    <w:p w14:paraId="0EAF7A79" w14:textId="77777777" w:rsidR="00112208" w:rsidRPr="00C249C9" w:rsidRDefault="00112208" w:rsidP="00112208">
      <w:pPr>
        <w:numPr>
          <w:ilvl w:val="0"/>
          <w:numId w:val="1"/>
        </w:numPr>
        <w:tabs>
          <w:tab w:val="left" w:pos="567"/>
        </w:tabs>
        <w:spacing w:line="260" w:lineRule="exact"/>
        <w:contextualSpacing/>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jeigu yra alergija sitagliptinui arba bet kuriai pagalbinei šio vaisto medžiagai (jos išvardytos 6 skyriuje).</w:t>
      </w:r>
    </w:p>
    <w:p w14:paraId="7CFA2D46" w14:textId="77777777" w:rsidR="00112208" w:rsidRPr="00C249C9" w:rsidRDefault="00112208" w:rsidP="00112208">
      <w:pPr>
        <w:numPr>
          <w:ilvl w:val="12"/>
          <w:numId w:val="0"/>
        </w:numPr>
        <w:rPr>
          <w:rFonts w:eastAsia="Times New Roman" w:cs="Times New Roman"/>
          <w:noProof/>
          <w:sz w:val="22"/>
          <w:szCs w:val="22"/>
          <w:lang w:val="lt-LT" w:eastAsia="lt-LT" w:bidi="lt-LT"/>
        </w:rPr>
      </w:pPr>
    </w:p>
    <w:p w14:paraId="24A7D4E9" w14:textId="77777777" w:rsidR="00112208" w:rsidRPr="00C249C9" w:rsidRDefault="00112208" w:rsidP="00112208">
      <w:pPr>
        <w:numPr>
          <w:ilvl w:val="12"/>
          <w:numId w:val="0"/>
        </w:numPr>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Įspėjimai ir atsargumo priemonės </w:t>
      </w:r>
    </w:p>
    <w:p w14:paraId="559FB97F" w14:textId="77777777" w:rsidR="00112208" w:rsidRPr="00C249C9" w:rsidRDefault="00112208" w:rsidP="00112208">
      <w:pPr>
        <w:numPr>
          <w:ilvl w:val="12"/>
          <w:numId w:val="0"/>
        </w:numPr>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Pasitarkite su gydytoju arba vaistininku, prieš pradėdami vartoti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w:t>
      </w:r>
    </w:p>
    <w:p w14:paraId="6B9C2895" w14:textId="77777777" w:rsidR="00112208" w:rsidRPr="00C249C9" w:rsidRDefault="00112208" w:rsidP="00112208">
      <w:pPr>
        <w:numPr>
          <w:ilvl w:val="12"/>
          <w:numId w:val="0"/>
        </w:numPr>
        <w:ind w:right="-2"/>
        <w:rPr>
          <w:rFonts w:cs="Times New Roman"/>
          <w:sz w:val="22"/>
          <w:szCs w:val="22"/>
          <w:lang w:val="lt-LT" w:eastAsia="en-US"/>
        </w:rPr>
      </w:pPr>
    </w:p>
    <w:p w14:paraId="60CDC819" w14:textId="77777777" w:rsidR="00112208" w:rsidRPr="00C249C9" w:rsidRDefault="00112208" w:rsidP="00112208">
      <w:pPr>
        <w:numPr>
          <w:ilvl w:val="12"/>
          <w:numId w:val="0"/>
        </w:numPr>
        <w:ind w:right="-2"/>
        <w:rPr>
          <w:rFonts w:cs="Times New Roman"/>
          <w:sz w:val="22"/>
          <w:szCs w:val="22"/>
          <w:lang w:val="lt-LT" w:eastAsia="en-US"/>
        </w:rPr>
      </w:pPr>
      <w:r w:rsidRPr="00C249C9">
        <w:rPr>
          <w:rFonts w:cs="Times New Roman"/>
          <w:sz w:val="22"/>
          <w:szCs w:val="22"/>
          <w:lang w:val="lt-LT" w:eastAsia="en-US"/>
        </w:rPr>
        <w:lastRenderedPageBreak/>
        <w:t>Pastebėta, kad kai kurie s</w:t>
      </w:r>
      <w:r w:rsidRPr="00C249C9">
        <w:rPr>
          <w:rFonts w:eastAsia="Times New Roman" w:cs="Times New Roman"/>
          <w:sz w:val="22"/>
          <w:szCs w:val="22"/>
          <w:lang w:val="lt-LT" w:eastAsia="lt-LT" w:bidi="lt-LT"/>
        </w:rPr>
        <w:t>itagliptiną</w:t>
      </w:r>
      <w:r w:rsidRPr="00C249C9">
        <w:rPr>
          <w:rFonts w:cs="Times New Roman"/>
          <w:sz w:val="22"/>
          <w:szCs w:val="22"/>
          <w:lang w:val="lt-LT" w:eastAsia="en-US"/>
        </w:rPr>
        <w:t xml:space="preserve"> vartoję pacientai susirgo kasos uždegimu (pankreatitu) (žr. 4 skyrių).</w:t>
      </w:r>
    </w:p>
    <w:p w14:paraId="51825D8B" w14:textId="77777777" w:rsidR="00112208" w:rsidRPr="008F31B0" w:rsidRDefault="00112208" w:rsidP="00112208">
      <w:pPr>
        <w:numPr>
          <w:ilvl w:val="12"/>
          <w:numId w:val="0"/>
        </w:numPr>
        <w:ind w:right="-2"/>
        <w:rPr>
          <w:rFonts w:cs="Times New Roman"/>
          <w:sz w:val="22"/>
          <w:szCs w:val="22"/>
          <w:lang w:val="lt-LT" w:eastAsia="en-US"/>
        </w:rPr>
      </w:pPr>
      <w:r w:rsidRPr="008F31B0">
        <w:rPr>
          <w:rFonts w:cs="Times New Roman"/>
          <w:sz w:val="22"/>
          <w:szCs w:val="22"/>
          <w:lang w:val="lt-LT" w:eastAsia="en-US"/>
        </w:rPr>
        <w:t>Jeigu Jums netikėtai ant odos susidaro pūslių, tai gali būti pūsliniu pemfigoidu vadinamos būklės</w:t>
      </w:r>
    </w:p>
    <w:p w14:paraId="114B7E02" w14:textId="77777777" w:rsidR="00112208" w:rsidRPr="00C249C9" w:rsidRDefault="00112208" w:rsidP="00112208">
      <w:pPr>
        <w:numPr>
          <w:ilvl w:val="12"/>
          <w:numId w:val="0"/>
        </w:numPr>
        <w:ind w:right="-2"/>
        <w:rPr>
          <w:rFonts w:cs="Times New Roman"/>
          <w:sz w:val="22"/>
          <w:szCs w:val="22"/>
          <w:lang w:val="lt-LT" w:eastAsia="en-US"/>
        </w:rPr>
      </w:pPr>
      <w:r w:rsidRPr="008F31B0">
        <w:rPr>
          <w:rFonts w:cs="Times New Roman"/>
          <w:sz w:val="22"/>
          <w:szCs w:val="22"/>
          <w:lang w:val="lt-LT" w:eastAsia="en-US"/>
        </w:rPr>
        <w:t xml:space="preserve">požymis. Gydytojas gali Jums nurodyti nutraukti </w:t>
      </w:r>
      <w:r>
        <w:rPr>
          <w:rFonts w:cs="Times New Roman"/>
          <w:sz w:val="22"/>
          <w:szCs w:val="22"/>
          <w:lang w:val="lt-LT" w:eastAsia="en-US"/>
        </w:rPr>
        <w:t>JIMANDIN</w:t>
      </w:r>
      <w:r w:rsidRPr="008F31B0">
        <w:rPr>
          <w:rFonts w:cs="Times New Roman"/>
          <w:sz w:val="22"/>
          <w:szCs w:val="22"/>
          <w:lang w:val="lt-LT" w:eastAsia="en-US"/>
        </w:rPr>
        <w:t xml:space="preserve"> vartojimą.</w:t>
      </w:r>
    </w:p>
    <w:p w14:paraId="182DC468"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Pasakykite savo gydytojui, jeigu Jūs sirgote arba sergate:</w:t>
      </w:r>
    </w:p>
    <w:p w14:paraId="2ED48DAB"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kasos liga (pavyzdžiui, pankreatitu);</w:t>
      </w:r>
    </w:p>
    <w:p w14:paraId="2B4BA254"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 xml:space="preserve">tulžies akmenlige, priklausomybe nuo alkoholio ar  yra </w:t>
      </w:r>
      <w:r>
        <w:rPr>
          <w:rFonts w:cs="Times New Roman"/>
          <w:sz w:val="22"/>
          <w:szCs w:val="22"/>
          <w:lang w:val="lt-LT" w:eastAsia="en-US"/>
        </w:rPr>
        <w:t xml:space="preserve">labai </w:t>
      </w:r>
      <w:r w:rsidRPr="00C249C9">
        <w:rPr>
          <w:rFonts w:cs="Times New Roman"/>
          <w:sz w:val="22"/>
          <w:szCs w:val="22"/>
          <w:lang w:val="lt-LT" w:eastAsia="en-US"/>
        </w:rPr>
        <w:t>daug trigliceridų (tam tikros rūšies riebalų) kraujyje. Šios sveikatos būklės gali padidinti tikimybę susirgti pankreatitu (žiūrėkite 4 skyrių);</w:t>
      </w:r>
    </w:p>
    <w:p w14:paraId="0F9F35C1"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I tipo cukriniu diabetu;</w:t>
      </w:r>
    </w:p>
    <w:p w14:paraId="69DDDA4B"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diabetine ketoacidoze (diabeto komplikacija, kuomet labai padidėja cukraus kiekis kraujyje, greitai krenta kūno svoris, atsiranda pykinimas arba vėmimas);</w:t>
      </w:r>
    </w:p>
    <w:p w14:paraId="7F0C5D63"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bet koks esamas ar buvęs inkstų sutrikimas;</w:t>
      </w:r>
    </w:p>
    <w:p w14:paraId="18679F9F"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alerginė reakcija į sitagliptiną (žr. 4 skyrių).</w:t>
      </w:r>
    </w:p>
    <w:p w14:paraId="5A634597" w14:textId="77777777" w:rsidR="00112208" w:rsidRPr="00C249C9" w:rsidRDefault="00112208" w:rsidP="00112208">
      <w:pPr>
        <w:autoSpaceDE w:val="0"/>
        <w:autoSpaceDN w:val="0"/>
        <w:adjustRightInd w:val="0"/>
        <w:rPr>
          <w:rFonts w:cs="Times New Roman"/>
          <w:sz w:val="22"/>
          <w:szCs w:val="22"/>
          <w:lang w:val="lt-LT" w:eastAsia="en-US"/>
        </w:rPr>
      </w:pPr>
    </w:p>
    <w:p w14:paraId="2D719FDA" w14:textId="77777777" w:rsidR="00112208" w:rsidRDefault="00112208" w:rsidP="00112208">
      <w:pPr>
        <w:autoSpaceDE w:val="0"/>
        <w:autoSpaceDN w:val="0"/>
        <w:adjustRightInd w:val="0"/>
        <w:rPr>
          <w:rFonts w:eastAsia="Times New Roman" w:cs="Times New Roman"/>
          <w:b/>
          <w:noProof/>
          <w:sz w:val="22"/>
          <w:szCs w:val="22"/>
          <w:lang w:val="lt-LT" w:eastAsia="lt-LT" w:bidi="lt-LT"/>
        </w:rPr>
      </w:pPr>
      <w:r w:rsidRPr="00C249C9">
        <w:rPr>
          <w:rFonts w:cs="Times New Roman"/>
          <w:sz w:val="22"/>
          <w:szCs w:val="22"/>
          <w:lang w:val="lt-LT" w:eastAsia="en-US"/>
        </w:rPr>
        <w:t>Nėra tikėtina, kad šis vaistas pernelyg sumažintų cukraus kiekį kraujyje, nes jis neveikia, kuomet cukraus kraujyje yra mažai. Vis dėlto, jeigu šį vaistą vartojate kartu su sulfonilurėjos dariniu arba insulinu, gali per daug sumažėti cukraus kiekis kraujyje (pasireikšti hipoglikemija). Jūsų gydytojas gali sumažinti vartojamo sulfonilurėjos darinio arba insulino dozę.</w:t>
      </w:r>
    </w:p>
    <w:p w14:paraId="7B0E3A8B" w14:textId="77777777" w:rsidR="00112208" w:rsidRPr="00C249C9" w:rsidRDefault="00112208" w:rsidP="00112208">
      <w:pPr>
        <w:autoSpaceDE w:val="0"/>
        <w:autoSpaceDN w:val="0"/>
        <w:adjustRightInd w:val="0"/>
        <w:rPr>
          <w:rFonts w:eastAsia="Times New Roman" w:cs="Times New Roman"/>
          <w:b/>
          <w:noProof/>
          <w:sz w:val="22"/>
          <w:szCs w:val="22"/>
          <w:lang w:val="lt-LT" w:eastAsia="lt-LT" w:bidi="lt-LT"/>
        </w:rPr>
      </w:pPr>
    </w:p>
    <w:p w14:paraId="6BE8EA38" w14:textId="77777777" w:rsidR="00112208" w:rsidRPr="00C249C9" w:rsidRDefault="00112208" w:rsidP="00112208">
      <w:pPr>
        <w:keepNext/>
        <w:numPr>
          <w:ilvl w:val="12"/>
          <w:numId w:val="0"/>
        </w:numPr>
        <w:rPr>
          <w:rFonts w:eastAsia="Times New Roman" w:cs="Times New Roman"/>
          <w:b/>
          <w:bCs/>
          <w:noProof/>
          <w:sz w:val="22"/>
          <w:szCs w:val="22"/>
          <w:lang w:val="lt-LT" w:eastAsia="lt-LT" w:bidi="lt-LT"/>
        </w:rPr>
      </w:pPr>
      <w:r w:rsidRPr="00C249C9">
        <w:rPr>
          <w:rFonts w:eastAsia="Times New Roman" w:cs="Times New Roman"/>
          <w:b/>
          <w:noProof/>
          <w:sz w:val="22"/>
          <w:szCs w:val="22"/>
          <w:lang w:val="lt-LT" w:eastAsia="lt-LT" w:bidi="lt-LT"/>
        </w:rPr>
        <w:t>Vaikams ir paaugliams</w:t>
      </w:r>
    </w:p>
    <w:p w14:paraId="616E4CC5" w14:textId="77777777" w:rsidR="00112208" w:rsidRDefault="00112208" w:rsidP="00112208">
      <w:pPr>
        <w:keepNext/>
        <w:numPr>
          <w:ilvl w:val="12"/>
          <w:numId w:val="0"/>
        </w:numPr>
        <w:ind w:right="-2"/>
        <w:rPr>
          <w:rFonts w:eastAsia="Times New Roman" w:cs="Times New Roman"/>
          <w:b/>
          <w:sz w:val="22"/>
          <w:szCs w:val="22"/>
          <w:lang w:val="lt-LT" w:eastAsia="lt-LT" w:bidi="lt-LT"/>
        </w:rPr>
      </w:pPr>
      <w:r w:rsidRPr="00D32C74">
        <w:rPr>
          <w:rFonts w:cs="Times New Roman"/>
          <w:sz w:val="22"/>
          <w:szCs w:val="22"/>
          <w:lang w:val="lt-LT" w:eastAsia="en-US"/>
        </w:rPr>
        <w:t>Jaunesniems kaip 18 metų vaikams ir paaugliams šio vaisto vartoti negalima. Vaistas nėra</w:t>
      </w:r>
      <w:r>
        <w:rPr>
          <w:rFonts w:cs="Times New Roman"/>
          <w:sz w:val="22"/>
          <w:szCs w:val="22"/>
          <w:lang w:val="lt-LT" w:eastAsia="en-US"/>
        </w:rPr>
        <w:t xml:space="preserve"> </w:t>
      </w:r>
      <w:r w:rsidRPr="00D32C74">
        <w:rPr>
          <w:rFonts w:cs="Times New Roman"/>
          <w:sz w:val="22"/>
          <w:szCs w:val="22"/>
          <w:lang w:val="lt-LT" w:eastAsia="en-US"/>
        </w:rPr>
        <w:t>veiksmingas gydant vaikus ir paauglius nuo 10 iki 17 metų. Ar šis vaistas yra saugus ir veiksmingas</w:t>
      </w:r>
      <w:r>
        <w:rPr>
          <w:rFonts w:cs="Times New Roman"/>
          <w:sz w:val="22"/>
          <w:szCs w:val="22"/>
          <w:lang w:val="lt-LT" w:eastAsia="en-US"/>
        </w:rPr>
        <w:t xml:space="preserve"> </w:t>
      </w:r>
      <w:r w:rsidRPr="00D32C74">
        <w:rPr>
          <w:rFonts w:cs="Times New Roman"/>
          <w:sz w:val="22"/>
          <w:szCs w:val="22"/>
          <w:lang w:val="lt-LT" w:eastAsia="en-US"/>
        </w:rPr>
        <w:t>jaunesniems kaip 10 metų vaikams, nėra žinoma.</w:t>
      </w:r>
    </w:p>
    <w:p w14:paraId="5F840718" w14:textId="77777777" w:rsidR="00112208" w:rsidRPr="00C249C9" w:rsidRDefault="00112208" w:rsidP="00112208">
      <w:pPr>
        <w:keepNext/>
        <w:numPr>
          <w:ilvl w:val="12"/>
          <w:numId w:val="0"/>
        </w:numPr>
        <w:ind w:right="-2"/>
        <w:rPr>
          <w:rFonts w:eastAsia="Times New Roman" w:cs="Times New Roman"/>
          <w:b/>
          <w:sz w:val="22"/>
          <w:szCs w:val="22"/>
          <w:lang w:val="lt-LT" w:eastAsia="lt-LT" w:bidi="lt-LT"/>
        </w:rPr>
      </w:pPr>
    </w:p>
    <w:p w14:paraId="67110247" w14:textId="77777777" w:rsidR="00112208" w:rsidRPr="00C249C9" w:rsidRDefault="00112208" w:rsidP="00112208">
      <w:pPr>
        <w:keepNext/>
        <w:numPr>
          <w:ilvl w:val="12"/>
          <w:numId w:val="0"/>
        </w:numPr>
        <w:ind w:right="-2"/>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 xml:space="preserve">Kiti vaistai ir </w:t>
      </w:r>
      <w:r w:rsidRPr="00CC53DE">
        <w:rPr>
          <w:rFonts w:eastAsia="Times New Roman" w:cs="Times New Roman"/>
          <w:b/>
          <w:sz w:val="22"/>
          <w:szCs w:val="22"/>
          <w:lang w:val="lt-LT" w:eastAsia="lt-LT" w:bidi="lt-LT"/>
        </w:rPr>
        <w:t>JIMANDIN</w:t>
      </w:r>
    </w:p>
    <w:p w14:paraId="1291407A" w14:textId="77777777" w:rsidR="00112208" w:rsidRDefault="00112208" w:rsidP="00112208">
      <w:pPr>
        <w:numPr>
          <w:ilvl w:val="12"/>
          <w:numId w:val="0"/>
        </w:numPr>
        <w:ind w:right="-2"/>
        <w:rPr>
          <w:rFonts w:eastAsia="Times New Roman" w:cs="Times New Roman"/>
          <w:sz w:val="22"/>
          <w:szCs w:val="22"/>
          <w:lang w:val="lt-LT" w:eastAsia="lt-LT" w:bidi="lt-LT"/>
        </w:rPr>
      </w:pPr>
      <w:r w:rsidRPr="00C249C9">
        <w:rPr>
          <w:rFonts w:eastAsia="Times New Roman" w:cs="Times New Roman"/>
          <w:sz w:val="22"/>
          <w:szCs w:val="22"/>
          <w:lang w:val="lt-LT" w:eastAsia="lt-LT" w:bidi="lt-LT"/>
        </w:rPr>
        <w:t>Jeigu vartojate ar neseniai vartojote kitų vaistų arba dėl to nesate tikri, apie tai pasakykite gydytojui arba vaistininkui.</w:t>
      </w:r>
    </w:p>
    <w:p w14:paraId="69634443"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Ypač pasakykite gydytojui, jei vartojate digoksiną (vaistą, vartojamą nereguliariai širdies veiklai ar kitoms širdies problemoms gydyti). Jei vartojate JIMANDIN, gali reikėti tikrinti digoksino kiekį kraujyje.</w:t>
      </w:r>
    </w:p>
    <w:p w14:paraId="203EA42B"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1E2CD9B1"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Nėštumas</w:t>
      </w:r>
      <w:r>
        <w:rPr>
          <w:rFonts w:eastAsia="Times New Roman" w:cs="Times New Roman"/>
          <w:b/>
          <w:noProof/>
          <w:sz w:val="22"/>
          <w:szCs w:val="22"/>
          <w:lang w:val="lt-LT" w:eastAsia="lt-LT" w:bidi="lt-LT"/>
        </w:rPr>
        <w:t>,</w:t>
      </w:r>
      <w:r w:rsidRPr="00C249C9">
        <w:rPr>
          <w:rFonts w:eastAsia="Times New Roman" w:cs="Times New Roman"/>
          <w:b/>
          <w:noProof/>
          <w:sz w:val="22"/>
          <w:szCs w:val="22"/>
          <w:lang w:val="lt-LT" w:eastAsia="lt-LT" w:bidi="lt-LT"/>
        </w:rPr>
        <w:t xml:space="preserve"> žindymo laikotarpis</w:t>
      </w:r>
      <w:r>
        <w:rPr>
          <w:rFonts w:eastAsia="Times New Roman" w:cs="Times New Roman"/>
          <w:b/>
          <w:noProof/>
          <w:sz w:val="22"/>
          <w:szCs w:val="22"/>
          <w:lang w:val="lt-LT" w:eastAsia="lt-LT" w:bidi="lt-LT"/>
        </w:rPr>
        <w:t xml:space="preserve"> ir vaisingumas</w:t>
      </w:r>
    </w:p>
    <w:p w14:paraId="39A82D7F" w14:textId="77777777" w:rsidR="00112208" w:rsidRPr="00C249C9" w:rsidRDefault="00112208" w:rsidP="00112208">
      <w:pPr>
        <w:numPr>
          <w:ilvl w:val="12"/>
          <w:numId w:val="0"/>
        </w:numPr>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w:t>
      </w:r>
    </w:p>
    <w:p w14:paraId="03E644F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Nėštumo metu šio vaisto vartoti negalima.</w:t>
      </w:r>
    </w:p>
    <w:p w14:paraId="33EFA94B" w14:textId="77777777" w:rsidR="00112208" w:rsidRPr="00C249C9" w:rsidRDefault="00112208" w:rsidP="00112208">
      <w:pPr>
        <w:autoSpaceDE w:val="0"/>
        <w:autoSpaceDN w:val="0"/>
        <w:adjustRightInd w:val="0"/>
        <w:rPr>
          <w:rFonts w:cs="Times New Roman"/>
          <w:sz w:val="22"/>
          <w:szCs w:val="22"/>
          <w:lang w:val="lt-LT" w:eastAsia="en-US"/>
        </w:rPr>
      </w:pPr>
    </w:p>
    <w:p w14:paraId="0C3E70A0"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sidRPr="00C249C9">
        <w:rPr>
          <w:rFonts w:cs="Times New Roman"/>
          <w:sz w:val="22"/>
          <w:szCs w:val="22"/>
          <w:lang w:val="lt-LT" w:eastAsia="en-US"/>
        </w:rPr>
        <w:t>Ar šis vaistas patenka į žindyvės pieną, nežinoma. Jei žindote kūdikį ar planuojate tai daryti, šio vaisto vartoti negalite.</w:t>
      </w:r>
    </w:p>
    <w:p w14:paraId="52735D73"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p>
    <w:p w14:paraId="2ED4EEE1" w14:textId="77777777" w:rsidR="00112208" w:rsidRPr="00C249C9" w:rsidRDefault="00112208" w:rsidP="00112208">
      <w:pPr>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Vairavimas ir mechanizmų valdymas</w:t>
      </w:r>
    </w:p>
    <w:p w14:paraId="39DCE902"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Šis vaistas gebėjimo vairuoti ir valdyti mechanizmus neveikia arba veikia nereikšmingai. Tačiau gauta pranešimų apie galvos svaig</w:t>
      </w:r>
      <w:r>
        <w:rPr>
          <w:rFonts w:cs="Times New Roman"/>
          <w:sz w:val="22"/>
          <w:szCs w:val="22"/>
          <w:lang w:val="lt-LT" w:eastAsia="en-US"/>
        </w:rPr>
        <w:t>ulį</w:t>
      </w:r>
      <w:r w:rsidRPr="00C249C9">
        <w:rPr>
          <w:rFonts w:cs="Times New Roman"/>
          <w:sz w:val="22"/>
          <w:szCs w:val="22"/>
          <w:lang w:val="lt-LT" w:eastAsia="en-US"/>
        </w:rPr>
        <w:t xml:space="preserve"> ir mieguistumą, kurie gali paveikti Jūsų gebėjimą vairuoti ar valdyti mechanizmus.</w:t>
      </w:r>
    </w:p>
    <w:p w14:paraId="6AE3BF33"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sidRPr="00C249C9">
        <w:rPr>
          <w:rFonts w:cs="Times New Roman"/>
          <w:sz w:val="22"/>
          <w:szCs w:val="22"/>
          <w:lang w:val="lt-LT" w:eastAsia="en-US"/>
        </w:rPr>
        <w:t>Šį vaistą vartojant kartu su vaistais, vadinamais sulfonilurėjos dariniais, arba su insulinu gali pasireikšti hipoglikemija, kuri gali pakenkti gebėjimui vairuoti, valdyti mechanizmus arba dirbti nesant saugios atramos kojoms.</w:t>
      </w:r>
    </w:p>
    <w:p w14:paraId="3E2B00B0"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12C62ED7"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57FFABD8"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Kaip vartoti </w:t>
      </w:r>
      <w:r w:rsidRPr="00CC53DE">
        <w:rPr>
          <w:rFonts w:eastAsia="Times New Roman" w:cs="Times New Roman"/>
          <w:b/>
          <w:sz w:val="22"/>
          <w:szCs w:val="22"/>
          <w:lang w:val="lt-LT" w:eastAsia="lt-LT" w:bidi="lt-LT"/>
        </w:rPr>
        <w:t>JIMANDIN</w:t>
      </w:r>
    </w:p>
    <w:p w14:paraId="06707116" w14:textId="77777777" w:rsidR="00112208" w:rsidRPr="00C249C9" w:rsidRDefault="00112208" w:rsidP="00112208">
      <w:pPr>
        <w:keepNext/>
        <w:numPr>
          <w:ilvl w:val="12"/>
          <w:numId w:val="0"/>
        </w:numPr>
        <w:ind w:right="-2"/>
        <w:rPr>
          <w:rFonts w:eastAsia="Times New Roman" w:cs="Times New Roman"/>
          <w:noProof/>
          <w:sz w:val="22"/>
          <w:szCs w:val="22"/>
          <w:lang w:val="lt-LT" w:eastAsia="lt-LT" w:bidi="lt-LT"/>
        </w:rPr>
      </w:pPr>
    </w:p>
    <w:p w14:paraId="22AF16E3"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Visada vartokite šį vaistą tiksliai kaip nurodė gydytojas. Jeigu abejojate, kreipkitės į gydytoją arba vaistininką.</w:t>
      </w:r>
    </w:p>
    <w:p w14:paraId="320DB74A"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533D6DE5"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Rekomenduojama dozė yra:</w:t>
      </w:r>
    </w:p>
    <w:p w14:paraId="76ADC620"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viena 100 mg plėvele dengta tabletė</w:t>
      </w:r>
    </w:p>
    <w:p w14:paraId="0396B4F6"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t>vieną kartą per parą</w:t>
      </w:r>
    </w:p>
    <w:p w14:paraId="47A8F43E" w14:textId="77777777" w:rsidR="00112208" w:rsidRPr="00C249C9" w:rsidRDefault="00112208" w:rsidP="00112208">
      <w:pPr>
        <w:pStyle w:val="BT-EMEASMCA"/>
        <w:ind w:left="567" w:hanging="567"/>
        <w:rPr>
          <w:rFonts w:cs="Times New Roman"/>
          <w:sz w:val="22"/>
          <w:szCs w:val="22"/>
          <w:lang w:val="lt-LT" w:eastAsia="en-US"/>
        </w:rPr>
      </w:pPr>
      <w:r w:rsidRPr="00C249C9">
        <w:rPr>
          <w:rFonts w:cs="Times New Roman"/>
          <w:sz w:val="22"/>
          <w:szCs w:val="22"/>
          <w:lang w:val="lt-LT" w:eastAsia="en-US"/>
        </w:rPr>
        <w:lastRenderedPageBreak/>
        <w:t>vartoti per burną.</w:t>
      </w:r>
    </w:p>
    <w:p w14:paraId="37AED52D" w14:textId="77777777" w:rsidR="00112208" w:rsidRPr="00C249C9" w:rsidRDefault="00112208" w:rsidP="00112208">
      <w:pPr>
        <w:pStyle w:val="BT-EMEASMCA"/>
        <w:numPr>
          <w:ilvl w:val="0"/>
          <w:numId w:val="0"/>
        </w:numPr>
        <w:rPr>
          <w:rFonts w:cs="Times New Roman"/>
          <w:sz w:val="22"/>
          <w:szCs w:val="22"/>
          <w:lang w:val="lt-LT" w:eastAsia="en-US"/>
        </w:rPr>
      </w:pPr>
    </w:p>
    <w:p w14:paraId="4934F358" w14:textId="77777777" w:rsidR="00112208" w:rsidRPr="00C249C9" w:rsidRDefault="00112208" w:rsidP="00112208">
      <w:pPr>
        <w:pStyle w:val="BT-EMEASMCA"/>
        <w:numPr>
          <w:ilvl w:val="0"/>
          <w:numId w:val="0"/>
        </w:numPr>
        <w:rPr>
          <w:rFonts w:eastAsia="Times New Roman" w:cs="Times New Roman"/>
          <w:noProof/>
          <w:sz w:val="22"/>
          <w:szCs w:val="22"/>
          <w:lang w:val="lt-LT" w:eastAsia="lt-LT" w:bidi="lt-LT"/>
        </w:rPr>
      </w:pPr>
      <w:r w:rsidRPr="00C249C9">
        <w:rPr>
          <w:rFonts w:cs="Times New Roman"/>
          <w:sz w:val="22"/>
          <w:szCs w:val="22"/>
          <w:lang w:val="lt-LT" w:eastAsia="en-US"/>
        </w:rPr>
        <w:t>Jeigu sergate inkstų liga, gydytojas gali Jums paskirti mažesnę dozę</w:t>
      </w:r>
      <w:r>
        <w:rPr>
          <w:rFonts w:cs="Times New Roman"/>
          <w:sz w:val="22"/>
          <w:szCs w:val="22"/>
          <w:lang w:val="lt-LT" w:eastAsia="en-US"/>
        </w:rPr>
        <w:t xml:space="preserve"> (pvz., 25 mg ar 50 mg)</w:t>
      </w:r>
      <w:r w:rsidRPr="00C249C9">
        <w:rPr>
          <w:rFonts w:cs="Times New Roman"/>
          <w:sz w:val="22"/>
          <w:szCs w:val="22"/>
          <w:lang w:val="lt-LT" w:eastAsia="en-US"/>
        </w:rPr>
        <w:t>.</w:t>
      </w:r>
    </w:p>
    <w:p w14:paraId="0F684233"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2DC06017"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Jūs galite šį vaistą vartoti nepriklausomai nuo valgymo ir gėrimo.</w:t>
      </w:r>
    </w:p>
    <w:p w14:paraId="483329B9" w14:textId="77777777" w:rsidR="00112208" w:rsidRPr="00C249C9" w:rsidRDefault="00112208" w:rsidP="00112208">
      <w:pPr>
        <w:autoSpaceDE w:val="0"/>
        <w:autoSpaceDN w:val="0"/>
        <w:adjustRightInd w:val="0"/>
        <w:rPr>
          <w:rFonts w:cs="Times New Roman"/>
          <w:sz w:val="22"/>
          <w:szCs w:val="22"/>
          <w:lang w:val="lt-LT" w:eastAsia="en-US"/>
        </w:rPr>
      </w:pPr>
    </w:p>
    <w:p w14:paraId="6DD4701A"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Jūsų gydytojas Jums gali paskirti šį vaistą vartoti vieną arba kartu su kitais cukraus kiekį kraujyje mažinančiais vaistais.</w:t>
      </w:r>
    </w:p>
    <w:p w14:paraId="09DD83BE" w14:textId="77777777" w:rsidR="00112208" w:rsidRPr="00C249C9" w:rsidRDefault="00112208" w:rsidP="00112208">
      <w:pPr>
        <w:autoSpaceDE w:val="0"/>
        <w:autoSpaceDN w:val="0"/>
        <w:adjustRightInd w:val="0"/>
        <w:rPr>
          <w:rFonts w:cs="Times New Roman"/>
          <w:sz w:val="22"/>
          <w:szCs w:val="22"/>
          <w:lang w:val="lt-LT" w:eastAsia="en-US"/>
        </w:rPr>
      </w:pPr>
    </w:p>
    <w:p w14:paraId="1213D1E3" w14:textId="77777777" w:rsidR="00112208" w:rsidRPr="00C249C9" w:rsidRDefault="00112208" w:rsidP="00112208">
      <w:pPr>
        <w:autoSpaceDE w:val="0"/>
        <w:autoSpaceDN w:val="0"/>
        <w:adjustRightInd w:val="0"/>
        <w:rPr>
          <w:rFonts w:eastAsia="Times New Roman" w:cs="Times New Roman"/>
          <w:sz w:val="22"/>
          <w:szCs w:val="22"/>
          <w:lang w:val="lt-LT" w:eastAsia="lt-LT" w:bidi="lt-LT"/>
        </w:rPr>
      </w:pPr>
      <w:r w:rsidRPr="00C249C9">
        <w:rPr>
          <w:rFonts w:cs="Times New Roman"/>
          <w:sz w:val="22"/>
          <w:szCs w:val="22"/>
          <w:lang w:val="lt-LT" w:eastAsia="en-US"/>
        </w:rPr>
        <w:t xml:space="preserve">Tinkama mityba ir fiziniai pratimai gali padėti Jūsų organizmui geriau panaudoti kraujyje esantį cukrų. Vartojant </w:t>
      </w: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labai svarbu ir toliau maitintis ir sportuoti, kaip rekomendavo Jūsų gydytojas.</w:t>
      </w:r>
    </w:p>
    <w:p w14:paraId="1D67BE58"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2FFDF762" w14:textId="514A597A" w:rsidR="00112208" w:rsidRPr="00C249C9" w:rsidRDefault="00112208" w:rsidP="00112208">
      <w:pPr>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 xml:space="preserve">Ką daryti pavartojus per didelę </w:t>
      </w: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noProof/>
          <w:sz w:val="22"/>
          <w:szCs w:val="22"/>
          <w:lang w:val="lt-LT" w:eastAsia="lt-LT" w:bidi="lt-LT"/>
        </w:rPr>
        <w:t>dozę</w:t>
      </w:r>
    </w:p>
    <w:p w14:paraId="3D083408" w14:textId="77777777" w:rsidR="00112208" w:rsidRPr="00C249C9" w:rsidRDefault="00112208" w:rsidP="00112208">
      <w:pPr>
        <w:numPr>
          <w:ilvl w:val="12"/>
          <w:numId w:val="0"/>
        </w:numPr>
        <w:ind w:right="-2"/>
        <w:outlineLvl w:val="0"/>
        <w:rPr>
          <w:rFonts w:eastAsia="Times New Roman" w:cs="Times New Roman"/>
          <w:i/>
          <w:noProof/>
          <w:sz w:val="22"/>
          <w:szCs w:val="22"/>
          <w:lang w:val="lt-LT" w:eastAsia="lt-LT" w:bidi="lt-LT"/>
        </w:rPr>
      </w:pPr>
      <w:r w:rsidRPr="00C249C9">
        <w:rPr>
          <w:rFonts w:cs="Times New Roman"/>
          <w:sz w:val="22"/>
          <w:szCs w:val="22"/>
          <w:lang w:val="lt-LT" w:eastAsia="en-US"/>
        </w:rPr>
        <w:t>Jei išgėrėte didesnę šio vaisto dozę, nei gydytojo skirta, nedelsdami susisiekite su savo gydytoju.</w:t>
      </w:r>
    </w:p>
    <w:p w14:paraId="7EC0F10B"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p>
    <w:p w14:paraId="4AEC208A" w14:textId="77777777" w:rsidR="00112208" w:rsidRPr="00C249C9" w:rsidRDefault="00112208" w:rsidP="00112208">
      <w:pPr>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 xml:space="preserve">Pamiršus pavartoti </w:t>
      </w:r>
      <w:r w:rsidRPr="00CC53DE">
        <w:rPr>
          <w:rFonts w:eastAsia="Times New Roman" w:cs="Times New Roman"/>
          <w:b/>
          <w:sz w:val="22"/>
          <w:szCs w:val="22"/>
          <w:lang w:val="lt-LT" w:eastAsia="lt-LT" w:bidi="lt-LT"/>
        </w:rPr>
        <w:t>JIMANDIN</w:t>
      </w:r>
    </w:p>
    <w:p w14:paraId="5FA93D8D" w14:textId="77777777" w:rsidR="00112208" w:rsidRPr="00C249C9" w:rsidRDefault="00112208" w:rsidP="00112208">
      <w:pPr>
        <w:autoSpaceDE w:val="0"/>
        <w:autoSpaceDN w:val="0"/>
        <w:adjustRightInd w:val="0"/>
        <w:rPr>
          <w:rFonts w:eastAsia="Times New Roman" w:cs="Times New Roman"/>
          <w:noProof/>
          <w:sz w:val="22"/>
          <w:szCs w:val="22"/>
          <w:lang w:val="lt-LT" w:eastAsia="lt-LT" w:bidi="lt-LT"/>
        </w:rPr>
      </w:pPr>
      <w:r w:rsidRPr="00C249C9">
        <w:rPr>
          <w:rFonts w:cs="Times New Roman"/>
          <w:sz w:val="22"/>
          <w:szCs w:val="22"/>
          <w:lang w:val="lt-LT" w:eastAsia="en-US"/>
        </w:rPr>
        <w:t>Jei pamiršote išgerti vaisto dozę, išgerkite ją tuoj pat, kai tik prisiminsite. Jei neprisiminėte iki kol bus atėjęs kitos dozės vartojimo laikas, pamirštąją dozę praleiskite ir kitas dozes gerkite įprastu metu. .</w:t>
      </w:r>
      <w:r>
        <w:rPr>
          <w:rFonts w:cs="Times New Roman"/>
          <w:sz w:val="22"/>
          <w:szCs w:val="22"/>
          <w:lang w:val="lt-LT" w:eastAsia="en-US"/>
        </w:rPr>
        <w:t>Negalima vartoti dvigubos dozės norint kompensuoti praleistą dozę.</w:t>
      </w:r>
    </w:p>
    <w:p w14:paraId="7AAB27E1"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p>
    <w:p w14:paraId="1325E4E4" w14:textId="77777777" w:rsidR="00112208" w:rsidRPr="00C249C9" w:rsidRDefault="00112208" w:rsidP="00112208">
      <w:pPr>
        <w:numPr>
          <w:ilvl w:val="12"/>
          <w:numId w:val="0"/>
        </w:numPr>
        <w:ind w:right="-2"/>
        <w:outlineLvl w:val="0"/>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Nustojus vartoti </w:t>
      </w:r>
      <w:r w:rsidRPr="00CC53DE">
        <w:rPr>
          <w:rFonts w:eastAsia="Times New Roman" w:cs="Times New Roman"/>
          <w:b/>
          <w:sz w:val="22"/>
          <w:szCs w:val="22"/>
          <w:lang w:val="lt-LT" w:eastAsia="lt-LT" w:bidi="lt-LT"/>
        </w:rPr>
        <w:t>JIMANDIN</w:t>
      </w:r>
    </w:p>
    <w:p w14:paraId="2FCAC5F0"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Gerkite šį vaistą tiek laiko, kiek skyrė Jūsų gydytojas, nes tai padės toliau palaikyti normalų cukraus kiekį kraujyje. </w:t>
      </w:r>
      <w:r>
        <w:rPr>
          <w:rFonts w:cs="Times New Roman"/>
          <w:sz w:val="22"/>
          <w:szCs w:val="22"/>
          <w:lang w:val="lt-LT" w:eastAsia="en-US"/>
        </w:rPr>
        <w:t>Nenustokite</w:t>
      </w:r>
      <w:r w:rsidRPr="00C249C9">
        <w:rPr>
          <w:rFonts w:cs="Times New Roman"/>
          <w:sz w:val="22"/>
          <w:szCs w:val="22"/>
          <w:lang w:val="lt-LT" w:eastAsia="en-US"/>
        </w:rPr>
        <w:t xml:space="preserve"> varto</w:t>
      </w:r>
      <w:r>
        <w:rPr>
          <w:rFonts w:cs="Times New Roman"/>
          <w:sz w:val="22"/>
          <w:szCs w:val="22"/>
          <w:lang w:val="lt-LT" w:eastAsia="en-US"/>
        </w:rPr>
        <w:t>ti</w:t>
      </w:r>
      <w:r w:rsidRPr="00C249C9">
        <w:rPr>
          <w:rFonts w:cs="Times New Roman"/>
          <w:sz w:val="22"/>
          <w:szCs w:val="22"/>
          <w:lang w:val="lt-LT" w:eastAsia="en-US"/>
        </w:rPr>
        <w:t xml:space="preserve"> šio vaisto, prieš tai nepasitarę su savo gydytoju.</w:t>
      </w:r>
    </w:p>
    <w:p w14:paraId="11184A21" w14:textId="77777777" w:rsidR="00112208" w:rsidRPr="00C249C9" w:rsidRDefault="00112208" w:rsidP="00112208">
      <w:pPr>
        <w:numPr>
          <w:ilvl w:val="12"/>
          <w:numId w:val="0"/>
        </w:numPr>
        <w:ind w:right="-29"/>
        <w:rPr>
          <w:rFonts w:cs="Times New Roman"/>
          <w:sz w:val="22"/>
          <w:szCs w:val="22"/>
          <w:lang w:val="lt-LT" w:eastAsia="en-US"/>
        </w:rPr>
      </w:pPr>
    </w:p>
    <w:p w14:paraId="6BE08178" w14:textId="77777777" w:rsidR="00112208" w:rsidRPr="00C249C9" w:rsidRDefault="00112208" w:rsidP="00112208">
      <w:pPr>
        <w:numPr>
          <w:ilvl w:val="12"/>
          <w:numId w:val="0"/>
        </w:numPr>
        <w:ind w:right="-29"/>
        <w:rPr>
          <w:rFonts w:eastAsia="Times New Roman" w:cs="Times New Roman"/>
          <w:sz w:val="22"/>
          <w:szCs w:val="22"/>
          <w:lang w:val="lt-LT" w:eastAsia="lt-LT" w:bidi="lt-LT"/>
        </w:rPr>
      </w:pPr>
      <w:r w:rsidRPr="00C249C9">
        <w:rPr>
          <w:rFonts w:cs="Times New Roman"/>
          <w:sz w:val="22"/>
          <w:szCs w:val="22"/>
          <w:lang w:val="lt-LT" w:eastAsia="en-US"/>
        </w:rPr>
        <w:t>Jeigu kiltų daugiau klausimų dėl šio vaisto vartojimo, kreipkitės į gydytoją arba vaistininką.</w:t>
      </w:r>
      <w:r w:rsidRPr="00C249C9">
        <w:rPr>
          <w:rFonts w:eastAsia="Times New Roman" w:cs="Times New Roman"/>
          <w:sz w:val="22"/>
          <w:szCs w:val="22"/>
          <w:lang w:val="lt-LT" w:eastAsia="lt-LT" w:bidi="lt-LT"/>
        </w:rPr>
        <w:t xml:space="preserve"> </w:t>
      </w:r>
    </w:p>
    <w:p w14:paraId="1ED3BC40" w14:textId="77777777" w:rsidR="00112208" w:rsidRPr="00C249C9" w:rsidRDefault="00112208" w:rsidP="00112208">
      <w:pPr>
        <w:numPr>
          <w:ilvl w:val="12"/>
          <w:numId w:val="0"/>
        </w:numPr>
        <w:rPr>
          <w:rFonts w:eastAsia="Times New Roman" w:cs="Times New Roman"/>
          <w:sz w:val="22"/>
          <w:szCs w:val="22"/>
          <w:lang w:val="lt-LT" w:eastAsia="lt-LT" w:bidi="lt-LT"/>
        </w:rPr>
      </w:pPr>
    </w:p>
    <w:p w14:paraId="3BE9AD34" w14:textId="77777777" w:rsidR="00112208" w:rsidRPr="00C249C9" w:rsidRDefault="00112208" w:rsidP="00112208">
      <w:pPr>
        <w:numPr>
          <w:ilvl w:val="12"/>
          <w:numId w:val="0"/>
        </w:numPr>
        <w:rPr>
          <w:rFonts w:eastAsia="Times New Roman" w:cs="Times New Roman"/>
          <w:sz w:val="22"/>
          <w:szCs w:val="22"/>
          <w:lang w:val="lt-LT" w:eastAsia="lt-LT" w:bidi="lt-LT"/>
        </w:rPr>
      </w:pPr>
    </w:p>
    <w:p w14:paraId="0EA68873"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sz w:val="22"/>
          <w:szCs w:val="22"/>
          <w:lang w:val="lt-LT" w:eastAsia="lt-LT" w:bidi="lt-LT"/>
        </w:rPr>
      </w:pPr>
      <w:r w:rsidRPr="00C249C9">
        <w:rPr>
          <w:rFonts w:eastAsia="Times New Roman" w:cs="Times New Roman"/>
          <w:b/>
          <w:sz w:val="22"/>
          <w:szCs w:val="22"/>
          <w:lang w:val="lt-LT" w:eastAsia="lt-LT" w:bidi="lt-LT"/>
        </w:rPr>
        <w:t>Galimas šalutinis poveikis</w:t>
      </w:r>
    </w:p>
    <w:p w14:paraId="25CD4E1D" w14:textId="77777777" w:rsidR="00112208" w:rsidRPr="00C249C9" w:rsidRDefault="00112208" w:rsidP="00112208">
      <w:pPr>
        <w:keepNext/>
        <w:numPr>
          <w:ilvl w:val="12"/>
          <w:numId w:val="0"/>
        </w:numPr>
        <w:rPr>
          <w:rFonts w:eastAsia="Times New Roman" w:cs="Times New Roman"/>
          <w:sz w:val="22"/>
          <w:szCs w:val="22"/>
          <w:lang w:val="lt-LT" w:eastAsia="lt-LT" w:bidi="lt-LT"/>
        </w:rPr>
      </w:pPr>
    </w:p>
    <w:p w14:paraId="503A7A10" w14:textId="77777777" w:rsidR="00112208" w:rsidRPr="00C249C9" w:rsidRDefault="00112208" w:rsidP="00112208">
      <w:pPr>
        <w:numPr>
          <w:ilvl w:val="12"/>
          <w:numId w:val="0"/>
        </w:numPr>
        <w:ind w:right="-29"/>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Šis vaistas, kaip ir visi kiti, gali sukelti šalutinį poveikį, nors jis pasireiškia ne visiems žmonėms.</w:t>
      </w:r>
    </w:p>
    <w:p w14:paraId="6E69953F" w14:textId="77777777" w:rsidR="00112208" w:rsidRPr="00C249C9" w:rsidRDefault="00112208" w:rsidP="00112208">
      <w:pPr>
        <w:autoSpaceDE w:val="0"/>
        <w:autoSpaceDN w:val="0"/>
        <w:adjustRightInd w:val="0"/>
        <w:rPr>
          <w:rFonts w:cs="Times New Roman"/>
          <w:sz w:val="22"/>
          <w:szCs w:val="22"/>
          <w:lang w:val="lt-LT" w:eastAsia="en-US"/>
        </w:rPr>
      </w:pPr>
    </w:p>
    <w:p w14:paraId="638F7F21"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 xml:space="preserve">Pastebėję bet kurį iš žemiau išvardintų sunkių šalutinių poveikių, nustokite vartoti </w:t>
      </w: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b/>
          <w:sz w:val="22"/>
          <w:szCs w:val="22"/>
          <w:lang w:val="lt-LT" w:eastAsia="en-US"/>
        </w:rPr>
        <w:t>ir nedelsdami kreipkitės į savo gydytoją, jeigu:</w:t>
      </w:r>
    </w:p>
    <w:p w14:paraId="130D0EE6" w14:textId="77777777" w:rsidR="00112208" w:rsidRPr="00C249C9" w:rsidRDefault="00112208" w:rsidP="00112208">
      <w:pPr>
        <w:pStyle w:val="ListParagraph"/>
        <w:numPr>
          <w:ilvl w:val="0"/>
          <w:numId w:val="12"/>
        </w:numPr>
        <w:autoSpaceDE w:val="0"/>
        <w:autoSpaceDN w:val="0"/>
        <w:adjustRightInd w:val="0"/>
        <w:ind w:left="567" w:hanging="567"/>
        <w:rPr>
          <w:sz w:val="22"/>
          <w:szCs w:val="22"/>
          <w:lang w:val="lt-LT" w:eastAsia="en-US"/>
        </w:rPr>
      </w:pPr>
      <w:r w:rsidRPr="00C249C9">
        <w:rPr>
          <w:sz w:val="22"/>
          <w:szCs w:val="22"/>
          <w:lang w:val="lt-LT" w:eastAsia="en-US"/>
        </w:rPr>
        <w:t>pasireiškė stiprus nepraeinantis pilvo skausmas (skrandžio srityje), kuris gali plisti į nugarą, su pykinimu arba vėmimu arba be šių simptomų, nes tai galėtų būti kasos uždegimo (pankreatito) požymiai.</w:t>
      </w:r>
    </w:p>
    <w:p w14:paraId="77015555" w14:textId="77777777" w:rsidR="00112208" w:rsidRPr="00C249C9" w:rsidRDefault="00112208" w:rsidP="00112208">
      <w:pPr>
        <w:pStyle w:val="BT-EMEASMCA"/>
        <w:numPr>
          <w:ilvl w:val="0"/>
          <w:numId w:val="0"/>
        </w:numPr>
        <w:ind w:left="567"/>
        <w:rPr>
          <w:rFonts w:cs="Times New Roman"/>
          <w:sz w:val="22"/>
          <w:szCs w:val="22"/>
          <w:lang w:val="lt-LT" w:eastAsia="en-US"/>
        </w:rPr>
      </w:pPr>
    </w:p>
    <w:p w14:paraId="09339E89"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 xml:space="preserve">Jeigu Jums pasireiškė sunki alerginė reakcija (dažnis nežinomas), įskaitant išbėrimą, dilgėlinę, </w:t>
      </w:r>
      <w:r w:rsidRPr="00C0344A">
        <w:rPr>
          <w:rFonts w:cs="Times New Roman"/>
          <w:sz w:val="22"/>
          <w:szCs w:val="22"/>
          <w:lang w:val="lt-LT" w:eastAsia="en-US"/>
        </w:rPr>
        <w:t>pūsleles ant odos ar odos lupimąsi</w:t>
      </w:r>
      <w:r>
        <w:rPr>
          <w:rFonts w:cs="Times New Roman"/>
          <w:sz w:val="22"/>
          <w:szCs w:val="22"/>
          <w:lang w:val="lt-LT" w:eastAsia="en-US"/>
        </w:rPr>
        <w:t xml:space="preserve"> </w:t>
      </w:r>
      <w:r w:rsidRPr="00C249C9">
        <w:rPr>
          <w:rFonts w:cs="Times New Roman"/>
          <w:sz w:val="22"/>
          <w:szCs w:val="22"/>
          <w:lang w:val="lt-LT" w:eastAsia="en-US"/>
        </w:rPr>
        <w:t>bei veido, lūpų, liežuvio ir gerklės patinimą, kuris gali pasunkinti kvėpavimą arba rijimą, šio vaisto nebevartokite ir nedelsdami kreipkitės į gydytoją. Gydytojas gali Jums paskirti vaistų alerginei reakcijai gydyti ir kitų vaistų nuo cukrinio diabeto.</w:t>
      </w:r>
    </w:p>
    <w:p w14:paraId="1C559C9A" w14:textId="77777777" w:rsidR="00112208" w:rsidRPr="00C249C9" w:rsidRDefault="00112208" w:rsidP="00112208">
      <w:pPr>
        <w:autoSpaceDE w:val="0"/>
        <w:autoSpaceDN w:val="0"/>
        <w:adjustRightInd w:val="0"/>
        <w:rPr>
          <w:rFonts w:cs="Times New Roman"/>
          <w:sz w:val="22"/>
          <w:szCs w:val="22"/>
          <w:lang w:val="lt-LT" w:eastAsia="en-US"/>
        </w:rPr>
      </w:pPr>
    </w:p>
    <w:p w14:paraId="1B658794"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Šalutinis poveikis, pasireiškęs kai kuriems pacientams, kuriems gydymas metforminu buvo papildytas sitagliptinu:</w:t>
      </w:r>
    </w:p>
    <w:p w14:paraId="210F051F" w14:textId="0AFBF5E5"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mažas cukraus kiekis kraujyje, pykinimas, pilvo pūtimas, vėmimas.</w:t>
      </w:r>
    </w:p>
    <w:p w14:paraId="58442D42" w14:textId="37A9CD0D"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Nedažni šalutinio poveikio reiškiniai (gali pasireikšti rečiau kaip 1 iš 100 asmenų)</w:t>
      </w:r>
      <w:r w:rsidR="00112208" w:rsidRPr="00C249C9">
        <w:rPr>
          <w:rFonts w:cs="Times New Roman"/>
          <w:sz w:val="22"/>
          <w:szCs w:val="22"/>
          <w:lang w:val="lt-LT" w:eastAsia="en-US"/>
        </w:rPr>
        <w:t>: skrandžio skausmas, viduriavimas, vidurių užkietėjimas, mieguistumas.</w:t>
      </w:r>
    </w:p>
    <w:p w14:paraId="4A892341" w14:textId="77777777" w:rsidR="00112208" w:rsidRPr="00C249C9" w:rsidRDefault="00112208" w:rsidP="00112208">
      <w:pPr>
        <w:numPr>
          <w:ilvl w:val="12"/>
          <w:numId w:val="0"/>
        </w:numPr>
        <w:ind w:right="-29"/>
        <w:rPr>
          <w:rFonts w:cs="Times New Roman"/>
          <w:sz w:val="22"/>
          <w:szCs w:val="22"/>
          <w:lang w:val="lt-LT" w:eastAsia="en-US"/>
        </w:rPr>
      </w:pPr>
      <w:r w:rsidRPr="00C249C9">
        <w:rPr>
          <w:rFonts w:cs="Times New Roman"/>
          <w:sz w:val="22"/>
          <w:szCs w:val="22"/>
          <w:lang w:val="lt-LT" w:eastAsia="en-US"/>
        </w:rPr>
        <w:t>Kai kuriems sitagliptino ir metformino derinį pradėjusiems vartoti pacientams atsirado įvairaus pobūdžio nemalonūs pojūčiai skrandyje (sutrikimai pasitaikė dažnai).</w:t>
      </w:r>
    </w:p>
    <w:p w14:paraId="0A1A4C22" w14:textId="77777777" w:rsidR="00112208" w:rsidRPr="00C249C9" w:rsidRDefault="00112208" w:rsidP="00112208">
      <w:pPr>
        <w:autoSpaceDE w:val="0"/>
        <w:autoSpaceDN w:val="0"/>
        <w:adjustRightInd w:val="0"/>
        <w:rPr>
          <w:rFonts w:cs="Times New Roman"/>
          <w:sz w:val="22"/>
          <w:szCs w:val="22"/>
          <w:lang w:val="lt-LT" w:eastAsia="en-US"/>
        </w:rPr>
      </w:pPr>
    </w:p>
    <w:p w14:paraId="2DE76DD3"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Kai kuriems sitagliptino kartu su sulfonilurėjos dariniu ir metforminu vartojusiems pacientams pasireiškęs šalutinis poveikis:</w:t>
      </w:r>
    </w:p>
    <w:p w14:paraId="226CF758" w14:textId="59E6936A"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Labai dažni šalutinio poveikio reiškiniai (gali pasireikšti ne rečiau kaip 1 iš 10 asmenų)</w:t>
      </w:r>
      <w:r w:rsidR="00112208" w:rsidRPr="00C249C9">
        <w:rPr>
          <w:rFonts w:cs="Times New Roman"/>
          <w:sz w:val="22"/>
          <w:szCs w:val="22"/>
          <w:lang w:val="lt-LT" w:eastAsia="en-US"/>
        </w:rPr>
        <w:t>: mažas cukraus kiekis kraujyje.</w:t>
      </w:r>
    </w:p>
    <w:p w14:paraId="4959AD94" w14:textId="3647DBE7"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vidurių užkietėjimas.</w:t>
      </w:r>
    </w:p>
    <w:p w14:paraId="1064F2F7" w14:textId="77777777" w:rsidR="00112208" w:rsidRPr="00C249C9" w:rsidRDefault="00112208" w:rsidP="00112208">
      <w:pPr>
        <w:autoSpaceDE w:val="0"/>
        <w:autoSpaceDN w:val="0"/>
        <w:adjustRightInd w:val="0"/>
        <w:rPr>
          <w:rFonts w:cs="Times New Roman"/>
          <w:sz w:val="22"/>
          <w:szCs w:val="22"/>
          <w:lang w:val="lt-LT" w:eastAsia="en-US"/>
        </w:rPr>
      </w:pPr>
    </w:p>
    <w:p w14:paraId="0BC9AC4D"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b/>
          <w:sz w:val="22"/>
          <w:szCs w:val="22"/>
          <w:lang w:val="lt-LT" w:eastAsia="en-US"/>
        </w:rPr>
        <w:lastRenderedPageBreak/>
        <w:t>Kai kuriems sitagliptino kartu su pioglitazonu vartojusiems pacientams pasireiškęs šalutinis poveikis:</w:t>
      </w:r>
      <w:r w:rsidRPr="00C249C9">
        <w:rPr>
          <w:rFonts w:cs="Times New Roman"/>
          <w:sz w:val="22"/>
          <w:szCs w:val="22"/>
          <w:lang w:val="lt-LT" w:eastAsia="en-US"/>
        </w:rPr>
        <w:t xml:space="preserve"> </w:t>
      </w:r>
    </w:p>
    <w:p w14:paraId="52E3ACC9" w14:textId="13CDB8F3" w:rsidR="00112208" w:rsidRPr="00C249C9" w:rsidRDefault="00783EEB" w:rsidP="00112208">
      <w:pPr>
        <w:autoSpaceDE w:val="0"/>
        <w:autoSpaceDN w:val="0"/>
        <w:adjustRightInd w:val="0"/>
        <w:rPr>
          <w:rFonts w:eastAsia="Times New Roman" w:cs="Times New Roman"/>
          <w:b/>
          <w:noProof/>
          <w:sz w:val="22"/>
          <w:szCs w:val="22"/>
          <w:lang w:val="lt-LT" w:eastAsia="lt-LT" w:bidi="lt-LT"/>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vidurių pūtimas, rankų arba pėdų patinimas.</w:t>
      </w:r>
    </w:p>
    <w:p w14:paraId="0368784F" w14:textId="77777777" w:rsidR="00112208" w:rsidRDefault="00112208" w:rsidP="00112208">
      <w:pPr>
        <w:autoSpaceDE w:val="0"/>
        <w:autoSpaceDN w:val="0"/>
        <w:adjustRightInd w:val="0"/>
        <w:rPr>
          <w:rFonts w:cs="Times New Roman"/>
          <w:b/>
          <w:sz w:val="22"/>
          <w:szCs w:val="22"/>
          <w:lang w:val="lt-LT" w:eastAsia="en-US"/>
        </w:rPr>
      </w:pPr>
    </w:p>
    <w:p w14:paraId="59DC27A5"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b/>
          <w:sz w:val="22"/>
          <w:szCs w:val="22"/>
          <w:lang w:val="lt-LT" w:eastAsia="en-US"/>
        </w:rPr>
        <w:t>Kai kuriems sitagliptino kartu su pioglitazonu ir metforminu vartojusiems pacientams pasireiškęs šalutinis poveikis</w:t>
      </w:r>
    </w:p>
    <w:p w14:paraId="6DE9C094" w14:textId="7CEEB04C"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rankų arba kojų patinimas.</w:t>
      </w:r>
    </w:p>
    <w:p w14:paraId="3B8DCD3A" w14:textId="77777777" w:rsidR="00112208" w:rsidRPr="00C249C9" w:rsidRDefault="00112208" w:rsidP="00112208">
      <w:pPr>
        <w:autoSpaceDE w:val="0"/>
        <w:autoSpaceDN w:val="0"/>
        <w:adjustRightInd w:val="0"/>
        <w:rPr>
          <w:rFonts w:cs="Times New Roman"/>
          <w:sz w:val="22"/>
          <w:szCs w:val="22"/>
          <w:highlight w:val="yellow"/>
          <w:lang w:val="lt-LT" w:eastAsia="en-US"/>
        </w:rPr>
      </w:pPr>
    </w:p>
    <w:p w14:paraId="4A06ED6E"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Kai kuriems sitagliptino kartu su insulinu (kartu su metforminu arba be jo) vartojusiems pacientams pasireiškęs šalutinis poveikis:</w:t>
      </w:r>
    </w:p>
    <w:p w14:paraId="06CF7A1E" w14:textId="30D2E728"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 gripas.</w:t>
      </w:r>
    </w:p>
    <w:p w14:paraId="608C8C9D" w14:textId="1D79C3F7"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Nedažni šalutinio poveikio reiškiniai (gali pasireikšti rečiau kaip 1 iš 100 asmenų)</w:t>
      </w:r>
      <w:r w:rsidR="00112208" w:rsidRPr="00C249C9">
        <w:rPr>
          <w:rFonts w:cs="Times New Roman"/>
          <w:sz w:val="22"/>
          <w:szCs w:val="22"/>
          <w:lang w:val="lt-LT" w:eastAsia="en-US"/>
        </w:rPr>
        <w:t>: burnos džiūvimas.</w:t>
      </w:r>
    </w:p>
    <w:p w14:paraId="0AFB5A53" w14:textId="77777777" w:rsidR="00112208" w:rsidRPr="00C249C9" w:rsidRDefault="00112208" w:rsidP="00112208">
      <w:pPr>
        <w:autoSpaceDE w:val="0"/>
        <w:autoSpaceDN w:val="0"/>
        <w:adjustRightInd w:val="0"/>
        <w:rPr>
          <w:rFonts w:cs="Times New Roman"/>
          <w:sz w:val="22"/>
          <w:szCs w:val="22"/>
          <w:lang w:val="lt-LT" w:eastAsia="en-US"/>
        </w:rPr>
      </w:pPr>
    </w:p>
    <w:p w14:paraId="67C4DC38" w14:textId="77777777" w:rsidR="00112208" w:rsidRPr="00C249C9" w:rsidRDefault="00112208" w:rsidP="00112208">
      <w:pPr>
        <w:autoSpaceDE w:val="0"/>
        <w:autoSpaceDN w:val="0"/>
        <w:adjustRightInd w:val="0"/>
        <w:rPr>
          <w:rFonts w:cs="Times New Roman"/>
          <w:b/>
          <w:sz w:val="22"/>
          <w:szCs w:val="22"/>
          <w:lang w:val="lt-LT" w:eastAsia="en-US"/>
        </w:rPr>
      </w:pPr>
      <w:r w:rsidRPr="00C249C9">
        <w:rPr>
          <w:rFonts w:cs="Times New Roman"/>
          <w:b/>
          <w:sz w:val="22"/>
          <w:szCs w:val="22"/>
          <w:lang w:val="lt-LT" w:eastAsia="en-US"/>
        </w:rPr>
        <w:t>Šalutinis poveikis, pasireiškęs kai kuriems ligoniams, klinikinių tyrimų metu arba po vaisto registracijos vartojusiems sitagliptino vieno ir (arba) kartu su kitais vaistais nuo cukrinio diabeto:</w:t>
      </w:r>
    </w:p>
    <w:p w14:paraId="064147C9" w14:textId="670FB432"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Dažni šalutinio poveikio reiškiniai (gali pasireikšti rečiau kaip 1 iš 10 asmenų</w:t>
      </w:r>
      <w:r w:rsidR="00112208" w:rsidRPr="00C249C9">
        <w:rPr>
          <w:rFonts w:cs="Times New Roman"/>
          <w:sz w:val="22"/>
          <w:szCs w:val="22"/>
          <w:lang w:val="lt-LT" w:eastAsia="en-US"/>
        </w:rPr>
        <w:t>)</w:t>
      </w:r>
      <w:r w:rsidR="00112208" w:rsidRPr="00ED5B06">
        <w:rPr>
          <w:sz w:val="22"/>
          <w:lang w:val="lt-LT"/>
        </w:rPr>
        <w:t>:</w:t>
      </w:r>
      <w:r w:rsidR="00112208" w:rsidRPr="00C249C9">
        <w:rPr>
          <w:rFonts w:cs="Times New Roman"/>
          <w:sz w:val="22"/>
          <w:szCs w:val="22"/>
          <w:lang w:val="lt-LT" w:eastAsia="en-US"/>
        </w:rPr>
        <w:t xml:space="preserve"> mažas cukraus kiekis kraujyje, galvos skausmas, viršutinių kvėpavimo takų infekcinė liga, užsikimšusi arba varvanti nosis ir kartu gerklės skausmas, osteoartritas, rankos ar kojos skausmas.</w:t>
      </w:r>
    </w:p>
    <w:p w14:paraId="116B8BAA" w14:textId="487C6439" w:rsidR="00112208"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Nedažni šalutinio poveikio reiškiniai (gali pasireikšti rečiau kaip 1 iš 100 asmenų</w:t>
      </w:r>
      <w:r w:rsidR="00112208" w:rsidRPr="00C249C9">
        <w:rPr>
          <w:rFonts w:cs="Times New Roman"/>
          <w:sz w:val="22"/>
          <w:szCs w:val="22"/>
          <w:lang w:val="lt-LT" w:eastAsia="en-US"/>
        </w:rPr>
        <w:t>)</w:t>
      </w:r>
      <w:r w:rsidR="00112208" w:rsidRPr="00ED5B06">
        <w:rPr>
          <w:sz w:val="22"/>
          <w:lang w:val="lt-LT"/>
        </w:rPr>
        <w:t>:</w:t>
      </w:r>
      <w:r w:rsidR="00112208" w:rsidRPr="00C249C9">
        <w:rPr>
          <w:rFonts w:cs="Times New Roman"/>
          <w:sz w:val="22"/>
          <w:szCs w:val="22"/>
          <w:lang w:val="lt-LT" w:eastAsia="en-US"/>
        </w:rPr>
        <w:t xml:space="preserve"> svaigulys, vidurių užkietėjimas</w:t>
      </w:r>
      <w:r w:rsidR="00112208">
        <w:rPr>
          <w:rFonts w:cs="Times New Roman"/>
          <w:sz w:val="22"/>
          <w:szCs w:val="22"/>
          <w:lang w:val="lt-LT" w:eastAsia="en-US"/>
        </w:rPr>
        <w:t>, niežulys</w:t>
      </w:r>
      <w:r w:rsidR="00112208" w:rsidRPr="00C249C9">
        <w:rPr>
          <w:rFonts w:cs="Times New Roman"/>
          <w:sz w:val="22"/>
          <w:szCs w:val="22"/>
          <w:lang w:val="lt-LT" w:eastAsia="en-US"/>
        </w:rPr>
        <w:t>.</w:t>
      </w:r>
    </w:p>
    <w:p w14:paraId="65D9C196" w14:textId="5A8D08FD" w:rsidR="00112208" w:rsidRPr="00C249C9" w:rsidRDefault="00783EEB" w:rsidP="00112208">
      <w:pPr>
        <w:autoSpaceDE w:val="0"/>
        <w:autoSpaceDN w:val="0"/>
        <w:adjustRightInd w:val="0"/>
        <w:rPr>
          <w:rFonts w:cs="Times New Roman"/>
          <w:sz w:val="22"/>
          <w:szCs w:val="22"/>
          <w:lang w:val="lt-LT" w:eastAsia="en-US"/>
        </w:rPr>
      </w:pPr>
      <w:r w:rsidRPr="00783EEB">
        <w:rPr>
          <w:rFonts w:cs="Times New Roman"/>
          <w:sz w:val="22"/>
          <w:szCs w:val="22"/>
          <w:lang w:val="lt-LT" w:eastAsia="en-US"/>
        </w:rPr>
        <w:t>Reti šalutinio poveikio reiškiniai (gali pasireikšti rečiau kaip 1 iš 1 000 asmenų</w:t>
      </w:r>
      <w:r w:rsidR="00112208" w:rsidRPr="00C249C9">
        <w:rPr>
          <w:rFonts w:cs="Times New Roman"/>
          <w:sz w:val="22"/>
          <w:szCs w:val="22"/>
          <w:lang w:val="lt-LT" w:eastAsia="en-US"/>
        </w:rPr>
        <w:t>)</w:t>
      </w:r>
      <w:r w:rsidR="00112208">
        <w:rPr>
          <w:rFonts w:cs="Times New Roman"/>
          <w:sz w:val="22"/>
          <w:szCs w:val="22"/>
          <w:lang w:val="lt-LT" w:eastAsia="en-US"/>
        </w:rPr>
        <w:t>: sumažėjęs trombocitų skaičius.</w:t>
      </w:r>
    </w:p>
    <w:p w14:paraId="6DE4869C" w14:textId="375A7D76" w:rsidR="00112208" w:rsidRPr="00C249C9" w:rsidRDefault="00783EEB" w:rsidP="00112208">
      <w:pPr>
        <w:autoSpaceDE w:val="0"/>
        <w:autoSpaceDN w:val="0"/>
        <w:adjustRightInd w:val="0"/>
        <w:rPr>
          <w:rFonts w:eastAsia="Times New Roman" w:cs="Times New Roman"/>
          <w:b/>
          <w:noProof/>
          <w:sz w:val="22"/>
          <w:szCs w:val="22"/>
          <w:lang w:val="lt-LT" w:eastAsia="lt-LT" w:bidi="lt-LT"/>
        </w:rPr>
      </w:pPr>
      <w:r w:rsidRPr="00783EEB">
        <w:rPr>
          <w:rFonts w:cs="Times New Roman"/>
          <w:sz w:val="22"/>
          <w:szCs w:val="22"/>
          <w:lang w:val="lt-LT" w:eastAsia="en-US"/>
        </w:rPr>
        <w:t>Šalutinio poveikio reiškiniai, kurių dažnis nežinomas (negali būti apskaičiuotas pagal turimus duomenis</w:t>
      </w:r>
      <w:r w:rsidR="00112208">
        <w:rPr>
          <w:rFonts w:cs="Times New Roman"/>
          <w:sz w:val="22"/>
          <w:szCs w:val="22"/>
          <w:lang w:val="lt-LT" w:eastAsia="en-US"/>
        </w:rPr>
        <w:t>)</w:t>
      </w:r>
      <w:r w:rsidR="00112208" w:rsidRPr="00ED5B06">
        <w:rPr>
          <w:sz w:val="22"/>
          <w:lang w:val="lt-LT"/>
        </w:rPr>
        <w:t>:</w:t>
      </w:r>
      <w:r w:rsidR="00112208" w:rsidRPr="00C249C9">
        <w:rPr>
          <w:rFonts w:cs="Times New Roman"/>
          <w:sz w:val="22"/>
          <w:szCs w:val="22"/>
          <w:lang w:val="lt-LT" w:eastAsia="en-US"/>
        </w:rPr>
        <w:t xml:space="preserve"> inkstų funkcijos sutrikimai (kartais prireikė dializės), vėmimas, sąnarių skausmas, raumenų skausmas, nugaros skausmas, intersticinė plaučių liga</w:t>
      </w:r>
      <w:r w:rsidR="00112208">
        <w:rPr>
          <w:rFonts w:cs="Times New Roman"/>
          <w:sz w:val="22"/>
          <w:szCs w:val="22"/>
          <w:lang w:val="lt-LT" w:eastAsia="en-US"/>
        </w:rPr>
        <w:t>, pūslinis pemfigoidas (tam tikro tipo pūslių susidarymas ant odos)</w:t>
      </w:r>
      <w:r w:rsidR="00112208" w:rsidRPr="00C249C9">
        <w:rPr>
          <w:rFonts w:cs="Times New Roman"/>
          <w:sz w:val="22"/>
          <w:szCs w:val="22"/>
          <w:lang w:val="lt-LT" w:eastAsia="en-US"/>
        </w:rPr>
        <w:t>.</w:t>
      </w:r>
    </w:p>
    <w:p w14:paraId="730CF6D2" w14:textId="77777777" w:rsidR="00112208" w:rsidRPr="00C249C9" w:rsidRDefault="00112208" w:rsidP="00112208">
      <w:pPr>
        <w:numPr>
          <w:ilvl w:val="12"/>
          <w:numId w:val="0"/>
        </w:numPr>
        <w:outlineLvl w:val="0"/>
        <w:rPr>
          <w:rFonts w:eastAsia="Times New Roman" w:cs="Times New Roman"/>
          <w:b/>
          <w:noProof/>
          <w:sz w:val="22"/>
          <w:szCs w:val="22"/>
          <w:lang w:val="lt-LT" w:eastAsia="lt-LT" w:bidi="lt-LT"/>
        </w:rPr>
      </w:pPr>
    </w:p>
    <w:p w14:paraId="5365C2B6" w14:textId="77777777" w:rsidR="00112208" w:rsidRPr="00C249C9" w:rsidRDefault="00112208" w:rsidP="00112208">
      <w:pPr>
        <w:tabs>
          <w:tab w:val="left" w:pos="567"/>
        </w:tabs>
        <w:rPr>
          <w:rFonts w:eastAsia="Times New Roman" w:cs="Times New Roman"/>
          <w:b/>
          <w:snapToGrid w:val="0"/>
          <w:sz w:val="22"/>
          <w:szCs w:val="22"/>
          <w:lang w:val="lt-LT" w:eastAsia="en-US"/>
        </w:rPr>
      </w:pPr>
      <w:r w:rsidRPr="00C249C9">
        <w:rPr>
          <w:rFonts w:eastAsia="Times New Roman" w:cs="Times New Roman"/>
          <w:b/>
          <w:noProof/>
          <w:snapToGrid w:val="0"/>
          <w:sz w:val="22"/>
          <w:szCs w:val="22"/>
          <w:lang w:val="lt-LT" w:eastAsia="en-US"/>
        </w:rPr>
        <w:t>Pranešimas apie šalutinį poveikį</w:t>
      </w:r>
    </w:p>
    <w:p w14:paraId="47A710E3" w14:textId="633CF136" w:rsidR="00783EEB" w:rsidRPr="00783EEB" w:rsidRDefault="00783EEB" w:rsidP="00ED5B06">
      <w:pPr>
        <w:tabs>
          <w:tab w:val="left" w:pos="567"/>
        </w:tabs>
        <w:spacing w:line="260" w:lineRule="exact"/>
        <w:ind w:right="-1"/>
        <w:rPr>
          <w:rFonts w:eastAsia="Times New Roman" w:cs="Times New Roman"/>
          <w:snapToGrid w:val="0"/>
          <w:sz w:val="22"/>
          <w:lang w:val="lt-LT" w:eastAsia="en-US"/>
        </w:rPr>
      </w:pPr>
      <w:r w:rsidRPr="00783EEB">
        <w:rPr>
          <w:rFonts w:eastAsia="Times New Roman" w:cs="Times New Roman"/>
          <w:snapToGrid w:val="0"/>
          <w:sz w:val="22"/>
          <w:lang w:val="lt-LT" w:eastAsia="en-US"/>
        </w:rPr>
        <w:t>Jeigu pasireiškė šalutinis poveikis, įskaitant šiame lapelyje nenurodytą, pasakykite gydytojui</w:t>
      </w:r>
      <w:r>
        <w:rPr>
          <w:rFonts w:eastAsia="Times New Roman" w:cs="Times New Roman"/>
          <w:snapToGrid w:val="0"/>
          <w:sz w:val="22"/>
          <w:lang w:val="lt-LT" w:eastAsia="en-US"/>
        </w:rPr>
        <w:t xml:space="preserve"> </w:t>
      </w:r>
      <w:r w:rsidRPr="00783EEB">
        <w:rPr>
          <w:rFonts w:eastAsia="Times New Roman" w:cs="Times New Roman"/>
          <w:snapToGrid w:val="0"/>
          <w:sz w:val="22"/>
          <w:lang w:val="lt-LT" w:eastAsia="en-US"/>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783EEB">
          <w:rPr>
            <w:rFonts w:eastAsia="Times New Roman" w:cs="Times New Roman"/>
            <w:snapToGrid w:val="0"/>
            <w:color w:val="0000FF"/>
            <w:sz w:val="22"/>
            <w:u w:val="single"/>
            <w:lang w:val="lt-LT" w:eastAsia="en-US"/>
          </w:rPr>
          <w:t>https://vapris.vvkt.lt/vvkt-web/public/nrv</w:t>
        </w:r>
      </w:hyperlink>
      <w:r w:rsidRPr="00783EEB">
        <w:rPr>
          <w:rFonts w:eastAsia="Times New Roman" w:cs="Times New Roman"/>
          <w:snapToGrid w:val="0"/>
          <w:sz w:val="22"/>
          <w:lang w:val="lt-LT" w:eastAsia="en-US"/>
        </w:rPr>
        <w:t xml:space="preserve"> arba užpildant Paciento pranešimo apie įtariamą nepageidaujamą reakciją (ĮNR) formą, kuri skelbiama </w:t>
      </w:r>
      <w:hyperlink r:id="rId14" w:history="1">
        <w:r w:rsidRPr="00783EEB">
          <w:rPr>
            <w:rFonts w:eastAsia="Times New Roman" w:cs="Times New Roman"/>
            <w:snapToGrid w:val="0"/>
            <w:color w:val="0000FF"/>
            <w:sz w:val="22"/>
            <w:u w:val="single"/>
            <w:lang w:val="lt-LT" w:eastAsia="en-US"/>
          </w:rPr>
          <w:t>https://www.vvkt.lt/index.php?4004286486</w:t>
        </w:r>
      </w:hyperlink>
      <w:r w:rsidRPr="00783EEB">
        <w:rPr>
          <w:rFonts w:eastAsia="Times New Roman" w:cs="Times New Roman"/>
          <w:snapToGrid w:val="0"/>
          <w:sz w:val="22"/>
          <w:lang w:val="lt-LT" w:eastAsia="en-US"/>
        </w:rPr>
        <w:t xml:space="preserve">, ir atsiunčiant elektroniniu paštu (adresu </w:t>
      </w:r>
      <w:hyperlink r:id="rId15" w:history="1">
        <w:r w:rsidRPr="00783EEB">
          <w:rPr>
            <w:rFonts w:eastAsia="Times New Roman" w:cs="Times New Roman"/>
            <w:snapToGrid w:val="0"/>
            <w:color w:val="0000FF"/>
            <w:sz w:val="22"/>
            <w:u w:val="single"/>
            <w:lang w:val="lt-LT" w:eastAsia="en-US"/>
          </w:rPr>
          <w:t>NepageidaujamaR@vvkt.lt</w:t>
        </w:r>
      </w:hyperlink>
      <w:r w:rsidRPr="00783EEB">
        <w:rPr>
          <w:rFonts w:eastAsia="Times New Roman" w:cs="Times New Roman"/>
          <w:snapToGrid w:val="0"/>
          <w:sz w:val="22"/>
          <w:lang w:val="lt-LT" w:eastAsia="en-US"/>
        </w:rPr>
        <w:t>) arba nemokamu telefonu 8 800 73 568. Pranešdami apie šalutinį poveikį galite mums padėti gauti daugiau informacijos apie šio vaisto saugumą.</w:t>
      </w:r>
    </w:p>
    <w:p w14:paraId="458CA88A" w14:textId="77777777" w:rsidR="00112208" w:rsidRPr="00C249C9" w:rsidRDefault="00112208" w:rsidP="00112208">
      <w:pPr>
        <w:tabs>
          <w:tab w:val="left" w:pos="567"/>
        </w:tabs>
        <w:autoSpaceDE w:val="0"/>
        <w:autoSpaceDN w:val="0"/>
        <w:adjustRightInd w:val="0"/>
        <w:rPr>
          <w:rFonts w:eastAsia="Times New Roman" w:cs="Times New Roman"/>
          <w:sz w:val="22"/>
          <w:szCs w:val="22"/>
          <w:lang w:val="lt-LT" w:eastAsia="lt-LT" w:bidi="lt-LT"/>
        </w:rPr>
      </w:pPr>
    </w:p>
    <w:p w14:paraId="402A906D" w14:textId="77777777" w:rsidR="00112208" w:rsidRPr="00C249C9" w:rsidRDefault="00112208" w:rsidP="00112208">
      <w:pPr>
        <w:tabs>
          <w:tab w:val="left" w:pos="567"/>
        </w:tabs>
        <w:autoSpaceDE w:val="0"/>
        <w:autoSpaceDN w:val="0"/>
        <w:adjustRightInd w:val="0"/>
        <w:rPr>
          <w:rFonts w:eastAsia="Times New Roman" w:cs="Times New Roman"/>
          <w:sz w:val="22"/>
          <w:szCs w:val="22"/>
          <w:lang w:val="lt-LT" w:eastAsia="lt-LT" w:bidi="lt-LT"/>
        </w:rPr>
      </w:pPr>
    </w:p>
    <w:p w14:paraId="3BF36B5B"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noProof/>
          <w:sz w:val="22"/>
          <w:szCs w:val="22"/>
          <w:lang w:val="lt-LT" w:eastAsia="lt-LT" w:bidi="lt-LT"/>
        </w:rPr>
      </w:pPr>
      <w:r w:rsidRPr="00C249C9">
        <w:rPr>
          <w:rFonts w:eastAsia="Times New Roman" w:cs="Times New Roman"/>
          <w:b/>
          <w:noProof/>
          <w:sz w:val="22"/>
          <w:szCs w:val="22"/>
          <w:lang w:val="lt-LT" w:eastAsia="lt-LT" w:bidi="lt-LT"/>
        </w:rPr>
        <w:t xml:space="preserve">Kaip laikyti </w:t>
      </w:r>
      <w:r w:rsidRPr="00CC53DE">
        <w:rPr>
          <w:rFonts w:eastAsia="Times New Roman" w:cs="Times New Roman"/>
          <w:b/>
          <w:sz w:val="22"/>
          <w:szCs w:val="22"/>
          <w:lang w:val="lt-LT" w:eastAsia="lt-LT" w:bidi="lt-LT"/>
        </w:rPr>
        <w:t>JIMANDIN</w:t>
      </w:r>
    </w:p>
    <w:p w14:paraId="046A6006" w14:textId="77777777" w:rsidR="00112208" w:rsidRPr="00C249C9" w:rsidRDefault="00112208" w:rsidP="00112208">
      <w:pPr>
        <w:keepNext/>
        <w:numPr>
          <w:ilvl w:val="12"/>
          <w:numId w:val="0"/>
        </w:numPr>
        <w:ind w:right="-2"/>
        <w:rPr>
          <w:rFonts w:eastAsia="Times New Roman" w:cs="Times New Roman"/>
          <w:noProof/>
          <w:sz w:val="22"/>
          <w:szCs w:val="22"/>
          <w:lang w:val="lt-LT" w:eastAsia="lt-LT" w:bidi="lt-LT"/>
        </w:rPr>
      </w:pPr>
    </w:p>
    <w:p w14:paraId="7FF2711C" w14:textId="77777777" w:rsidR="00112208" w:rsidRPr="00C249C9" w:rsidRDefault="00112208" w:rsidP="00112208">
      <w:pPr>
        <w:numPr>
          <w:ilvl w:val="12"/>
          <w:numId w:val="0"/>
        </w:numPr>
        <w:ind w:right="-2"/>
        <w:rPr>
          <w:rFonts w:eastAsia="Times New Roman" w:cs="Times New Roman"/>
          <w:sz w:val="22"/>
          <w:szCs w:val="22"/>
          <w:lang w:val="lt-LT" w:eastAsia="lt-LT" w:bidi="lt-LT"/>
        </w:rPr>
      </w:pPr>
      <w:r w:rsidRPr="00C249C9">
        <w:rPr>
          <w:rFonts w:eastAsia="Times New Roman" w:cs="Times New Roman"/>
          <w:sz w:val="22"/>
          <w:szCs w:val="22"/>
          <w:lang w:val="lt-LT" w:eastAsia="lt-LT" w:bidi="lt-LT"/>
        </w:rPr>
        <w:t>Šį vaistą laikykite vaikams nepastebimoje ir nepasiekiamoje vietoje.</w:t>
      </w:r>
    </w:p>
    <w:p w14:paraId="12EA4273"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Šiam vaistui specialių laikymo sąlygų nereikia.</w:t>
      </w:r>
    </w:p>
    <w:p w14:paraId="4003F23F" w14:textId="77777777" w:rsidR="00112208" w:rsidRPr="00C249C9" w:rsidRDefault="00112208" w:rsidP="00112208">
      <w:pPr>
        <w:autoSpaceDE w:val="0"/>
        <w:autoSpaceDN w:val="0"/>
        <w:adjustRightInd w:val="0"/>
        <w:rPr>
          <w:rFonts w:cs="Times New Roman"/>
          <w:sz w:val="22"/>
          <w:szCs w:val="22"/>
          <w:lang w:val="lt-LT" w:eastAsia="en-US"/>
        </w:rPr>
      </w:pPr>
      <w:r w:rsidRPr="00C249C9">
        <w:rPr>
          <w:rFonts w:cs="Times New Roman"/>
          <w:sz w:val="22"/>
          <w:szCs w:val="22"/>
          <w:lang w:val="lt-LT" w:eastAsia="en-US"/>
        </w:rPr>
        <w:t>Ant dėžutės nurodytam tinkamumo laikui pasibaigus, šio vaisto vartoti negalima. Jis taip pat nuodytas ir ant kiekvienos tablečių lizdinės plokštelės. Vaistas tinkamas vartoti iki paskutinės nurodyto mėnesio dienos.</w:t>
      </w:r>
    </w:p>
    <w:p w14:paraId="727124C3" w14:textId="77777777" w:rsidR="00112208" w:rsidRPr="00C249C9" w:rsidRDefault="00112208" w:rsidP="00112208">
      <w:pPr>
        <w:numPr>
          <w:ilvl w:val="12"/>
          <w:numId w:val="0"/>
        </w:numPr>
        <w:ind w:right="-2"/>
        <w:rPr>
          <w:rFonts w:eastAsia="Times New Roman" w:cs="Times New Roman"/>
          <w:i/>
          <w:iCs/>
          <w:noProof/>
          <w:sz w:val="22"/>
          <w:szCs w:val="22"/>
          <w:lang w:val="lt-LT" w:eastAsia="lt-LT" w:bidi="lt-LT"/>
        </w:rPr>
      </w:pPr>
      <w:r w:rsidRPr="00C249C9">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799C50C9"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7CD42A46" w14:textId="77777777" w:rsidR="00112208" w:rsidRPr="00C249C9" w:rsidRDefault="00112208" w:rsidP="00112208">
      <w:pPr>
        <w:numPr>
          <w:ilvl w:val="12"/>
          <w:numId w:val="0"/>
        </w:numPr>
        <w:ind w:right="-2"/>
        <w:rPr>
          <w:rFonts w:eastAsia="Times New Roman" w:cs="Times New Roman"/>
          <w:noProof/>
          <w:sz w:val="22"/>
          <w:szCs w:val="22"/>
          <w:lang w:val="lt-LT" w:eastAsia="lt-LT" w:bidi="lt-LT"/>
        </w:rPr>
      </w:pPr>
    </w:p>
    <w:p w14:paraId="7266B7FD" w14:textId="77777777" w:rsidR="00112208" w:rsidRPr="00C249C9" w:rsidRDefault="00112208" w:rsidP="00112208">
      <w:pPr>
        <w:keepNext/>
        <w:numPr>
          <w:ilvl w:val="0"/>
          <w:numId w:val="6"/>
        </w:numPr>
        <w:tabs>
          <w:tab w:val="left" w:pos="567"/>
        </w:tabs>
        <w:spacing w:line="260" w:lineRule="exact"/>
        <w:ind w:left="567" w:right="-2"/>
        <w:rPr>
          <w:rFonts w:eastAsia="Times New Roman" w:cs="Times New Roman"/>
          <w:b/>
          <w:sz w:val="22"/>
          <w:szCs w:val="22"/>
          <w:lang w:val="lt-LT" w:eastAsia="lt-LT" w:bidi="lt-LT"/>
        </w:rPr>
      </w:pPr>
      <w:r w:rsidRPr="00C249C9">
        <w:rPr>
          <w:rFonts w:eastAsia="Times New Roman" w:cs="Times New Roman"/>
          <w:b/>
          <w:sz w:val="22"/>
          <w:szCs w:val="22"/>
          <w:lang w:val="lt-LT" w:eastAsia="lt-LT" w:bidi="lt-LT"/>
        </w:rPr>
        <w:t>Pakuotės turinys ir kita informacija</w:t>
      </w:r>
    </w:p>
    <w:p w14:paraId="69AD48CA" w14:textId="77777777" w:rsidR="00112208" w:rsidRPr="00C249C9" w:rsidRDefault="00112208" w:rsidP="00112208">
      <w:pPr>
        <w:keepNext/>
        <w:numPr>
          <w:ilvl w:val="12"/>
          <w:numId w:val="0"/>
        </w:numPr>
        <w:rPr>
          <w:rFonts w:eastAsia="Times New Roman" w:cs="Times New Roman"/>
          <w:sz w:val="22"/>
          <w:szCs w:val="22"/>
          <w:lang w:val="lt-LT" w:eastAsia="lt-LT" w:bidi="lt-LT"/>
        </w:rPr>
      </w:pPr>
    </w:p>
    <w:p w14:paraId="37CE4C2B" w14:textId="77777777" w:rsidR="00112208" w:rsidRPr="00C249C9" w:rsidRDefault="00112208" w:rsidP="00112208">
      <w:pPr>
        <w:numPr>
          <w:ilvl w:val="12"/>
          <w:numId w:val="0"/>
        </w:numPr>
        <w:ind w:right="-2"/>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eastAsia="Times New Roman" w:cs="Times New Roman"/>
          <w:b/>
          <w:sz w:val="22"/>
          <w:szCs w:val="22"/>
          <w:lang w:val="lt-LT" w:eastAsia="lt-LT" w:bidi="lt-LT"/>
        </w:rPr>
        <w:t xml:space="preserve">sudėtis </w:t>
      </w:r>
    </w:p>
    <w:p w14:paraId="004CDED9" w14:textId="77777777" w:rsidR="00112208" w:rsidRPr="00C249C9" w:rsidRDefault="00112208" w:rsidP="00112208">
      <w:pPr>
        <w:keepNext/>
        <w:numPr>
          <w:ilvl w:val="0"/>
          <w:numId w:val="2"/>
        </w:numPr>
        <w:tabs>
          <w:tab w:val="left" w:pos="567"/>
        </w:tabs>
        <w:spacing w:line="260" w:lineRule="exact"/>
        <w:ind w:left="567" w:right="-2" w:hanging="567"/>
        <w:rPr>
          <w:rFonts w:eastAsia="Times New Roman" w:cs="Times New Roman"/>
          <w:i/>
          <w:iCs/>
          <w:noProof/>
          <w:sz w:val="22"/>
          <w:szCs w:val="22"/>
          <w:lang w:val="lt-LT" w:eastAsia="lt-LT" w:bidi="lt-LT"/>
        </w:rPr>
      </w:pPr>
      <w:r w:rsidRPr="00C249C9">
        <w:rPr>
          <w:rFonts w:eastAsia="Times New Roman" w:cs="Times New Roman"/>
          <w:sz w:val="22"/>
          <w:szCs w:val="22"/>
          <w:lang w:val="lt-LT" w:eastAsia="lt-LT" w:bidi="lt-LT"/>
        </w:rPr>
        <w:lastRenderedPageBreak/>
        <w:t>Veiklioji medžiaga yra sitagliptinas. Kiekvienoje tabletėje yra sitagliptino fosfato monohidrato, atitinkančio 25 mg, 50 mg arba 100 mg sitagliptino.</w:t>
      </w:r>
    </w:p>
    <w:p w14:paraId="200DDA6A" w14:textId="77777777" w:rsidR="00112208" w:rsidRPr="00C249C9" w:rsidRDefault="00112208" w:rsidP="00112208">
      <w:pPr>
        <w:keepNext/>
        <w:numPr>
          <w:ilvl w:val="0"/>
          <w:numId w:val="2"/>
        </w:numPr>
        <w:tabs>
          <w:tab w:val="left" w:pos="567"/>
        </w:tabs>
        <w:spacing w:line="260" w:lineRule="exact"/>
        <w:ind w:left="567" w:right="-2" w:hanging="567"/>
        <w:rPr>
          <w:rFonts w:eastAsia="Times New Roman" w:cs="Times New Roman"/>
          <w:noProof/>
          <w:sz w:val="22"/>
          <w:szCs w:val="22"/>
          <w:lang w:val="lt-LT" w:eastAsia="lt-LT" w:bidi="lt-LT"/>
        </w:rPr>
      </w:pPr>
      <w:r w:rsidRPr="00C249C9">
        <w:rPr>
          <w:rFonts w:eastAsia="Times New Roman" w:cs="Times New Roman"/>
          <w:sz w:val="22"/>
          <w:szCs w:val="22"/>
          <w:lang w:val="lt-LT" w:eastAsia="lt-LT" w:bidi="lt-LT"/>
        </w:rPr>
        <w:t xml:space="preserve">Pagalbinės medžiagos: </w:t>
      </w:r>
    </w:p>
    <w:p w14:paraId="4E80D519" w14:textId="77777777" w:rsidR="00112208" w:rsidRPr="00C249C9" w:rsidRDefault="00112208" w:rsidP="00112208">
      <w:pPr>
        <w:pStyle w:val="ListParagraph"/>
        <w:keepNext/>
        <w:numPr>
          <w:ilvl w:val="0"/>
          <w:numId w:val="13"/>
        </w:numPr>
        <w:tabs>
          <w:tab w:val="left" w:pos="567"/>
        </w:tabs>
        <w:spacing w:line="260" w:lineRule="exact"/>
        <w:ind w:right="-2"/>
        <w:rPr>
          <w:noProof/>
          <w:sz w:val="22"/>
          <w:szCs w:val="22"/>
          <w:lang w:val="lt-LT" w:eastAsia="lt-LT" w:bidi="lt-LT"/>
        </w:rPr>
      </w:pPr>
      <w:r w:rsidRPr="00C249C9">
        <w:rPr>
          <w:sz w:val="22"/>
          <w:szCs w:val="22"/>
          <w:lang w:val="lt-LT" w:eastAsia="lt-LT" w:bidi="lt-LT"/>
        </w:rPr>
        <w:t>Tabletės šerdyje yra m</w:t>
      </w:r>
      <w:r w:rsidRPr="00C249C9">
        <w:rPr>
          <w:noProof/>
          <w:sz w:val="22"/>
          <w:szCs w:val="22"/>
          <w:lang w:val="lt-LT" w:eastAsia="lt-LT" w:bidi="lt-LT"/>
        </w:rPr>
        <w:t>ikrokristalinės celiuliozės (E460), bevandenio kalcio-vandenilio fosfato, kroskarmeliozės natrio druskos, magnio stearato ir natrio stearilfumarato.</w:t>
      </w:r>
    </w:p>
    <w:p w14:paraId="3F7BF7F9" w14:textId="77777777" w:rsidR="00112208" w:rsidRPr="00C249C9" w:rsidRDefault="00112208" w:rsidP="00112208">
      <w:pPr>
        <w:pStyle w:val="ListParagraph"/>
        <w:keepNext/>
        <w:numPr>
          <w:ilvl w:val="0"/>
          <w:numId w:val="13"/>
        </w:numPr>
        <w:tabs>
          <w:tab w:val="left" w:pos="567"/>
        </w:tabs>
        <w:spacing w:line="260" w:lineRule="exact"/>
        <w:ind w:right="-2"/>
        <w:rPr>
          <w:noProof/>
          <w:sz w:val="22"/>
          <w:szCs w:val="22"/>
          <w:lang w:val="lt-LT" w:eastAsia="lt-LT" w:bidi="lt-LT"/>
        </w:rPr>
      </w:pPr>
      <w:r w:rsidRPr="00C249C9">
        <w:rPr>
          <w:noProof/>
          <w:sz w:val="22"/>
          <w:szCs w:val="22"/>
          <w:lang w:val="lt-LT" w:eastAsia="lt-LT" w:bidi="lt-LT"/>
        </w:rPr>
        <w:t>Tabletės plėvelėje yra</w:t>
      </w:r>
      <w:r w:rsidRPr="00C249C9">
        <w:rPr>
          <w:sz w:val="22"/>
          <w:szCs w:val="22"/>
          <w:lang w:val="lt-LT" w:eastAsia="en-US"/>
        </w:rPr>
        <w:t xml:space="preserve"> polivinilo alkoholio (E1203), titano dioksido (E171), makrogolio (E1521), talko (E553b), 25 mg tabletėje geltonojo geležies oksido (E172), 50 mg tabletėje raudonojo geležies oksido (E172), </w:t>
      </w:r>
      <w:r>
        <w:rPr>
          <w:sz w:val="22"/>
          <w:szCs w:val="22"/>
          <w:lang w:val="lt-LT" w:eastAsia="en-US"/>
        </w:rPr>
        <w:t>100</w:t>
      </w:r>
      <w:r w:rsidRPr="00C249C9">
        <w:rPr>
          <w:sz w:val="22"/>
          <w:szCs w:val="22"/>
          <w:lang w:val="lt-LT" w:eastAsia="en-US"/>
        </w:rPr>
        <w:t> mg tabletėje geltonojo geležies oksido (E172) ir raudonojo geležies oksido (E172).</w:t>
      </w:r>
    </w:p>
    <w:p w14:paraId="11E4E7C6" w14:textId="77777777" w:rsidR="00112208" w:rsidRPr="00C249C9" w:rsidRDefault="00112208" w:rsidP="00112208">
      <w:pPr>
        <w:keepNext/>
        <w:ind w:left="567" w:right="-2"/>
        <w:rPr>
          <w:rFonts w:cs="Times New Roman"/>
          <w:sz w:val="22"/>
          <w:szCs w:val="22"/>
          <w:lang w:val="lt-LT" w:eastAsia="en-US"/>
        </w:rPr>
      </w:pPr>
    </w:p>
    <w:p w14:paraId="159C4204" w14:textId="77777777" w:rsidR="00112208" w:rsidRPr="00C249C9" w:rsidRDefault="00112208" w:rsidP="00112208">
      <w:pPr>
        <w:keepNext/>
        <w:ind w:left="567" w:right="-2"/>
        <w:rPr>
          <w:rFonts w:eastAsia="Times New Roman" w:cs="Times New Roman"/>
          <w:noProof/>
          <w:sz w:val="22"/>
          <w:szCs w:val="22"/>
          <w:highlight w:val="yellow"/>
          <w:lang w:val="lt-LT" w:eastAsia="lt-LT" w:bidi="lt-LT"/>
        </w:rPr>
      </w:pPr>
    </w:p>
    <w:p w14:paraId="269D57F1" w14:textId="77777777" w:rsidR="00112208" w:rsidRPr="00CC53DE" w:rsidRDefault="00112208" w:rsidP="00112208">
      <w:pPr>
        <w:numPr>
          <w:ilvl w:val="12"/>
          <w:numId w:val="0"/>
        </w:numPr>
        <w:ind w:right="-2"/>
        <w:rPr>
          <w:rFonts w:eastAsia="Times New Roman" w:cs="Times New Roman"/>
          <w:b/>
          <w:sz w:val="22"/>
          <w:szCs w:val="22"/>
          <w:lang w:val="lt-LT" w:eastAsia="lt-LT" w:bidi="lt-LT"/>
        </w:rPr>
      </w:pPr>
      <w:r w:rsidRPr="00CC53DE">
        <w:rPr>
          <w:rFonts w:eastAsia="Times New Roman" w:cs="Times New Roman"/>
          <w:b/>
          <w:sz w:val="22"/>
          <w:szCs w:val="22"/>
          <w:lang w:val="lt-LT" w:eastAsia="lt-LT" w:bidi="lt-LT"/>
        </w:rPr>
        <w:t>JIMANDIN išvaizda ir kiekis pakuotėje</w:t>
      </w:r>
    </w:p>
    <w:p w14:paraId="7D436CC6" w14:textId="77777777" w:rsidR="00112208" w:rsidRPr="00C249C9" w:rsidRDefault="00112208" w:rsidP="00112208">
      <w:pPr>
        <w:tabs>
          <w:tab w:val="left" w:pos="567"/>
        </w:tabs>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25</w:t>
      </w:r>
      <w:r>
        <w:rPr>
          <w:rFonts w:cs="Times New Roman"/>
          <w:sz w:val="22"/>
          <w:szCs w:val="22"/>
          <w:lang w:val="lt-LT" w:eastAsia="en-US"/>
        </w:rPr>
        <w:t> </w:t>
      </w:r>
      <w:r w:rsidRPr="00C249C9">
        <w:rPr>
          <w:rFonts w:cs="Times New Roman"/>
          <w:sz w:val="22"/>
          <w:szCs w:val="22"/>
          <w:lang w:val="lt-LT" w:eastAsia="en-US"/>
        </w:rPr>
        <w:t>mg tabletė: geltonos spalvos, apvali, abipusiai išgaubta plėvele dengta tabletė, kurios skersmuo yra maždaug 6</w:t>
      </w:r>
      <w:r>
        <w:rPr>
          <w:rFonts w:cs="Times New Roman"/>
          <w:sz w:val="22"/>
          <w:szCs w:val="22"/>
          <w:lang w:val="lt-LT" w:eastAsia="en-US"/>
        </w:rPr>
        <w:t> </w:t>
      </w:r>
      <w:r w:rsidRPr="00C249C9">
        <w:rPr>
          <w:rFonts w:cs="Times New Roman"/>
          <w:sz w:val="22"/>
          <w:szCs w:val="22"/>
          <w:lang w:val="lt-LT" w:eastAsia="en-US"/>
        </w:rPr>
        <w:t xml:space="preserve">mm. </w:t>
      </w:r>
    </w:p>
    <w:p w14:paraId="1EB0D8ED" w14:textId="77777777" w:rsidR="00112208" w:rsidRPr="00C249C9" w:rsidRDefault="00112208" w:rsidP="00112208">
      <w:pPr>
        <w:tabs>
          <w:tab w:val="left" w:pos="567"/>
        </w:tabs>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50</w:t>
      </w:r>
      <w:r>
        <w:rPr>
          <w:rFonts w:cs="Times New Roman"/>
          <w:sz w:val="22"/>
          <w:szCs w:val="22"/>
          <w:lang w:val="lt-LT" w:eastAsia="en-US"/>
        </w:rPr>
        <w:t> </w:t>
      </w:r>
      <w:r w:rsidRPr="00C249C9">
        <w:rPr>
          <w:rFonts w:cs="Times New Roman"/>
          <w:sz w:val="22"/>
          <w:szCs w:val="22"/>
          <w:lang w:val="lt-LT" w:eastAsia="en-US"/>
        </w:rPr>
        <w:t>mg tabl</w:t>
      </w:r>
      <w:r>
        <w:rPr>
          <w:rFonts w:cs="Times New Roman"/>
          <w:sz w:val="22"/>
          <w:szCs w:val="22"/>
          <w:lang w:val="lt-LT" w:eastAsia="en-US"/>
        </w:rPr>
        <w:t>etė: šviesiai raudonos spalvos</w:t>
      </w:r>
      <w:r w:rsidRPr="00C249C9">
        <w:rPr>
          <w:rFonts w:cs="Times New Roman"/>
          <w:sz w:val="22"/>
          <w:szCs w:val="22"/>
          <w:lang w:val="lt-LT" w:eastAsia="en-US"/>
        </w:rPr>
        <w:t>, apvali, abipusiai išgaubta plėvele dengta tabletė, kurios skersmuo yra maždaug 8</w:t>
      </w:r>
      <w:r>
        <w:rPr>
          <w:rFonts w:cs="Times New Roman"/>
          <w:sz w:val="22"/>
          <w:szCs w:val="22"/>
          <w:lang w:val="lt-LT" w:eastAsia="en-US"/>
        </w:rPr>
        <w:t> </w:t>
      </w:r>
      <w:r w:rsidRPr="00C249C9">
        <w:rPr>
          <w:rFonts w:cs="Times New Roman"/>
          <w:sz w:val="22"/>
          <w:szCs w:val="22"/>
          <w:lang w:val="lt-LT" w:eastAsia="en-US"/>
        </w:rPr>
        <w:t xml:space="preserve">mm. </w:t>
      </w:r>
    </w:p>
    <w:p w14:paraId="017EAC48" w14:textId="77777777" w:rsidR="00112208" w:rsidRPr="00C249C9" w:rsidRDefault="00112208" w:rsidP="00112208">
      <w:pPr>
        <w:tabs>
          <w:tab w:val="left" w:pos="567"/>
        </w:tabs>
        <w:rPr>
          <w:rFonts w:cs="Times New Roman"/>
          <w:sz w:val="22"/>
          <w:szCs w:val="22"/>
          <w:lang w:val="lt-LT" w:eastAsia="en-US"/>
        </w:rPr>
      </w:pPr>
      <w:r>
        <w:rPr>
          <w:rFonts w:eastAsia="Times New Roman" w:cs="Times New Roman"/>
          <w:sz w:val="22"/>
          <w:szCs w:val="22"/>
          <w:lang w:val="lt-LT" w:eastAsia="lt-LT" w:bidi="lt-LT"/>
        </w:rPr>
        <w:t>JIMANDIN</w:t>
      </w:r>
      <w:r w:rsidRPr="00C249C9">
        <w:rPr>
          <w:rFonts w:eastAsia="Times New Roman" w:cs="Times New Roman"/>
          <w:sz w:val="22"/>
          <w:szCs w:val="22"/>
          <w:lang w:val="lt-LT" w:eastAsia="lt-LT" w:bidi="lt-LT"/>
        </w:rPr>
        <w:t xml:space="preserve"> </w:t>
      </w:r>
      <w:r w:rsidRPr="00C249C9">
        <w:rPr>
          <w:rFonts w:cs="Times New Roman"/>
          <w:sz w:val="22"/>
          <w:szCs w:val="22"/>
          <w:lang w:val="lt-LT" w:eastAsia="en-US"/>
        </w:rPr>
        <w:t>100</w:t>
      </w:r>
      <w:r>
        <w:rPr>
          <w:rFonts w:cs="Times New Roman"/>
          <w:sz w:val="22"/>
          <w:szCs w:val="22"/>
          <w:lang w:val="lt-LT" w:eastAsia="en-US"/>
        </w:rPr>
        <w:t> </w:t>
      </w:r>
      <w:r w:rsidRPr="00C249C9">
        <w:rPr>
          <w:rFonts w:cs="Times New Roman"/>
          <w:sz w:val="22"/>
          <w:szCs w:val="22"/>
          <w:lang w:val="lt-LT" w:eastAsia="en-US"/>
        </w:rPr>
        <w:t xml:space="preserve">mg </w:t>
      </w:r>
      <w:r>
        <w:rPr>
          <w:rFonts w:cs="Times New Roman"/>
          <w:sz w:val="22"/>
          <w:szCs w:val="22"/>
          <w:lang w:val="lt-LT" w:eastAsia="en-US"/>
        </w:rPr>
        <w:t>tabletė</w:t>
      </w:r>
      <w:r w:rsidRPr="00C249C9">
        <w:rPr>
          <w:rFonts w:cs="Times New Roman"/>
          <w:sz w:val="22"/>
          <w:szCs w:val="22"/>
          <w:lang w:val="lt-LT" w:eastAsia="en-US"/>
        </w:rPr>
        <w:t>: šviesiai rudos spalvos, apvali, abipusiai išgaubta plėvele dengta tabletė, kurios skersmuo yra maždaug 10,3</w:t>
      </w:r>
      <w:r>
        <w:rPr>
          <w:rFonts w:cs="Times New Roman"/>
          <w:sz w:val="22"/>
          <w:szCs w:val="22"/>
          <w:lang w:val="lt-LT" w:eastAsia="en-US"/>
        </w:rPr>
        <w:t> </w:t>
      </w:r>
      <w:r w:rsidRPr="00C249C9">
        <w:rPr>
          <w:rFonts w:cs="Times New Roman"/>
          <w:sz w:val="22"/>
          <w:szCs w:val="22"/>
          <w:lang w:val="lt-LT" w:eastAsia="en-US"/>
        </w:rPr>
        <w:t>mm.</w:t>
      </w:r>
    </w:p>
    <w:p w14:paraId="73A3F1C3" w14:textId="77777777" w:rsidR="00112208" w:rsidRPr="00C249C9" w:rsidRDefault="00112208" w:rsidP="00112208">
      <w:pPr>
        <w:tabs>
          <w:tab w:val="left" w:pos="567"/>
        </w:tabs>
        <w:rPr>
          <w:rFonts w:cs="Times New Roman"/>
          <w:sz w:val="22"/>
          <w:szCs w:val="22"/>
          <w:lang w:val="lt-LT" w:eastAsia="en-US"/>
        </w:rPr>
      </w:pPr>
    </w:p>
    <w:p w14:paraId="737EBB1A" w14:textId="77777777" w:rsidR="00112208" w:rsidRPr="00D276EB" w:rsidRDefault="00112208" w:rsidP="00112208">
      <w:pPr>
        <w:autoSpaceDE w:val="0"/>
        <w:autoSpaceDN w:val="0"/>
        <w:adjustRightInd w:val="0"/>
        <w:rPr>
          <w:rFonts w:cs="Times New Roman"/>
          <w:sz w:val="22"/>
          <w:szCs w:val="22"/>
          <w:lang w:val="lt-LT" w:eastAsia="en-US"/>
        </w:rPr>
      </w:pPr>
      <w:r w:rsidRPr="00D276EB">
        <w:rPr>
          <w:rFonts w:cs="Times New Roman"/>
          <w:sz w:val="22"/>
          <w:szCs w:val="22"/>
          <w:lang w:val="lt-LT" w:eastAsia="en-US"/>
        </w:rPr>
        <w:t>PA/Al</w:t>
      </w:r>
      <w:r w:rsidRPr="000B1325">
        <w:rPr>
          <w:rFonts w:cs="Times New Roman"/>
          <w:sz w:val="22"/>
          <w:szCs w:val="22"/>
          <w:lang w:val="lt-LT" w:eastAsia="en-US"/>
        </w:rPr>
        <w:t>/PVC</w:t>
      </w:r>
      <w:r w:rsidRPr="00931D36">
        <w:rPr>
          <w:rFonts w:cs="Times New Roman"/>
          <w:sz w:val="22"/>
          <w:szCs w:val="22"/>
          <w:lang w:val="lt-LT" w:eastAsia="en-US"/>
        </w:rPr>
        <w:t>/</w:t>
      </w:r>
      <w:r w:rsidRPr="008B7913">
        <w:rPr>
          <w:rFonts w:cs="Times New Roman"/>
          <w:sz w:val="22"/>
          <w:szCs w:val="22"/>
          <w:lang w:val="lt-LT" w:eastAsia="en-US"/>
        </w:rPr>
        <w:t xml:space="preserve">/Al lizdinės plokštelės po </w:t>
      </w:r>
      <w:r w:rsidRPr="004D73DC">
        <w:rPr>
          <w:sz w:val="22"/>
          <w:szCs w:val="22"/>
          <w:lang w:val="lt-LT"/>
        </w:rPr>
        <w:t>14, 28, 30, 56, 84, 90 arba 98 tabletes.</w:t>
      </w:r>
    </w:p>
    <w:p w14:paraId="5FDCC429" w14:textId="77777777" w:rsidR="00112208" w:rsidRPr="00C249C9" w:rsidRDefault="00112208" w:rsidP="00112208">
      <w:pPr>
        <w:tabs>
          <w:tab w:val="left" w:pos="567"/>
        </w:tabs>
        <w:spacing w:line="260" w:lineRule="exact"/>
        <w:rPr>
          <w:rFonts w:eastAsia="Times New Roman" w:cs="Times New Roman"/>
          <w:sz w:val="22"/>
          <w:szCs w:val="22"/>
          <w:lang w:val="lt-LT" w:eastAsia="en-US"/>
        </w:rPr>
      </w:pPr>
    </w:p>
    <w:p w14:paraId="335E5281" w14:textId="77777777" w:rsidR="00112208" w:rsidRPr="00C249C9" w:rsidRDefault="00112208" w:rsidP="00112208">
      <w:pPr>
        <w:tabs>
          <w:tab w:val="left" w:pos="567"/>
        </w:tabs>
        <w:spacing w:line="260" w:lineRule="exact"/>
        <w:rPr>
          <w:rFonts w:eastAsia="Times New Roman" w:cs="Times New Roman"/>
          <w:sz w:val="22"/>
          <w:szCs w:val="22"/>
          <w:lang w:val="lt-LT" w:eastAsia="en-US"/>
        </w:rPr>
      </w:pPr>
      <w:r w:rsidRPr="00C249C9">
        <w:rPr>
          <w:rFonts w:eastAsia="Times New Roman" w:cs="Times New Roman"/>
          <w:sz w:val="22"/>
          <w:szCs w:val="22"/>
          <w:lang w:val="lt-LT" w:eastAsia="en-US"/>
        </w:rPr>
        <w:t>Gali būti tiekiamos ne visų dydžių pakuotės.</w:t>
      </w:r>
    </w:p>
    <w:p w14:paraId="448FF122" w14:textId="77777777" w:rsidR="00112208" w:rsidRPr="00C249C9" w:rsidRDefault="00112208" w:rsidP="00112208">
      <w:pPr>
        <w:keepNext/>
        <w:numPr>
          <w:ilvl w:val="12"/>
          <w:numId w:val="0"/>
        </w:numPr>
        <w:ind w:right="-2"/>
        <w:rPr>
          <w:rFonts w:eastAsia="Times New Roman" w:cs="Times New Roman"/>
          <w:b/>
          <w:sz w:val="22"/>
          <w:szCs w:val="22"/>
          <w:lang w:val="lt-LT" w:eastAsia="lt-LT" w:bidi="lt-LT"/>
        </w:rPr>
      </w:pPr>
    </w:p>
    <w:p w14:paraId="6122901F" w14:textId="77777777" w:rsidR="00112208" w:rsidRDefault="00112208" w:rsidP="00112208">
      <w:pPr>
        <w:keepNext/>
        <w:numPr>
          <w:ilvl w:val="12"/>
          <w:numId w:val="0"/>
        </w:numPr>
        <w:ind w:right="-2"/>
        <w:rPr>
          <w:rFonts w:eastAsia="Times New Roman" w:cs="Times New Roman"/>
          <w:bCs/>
          <w:i/>
          <w:sz w:val="22"/>
          <w:szCs w:val="22"/>
          <w:lang w:val="lt-LT" w:eastAsia="en-US"/>
        </w:rPr>
      </w:pPr>
      <w:r w:rsidRPr="00C249C9">
        <w:rPr>
          <w:rFonts w:eastAsia="Times New Roman" w:cs="Times New Roman"/>
          <w:b/>
          <w:sz w:val="22"/>
          <w:szCs w:val="22"/>
          <w:lang w:val="lt-LT" w:eastAsia="lt-LT" w:bidi="lt-LT"/>
        </w:rPr>
        <w:t>Registruotojas ir gamintojas</w:t>
      </w:r>
    </w:p>
    <w:p w14:paraId="05FFEF40" w14:textId="77777777" w:rsidR="00112208" w:rsidRPr="00C249C9" w:rsidRDefault="00112208" w:rsidP="00112208">
      <w:pPr>
        <w:rPr>
          <w:rFonts w:eastAsia="Times New Roman" w:cs="Times New Roman"/>
          <w:bCs/>
          <w:i/>
          <w:sz w:val="22"/>
          <w:szCs w:val="22"/>
          <w:lang w:val="lt-LT" w:eastAsia="en-US"/>
        </w:rPr>
      </w:pPr>
      <w:r>
        <w:rPr>
          <w:rFonts w:eastAsia="Times New Roman" w:cs="Times New Roman"/>
          <w:bCs/>
          <w:i/>
          <w:sz w:val="22"/>
          <w:szCs w:val="22"/>
          <w:lang w:val="lt-LT" w:eastAsia="en-US"/>
        </w:rPr>
        <w:t>Registruotojas</w:t>
      </w:r>
    </w:p>
    <w:p w14:paraId="468A12A3"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Medochemie Ltd.</w:t>
      </w:r>
    </w:p>
    <w:p w14:paraId="39F9CD62"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1 – 10 Constantinoupoleos Street</w:t>
      </w:r>
    </w:p>
    <w:p w14:paraId="3F48FE18" w14:textId="77777777" w:rsidR="00112208" w:rsidRPr="00C249C9" w:rsidRDefault="00112208" w:rsidP="00112208">
      <w:pPr>
        <w:rPr>
          <w:rFonts w:eastAsia="SimSun" w:cs="Times New Roman"/>
          <w:sz w:val="22"/>
          <w:szCs w:val="22"/>
          <w:lang w:val="lt-LT"/>
        </w:rPr>
      </w:pPr>
      <w:r w:rsidRPr="00C249C9">
        <w:rPr>
          <w:rFonts w:eastAsia="SimSun" w:cs="Times New Roman"/>
          <w:sz w:val="22"/>
          <w:szCs w:val="22"/>
          <w:lang w:val="lt-LT"/>
        </w:rPr>
        <w:t>3011 Limassol</w:t>
      </w:r>
    </w:p>
    <w:p w14:paraId="6E48C239" w14:textId="77777777" w:rsidR="00112208" w:rsidRDefault="00112208" w:rsidP="00112208">
      <w:pPr>
        <w:rPr>
          <w:rFonts w:eastAsia="SimSun" w:cs="Times New Roman"/>
          <w:sz w:val="22"/>
          <w:szCs w:val="22"/>
          <w:lang w:val="lt-LT"/>
        </w:rPr>
      </w:pPr>
      <w:r w:rsidRPr="00C249C9">
        <w:rPr>
          <w:rFonts w:eastAsia="SimSun" w:cs="Times New Roman"/>
          <w:sz w:val="22"/>
          <w:szCs w:val="22"/>
          <w:lang w:val="lt-LT"/>
        </w:rPr>
        <w:t>Kipras</w:t>
      </w:r>
    </w:p>
    <w:p w14:paraId="784FE6EF" w14:textId="77777777" w:rsidR="00112208" w:rsidRDefault="00112208" w:rsidP="00112208">
      <w:pPr>
        <w:rPr>
          <w:rFonts w:eastAsia="SimSun" w:cs="Times New Roman"/>
          <w:sz w:val="22"/>
          <w:szCs w:val="22"/>
          <w:lang w:val="lt-LT"/>
        </w:rPr>
      </w:pPr>
    </w:p>
    <w:p w14:paraId="2C5B6420" w14:textId="77777777" w:rsidR="00112208" w:rsidRDefault="00112208" w:rsidP="00112208">
      <w:pPr>
        <w:rPr>
          <w:rFonts w:eastAsia="SimSun" w:cs="Times New Roman"/>
          <w:i/>
          <w:sz w:val="22"/>
          <w:szCs w:val="22"/>
          <w:lang w:val="lt-LT"/>
        </w:rPr>
      </w:pPr>
      <w:r w:rsidRPr="005262A5">
        <w:rPr>
          <w:rFonts w:eastAsia="SimSun" w:cs="Times New Roman"/>
          <w:i/>
          <w:sz w:val="22"/>
          <w:szCs w:val="22"/>
          <w:lang w:val="lt-LT"/>
        </w:rPr>
        <w:t>Gamintojas</w:t>
      </w:r>
    </w:p>
    <w:p w14:paraId="491CD87F" w14:textId="77777777" w:rsidR="00112208" w:rsidRPr="00AF4338" w:rsidRDefault="00112208" w:rsidP="00112208">
      <w:pPr>
        <w:rPr>
          <w:rFonts w:eastAsia="SimSun" w:cs="Times New Roman"/>
          <w:sz w:val="22"/>
          <w:szCs w:val="22"/>
          <w:lang w:val="lt-LT"/>
        </w:rPr>
      </w:pPr>
      <w:r w:rsidRPr="00AF4338">
        <w:rPr>
          <w:rFonts w:eastAsia="SimSun" w:cs="Times New Roman"/>
          <w:sz w:val="22"/>
          <w:szCs w:val="22"/>
          <w:lang w:val="lt-LT"/>
        </w:rPr>
        <w:t>Medochemie Ltd.</w:t>
      </w:r>
    </w:p>
    <w:p w14:paraId="72AA54CE" w14:textId="77777777" w:rsidR="00112208" w:rsidRPr="00AF4338" w:rsidRDefault="00112208" w:rsidP="00112208">
      <w:pPr>
        <w:rPr>
          <w:rFonts w:eastAsia="SimSun" w:cs="Times New Roman"/>
          <w:sz w:val="22"/>
          <w:szCs w:val="22"/>
          <w:lang w:val="lt-LT"/>
        </w:rPr>
      </w:pPr>
      <w:r>
        <w:rPr>
          <w:rFonts w:eastAsia="SimSun" w:cs="Times New Roman"/>
          <w:sz w:val="22"/>
          <w:szCs w:val="22"/>
          <w:lang w:val="lt-LT"/>
        </w:rPr>
        <w:t xml:space="preserve">Central Factory: </w:t>
      </w:r>
      <w:r w:rsidRPr="00AF4338">
        <w:rPr>
          <w:rFonts w:eastAsia="SimSun" w:cs="Times New Roman"/>
          <w:sz w:val="22"/>
          <w:szCs w:val="22"/>
          <w:lang w:val="lt-LT"/>
        </w:rPr>
        <w:t>1 – 10 Constantinoupoleos Street</w:t>
      </w:r>
    </w:p>
    <w:p w14:paraId="0B84466B" w14:textId="77777777" w:rsidR="00112208" w:rsidRPr="00AF4338" w:rsidRDefault="00112208" w:rsidP="00112208">
      <w:pPr>
        <w:rPr>
          <w:rFonts w:eastAsia="SimSun" w:cs="Times New Roman"/>
          <w:sz w:val="22"/>
          <w:szCs w:val="22"/>
          <w:lang w:val="lt-LT"/>
        </w:rPr>
      </w:pPr>
      <w:r w:rsidRPr="00AF4338">
        <w:rPr>
          <w:rFonts w:eastAsia="SimSun" w:cs="Times New Roman"/>
          <w:sz w:val="22"/>
          <w:szCs w:val="22"/>
          <w:lang w:val="lt-LT"/>
        </w:rPr>
        <w:t>3011 Limassol</w:t>
      </w:r>
    </w:p>
    <w:p w14:paraId="6C8E39C8" w14:textId="77777777" w:rsidR="00112208" w:rsidRDefault="00112208" w:rsidP="00112208">
      <w:pPr>
        <w:rPr>
          <w:rFonts w:eastAsia="SimSun" w:cs="Times New Roman"/>
          <w:sz w:val="22"/>
          <w:szCs w:val="22"/>
          <w:lang w:val="lt-LT"/>
        </w:rPr>
      </w:pPr>
      <w:r w:rsidRPr="00AF4338">
        <w:rPr>
          <w:rFonts w:eastAsia="SimSun" w:cs="Times New Roman"/>
          <w:sz w:val="22"/>
          <w:szCs w:val="22"/>
          <w:lang w:val="lt-LT"/>
        </w:rPr>
        <w:t>Kipras</w:t>
      </w:r>
    </w:p>
    <w:p w14:paraId="274B8F5D" w14:textId="77777777" w:rsidR="00112208" w:rsidRPr="005262A5" w:rsidRDefault="00112208" w:rsidP="00112208">
      <w:pPr>
        <w:rPr>
          <w:rFonts w:eastAsia="SimSun" w:cs="Times New Roman"/>
          <w:i/>
          <w:sz w:val="22"/>
          <w:szCs w:val="22"/>
          <w:lang w:val="lt-LT"/>
        </w:rPr>
      </w:pPr>
    </w:p>
    <w:p w14:paraId="18C7B73B" w14:textId="77777777" w:rsidR="00112208" w:rsidRPr="005525C7" w:rsidRDefault="00112208" w:rsidP="00112208">
      <w:pPr>
        <w:numPr>
          <w:ilvl w:val="12"/>
          <w:numId w:val="0"/>
        </w:numPr>
        <w:ind w:right="-2"/>
        <w:rPr>
          <w:rFonts w:eastAsia="Times New Roman" w:cs="Times New Roman"/>
          <w:noProof/>
          <w:sz w:val="22"/>
          <w:szCs w:val="22"/>
          <w:lang w:val="lt-LT" w:eastAsia="lt-LT" w:bidi="lt-LT"/>
        </w:rPr>
      </w:pPr>
      <w:r w:rsidRPr="005525C7">
        <w:rPr>
          <w:rFonts w:eastAsia="Times New Roman" w:cs="Times New Roman"/>
          <w:sz w:val="22"/>
          <w:szCs w:val="22"/>
          <w:lang w:val="lt-LT" w:eastAsia="lt-LT" w:bidi="lt-LT"/>
        </w:rPr>
        <w:t>Jeigu apie šį vaistą norite sužinoti daugiau, kreipkitės į vietinį registruotojo atstovą.</w:t>
      </w:r>
    </w:p>
    <w:p w14:paraId="40CD211C" w14:textId="77777777" w:rsidR="00112208" w:rsidRPr="00C249C9" w:rsidRDefault="00112208" w:rsidP="00112208">
      <w:pPr>
        <w:rPr>
          <w:rFonts w:eastAsia="Times New Roman" w:cs="Times New Roman"/>
          <w:sz w:val="22"/>
          <w:szCs w:val="22"/>
          <w:highlight w:val="yellow"/>
          <w:lang w:val="lt-LT" w:eastAsia="lt-LT"/>
        </w:rPr>
      </w:pPr>
    </w:p>
    <w:p w14:paraId="187BFE60" w14:textId="77777777" w:rsidR="00112208" w:rsidRPr="001351F3" w:rsidRDefault="00112208" w:rsidP="00112208">
      <w:pPr>
        <w:tabs>
          <w:tab w:val="left" w:pos="567"/>
        </w:tabs>
        <w:spacing w:line="260" w:lineRule="exact"/>
        <w:rPr>
          <w:rFonts w:eastAsia="Times New Roman" w:cs="Times New Roman"/>
          <w:sz w:val="22"/>
          <w:szCs w:val="22"/>
          <w:lang w:eastAsia="lt-LT"/>
        </w:rPr>
      </w:pPr>
      <w:r w:rsidRPr="001351F3">
        <w:rPr>
          <w:rFonts w:eastAsia="Times New Roman" w:cs="Times New Roman"/>
          <w:sz w:val="22"/>
          <w:szCs w:val="22"/>
          <w:lang w:eastAsia="lt-LT"/>
        </w:rPr>
        <w:t>UAB „Medochemie Lithuania“</w:t>
      </w:r>
    </w:p>
    <w:p w14:paraId="67DA5C20" w14:textId="77777777" w:rsidR="00112208" w:rsidRPr="001351F3" w:rsidRDefault="00112208" w:rsidP="00112208">
      <w:pPr>
        <w:tabs>
          <w:tab w:val="left" w:pos="567"/>
        </w:tabs>
        <w:spacing w:line="260" w:lineRule="exact"/>
        <w:rPr>
          <w:rFonts w:eastAsia="Times New Roman" w:cs="Times New Roman"/>
          <w:snapToGrid w:val="0"/>
          <w:sz w:val="22"/>
          <w:szCs w:val="22"/>
        </w:rPr>
      </w:pPr>
      <w:r w:rsidRPr="001351F3">
        <w:rPr>
          <w:rFonts w:eastAsia="Times New Roman" w:cs="Times New Roman"/>
          <w:snapToGrid w:val="0"/>
          <w:sz w:val="22"/>
          <w:szCs w:val="22"/>
        </w:rPr>
        <w:t>Gintaro 9-36</w:t>
      </w:r>
    </w:p>
    <w:p w14:paraId="3F0D1AC1" w14:textId="62F1A943" w:rsidR="00112208" w:rsidRPr="001351F3" w:rsidRDefault="00112208" w:rsidP="00112208">
      <w:pPr>
        <w:tabs>
          <w:tab w:val="left" w:pos="567"/>
        </w:tabs>
        <w:spacing w:line="260" w:lineRule="exact"/>
        <w:rPr>
          <w:rFonts w:eastAsia="Times New Roman" w:cs="Times New Roman"/>
          <w:snapToGrid w:val="0"/>
          <w:sz w:val="22"/>
          <w:szCs w:val="22"/>
        </w:rPr>
      </w:pPr>
      <w:r w:rsidRPr="001351F3">
        <w:rPr>
          <w:rFonts w:eastAsia="Times New Roman" w:cs="Times New Roman"/>
          <w:snapToGrid w:val="0"/>
          <w:sz w:val="22"/>
          <w:szCs w:val="22"/>
        </w:rPr>
        <w:t>LT-47198 Kaunas</w:t>
      </w:r>
    </w:p>
    <w:p w14:paraId="74C843DD" w14:textId="77777777" w:rsidR="00112208" w:rsidRPr="001351F3" w:rsidRDefault="00112208" w:rsidP="00112208">
      <w:pPr>
        <w:tabs>
          <w:tab w:val="left" w:pos="567"/>
        </w:tabs>
        <w:spacing w:line="260" w:lineRule="exact"/>
        <w:rPr>
          <w:rFonts w:eastAsia="Times New Roman" w:cs="Times New Roman"/>
          <w:snapToGrid w:val="0"/>
          <w:sz w:val="22"/>
          <w:szCs w:val="22"/>
        </w:rPr>
      </w:pPr>
      <w:r w:rsidRPr="001351F3">
        <w:rPr>
          <w:rFonts w:eastAsia="Times New Roman" w:cs="Times New Roman"/>
          <w:snapToGrid w:val="0"/>
          <w:sz w:val="22"/>
          <w:szCs w:val="22"/>
        </w:rPr>
        <w:t>Tel. +370 37 338358</w:t>
      </w:r>
    </w:p>
    <w:p w14:paraId="41E068C0" w14:textId="77777777" w:rsidR="00112208" w:rsidRPr="001351F3" w:rsidRDefault="00112208" w:rsidP="00112208">
      <w:pPr>
        <w:tabs>
          <w:tab w:val="left" w:pos="567"/>
        </w:tabs>
        <w:rPr>
          <w:rFonts w:cs="Times New Roman"/>
          <w:b/>
          <w:sz w:val="22"/>
          <w:szCs w:val="22"/>
          <w:highlight w:val="yellow"/>
          <w:lang w:val="lt-LT"/>
        </w:rPr>
      </w:pPr>
      <w:r w:rsidRPr="001351F3">
        <w:rPr>
          <w:rFonts w:eastAsia="Times New Roman" w:cs="Times New Roman"/>
          <w:snapToGrid w:val="0"/>
          <w:sz w:val="22"/>
          <w:szCs w:val="22"/>
        </w:rPr>
        <w:t xml:space="preserve">El. paštas: </w:t>
      </w:r>
      <w:hyperlink r:id="rId16" w:history="1">
        <w:r w:rsidRPr="001351F3">
          <w:rPr>
            <w:rFonts w:eastAsia="SimSun" w:cs="Times New Roman"/>
            <w:snapToGrid w:val="0"/>
            <w:color w:val="0000FF"/>
            <w:sz w:val="22"/>
            <w:szCs w:val="22"/>
            <w:u w:val="single"/>
          </w:rPr>
          <w:t>lithuania@medochemie.</w:t>
        </w:r>
      </w:hyperlink>
      <w:r w:rsidRPr="001351F3">
        <w:rPr>
          <w:rFonts w:eastAsia="SimSun" w:cs="Times New Roman"/>
          <w:snapToGrid w:val="0"/>
          <w:color w:val="0000FF"/>
          <w:sz w:val="22"/>
          <w:szCs w:val="22"/>
          <w:u w:val="single"/>
        </w:rPr>
        <w:t>com</w:t>
      </w:r>
    </w:p>
    <w:p w14:paraId="591F6424" w14:textId="77777777" w:rsidR="00112208" w:rsidRDefault="00112208" w:rsidP="00112208">
      <w:pPr>
        <w:keepNext/>
        <w:numPr>
          <w:ilvl w:val="12"/>
          <w:numId w:val="0"/>
        </w:numPr>
        <w:ind w:right="-2"/>
        <w:outlineLvl w:val="0"/>
        <w:rPr>
          <w:rFonts w:eastAsia="Times New Roman" w:cs="Times New Roman"/>
          <w:b/>
          <w:noProof/>
          <w:sz w:val="22"/>
          <w:szCs w:val="22"/>
          <w:lang w:val="lt-LT" w:eastAsia="lt-LT" w:bidi="lt-LT"/>
        </w:rPr>
      </w:pPr>
    </w:p>
    <w:p w14:paraId="2451A37A" w14:textId="6BF75564" w:rsidR="00112208" w:rsidRDefault="00112208" w:rsidP="00112208">
      <w:pPr>
        <w:keepNext/>
        <w:numPr>
          <w:ilvl w:val="12"/>
          <w:numId w:val="0"/>
        </w:numPr>
        <w:ind w:right="-2"/>
        <w:outlineLvl w:val="0"/>
        <w:rPr>
          <w:rFonts w:eastAsia="Times New Roman" w:cs="Times New Roman"/>
          <w:b/>
          <w:noProof/>
          <w:sz w:val="22"/>
          <w:szCs w:val="22"/>
          <w:lang w:val="lt-LT" w:eastAsia="lt-LT" w:bidi="lt-LT"/>
        </w:rPr>
      </w:pPr>
      <w:r w:rsidRPr="00EE20CC">
        <w:rPr>
          <w:rFonts w:eastAsia="Times New Roman" w:cs="Times New Roman"/>
          <w:b/>
          <w:noProof/>
          <w:sz w:val="22"/>
          <w:szCs w:val="22"/>
          <w:lang w:val="lt-LT" w:eastAsia="lt-LT" w:bidi="lt-LT"/>
        </w:rPr>
        <w:t xml:space="preserve">Šis vaistas </w:t>
      </w:r>
      <w:r w:rsidR="00F22E4E" w:rsidRPr="005D554B">
        <w:rPr>
          <w:b/>
          <w:snapToGrid w:val="0"/>
          <w:sz w:val="22"/>
        </w:rPr>
        <w:t>Europos ekonominės erdvės</w:t>
      </w:r>
      <w:r w:rsidR="00F22E4E" w:rsidRPr="00ED5B06">
        <w:rPr>
          <w:b/>
          <w:sz w:val="22"/>
        </w:rPr>
        <w:t xml:space="preserve"> </w:t>
      </w:r>
      <w:r w:rsidRPr="00EE20CC">
        <w:rPr>
          <w:rFonts w:eastAsia="Times New Roman" w:cs="Times New Roman"/>
          <w:b/>
          <w:noProof/>
          <w:sz w:val="22"/>
          <w:szCs w:val="22"/>
          <w:lang w:val="lt-LT" w:eastAsia="lt-LT" w:bidi="lt-LT"/>
        </w:rPr>
        <w:t>valstybėse narėse registruotas tokiais pavadinimais:</w:t>
      </w:r>
    </w:p>
    <w:p w14:paraId="6AF95676" w14:textId="77777777" w:rsidR="00112208" w:rsidRPr="00E224BF" w:rsidRDefault="00112208" w:rsidP="00112208">
      <w:pPr>
        <w:keepNext/>
        <w:numPr>
          <w:ilvl w:val="12"/>
          <w:numId w:val="0"/>
        </w:numPr>
        <w:ind w:right="-2"/>
        <w:outlineLvl w:val="0"/>
        <w:rPr>
          <w:rFonts w:eastAsia="Times New Roman" w:cs="Times New Roman"/>
          <w:noProof/>
          <w:sz w:val="22"/>
          <w:szCs w:val="22"/>
          <w:lang w:val="lt-LT" w:eastAsia="lt-LT" w:bidi="lt-LT"/>
        </w:rPr>
      </w:pPr>
    </w:p>
    <w:tbl>
      <w:tblPr>
        <w:tblStyle w:val="TableGrid"/>
        <w:tblW w:w="0" w:type="auto"/>
        <w:tblLook w:val="04A0" w:firstRow="1" w:lastRow="0" w:firstColumn="1" w:lastColumn="0" w:noHBand="0" w:noVBand="1"/>
      </w:tblPr>
      <w:tblGrid>
        <w:gridCol w:w="2972"/>
        <w:gridCol w:w="4989"/>
      </w:tblGrid>
      <w:tr w:rsidR="00112208" w:rsidRPr="00E224BF" w14:paraId="2CC979EB" w14:textId="77777777" w:rsidTr="00412D1E">
        <w:tc>
          <w:tcPr>
            <w:tcW w:w="2972" w:type="dxa"/>
          </w:tcPr>
          <w:p w14:paraId="7A76D03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Švedija</w:t>
            </w:r>
          </w:p>
        </w:tc>
        <w:tc>
          <w:tcPr>
            <w:tcW w:w="3402" w:type="dxa"/>
          </w:tcPr>
          <w:p w14:paraId="3B1EEF27" w14:textId="77777777" w:rsidR="00112208" w:rsidRPr="00E224BF" w:rsidRDefault="00112208" w:rsidP="00412D1E">
            <w:pPr>
              <w:pStyle w:val="Default"/>
              <w:rPr>
                <w:rFonts w:eastAsia="Times New Roman"/>
                <w:noProof/>
                <w:lang w:eastAsia="lt-LT" w:bidi="lt-LT"/>
              </w:rPr>
            </w:pPr>
            <w:r>
              <w:rPr>
                <w:bCs/>
              </w:rPr>
              <w:t>Jimandin 25 mg,</w:t>
            </w:r>
            <w:r w:rsidRPr="00E224BF">
              <w:rPr>
                <w:bCs/>
              </w:rPr>
              <w:t xml:space="preserve"> 50 mg </w:t>
            </w:r>
            <w:r>
              <w:rPr>
                <w:bCs/>
              </w:rPr>
              <w:t>film-coated tablets</w:t>
            </w:r>
          </w:p>
        </w:tc>
      </w:tr>
      <w:tr w:rsidR="00112208" w:rsidRPr="00E224BF" w14:paraId="768E06A0" w14:textId="77777777" w:rsidTr="00412D1E">
        <w:tc>
          <w:tcPr>
            <w:tcW w:w="2972" w:type="dxa"/>
          </w:tcPr>
          <w:p w14:paraId="4857028A"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Bulgarija</w:t>
            </w:r>
          </w:p>
        </w:tc>
        <w:tc>
          <w:tcPr>
            <w:tcW w:w="3402" w:type="dxa"/>
          </w:tcPr>
          <w:p w14:paraId="4D093DA0" w14:textId="77777777" w:rsidR="00112208" w:rsidRPr="00E224BF" w:rsidRDefault="00112208" w:rsidP="00412D1E">
            <w:pPr>
              <w:pStyle w:val="Default"/>
              <w:rPr>
                <w:rFonts w:eastAsia="Times New Roman"/>
                <w:noProof/>
                <w:lang w:eastAsia="lt-LT" w:bidi="lt-LT"/>
              </w:rPr>
            </w:pPr>
            <w:r>
              <w:rPr>
                <w:bCs/>
              </w:rPr>
              <w:t>Jimandin</w:t>
            </w:r>
            <w:r w:rsidRPr="00E224BF">
              <w:rPr>
                <w:bCs/>
              </w:rPr>
              <w:t xml:space="preserve"> </w:t>
            </w:r>
            <w:r>
              <w:rPr>
                <w:bCs/>
              </w:rPr>
              <w:t>10</w:t>
            </w:r>
            <w:r w:rsidRPr="00E224BF">
              <w:rPr>
                <w:bCs/>
              </w:rPr>
              <w:t xml:space="preserve">0 mg </w:t>
            </w:r>
            <w:r>
              <w:rPr>
                <w:bCs/>
                <w:lang w:val="ru-RU"/>
              </w:rPr>
              <w:t xml:space="preserve">филмирани </w:t>
            </w:r>
            <w:r w:rsidRPr="00E224BF">
              <w:rPr>
                <w:bCs/>
              </w:rPr>
              <w:t>таблетки</w:t>
            </w:r>
          </w:p>
        </w:tc>
      </w:tr>
      <w:tr w:rsidR="00112208" w:rsidRPr="00E224BF" w14:paraId="51A06E73" w14:textId="77777777" w:rsidTr="00412D1E">
        <w:tc>
          <w:tcPr>
            <w:tcW w:w="2972" w:type="dxa"/>
          </w:tcPr>
          <w:p w14:paraId="41A130B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Kroatija</w:t>
            </w:r>
          </w:p>
        </w:tc>
        <w:tc>
          <w:tcPr>
            <w:tcW w:w="3402" w:type="dxa"/>
          </w:tcPr>
          <w:p w14:paraId="5FD6E1C7" w14:textId="77777777" w:rsidR="00112208" w:rsidRPr="00E224BF" w:rsidRDefault="00112208" w:rsidP="00412D1E">
            <w:pPr>
              <w:pStyle w:val="Default"/>
              <w:rPr>
                <w:rFonts w:eastAsia="Times New Roman"/>
                <w:noProof/>
                <w:lang w:eastAsia="lt-LT" w:bidi="lt-LT"/>
              </w:rPr>
            </w:pPr>
            <w:r>
              <w:rPr>
                <w:bCs/>
              </w:rPr>
              <w:t>Jimandin</w:t>
            </w:r>
            <w:r w:rsidRPr="00E224BF">
              <w:rPr>
                <w:bCs/>
              </w:rPr>
              <w:t xml:space="preserve"> </w:t>
            </w:r>
            <w:r w:rsidRPr="006A276D">
              <w:rPr>
                <w:bCs/>
              </w:rPr>
              <w:t>25</w:t>
            </w:r>
            <w:r>
              <w:rPr>
                <w:bCs/>
              </w:rPr>
              <w:t xml:space="preserve"> mg, 50, 10</w:t>
            </w:r>
            <w:r w:rsidRPr="00E224BF">
              <w:rPr>
                <w:bCs/>
              </w:rPr>
              <w:t xml:space="preserve">0 mg </w:t>
            </w:r>
            <w:r>
              <w:rPr>
                <w:bCs/>
              </w:rPr>
              <w:t xml:space="preserve">filmom obložene </w:t>
            </w:r>
            <w:r w:rsidRPr="00E224BF">
              <w:rPr>
                <w:bCs/>
              </w:rPr>
              <w:t>tablete</w:t>
            </w:r>
          </w:p>
        </w:tc>
      </w:tr>
      <w:tr w:rsidR="00112208" w:rsidRPr="00E224BF" w14:paraId="678ACFD6" w14:textId="77777777" w:rsidTr="00412D1E">
        <w:tc>
          <w:tcPr>
            <w:tcW w:w="2972" w:type="dxa"/>
          </w:tcPr>
          <w:p w14:paraId="12BA25D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Kipras</w:t>
            </w:r>
          </w:p>
        </w:tc>
        <w:tc>
          <w:tcPr>
            <w:tcW w:w="3402" w:type="dxa"/>
          </w:tcPr>
          <w:tbl>
            <w:tblPr>
              <w:tblW w:w="0" w:type="auto"/>
              <w:tblBorders>
                <w:top w:val="nil"/>
                <w:left w:val="nil"/>
                <w:bottom w:val="nil"/>
                <w:right w:val="nil"/>
              </w:tblBorders>
              <w:tblLook w:val="0000" w:firstRow="0" w:lastRow="0" w:firstColumn="0" w:lastColumn="0" w:noHBand="0" w:noVBand="0"/>
            </w:tblPr>
            <w:tblGrid>
              <w:gridCol w:w="4773"/>
            </w:tblGrid>
            <w:tr w:rsidR="00112208" w:rsidRPr="00E224BF" w14:paraId="69A217A9" w14:textId="77777777" w:rsidTr="00412D1E">
              <w:trPr>
                <w:trHeight w:val="153"/>
              </w:trPr>
              <w:tc>
                <w:tcPr>
                  <w:tcW w:w="0" w:type="auto"/>
                </w:tcPr>
                <w:p w14:paraId="0A4A90CF" w14:textId="77777777" w:rsidR="00112208" w:rsidRPr="006A276D" w:rsidRDefault="00112208" w:rsidP="00412D1E">
                  <w:pPr>
                    <w:autoSpaceDE w:val="0"/>
                    <w:autoSpaceDN w:val="0"/>
                    <w:adjustRightInd w:val="0"/>
                    <w:ind w:left="-103"/>
                    <w:rPr>
                      <w:rFonts w:cs="Times New Roman"/>
                      <w:color w:val="000000"/>
                      <w:sz w:val="22"/>
                      <w:szCs w:val="22"/>
                      <w:lang w:val="lt-LT" w:eastAsia="en-US"/>
                    </w:rPr>
                  </w:pPr>
                  <w:r>
                    <w:rPr>
                      <w:rFonts w:eastAsia="Times New Roman" w:cs="Times New Roman"/>
                      <w:noProof/>
                      <w:sz w:val="22"/>
                      <w:szCs w:val="22"/>
                      <w:lang w:eastAsia="lt-LT" w:bidi="lt-LT"/>
                    </w:rPr>
                    <w:t>Jimandin</w:t>
                  </w:r>
                  <w:r w:rsidRPr="00E224BF">
                    <w:rPr>
                      <w:rFonts w:eastAsia="Times New Roman" w:cs="Times New Roman"/>
                      <w:noProof/>
                      <w:sz w:val="22"/>
                      <w:szCs w:val="22"/>
                      <w:lang w:eastAsia="lt-LT" w:bidi="lt-LT"/>
                    </w:rPr>
                    <w:t xml:space="preserve"> </w:t>
                  </w:r>
                  <w:r w:rsidRPr="006A276D">
                    <w:rPr>
                      <w:rFonts w:eastAsia="Times New Roman" w:cs="Times New Roman"/>
                      <w:noProof/>
                      <w:sz w:val="22"/>
                      <w:szCs w:val="22"/>
                      <w:lang w:val="lt-LT" w:eastAsia="lt-LT" w:bidi="lt-LT"/>
                    </w:rPr>
                    <w:t>25</w:t>
                  </w:r>
                  <w:r>
                    <w:rPr>
                      <w:rFonts w:eastAsia="Times New Roman" w:cs="Times New Roman"/>
                      <w:noProof/>
                      <w:sz w:val="22"/>
                      <w:szCs w:val="22"/>
                      <w:lang w:eastAsia="lt-LT" w:bidi="lt-LT"/>
                    </w:rPr>
                    <w:t xml:space="preserve"> mg, </w:t>
                  </w:r>
                  <w:r w:rsidRPr="00E224BF">
                    <w:rPr>
                      <w:rFonts w:eastAsia="Times New Roman" w:cs="Times New Roman"/>
                      <w:noProof/>
                      <w:sz w:val="22"/>
                      <w:szCs w:val="22"/>
                      <w:lang w:eastAsia="lt-LT" w:bidi="lt-LT"/>
                    </w:rPr>
                    <w:t>50 mg</w:t>
                  </w:r>
                  <w:r>
                    <w:rPr>
                      <w:rFonts w:eastAsia="Times New Roman" w:cs="Times New Roman"/>
                      <w:noProof/>
                      <w:sz w:val="22"/>
                      <w:szCs w:val="22"/>
                      <w:lang w:eastAsia="lt-LT" w:bidi="lt-LT"/>
                    </w:rPr>
                    <w:t xml:space="preserve"> </w:t>
                  </w:r>
                  <w:r w:rsidRPr="006A276D">
                    <w:rPr>
                      <w:rFonts w:eastAsia="Times New Roman" w:cs="Times New Roman"/>
                      <w:noProof/>
                      <w:sz w:val="22"/>
                      <w:szCs w:val="22"/>
                      <w:lang w:val="lt-LT" w:eastAsia="lt-LT" w:bidi="lt-LT"/>
                    </w:rPr>
                    <w:t xml:space="preserve">&amp; 100 mg </w:t>
                  </w:r>
                  <w:r w:rsidRPr="009B1342">
                    <w:rPr>
                      <w:rFonts w:eastAsia="Times New Roman" w:cs="Times New Roman"/>
                      <w:noProof/>
                      <w:sz w:val="22"/>
                      <w:szCs w:val="22"/>
                      <w:lang w:val="en-US" w:eastAsia="lt-LT" w:bidi="lt-LT"/>
                    </w:rPr>
                    <w:t>Επικαλυμμένα</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με</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λεπτό</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υμένιο</w:t>
                  </w:r>
                  <w:r w:rsidRPr="006A276D">
                    <w:rPr>
                      <w:rFonts w:eastAsia="Times New Roman" w:cs="Times New Roman"/>
                      <w:noProof/>
                      <w:sz w:val="22"/>
                      <w:szCs w:val="22"/>
                      <w:lang w:val="lt-LT" w:eastAsia="lt-LT" w:bidi="lt-LT"/>
                    </w:rPr>
                    <w:t xml:space="preserve"> </w:t>
                  </w:r>
                  <w:r w:rsidRPr="009B1342">
                    <w:rPr>
                      <w:rFonts w:eastAsia="Times New Roman" w:cs="Times New Roman"/>
                      <w:noProof/>
                      <w:sz w:val="22"/>
                      <w:szCs w:val="22"/>
                      <w:lang w:val="en-US" w:eastAsia="lt-LT" w:bidi="lt-LT"/>
                    </w:rPr>
                    <w:t>δισκία</w:t>
                  </w:r>
                  <w:r w:rsidRPr="006A276D">
                    <w:rPr>
                      <w:rFonts w:eastAsia="Times New Roman" w:cs="Times New Roman"/>
                      <w:noProof/>
                      <w:sz w:val="22"/>
                      <w:szCs w:val="22"/>
                      <w:lang w:val="lt-LT" w:eastAsia="lt-LT" w:bidi="lt-LT"/>
                    </w:rPr>
                    <w:t xml:space="preserve"> </w:t>
                  </w:r>
                </w:p>
              </w:tc>
            </w:tr>
          </w:tbl>
          <w:p w14:paraId="0A728CA8" w14:textId="77777777" w:rsidR="00112208" w:rsidRPr="00E224BF" w:rsidRDefault="00112208" w:rsidP="00412D1E">
            <w:pPr>
              <w:pStyle w:val="Default"/>
              <w:rPr>
                <w:rFonts w:eastAsia="Times New Roman"/>
                <w:noProof/>
                <w:lang w:eastAsia="lt-LT" w:bidi="lt-LT"/>
              </w:rPr>
            </w:pPr>
          </w:p>
        </w:tc>
      </w:tr>
      <w:tr w:rsidR="00112208" w:rsidRPr="00E224BF" w14:paraId="09374E75" w14:textId="77777777" w:rsidTr="00412D1E">
        <w:tc>
          <w:tcPr>
            <w:tcW w:w="2972" w:type="dxa"/>
          </w:tcPr>
          <w:p w14:paraId="5354378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Čekij</w:t>
            </w:r>
            <w:r>
              <w:rPr>
                <w:rFonts w:eastAsia="Times New Roman"/>
                <w:noProof/>
                <w:lang w:eastAsia="lt-LT" w:bidi="lt-LT"/>
              </w:rPr>
              <w:t>a</w:t>
            </w:r>
          </w:p>
        </w:tc>
        <w:tc>
          <w:tcPr>
            <w:tcW w:w="3402" w:type="dxa"/>
          </w:tcPr>
          <w:p w14:paraId="60E340BC" w14:textId="77777777" w:rsidR="00112208" w:rsidRPr="00E224BF" w:rsidRDefault="00112208" w:rsidP="00412D1E">
            <w:pPr>
              <w:pStyle w:val="Default"/>
              <w:rPr>
                <w:rFonts w:eastAsia="Times New Roman"/>
                <w:noProof/>
                <w:lang w:eastAsia="lt-LT" w:bidi="lt-LT"/>
              </w:rPr>
            </w:pPr>
            <w:r>
              <w:rPr>
                <w:rFonts w:eastAsia="Times New Roman"/>
                <w:noProof/>
                <w:lang w:eastAsia="lt-LT" w:bidi="lt-LT"/>
              </w:rPr>
              <w:t>Jimandin</w:t>
            </w:r>
          </w:p>
        </w:tc>
      </w:tr>
      <w:tr w:rsidR="00112208" w:rsidRPr="00E224BF" w14:paraId="13FCB8CB" w14:textId="77777777" w:rsidTr="00412D1E">
        <w:tc>
          <w:tcPr>
            <w:tcW w:w="2972" w:type="dxa"/>
          </w:tcPr>
          <w:p w14:paraId="29C99008"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Estija</w:t>
            </w:r>
          </w:p>
        </w:tc>
        <w:tc>
          <w:tcPr>
            <w:tcW w:w="3402" w:type="dxa"/>
          </w:tcPr>
          <w:p w14:paraId="34A75F38" w14:textId="77777777" w:rsidR="00112208" w:rsidRPr="00E224BF" w:rsidRDefault="00112208" w:rsidP="00412D1E">
            <w:pPr>
              <w:pStyle w:val="Default"/>
              <w:rPr>
                <w:rFonts w:eastAsia="Times New Roman"/>
                <w:noProof/>
                <w:lang w:eastAsia="lt-LT" w:bidi="lt-LT"/>
              </w:rPr>
            </w:pPr>
            <w:r>
              <w:rPr>
                <w:rFonts w:eastAsia="Times New Roman"/>
                <w:noProof/>
                <w:lang w:eastAsia="lt-LT" w:bidi="lt-LT"/>
              </w:rPr>
              <w:t>Jimandin</w:t>
            </w:r>
          </w:p>
        </w:tc>
      </w:tr>
      <w:tr w:rsidR="00112208" w:rsidRPr="00E224BF" w14:paraId="2D63A2CF" w14:textId="77777777" w:rsidTr="00412D1E">
        <w:tc>
          <w:tcPr>
            <w:tcW w:w="2972" w:type="dxa"/>
          </w:tcPr>
          <w:p w14:paraId="614A083B"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lastRenderedPageBreak/>
              <w:t>Graikija</w:t>
            </w:r>
          </w:p>
        </w:tc>
        <w:tc>
          <w:tcPr>
            <w:tcW w:w="3402" w:type="dxa"/>
          </w:tcPr>
          <w:p w14:paraId="702A9A05" w14:textId="77777777" w:rsidR="00112208" w:rsidRPr="009B1342" w:rsidRDefault="00112208" w:rsidP="00412D1E">
            <w:pPr>
              <w:pStyle w:val="Default"/>
              <w:rPr>
                <w:rFonts w:eastAsia="Times New Roman"/>
                <w:noProof/>
                <w:lang w:eastAsia="lt-LT" w:bidi="lt-LT"/>
              </w:rPr>
            </w:pPr>
            <w:r w:rsidRPr="009B1342">
              <w:rPr>
                <w:rFonts w:eastAsia="Times New Roman"/>
                <w:noProof/>
                <w:lang w:eastAsia="lt-LT" w:bidi="lt-LT"/>
              </w:rPr>
              <w:t>Jimandin 50mg &amp; 100mg</w:t>
            </w:r>
            <w:r>
              <w:rPr>
                <w:rFonts w:eastAsia="Times New Roman"/>
                <w:noProof/>
                <w:lang w:eastAsia="lt-LT" w:bidi="lt-LT"/>
              </w:rPr>
              <w:t xml:space="preserve"> </w:t>
            </w:r>
            <w:r w:rsidRPr="009B1342">
              <w:rPr>
                <w:rFonts w:eastAsia="Times New Roman"/>
                <w:noProof/>
                <w:lang w:eastAsia="lt-LT" w:bidi="lt-LT"/>
              </w:rPr>
              <w:t>Επικαλυμμένα με λεπτό υμένιο δισκία</w:t>
            </w:r>
          </w:p>
        </w:tc>
      </w:tr>
      <w:tr w:rsidR="00112208" w:rsidRPr="00E224BF" w14:paraId="74CF0489" w14:textId="77777777" w:rsidTr="00412D1E">
        <w:tc>
          <w:tcPr>
            <w:tcW w:w="2972" w:type="dxa"/>
          </w:tcPr>
          <w:p w14:paraId="6269B5BD"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Latvija</w:t>
            </w:r>
          </w:p>
        </w:tc>
        <w:tc>
          <w:tcPr>
            <w:tcW w:w="3402" w:type="dxa"/>
          </w:tcPr>
          <w:p w14:paraId="0C6E0C00" w14:textId="77777777" w:rsidR="00112208" w:rsidRPr="009B1342" w:rsidRDefault="00112208" w:rsidP="00412D1E">
            <w:pPr>
              <w:pStyle w:val="Default"/>
              <w:rPr>
                <w:rFonts w:eastAsia="Times New Roman"/>
                <w:noProof/>
                <w:lang w:eastAsia="lt-LT" w:bidi="lt-LT"/>
              </w:rPr>
            </w:pPr>
            <w:r w:rsidRPr="009B1342">
              <w:rPr>
                <w:rFonts w:eastAsia="Times New Roman"/>
                <w:noProof/>
                <w:lang w:eastAsia="lt-LT" w:bidi="lt-LT"/>
              </w:rPr>
              <w:t>Jimandin 100mg apvalkotās tabletes</w:t>
            </w:r>
          </w:p>
        </w:tc>
      </w:tr>
      <w:tr w:rsidR="00112208" w:rsidRPr="00E224BF" w14:paraId="7A581B60" w14:textId="77777777" w:rsidTr="00412D1E">
        <w:tc>
          <w:tcPr>
            <w:tcW w:w="2972" w:type="dxa"/>
          </w:tcPr>
          <w:p w14:paraId="44EDDFE0"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Lietuva</w:t>
            </w:r>
          </w:p>
        </w:tc>
        <w:tc>
          <w:tcPr>
            <w:tcW w:w="3402" w:type="dxa"/>
          </w:tcPr>
          <w:p w14:paraId="74B261A0" w14:textId="77777777" w:rsidR="00112208" w:rsidRPr="009B1342" w:rsidRDefault="00112208" w:rsidP="00412D1E">
            <w:pPr>
              <w:pStyle w:val="Default"/>
              <w:rPr>
                <w:rFonts w:eastAsia="Times New Roman"/>
                <w:noProof/>
                <w:lang w:eastAsia="lt-LT" w:bidi="lt-LT"/>
              </w:rPr>
            </w:pPr>
            <w:r>
              <w:rPr>
                <w:rFonts w:eastAsia="Times New Roman"/>
                <w:noProof/>
                <w:lang w:eastAsia="lt-LT" w:bidi="lt-LT"/>
              </w:rPr>
              <w:t>JIMANDIN 25 mg, 50 mg,</w:t>
            </w:r>
            <w:r w:rsidRPr="009B1342">
              <w:rPr>
                <w:rFonts w:eastAsia="Times New Roman"/>
                <w:noProof/>
                <w:lang w:eastAsia="lt-LT" w:bidi="lt-LT"/>
              </w:rPr>
              <w:t xml:space="preserve"> 100</w:t>
            </w:r>
            <w:r>
              <w:rPr>
                <w:rFonts w:eastAsia="Times New Roman"/>
                <w:noProof/>
                <w:lang w:eastAsia="lt-LT" w:bidi="lt-LT"/>
              </w:rPr>
              <w:t xml:space="preserve"> </w:t>
            </w:r>
            <w:r w:rsidRPr="009B1342">
              <w:rPr>
                <w:rFonts w:eastAsia="Times New Roman"/>
                <w:noProof/>
                <w:lang w:eastAsia="lt-LT" w:bidi="lt-LT"/>
              </w:rPr>
              <w:t>mg</w:t>
            </w:r>
            <w:r>
              <w:rPr>
                <w:rFonts w:eastAsia="Times New Roman"/>
                <w:noProof/>
                <w:lang w:eastAsia="lt-LT" w:bidi="lt-LT"/>
              </w:rPr>
              <w:t xml:space="preserve"> </w:t>
            </w:r>
            <w:r w:rsidRPr="009B1342">
              <w:rPr>
                <w:rFonts w:eastAsia="Times New Roman"/>
                <w:noProof/>
                <w:lang w:eastAsia="lt-LT" w:bidi="lt-LT"/>
              </w:rPr>
              <w:t>plėvele dengtos tabletės</w:t>
            </w:r>
          </w:p>
        </w:tc>
      </w:tr>
      <w:tr w:rsidR="00112208" w:rsidRPr="00E224BF" w14:paraId="6C4F609B" w14:textId="77777777" w:rsidTr="00412D1E">
        <w:tc>
          <w:tcPr>
            <w:tcW w:w="2972" w:type="dxa"/>
          </w:tcPr>
          <w:p w14:paraId="211F3394"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Malta</w:t>
            </w:r>
          </w:p>
        </w:tc>
        <w:tc>
          <w:tcPr>
            <w:tcW w:w="3402" w:type="dxa"/>
          </w:tcPr>
          <w:tbl>
            <w:tblPr>
              <w:tblW w:w="0" w:type="auto"/>
              <w:tblBorders>
                <w:top w:val="nil"/>
                <w:left w:val="nil"/>
                <w:bottom w:val="nil"/>
                <w:right w:val="nil"/>
              </w:tblBorders>
              <w:tblLook w:val="0000" w:firstRow="0" w:lastRow="0" w:firstColumn="0" w:lastColumn="0" w:noHBand="0" w:noVBand="0"/>
            </w:tblPr>
            <w:tblGrid>
              <w:gridCol w:w="4773"/>
            </w:tblGrid>
            <w:tr w:rsidR="00112208" w:rsidRPr="001C3F9F" w14:paraId="3DBAC843" w14:textId="77777777" w:rsidTr="00412D1E">
              <w:trPr>
                <w:trHeight w:val="153"/>
              </w:trPr>
              <w:tc>
                <w:tcPr>
                  <w:tcW w:w="0" w:type="auto"/>
                </w:tcPr>
                <w:p w14:paraId="450A786D" w14:textId="77777777" w:rsidR="00112208" w:rsidRPr="001C3F9F" w:rsidRDefault="00112208" w:rsidP="00412D1E">
                  <w:pPr>
                    <w:autoSpaceDE w:val="0"/>
                    <w:autoSpaceDN w:val="0"/>
                    <w:adjustRightInd w:val="0"/>
                    <w:ind w:left="-103"/>
                    <w:rPr>
                      <w:rFonts w:cs="Times New Roman"/>
                      <w:color w:val="000000"/>
                      <w:sz w:val="22"/>
                      <w:szCs w:val="22"/>
                      <w:lang w:val="en-US" w:eastAsia="en-US"/>
                    </w:rPr>
                  </w:pPr>
                  <w:r>
                    <w:rPr>
                      <w:rFonts w:cs="Times New Roman"/>
                      <w:color w:val="000000"/>
                      <w:sz w:val="22"/>
                      <w:szCs w:val="22"/>
                      <w:lang w:val="en-US" w:eastAsia="en-US"/>
                    </w:rPr>
                    <w:t>Jimandin 25 mg, 50 mg,</w:t>
                  </w:r>
                  <w:r w:rsidRPr="009B1342">
                    <w:rPr>
                      <w:rFonts w:cs="Times New Roman"/>
                      <w:color w:val="000000"/>
                      <w:sz w:val="22"/>
                      <w:szCs w:val="22"/>
                      <w:lang w:val="en-US" w:eastAsia="en-US"/>
                    </w:rPr>
                    <w:t xml:space="preserve"> 100</w:t>
                  </w:r>
                  <w:r>
                    <w:rPr>
                      <w:rFonts w:cs="Times New Roman"/>
                      <w:color w:val="000000"/>
                      <w:sz w:val="22"/>
                      <w:szCs w:val="22"/>
                      <w:lang w:val="en-US" w:eastAsia="en-US"/>
                    </w:rPr>
                    <w:t xml:space="preserve"> </w:t>
                  </w:r>
                  <w:r w:rsidRPr="009B1342">
                    <w:rPr>
                      <w:rFonts w:cs="Times New Roman"/>
                      <w:color w:val="000000"/>
                      <w:sz w:val="22"/>
                      <w:szCs w:val="22"/>
                      <w:lang w:val="en-US" w:eastAsia="en-US"/>
                    </w:rPr>
                    <w:t>mg film-coated tablets</w:t>
                  </w:r>
                </w:p>
              </w:tc>
            </w:tr>
          </w:tbl>
          <w:p w14:paraId="41A183F0" w14:textId="77777777" w:rsidR="00112208" w:rsidRPr="00E224BF" w:rsidRDefault="00112208" w:rsidP="00412D1E">
            <w:pPr>
              <w:pStyle w:val="Default"/>
              <w:rPr>
                <w:rFonts w:eastAsia="Times New Roman"/>
                <w:noProof/>
                <w:lang w:eastAsia="lt-LT" w:bidi="lt-LT"/>
              </w:rPr>
            </w:pPr>
          </w:p>
        </w:tc>
      </w:tr>
      <w:tr w:rsidR="00112208" w:rsidRPr="00E224BF" w14:paraId="72C6D7F3" w14:textId="77777777" w:rsidTr="00412D1E">
        <w:tc>
          <w:tcPr>
            <w:tcW w:w="2972" w:type="dxa"/>
          </w:tcPr>
          <w:p w14:paraId="3C3A1305"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Rumunija</w:t>
            </w:r>
          </w:p>
        </w:tc>
        <w:tc>
          <w:tcPr>
            <w:tcW w:w="3402" w:type="dxa"/>
          </w:tcPr>
          <w:tbl>
            <w:tblPr>
              <w:tblW w:w="4773" w:type="dxa"/>
              <w:tblBorders>
                <w:top w:val="nil"/>
                <w:left w:val="nil"/>
                <w:bottom w:val="nil"/>
                <w:right w:val="nil"/>
              </w:tblBorders>
              <w:tblLook w:val="0000" w:firstRow="0" w:lastRow="0" w:firstColumn="0" w:lastColumn="0" w:noHBand="0" w:noVBand="0"/>
            </w:tblPr>
            <w:tblGrid>
              <w:gridCol w:w="4773"/>
            </w:tblGrid>
            <w:tr w:rsidR="00112208" w:rsidRPr="001C3F9F" w14:paraId="48449789" w14:textId="77777777" w:rsidTr="00412D1E">
              <w:trPr>
                <w:trHeight w:val="81"/>
              </w:trPr>
              <w:tc>
                <w:tcPr>
                  <w:tcW w:w="4773" w:type="dxa"/>
                </w:tcPr>
                <w:p w14:paraId="1AF87246" w14:textId="77777777" w:rsidR="00112208" w:rsidRPr="001C3F9F" w:rsidRDefault="00112208" w:rsidP="00412D1E">
                  <w:pPr>
                    <w:autoSpaceDE w:val="0"/>
                    <w:autoSpaceDN w:val="0"/>
                    <w:adjustRightInd w:val="0"/>
                    <w:ind w:left="-103" w:right="-3137"/>
                    <w:rPr>
                      <w:rFonts w:cs="Times New Roman"/>
                      <w:color w:val="000000"/>
                      <w:sz w:val="22"/>
                      <w:szCs w:val="22"/>
                      <w:lang w:val="en-US" w:eastAsia="en-US"/>
                    </w:rPr>
                  </w:pPr>
                  <w:r>
                    <w:rPr>
                      <w:rFonts w:cs="Times New Roman"/>
                      <w:color w:val="000000"/>
                      <w:sz w:val="22"/>
                      <w:szCs w:val="22"/>
                      <w:lang w:val="en-US" w:eastAsia="en-US"/>
                    </w:rPr>
                    <w:t>Jimandin 25 mg, 50 mg,</w:t>
                  </w:r>
                  <w:r w:rsidRPr="009B1342">
                    <w:rPr>
                      <w:rFonts w:cs="Times New Roman"/>
                      <w:color w:val="000000"/>
                      <w:sz w:val="22"/>
                      <w:szCs w:val="22"/>
                      <w:lang w:val="en-US" w:eastAsia="en-US"/>
                    </w:rPr>
                    <w:t xml:space="preserve"> 100</w:t>
                  </w:r>
                  <w:r>
                    <w:rPr>
                      <w:rFonts w:cs="Times New Roman"/>
                      <w:color w:val="000000"/>
                      <w:sz w:val="22"/>
                      <w:szCs w:val="22"/>
                      <w:lang w:val="en-US" w:eastAsia="en-US"/>
                    </w:rPr>
                    <w:t xml:space="preserve"> </w:t>
                  </w:r>
                  <w:r w:rsidRPr="009B1342">
                    <w:rPr>
                      <w:rFonts w:cs="Times New Roman"/>
                      <w:color w:val="000000"/>
                      <w:sz w:val="22"/>
                      <w:szCs w:val="22"/>
                      <w:lang w:val="en-US" w:eastAsia="en-US"/>
                    </w:rPr>
                    <w:t>mg comprimate filmate</w:t>
                  </w:r>
                </w:p>
              </w:tc>
            </w:tr>
          </w:tbl>
          <w:p w14:paraId="0A762DC7" w14:textId="77777777" w:rsidR="00112208" w:rsidRPr="00E224BF" w:rsidRDefault="00112208" w:rsidP="00412D1E">
            <w:pPr>
              <w:pStyle w:val="Default"/>
              <w:rPr>
                <w:rFonts w:eastAsia="Times New Roman"/>
                <w:noProof/>
                <w:lang w:eastAsia="lt-LT" w:bidi="lt-LT"/>
              </w:rPr>
            </w:pPr>
          </w:p>
        </w:tc>
      </w:tr>
      <w:tr w:rsidR="00112208" w:rsidRPr="00E224BF" w14:paraId="60E96519" w14:textId="77777777" w:rsidTr="00412D1E">
        <w:tc>
          <w:tcPr>
            <w:tcW w:w="2972" w:type="dxa"/>
          </w:tcPr>
          <w:p w14:paraId="51576902" w14:textId="77777777" w:rsidR="00112208" w:rsidRPr="00E224BF" w:rsidRDefault="00112208" w:rsidP="00412D1E">
            <w:pPr>
              <w:pStyle w:val="Default"/>
              <w:rPr>
                <w:rFonts w:eastAsia="Times New Roman"/>
                <w:noProof/>
                <w:lang w:eastAsia="lt-LT" w:bidi="lt-LT"/>
              </w:rPr>
            </w:pPr>
            <w:r w:rsidRPr="00E224BF">
              <w:rPr>
                <w:rFonts w:eastAsia="Times New Roman"/>
                <w:noProof/>
                <w:lang w:eastAsia="lt-LT" w:bidi="lt-LT"/>
              </w:rPr>
              <w:t>Slovakij</w:t>
            </w:r>
            <w:r>
              <w:rPr>
                <w:rFonts w:eastAsia="Times New Roman"/>
                <w:noProof/>
                <w:lang w:eastAsia="lt-LT" w:bidi="lt-LT"/>
              </w:rPr>
              <w:t>a</w:t>
            </w:r>
          </w:p>
        </w:tc>
        <w:tc>
          <w:tcPr>
            <w:tcW w:w="3402" w:type="dxa"/>
          </w:tcPr>
          <w:tbl>
            <w:tblPr>
              <w:tblW w:w="4769" w:type="dxa"/>
              <w:tblBorders>
                <w:top w:val="nil"/>
                <w:left w:val="nil"/>
                <w:bottom w:val="nil"/>
                <w:right w:val="nil"/>
              </w:tblBorders>
              <w:tblLook w:val="0000" w:firstRow="0" w:lastRow="0" w:firstColumn="0" w:lastColumn="0" w:noHBand="0" w:noVBand="0"/>
            </w:tblPr>
            <w:tblGrid>
              <w:gridCol w:w="4769"/>
            </w:tblGrid>
            <w:tr w:rsidR="00112208" w:rsidRPr="001C3F9F" w14:paraId="1E5ADADE" w14:textId="77777777" w:rsidTr="00412D1E">
              <w:trPr>
                <w:trHeight w:val="95"/>
              </w:trPr>
              <w:tc>
                <w:tcPr>
                  <w:tcW w:w="4769" w:type="dxa"/>
                </w:tcPr>
                <w:p w14:paraId="21644294" w14:textId="77777777" w:rsidR="00112208" w:rsidRPr="001C3F9F" w:rsidRDefault="00112208" w:rsidP="00412D1E">
                  <w:pPr>
                    <w:autoSpaceDE w:val="0"/>
                    <w:autoSpaceDN w:val="0"/>
                    <w:adjustRightInd w:val="0"/>
                    <w:ind w:left="-103"/>
                    <w:rPr>
                      <w:rFonts w:cs="Times New Roman"/>
                      <w:color w:val="000000"/>
                      <w:sz w:val="22"/>
                      <w:szCs w:val="22"/>
                      <w:lang w:val="en-US" w:eastAsia="en-US"/>
                    </w:rPr>
                  </w:pPr>
                  <w:r w:rsidRPr="009B1342">
                    <w:rPr>
                      <w:rFonts w:cs="Times New Roman"/>
                      <w:color w:val="000000"/>
                      <w:sz w:val="22"/>
                      <w:szCs w:val="22"/>
                      <w:lang w:val="en-US" w:eastAsia="en-US"/>
                    </w:rPr>
                    <w:t>Jimandin 50</w:t>
                  </w:r>
                  <w:r>
                    <w:rPr>
                      <w:rFonts w:cs="Times New Roman"/>
                      <w:color w:val="000000"/>
                      <w:sz w:val="22"/>
                      <w:szCs w:val="22"/>
                      <w:lang w:val="en-US" w:eastAsia="en-US"/>
                    </w:rPr>
                    <w:t xml:space="preserve"> mg,</w:t>
                  </w:r>
                  <w:r w:rsidRPr="009B1342">
                    <w:rPr>
                      <w:rFonts w:cs="Times New Roman"/>
                      <w:color w:val="000000"/>
                      <w:sz w:val="22"/>
                      <w:szCs w:val="22"/>
                      <w:lang w:val="en-US" w:eastAsia="en-US"/>
                    </w:rPr>
                    <w:t xml:space="preserve"> 100 mg filmom obalené tablety</w:t>
                  </w:r>
                </w:p>
              </w:tc>
            </w:tr>
          </w:tbl>
          <w:p w14:paraId="1E8B4BD8" w14:textId="77777777" w:rsidR="00112208" w:rsidRPr="00E224BF" w:rsidRDefault="00112208" w:rsidP="00412D1E">
            <w:pPr>
              <w:pStyle w:val="Default"/>
              <w:rPr>
                <w:rFonts w:eastAsia="Times New Roman"/>
                <w:noProof/>
                <w:lang w:eastAsia="lt-LT" w:bidi="lt-LT"/>
              </w:rPr>
            </w:pPr>
          </w:p>
        </w:tc>
      </w:tr>
    </w:tbl>
    <w:p w14:paraId="74D862CB" w14:textId="77777777" w:rsidR="00112208" w:rsidRDefault="00112208" w:rsidP="00112208">
      <w:pPr>
        <w:keepNext/>
        <w:numPr>
          <w:ilvl w:val="12"/>
          <w:numId w:val="0"/>
        </w:numPr>
        <w:ind w:right="-2"/>
        <w:outlineLvl w:val="0"/>
        <w:rPr>
          <w:rFonts w:eastAsia="Times New Roman" w:cs="Times New Roman"/>
          <w:b/>
          <w:noProof/>
          <w:sz w:val="22"/>
          <w:szCs w:val="22"/>
          <w:lang w:val="lt-LT" w:eastAsia="lt-LT" w:bidi="lt-LT"/>
        </w:rPr>
      </w:pPr>
    </w:p>
    <w:p w14:paraId="2C530979" w14:textId="285C5CD4" w:rsidR="00112208" w:rsidRPr="00C249C9" w:rsidRDefault="00112208" w:rsidP="00112208">
      <w:pPr>
        <w:keepNext/>
        <w:numPr>
          <w:ilvl w:val="12"/>
          <w:numId w:val="0"/>
        </w:numPr>
        <w:ind w:right="-2"/>
        <w:outlineLvl w:val="0"/>
        <w:rPr>
          <w:rFonts w:eastAsia="Times New Roman" w:cs="Times New Roman"/>
          <w:noProof/>
          <w:sz w:val="22"/>
          <w:szCs w:val="22"/>
          <w:lang w:val="lt-LT" w:eastAsia="lt-LT" w:bidi="lt-LT"/>
        </w:rPr>
      </w:pPr>
      <w:r w:rsidRPr="00C249C9">
        <w:rPr>
          <w:rFonts w:eastAsia="Times New Roman" w:cs="Times New Roman"/>
          <w:b/>
          <w:noProof/>
          <w:sz w:val="22"/>
          <w:szCs w:val="22"/>
          <w:lang w:val="lt-LT" w:eastAsia="lt-LT" w:bidi="lt-LT"/>
        </w:rPr>
        <w:t>Šis pakuotės lapelis paskutinį kartą peržiūrėtas</w:t>
      </w:r>
      <w:r>
        <w:rPr>
          <w:rFonts w:eastAsia="Times New Roman" w:cs="Times New Roman"/>
          <w:b/>
          <w:noProof/>
          <w:sz w:val="22"/>
          <w:szCs w:val="22"/>
          <w:lang w:val="lt-LT" w:eastAsia="lt-LT" w:bidi="lt-LT"/>
        </w:rPr>
        <w:t xml:space="preserve"> </w:t>
      </w:r>
      <w:r w:rsidR="005D02AB">
        <w:rPr>
          <w:rFonts w:eastAsia="Times New Roman" w:cs="Times New Roman"/>
          <w:b/>
          <w:noProof/>
          <w:sz w:val="22"/>
          <w:szCs w:val="22"/>
          <w:lang w:val="lt-LT" w:eastAsia="lt-LT" w:bidi="lt-LT"/>
        </w:rPr>
        <w:t xml:space="preserve"> 2021-12-13.</w:t>
      </w:r>
      <w:bookmarkStart w:id="1" w:name="_GoBack"/>
      <w:bookmarkEnd w:id="1"/>
    </w:p>
    <w:p w14:paraId="089F2706" w14:textId="77777777" w:rsidR="00112208" w:rsidRPr="00C249C9" w:rsidRDefault="00112208" w:rsidP="00112208">
      <w:pPr>
        <w:keepNext/>
        <w:numPr>
          <w:ilvl w:val="12"/>
          <w:numId w:val="0"/>
        </w:numPr>
        <w:tabs>
          <w:tab w:val="left" w:pos="567"/>
        </w:tabs>
        <w:ind w:right="-2"/>
        <w:rPr>
          <w:rFonts w:eastAsia="Times New Roman" w:cs="Times New Roman"/>
          <w:noProof/>
          <w:sz w:val="22"/>
          <w:szCs w:val="22"/>
          <w:lang w:val="lt-LT" w:eastAsia="lt-LT" w:bidi="lt-LT"/>
        </w:rPr>
      </w:pPr>
    </w:p>
    <w:p w14:paraId="5CA8D045" w14:textId="77777777" w:rsidR="00112208" w:rsidRPr="00C249C9" w:rsidRDefault="00112208" w:rsidP="00112208">
      <w:pPr>
        <w:keepNext/>
        <w:numPr>
          <w:ilvl w:val="12"/>
          <w:numId w:val="0"/>
        </w:numPr>
        <w:tabs>
          <w:tab w:val="left" w:pos="567"/>
        </w:tabs>
        <w:ind w:right="-2"/>
        <w:rPr>
          <w:rFonts w:eastAsia="Times New Roman" w:cs="Times New Roman"/>
          <w:noProof/>
          <w:sz w:val="22"/>
          <w:szCs w:val="22"/>
          <w:lang w:val="lt-LT" w:eastAsia="lt-LT" w:bidi="lt-LT"/>
        </w:rPr>
      </w:pPr>
    </w:p>
    <w:p w14:paraId="534ABEA8" w14:textId="77777777" w:rsidR="00112208" w:rsidRPr="00C249C9" w:rsidRDefault="00112208" w:rsidP="00112208">
      <w:pPr>
        <w:numPr>
          <w:ilvl w:val="12"/>
          <w:numId w:val="0"/>
        </w:numPr>
        <w:tabs>
          <w:tab w:val="left" w:pos="567"/>
        </w:tabs>
        <w:ind w:right="-2"/>
        <w:rPr>
          <w:lang w:val="lt-LT"/>
        </w:rPr>
      </w:pPr>
      <w:r w:rsidRPr="00C249C9">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C249C9">
        <w:rPr>
          <w:rFonts w:eastAsia="Times New Roman" w:cs="Times New Roman"/>
          <w:i/>
          <w:snapToGrid w:val="0"/>
          <w:sz w:val="22"/>
          <w:szCs w:val="22"/>
          <w:lang w:val="lt-LT" w:eastAsia="en-US"/>
        </w:rPr>
        <w:t xml:space="preserve"> </w:t>
      </w:r>
      <w:hyperlink r:id="rId17" w:history="1">
        <w:r w:rsidRPr="00C249C9">
          <w:rPr>
            <w:rFonts w:eastAsia="SimSun" w:cs="Times New Roman"/>
            <w:snapToGrid w:val="0"/>
            <w:color w:val="0000FF"/>
            <w:sz w:val="22"/>
            <w:szCs w:val="22"/>
            <w:u w:val="single"/>
            <w:lang w:val="lt-LT" w:eastAsia="en-US"/>
          </w:rPr>
          <w:t>http://www.vvkt.lt/</w:t>
        </w:r>
      </w:hyperlink>
      <w:r w:rsidRPr="00C249C9">
        <w:rPr>
          <w:rFonts w:eastAsia="Times New Roman" w:cs="Times New Roman"/>
          <w:snapToGrid w:val="0"/>
          <w:sz w:val="22"/>
          <w:szCs w:val="22"/>
          <w:lang w:val="lt-LT" w:eastAsia="en-US"/>
        </w:rPr>
        <w:t>.</w:t>
      </w:r>
    </w:p>
    <w:p w14:paraId="758119D4" w14:textId="77777777" w:rsidR="00112208" w:rsidRPr="001351F3" w:rsidRDefault="00112208" w:rsidP="00112208">
      <w:pPr>
        <w:rPr>
          <w:lang w:val="lt-LT"/>
        </w:rPr>
      </w:pPr>
    </w:p>
    <w:p w14:paraId="7CE1039E" w14:textId="77777777" w:rsidR="00393F04" w:rsidRPr="00ED5B06" w:rsidRDefault="00393F04"/>
    <w:sectPr w:rsidR="00393F04" w:rsidRPr="00ED5B06" w:rsidSect="00EF5577">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520E" w14:textId="77777777" w:rsidR="00B57A42" w:rsidRDefault="00B57A42">
      <w:r>
        <w:separator/>
      </w:r>
    </w:p>
  </w:endnote>
  <w:endnote w:type="continuationSeparator" w:id="0">
    <w:p w14:paraId="2583CD3A" w14:textId="77777777" w:rsidR="00B57A42" w:rsidRDefault="00B57A42">
      <w:r>
        <w:continuationSeparator/>
      </w:r>
    </w:p>
  </w:endnote>
  <w:endnote w:type="continuationNotice" w:id="1">
    <w:p w14:paraId="550CD019" w14:textId="77777777" w:rsidR="00B57A42" w:rsidRDefault="00B57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
    <w:altName w:val="Heiti TC Light"/>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Heiti TC Light"/>
    <w:panose1 w:val="00000000000000000000"/>
    <w:charset w:val="80"/>
    <w:family w:val="auto"/>
    <w:notTrueType/>
    <w:pitch w:val="default"/>
    <w:sig w:usb0="00000000" w:usb1="08070000" w:usb2="00000010" w:usb3="00000000" w:csb0="00020002" w:csb1="00000000"/>
  </w:font>
  <w:font w:name="MathEx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048633"/>
      <w:docPartObj>
        <w:docPartGallery w:val="Page Numbers (Bottom of Page)"/>
        <w:docPartUnique/>
      </w:docPartObj>
    </w:sdtPr>
    <w:sdtEndPr>
      <w:rPr>
        <w:rFonts w:ascii="Times New Roman" w:hAnsi="Times New Roman"/>
        <w:sz w:val="22"/>
        <w:szCs w:val="22"/>
      </w:rPr>
    </w:sdtEndPr>
    <w:sdtContent>
      <w:p w14:paraId="74C8E24F" w14:textId="79FD3048" w:rsidR="006A276D" w:rsidRPr="00DF397B" w:rsidRDefault="009E22CB">
        <w:pPr>
          <w:pStyle w:val="Footer"/>
          <w:jc w:val="center"/>
          <w:rPr>
            <w:rFonts w:ascii="Times New Roman" w:hAnsi="Times New Roman"/>
            <w:sz w:val="22"/>
            <w:szCs w:val="22"/>
          </w:rPr>
        </w:pPr>
        <w:r w:rsidRPr="00DF397B">
          <w:rPr>
            <w:rFonts w:ascii="Times New Roman" w:hAnsi="Times New Roman"/>
            <w:sz w:val="22"/>
            <w:szCs w:val="22"/>
          </w:rPr>
          <w:fldChar w:fldCharType="begin"/>
        </w:r>
        <w:r w:rsidRPr="00DF397B">
          <w:rPr>
            <w:rFonts w:ascii="Times New Roman" w:hAnsi="Times New Roman"/>
            <w:sz w:val="22"/>
            <w:szCs w:val="22"/>
          </w:rPr>
          <w:instrText>PAGE   \* MERGEFORMAT</w:instrText>
        </w:r>
        <w:r w:rsidRPr="00DF397B">
          <w:rPr>
            <w:rFonts w:ascii="Times New Roman" w:hAnsi="Times New Roman"/>
            <w:sz w:val="22"/>
            <w:szCs w:val="22"/>
          </w:rPr>
          <w:fldChar w:fldCharType="separate"/>
        </w:r>
        <w:r w:rsidR="005D02AB">
          <w:rPr>
            <w:rFonts w:ascii="Times New Roman" w:hAnsi="Times New Roman"/>
            <w:sz w:val="22"/>
            <w:szCs w:val="22"/>
          </w:rPr>
          <w:t>32</w:t>
        </w:r>
        <w:r w:rsidRPr="00DF397B">
          <w:rPr>
            <w:rFonts w:ascii="Times New Roman" w:hAnsi="Times New Roman"/>
            <w:sz w:val="22"/>
            <w:szCs w:val="22"/>
          </w:rPr>
          <w:fldChar w:fldCharType="end"/>
        </w:r>
      </w:p>
    </w:sdtContent>
  </w:sdt>
  <w:p w14:paraId="599EDA1F" w14:textId="77777777" w:rsidR="006A276D" w:rsidRPr="003D7CAB" w:rsidRDefault="005D02AB" w:rsidP="00DF397B">
    <w:pPr>
      <w:pStyle w:val="Footer"/>
      <w:tabs>
        <w:tab w:val="right" w:pos="8931"/>
      </w:tabs>
      <w:ind w:right="96"/>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5E5A" w14:textId="5C39C93E" w:rsidR="006A276D" w:rsidRPr="003D7CAB" w:rsidRDefault="009E22CB">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ageNumber"/>
        <w:rFonts w:ascii="Times New Roman" w:hAnsi="Times New Roman"/>
        <w:sz w:val="22"/>
        <w:szCs w:val="22"/>
      </w:rPr>
      <w:fldChar w:fldCharType="begin"/>
    </w:r>
    <w:r w:rsidRPr="003D7CAB">
      <w:rPr>
        <w:rStyle w:val="PageNumber"/>
        <w:rFonts w:ascii="Times New Roman" w:hAnsi="Times New Roman"/>
        <w:sz w:val="22"/>
        <w:szCs w:val="22"/>
      </w:rPr>
      <w:instrText xml:space="preserve">PAGE  </w:instrText>
    </w:r>
    <w:r w:rsidRPr="003D7CAB">
      <w:rPr>
        <w:rStyle w:val="PageNumber"/>
        <w:rFonts w:ascii="Times New Roman" w:hAnsi="Times New Roman"/>
        <w:sz w:val="22"/>
        <w:szCs w:val="22"/>
      </w:rPr>
      <w:fldChar w:fldCharType="separate"/>
    </w:r>
    <w:r w:rsidR="005D02AB">
      <w:rPr>
        <w:rStyle w:val="PageNumber"/>
        <w:rFonts w:ascii="Times New Roman" w:hAnsi="Times New Roman"/>
        <w:sz w:val="22"/>
        <w:szCs w:val="22"/>
      </w:rPr>
      <w:t>1</w:t>
    </w:r>
    <w:r w:rsidRPr="003D7CAB">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F7B9C" w14:textId="77777777" w:rsidR="00B57A42" w:rsidRDefault="00B57A42">
      <w:r>
        <w:separator/>
      </w:r>
    </w:p>
  </w:footnote>
  <w:footnote w:type="continuationSeparator" w:id="0">
    <w:p w14:paraId="4B7DF4F9" w14:textId="77777777" w:rsidR="00B57A42" w:rsidRDefault="00B57A42">
      <w:r>
        <w:continuationSeparator/>
      </w:r>
    </w:p>
  </w:footnote>
  <w:footnote w:type="continuationNotice" w:id="1">
    <w:p w14:paraId="3CA49625" w14:textId="77777777" w:rsidR="00B57A42" w:rsidRDefault="00B57A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63B0" w14:textId="77777777" w:rsidR="00ED5B06" w:rsidRDefault="00ED5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A02E2A"/>
    <w:multiLevelType w:val="hybridMultilevel"/>
    <w:tmpl w:val="6CFA2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4F758B8"/>
    <w:multiLevelType w:val="hybridMultilevel"/>
    <w:tmpl w:val="A2B0BA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A6D20ED"/>
    <w:multiLevelType w:val="hybridMultilevel"/>
    <w:tmpl w:val="B15211F6"/>
    <w:lvl w:ilvl="0" w:tplc="55A4D83A">
      <w:start w:val="2"/>
      <w:numFmt w:val="bullet"/>
      <w:lvlText w:val="-"/>
      <w:lvlJc w:val="left"/>
      <w:pPr>
        <w:ind w:left="1287" w:hanging="360"/>
      </w:pPr>
      <w:rPr>
        <w:rFonts w:ascii="Times New Roman" w:eastAsia="TimesNew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 w15:restartNumberingAfterBreak="0">
    <w:nsid w:val="71B7521C"/>
    <w:multiLevelType w:val="hybridMultilevel"/>
    <w:tmpl w:val="902A2D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7E850A02"/>
    <w:multiLevelType w:val="hybridMultilevel"/>
    <w:tmpl w:val="385CA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8"/>
  </w:num>
  <w:num w:numId="4">
    <w:abstractNumId w:val="7"/>
  </w:num>
  <w:num w:numId="5">
    <w:abstractNumId w:val="10"/>
  </w:num>
  <w:num w:numId="6">
    <w:abstractNumId w:val="4"/>
  </w:num>
  <w:num w:numId="7">
    <w:abstractNumId w:val="3"/>
  </w:num>
  <w:num w:numId="8">
    <w:abstractNumId w:val="6"/>
  </w:num>
  <w:num w:numId="9">
    <w:abstractNumId w:val="9"/>
  </w:num>
  <w:num w:numId="10">
    <w:abstractNumId w:val="1"/>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08"/>
    <w:rsid w:val="0001726C"/>
    <w:rsid w:val="000C10FD"/>
    <w:rsid w:val="000F6D39"/>
    <w:rsid w:val="00112208"/>
    <w:rsid w:val="00116C65"/>
    <w:rsid w:val="001351F3"/>
    <w:rsid w:val="001A6D77"/>
    <w:rsid w:val="001C13A3"/>
    <w:rsid w:val="0038568A"/>
    <w:rsid w:val="00393F04"/>
    <w:rsid w:val="004478F5"/>
    <w:rsid w:val="005B6F8E"/>
    <w:rsid w:val="005D02AB"/>
    <w:rsid w:val="005F3EC9"/>
    <w:rsid w:val="00605DA1"/>
    <w:rsid w:val="0065693E"/>
    <w:rsid w:val="00783EEB"/>
    <w:rsid w:val="007877BC"/>
    <w:rsid w:val="008F31B0"/>
    <w:rsid w:val="00914AFC"/>
    <w:rsid w:val="00966277"/>
    <w:rsid w:val="009D7846"/>
    <w:rsid w:val="009E22CB"/>
    <w:rsid w:val="00A23DE4"/>
    <w:rsid w:val="00A6778B"/>
    <w:rsid w:val="00AD3C87"/>
    <w:rsid w:val="00AF3AEF"/>
    <w:rsid w:val="00B57A42"/>
    <w:rsid w:val="00C0344A"/>
    <w:rsid w:val="00C440AC"/>
    <w:rsid w:val="00C76299"/>
    <w:rsid w:val="00C951D2"/>
    <w:rsid w:val="00CC7962"/>
    <w:rsid w:val="00D25C3D"/>
    <w:rsid w:val="00D32C74"/>
    <w:rsid w:val="00D57722"/>
    <w:rsid w:val="00DD393B"/>
    <w:rsid w:val="00E01AD4"/>
    <w:rsid w:val="00E43EA7"/>
    <w:rsid w:val="00E938BE"/>
    <w:rsid w:val="00ED5B06"/>
    <w:rsid w:val="00F22E4E"/>
    <w:rsid w:val="00F95272"/>
    <w:rsid w:val="00FC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889F"/>
  <w15:chartTrackingRefBased/>
  <w15:docId w15:val="{752667C2-DF95-463D-BF73-FA7B9D7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B06"/>
    <w:pPr>
      <w:spacing w:after="0" w:line="240" w:lineRule="auto"/>
    </w:pPr>
    <w:rPr>
      <w:rFonts w:ascii="Times New Roman" w:hAnsi="Times New Roman"/>
      <w:sz w:val="24"/>
      <w:szCs w:val="20"/>
      <w:lang w:val="sl-SI" w:eastAsia="sl-SI"/>
    </w:rPr>
  </w:style>
  <w:style w:type="paragraph" w:styleId="Heading1">
    <w:name w:val="heading 1"/>
    <w:basedOn w:val="Normal"/>
    <w:next w:val="Normal"/>
    <w:link w:val="Heading1Char"/>
    <w:uiPriority w:val="99"/>
    <w:qFormat/>
    <w:rsid w:val="0011220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112208"/>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Heading3">
    <w:name w:val="heading 3"/>
    <w:basedOn w:val="Normal"/>
    <w:next w:val="Normal"/>
    <w:link w:val="Heading3Char"/>
    <w:uiPriority w:val="99"/>
    <w:qFormat/>
    <w:rsid w:val="00112208"/>
    <w:pPr>
      <w:keepNext/>
      <w:tabs>
        <w:tab w:val="decimal" w:pos="6760"/>
      </w:tabs>
      <w:spacing w:line="480" w:lineRule="atLeast"/>
      <w:outlineLvl w:val="2"/>
    </w:pPr>
    <w:rPr>
      <w:rFonts w:eastAsia="Times New Roman" w:cs="Times New Roman"/>
      <w:b/>
      <w:lang w:val="en-US"/>
    </w:rPr>
  </w:style>
  <w:style w:type="paragraph" w:styleId="Heading4">
    <w:name w:val="heading 4"/>
    <w:basedOn w:val="Normal"/>
    <w:next w:val="Normal"/>
    <w:link w:val="Heading4Char"/>
    <w:uiPriority w:val="99"/>
    <w:qFormat/>
    <w:rsid w:val="00112208"/>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112208"/>
    <w:pPr>
      <w:keepNext/>
      <w:tabs>
        <w:tab w:val="left" w:pos="567"/>
      </w:tabs>
      <w:spacing w:line="260" w:lineRule="exact"/>
      <w:jc w:val="both"/>
      <w:outlineLvl w:val="4"/>
    </w:pPr>
    <w:rPr>
      <w:rFonts w:eastAsia="SimSun" w:cs="Times New Roman"/>
      <w:noProof/>
      <w:sz w:val="22"/>
      <w:lang w:val="en-GB" w:eastAsia="en-US"/>
    </w:rPr>
  </w:style>
  <w:style w:type="paragraph" w:styleId="Heading6">
    <w:name w:val="heading 6"/>
    <w:basedOn w:val="Normal"/>
    <w:next w:val="Normal"/>
    <w:link w:val="Heading6Char"/>
    <w:uiPriority w:val="99"/>
    <w:qFormat/>
    <w:rsid w:val="00112208"/>
    <w:pPr>
      <w:keepNext/>
      <w:keepLines/>
      <w:tabs>
        <w:tab w:val="right" w:pos="4536"/>
        <w:tab w:val="left" w:pos="5180"/>
        <w:tab w:val="left" w:pos="5380"/>
        <w:tab w:val="left" w:pos="8222"/>
      </w:tabs>
      <w:outlineLvl w:val="5"/>
    </w:pPr>
    <w:rPr>
      <w:rFonts w:eastAsia="Times New Roman" w:cs="Times New Roman"/>
      <w:b/>
      <w:lang w:val="en-US"/>
    </w:rPr>
  </w:style>
  <w:style w:type="paragraph" w:styleId="Heading7">
    <w:name w:val="heading 7"/>
    <w:basedOn w:val="Normal"/>
    <w:next w:val="Normal"/>
    <w:link w:val="Heading7Char"/>
    <w:uiPriority w:val="99"/>
    <w:qFormat/>
    <w:rsid w:val="00112208"/>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Heading8">
    <w:name w:val="heading 8"/>
    <w:basedOn w:val="Normal"/>
    <w:next w:val="Normal"/>
    <w:link w:val="Heading8Char"/>
    <w:uiPriority w:val="99"/>
    <w:qFormat/>
    <w:rsid w:val="00112208"/>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Heading9">
    <w:name w:val="heading 9"/>
    <w:basedOn w:val="Normal"/>
    <w:next w:val="Normal"/>
    <w:link w:val="Heading9Char"/>
    <w:uiPriority w:val="99"/>
    <w:qFormat/>
    <w:rsid w:val="00112208"/>
    <w:pPr>
      <w:keepNext/>
      <w:tabs>
        <w:tab w:val="left" w:pos="567"/>
      </w:tabs>
      <w:spacing w:line="260" w:lineRule="exact"/>
      <w:jc w:val="both"/>
      <w:outlineLvl w:val="8"/>
    </w:pPr>
    <w:rPr>
      <w:rFonts w:eastAsia="SimSun" w:cs="Times New Roman"/>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12208"/>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112208"/>
    <w:rPr>
      <w:rFonts w:ascii="Times New Roman" w:eastAsia="Times New Roman" w:hAnsi="Times New Roman" w:cs="Times New Roman"/>
      <w:b/>
      <w:sz w:val="24"/>
      <w:szCs w:val="20"/>
      <w:u w:val="single"/>
      <w:lang w:eastAsia="sl-SI"/>
    </w:rPr>
  </w:style>
  <w:style w:type="character" w:customStyle="1" w:styleId="Heading3Char">
    <w:name w:val="Heading 3 Char"/>
    <w:basedOn w:val="DefaultParagraphFont"/>
    <w:link w:val="Heading3"/>
    <w:uiPriority w:val="99"/>
    <w:rsid w:val="00112208"/>
    <w:rPr>
      <w:rFonts w:ascii="Times New Roman" w:eastAsia="Times New Roman" w:hAnsi="Times New Roman" w:cs="Times New Roman"/>
      <w:b/>
      <w:sz w:val="24"/>
      <w:szCs w:val="20"/>
      <w:lang w:eastAsia="sl-SI"/>
    </w:rPr>
  </w:style>
  <w:style w:type="character" w:customStyle="1" w:styleId="Heading4Char">
    <w:name w:val="Heading 4 Char"/>
    <w:basedOn w:val="DefaultParagraphFont"/>
    <w:link w:val="Heading4"/>
    <w:uiPriority w:val="99"/>
    <w:rsid w:val="00112208"/>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112208"/>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112208"/>
    <w:rPr>
      <w:rFonts w:ascii="Times New Roman" w:eastAsia="Times New Roman" w:hAnsi="Times New Roman" w:cs="Times New Roman"/>
      <w:b/>
      <w:sz w:val="24"/>
      <w:szCs w:val="20"/>
      <w:lang w:eastAsia="sl-SI"/>
    </w:rPr>
  </w:style>
  <w:style w:type="character" w:customStyle="1" w:styleId="Heading7Char">
    <w:name w:val="Heading 7 Char"/>
    <w:basedOn w:val="DefaultParagraphFont"/>
    <w:link w:val="Heading7"/>
    <w:uiPriority w:val="99"/>
    <w:rsid w:val="00112208"/>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112208"/>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112208"/>
    <w:rPr>
      <w:rFonts w:ascii="Times New Roman" w:eastAsia="SimSun" w:hAnsi="Times New Roman" w:cs="Times New Roman"/>
      <w:b/>
      <w:i/>
      <w:szCs w:val="20"/>
      <w:lang w:val="en-GB"/>
    </w:rPr>
  </w:style>
  <w:style w:type="paragraph" w:styleId="Caption">
    <w:name w:val="caption"/>
    <w:basedOn w:val="Normal"/>
    <w:next w:val="Normal"/>
    <w:qFormat/>
    <w:rsid w:val="00112208"/>
    <w:pPr>
      <w:jc w:val="both"/>
    </w:pPr>
    <w:rPr>
      <w:rFonts w:eastAsia="Times New Roman" w:cs="Times New Roman"/>
      <w:lang w:val="en-GB"/>
    </w:rPr>
  </w:style>
  <w:style w:type="paragraph" w:styleId="Title">
    <w:name w:val="Title"/>
    <w:basedOn w:val="Normal"/>
    <w:link w:val="TitleChar"/>
    <w:uiPriority w:val="99"/>
    <w:qFormat/>
    <w:rsid w:val="00112208"/>
    <w:pPr>
      <w:jc w:val="center"/>
    </w:pPr>
    <w:rPr>
      <w:rFonts w:eastAsia="SimSun" w:cs="Times New Roman"/>
      <w:b/>
      <w:sz w:val="22"/>
      <w:lang w:val="en-GB" w:eastAsia="en-US"/>
    </w:rPr>
  </w:style>
  <w:style w:type="character" w:customStyle="1" w:styleId="TitleChar">
    <w:name w:val="Title Char"/>
    <w:basedOn w:val="DefaultParagraphFont"/>
    <w:link w:val="Title"/>
    <w:uiPriority w:val="99"/>
    <w:rsid w:val="00112208"/>
    <w:rPr>
      <w:rFonts w:ascii="Times New Roman" w:eastAsia="SimSun" w:hAnsi="Times New Roman" w:cs="Times New Roman"/>
      <w:b/>
      <w:szCs w:val="20"/>
      <w:lang w:val="en-GB"/>
    </w:rPr>
  </w:style>
  <w:style w:type="character" w:styleId="Strong">
    <w:name w:val="Strong"/>
    <w:uiPriority w:val="99"/>
    <w:qFormat/>
    <w:rsid w:val="00112208"/>
    <w:rPr>
      <w:rFonts w:cs="Times New Roman"/>
      <w:b/>
      <w:bCs/>
    </w:rPr>
  </w:style>
  <w:style w:type="paragraph" w:styleId="NoSpacing">
    <w:name w:val="No Spacing"/>
    <w:uiPriority w:val="1"/>
    <w:qFormat/>
    <w:rsid w:val="00ED5B06"/>
    <w:pPr>
      <w:tabs>
        <w:tab w:val="left" w:pos="567"/>
      </w:tabs>
      <w:spacing w:after="0" w:line="240" w:lineRule="auto"/>
    </w:pPr>
    <w:rPr>
      <w:rFonts w:ascii="Times New Roman" w:eastAsia="Times New Roman" w:hAnsi="Times New Roman" w:cs="Times New Roman"/>
      <w:snapToGrid w:val="0"/>
      <w:szCs w:val="20"/>
      <w:lang w:val="en-GB"/>
    </w:rPr>
  </w:style>
  <w:style w:type="paragraph" w:styleId="ListParagraph">
    <w:name w:val="List Paragraph"/>
    <w:basedOn w:val="Normal"/>
    <w:uiPriority w:val="34"/>
    <w:qFormat/>
    <w:rsid w:val="00112208"/>
    <w:pPr>
      <w:ind w:left="720"/>
      <w:contextualSpacing/>
    </w:pPr>
    <w:rPr>
      <w:rFonts w:eastAsia="Times New Roman" w:cs="Times New Roman"/>
    </w:rPr>
  </w:style>
  <w:style w:type="numbering" w:customStyle="1" w:styleId="NoList1">
    <w:name w:val="No List1"/>
    <w:next w:val="NoList"/>
    <w:uiPriority w:val="99"/>
    <w:semiHidden/>
    <w:unhideWhenUsed/>
    <w:rsid w:val="00112208"/>
  </w:style>
  <w:style w:type="paragraph" w:styleId="Footer">
    <w:name w:val="footer"/>
    <w:basedOn w:val="Normal"/>
    <w:link w:val="FooterChar"/>
    <w:uiPriority w:val="99"/>
    <w:rsid w:val="00112208"/>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FooterChar">
    <w:name w:val="Footer Char"/>
    <w:basedOn w:val="DefaultParagraphFont"/>
    <w:link w:val="Footer"/>
    <w:uiPriority w:val="99"/>
    <w:rsid w:val="00112208"/>
    <w:rPr>
      <w:rFonts w:ascii="Arial" w:eastAsia="Times New Roman" w:hAnsi="Arial" w:cs="Times New Roman"/>
      <w:noProof/>
      <w:sz w:val="16"/>
      <w:szCs w:val="20"/>
      <w:lang w:val="lt-LT" w:eastAsia="lt-LT" w:bidi="lt-LT"/>
    </w:rPr>
  </w:style>
  <w:style w:type="paragraph" w:styleId="Header">
    <w:name w:val="header"/>
    <w:basedOn w:val="Normal"/>
    <w:link w:val="HeaderChar"/>
    <w:rsid w:val="00112208"/>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HeaderChar">
    <w:name w:val="Header Char"/>
    <w:basedOn w:val="DefaultParagraphFont"/>
    <w:link w:val="Header"/>
    <w:rsid w:val="00112208"/>
    <w:rPr>
      <w:rFonts w:ascii="Arial" w:eastAsia="Times New Roman" w:hAnsi="Arial" w:cs="Times New Roman"/>
      <w:sz w:val="20"/>
      <w:szCs w:val="20"/>
      <w:lang w:val="lt-LT" w:eastAsia="lt-LT" w:bidi="lt-LT"/>
    </w:rPr>
  </w:style>
  <w:style w:type="paragraph" w:customStyle="1" w:styleId="MemoHeaderStyle">
    <w:name w:val="MemoHeaderStyle"/>
    <w:basedOn w:val="Normal"/>
    <w:next w:val="Normal"/>
    <w:rsid w:val="00112208"/>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ageNumber">
    <w:name w:val="page number"/>
    <w:basedOn w:val="DefaultParagraphFont"/>
    <w:rsid w:val="00112208"/>
  </w:style>
  <w:style w:type="paragraph" w:styleId="BodyText">
    <w:name w:val="Body Text"/>
    <w:basedOn w:val="Normal"/>
    <w:link w:val="BodyTextChar"/>
    <w:rsid w:val="00112208"/>
    <w:rPr>
      <w:rFonts w:eastAsia="Times New Roman" w:cs="Times New Roman"/>
      <w:i/>
      <w:color w:val="008000"/>
      <w:sz w:val="22"/>
      <w:lang w:val="lt-LT" w:eastAsia="lt-LT" w:bidi="lt-LT"/>
    </w:rPr>
  </w:style>
  <w:style w:type="character" w:customStyle="1" w:styleId="BodyTextChar">
    <w:name w:val="Body Text Char"/>
    <w:basedOn w:val="DefaultParagraphFont"/>
    <w:link w:val="BodyText"/>
    <w:rsid w:val="00112208"/>
    <w:rPr>
      <w:rFonts w:ascii="Times New Roman" w:eastAsia="Times New Roman" w:hAnsi="Times New Roman" w:cs="Times New Roman"/>
      <w:i/>
      <w:color w:val="008000"/>
      <w:szCs w:val="20"/>
      <w:lang w:val="lt-LT" w:eastAsia="lt-LT" w:bidi="lt-LT"/>
    </w:rPr>
  </w:style>
  <w:style w:type="paragraph" w:styleId="CommentText">
    <w:name w:val="annotation text"/>
    <w:basedOn w:val="Normal"/>
    <w:link w:val="CommentTextChar"/>
    <w:uiPriority w:val="99"/>
    <w:semiHidden/>
    <w:unhideWhenUsed/>
    <w:rsid w:val="00112208"/>
    <w:pPr>
      <w:tabs>
        <w:tab w:val="left" w:pos="567"/>
      </w:tabs>
    </w:pPr>
    <w:rPr>
      <w:rFonts w:eastAsia="Times New Roman" w:cs="Times New Roman"/>
      <w:sz w:val="20"/>
      <w:lang w:val="lt-LT" w:eastAsia="lt-LT" w:bidi="lt-LT"/>
    </w:rPr>
  </w:style>
  <w:style w:type="character" w:customStyle="1" w:styleId="CommentTextChar">
    <w:name w:val="Comment Text Char"/>
    <w:basedOn w:val="DefaultParagraphFont"/>
    <w:link w:val="CommentText"/>
    <w:uiPriority w:val="99"/>
    <w:semiHidden/>
    <w:rsid w:val="00112208"/>
    <w:rPr>
      <w:rFonts w:ascii="Times New Roman" w:eastAsia="Times New Roman" w:hAnsi="Times New Roman" w:cs="Times New Roman"/>
      <w:sz w:val="20"/>
      <w:szCs w:val="20"/>
      <w:lang w:val="lt-LT" w:eastAsia="lt-LT" w:bidi="lt-LT"/>
    </w:rPr>
  </w:style>
  <w:style w:type="character" w:styleId="Hyperlink">
    <w:name w:val="Hyperlink"/>
    <w:rsid w:val="00112208"/>
    <w:rPr>
      <w:color w:val="0000FF"/>
      <w:u w:val="single"/>
    </w:rPr>
  </w:style>
  <w:style w:type="paragraph" w:customStyle="1" w:styleId="EMEAEnBodyText">
    <w:name w:val="EMEA En Body Text"/>
    <w:basedOn w:val="Normal"/>
    <w:rsid w:val="00112208"/>
    <w:pPr>
      <w:spacing w:before="120" w:after="120"/>
      <w:jc w:val="both"/>
    </w:pPr>
    <w:rPr>
      <w:rFonts w:eastAsia="Times New Roman" w:cs="Times New Roman"/>
      <w:sz w:val="22"/>
      <w:lang w:val="lt-LT" w:eastAsia="lt-LT" w:bidi="lt-LT"/>
    </w:rPr>
  </w:style>
  <w:style w:type="paragraph" w:styleId="BalloonText">
    <w:name w:val="Balloon Text"/>
    <w:basedOn w:val="Normal"/>
    <w:link w:val="BalloonTextChar"/>
    <w:semiHidden/>
    <w:rsid w:val="00112208"/>
    <w:pPr>
      <w:tabs>
        <w:tab w:val="left" w:pos="567"/>
      </w:tabs>
      <w:spacing w:line="260" w:lineRule="exact"/>
    </w:pPr>
    <w:rPr>
      <w:rFonts w:ascii="Tahoma" w:eastAsia="Times New Roman" w:hAnsi="Tahoma" w:cs="Tahoma"/>
      <w:sz w:val="16"/>
      <w:szCs w:val="16"/>
      <w:lang w:val="lt-LT" w:eastAsia="lt-LT" w:bidi="lt-LT"/>
    </w:rPr>
  </w:style>
  <w:style w:type="character" w:customStyle="1" w:styleId="BalloonTextChar">
    <w:name w:val="Balloon Text Char"/>
    <w:basedOn w:val="DefaultParagraphFont"/>
    <w:link w:val="BalloonText"/>
    <w:semiHidden/>
    <w:rsid w:val="00112208"/>
    <w:rPr>
      <w:rFonts w:ascii="Tahoma" w:eastAsia="Times New Roman" w:hAnsi="Tahoma" w:cs="Tahoma"/>
      <w:sz w:val="16"/>
      <w:szCs w:val="16"/>
      <w:lang w:val="lt-LT" w:eastAsia="lt-LT" w:bidi="lt-LT"/>
    </w:rPr>
  </w:style>
  <w:style w:type="paragraph" w:customStyle="1" w:styleId="BodytextAgency">
    <w:name w:val="Body text (Agency)"/>
    <w:basedOn w:val="Normal"/>
    <w:link w:val="BodytextAgencyChar"/>
    <w:rsid w:val="0011220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112208"/>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112208"/>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112208"/>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ED5B06"/>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sid w:val="00112208"/>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12208"/>
    <w:pPr>
      <w:keepNext/>
    </w:pPr>
    <w:rPr>
      <w:rFonts w:eastAsia="Times New Roman"/>
      <w:b/>
    </w:rPr>
  </w:style>
  <w:style w:type="paragraph" w:customStyle="1" w:styleId="TabletextrowsAgency">
    <w:name w:val="Table text rows (Agency)"/>
    <w:basedOn w:val="Normal"/>
    <w:rsid w:val="00112208"/>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112208"/>
    <w:rPr>
      <w:rFonts w:ascii="Verdana" w:eastAsia="Verdana" w:hAnsi="Verdana" w:cs="Verdana"/>
      <w:sz w:val="18"/>
      <w:szCs w:val="18"/>
      <w:lang w:val="lt-LT" w:eastAsia="lt-LT" w:bidi="lt-LT"/>
    </w:rPr>
  </w:style>
  <w:style w:type="character" w:styleId="CommentReference">
    <w:name w:val="annotation reference"/>
    <w:basedOn w:val="DefaultParagraphFont"/>
    <w:uiPriority w:val="99"/>
    <w:semiHidden/>
    <w:unhideWhenUsed/>
    <w:rsid w:val="00112208"/>
    <w:rPr>
      <w:sz w:val="16"/>
      <w:szCs w:val="16"/>
    </w:rPr>
  </w:style>
  <w:style w:type="paragraph" w:styleId="CommentSubject">
    <w:name w:val="annotation subject"/>
    <w:basedOn w:val="CommentText"/>
    <w:next w:val="CommentText"/>
    <w:link w:val="CommentSubjectChar"/>
    <w:rsid w:val="00112208"/>
    <w:rPr>
      <w:b/>
      <w:bCs/>
    </w:rPr>
  </w:style>
  <w:style w:type="character" w:customStyle="1" w:styleId="CommentSubjectChar">
    <w:name w:val="Comment Subject Char"/>
    <w:basedOn w:val="CommentTextChar"/>
    <w:link w:val="CommentSubject"/>
    <w:rsid w:val="00112208"/>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112208"/>
    <w:rPr>
      <w:b/>
      <w:noProof/>
      <w:szCs w:val="22"/>
    </w:rPr>
  </w:style>
  <w:style w:type="paragraph" w:customStyle="1" w:styleId="BT-EMEASMCA">
    <w:name w:val="BT- EMEA_SMCA"/>
    <w:basedOn w:val="Normal"/>
    <w:rsid w:val="00112208"/>
    <w:pPr>
      <w:numPr>
        <w:numId w:val="8"/>
      </w:numPr>
    </w:pPr>
  </w:style>
  <w:style w:type="table" w:styleId="TableGrid">
    <w:name w:val="Table Grid"/>
    <w:basedOn w:val="TableNormal"/>
    <w:uiPriority w:val="59"/>
    <w:rsid w:val="0011220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2208"/>
    <w:rPr>
      <w:sz w:val="20"/>
    </w:rPr>
  </w:style>
  <w:style w:type="character" w:customStyle="1" w:styleId="FootnoteTextChar">
    <w:name w:val="Footnote Text Char"/>
    <w:basedOn w:val="DefaultParagraphFont"/>
    <w:link w:val="FootnoteText"/>
    <w:uiPriority w:val="99"/>
    <w:semiHidden/>
    <w:rsid w:val="00112208"/>
    <w:rPr>
      <w:rFonts w:ascii="Times New Roman" w:hAnsi="Times New Roman"/>
      <w:sz w:val="20"/>
      <w:szCs w:val="20"/>
      <w:lang w:val="sl-SI" w:eastAsia="sl-SI"/>
    </w:rPr>
  </w:style>
  <w:style w:type="character" w:styleId="FootnoteReference">
    <w:name w:val="footnote reference"/>
    <w:basedOn w:val="DefaultParagraphFont"/>
    <w:uiPriority w:val="99"/>
    <w:semiHidden/>
    <w:unhideWhenUsed/>
    <w:rsid w:val="00112208"/>
    <w:rPr>
      <w:vertAlign w:val="superscript"/>
    </w:rPr>
  </w:style>
  <w:style w:type="paragraph" w:customStyle="1" w:styleId="Default">
    <w:name w:val="Default"/>
    <w:rsid w:val="00ED5B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11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lithuania@medochem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44405</Words>
  <Characters>25312</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2021-12-14T11:10:00Z</dcterms:created>
  <dcterms:modified xsi:type="dcterms:W3CDTF">2021-12-14T11:10:00Z</dcterms:modified>
</cp:coreProperties>
</file>