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E00D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423134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0A8174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B91383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D26456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041A62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19044A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6A627F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F56EC4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4B3D0E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160F88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02AC34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9381FE" w14:textId="77777777" w:rsidR="00ED57CD" w:rsidRPr="00ED57CD" w:rsidRDefault="00ED57CD" w:rsidP="00ED57CD">
      <w:pPr>
        <w:tabs>
          <w:tab w:val="left" w:pos="567"/>
        </w:tabs>
        <w:spacing w:after="0" w:line="240" w:lineRule="auto"/>
        <w:ind w:right="141"/>
        <w:rPr>
          <w:rFonts w:ascii="Times New Roman" w:eastAsia="SimSun" w:hAnsi="Times New Roman"/>
          <w:lang w:eastAsia="zh-CN"/>
        </w:rPr>
      </w:pPr>
    </w:p>
    <w:p w14:paraId="0CEED46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1563E5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A1824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3103B0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0B670B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20DD94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855E56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24F10B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4103F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F41D92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C34460B"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I PRIEDAS</w:t>
      </w:r>
    </w:p>
    <w:p w14:paraId="5C6FF98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EC4683D"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PREPARATO CHARAKTERISTIKŲ SANTRAUKA</w:t>
      </w:r>
    </w:p>
    <w:p w14:paraId="5FDFCED7" w14:textId="77777777" w:rsidR="00ED57CD" w:rsidRPr="00ED57CD" w:rsidRDefault="00ED57CD" w:rsidP="00ED57CD">
      <w:pPr>
        <w:keepNext/>
        <w:tabs>
          <w:tab w:val="left" w:pos="567"/>
        </w:tabs>
        <w:spacing w:after="0" w:line="240" w:lineRule="auto"/>
        <w:ind w:left="567" w:hanging="567"/>
        <w:outlineLvl w:val="1"/>
        <w:rPr>
          <w:rFonts w:ascii="Times New Roman" w:eastAsia="SimSun" w:hAnsi="Times New Roman"/>
          <w:b/>
          <w:bCs/>
          <w:lang w:eastAsia="zh-CN"/>
        </w:rPr>
      </w:pPr>
      <w:r w:rsidRPr="00ED57CD">
        <w:rPr>
          <w:rFonts w:ascii="Times New Roman" w:eastAsia="SimSun" w:hAnsi="Times New Roman"/>
          <w:b/>
          <w:snapToGrid w:val="0"/>
          <w:lang w:eastAsia="zh-CN"/>
        </w:rPr>
        <w:br w:type="page"/>
      </w:r>
      <w:bookmarkStart w:id="0" w:name="_Toc129243098"/>
      <w:bookmarkStart w:id="1" w:name="_Toc129243223"/>
      <w:r w:rsidRPr="00ED57CD">
        <w:rPr>
          <w:rFonts w:ascii="Times New Roman" w:eastAsia="SimSun" w:hAnsi="Times New Roman"/>
          <w:b/>
          <w:bCs/>
          <w:lang w:eastAsia="zh-CN"/>
        </w:rPr>
        <w:lastRenderedPageBreak/>
        <w:t>1.</w:t>
      </w:r>
      <w:r w:rsidRPr="00ED57CD">
        <w:rPr>
          <w:rFonts w:ascii="Times New Roman" w:eastAsia="SimSun" w:hAnsi="Times New Roman"/>
          <w:b/>
          <w:bCs/>
          <w:lang w:eastAsia="zh-CN"/>
        </w:rPr>
        <w:tab/>
        <w:t>VAISTINIO PREPARATO PAVADINIMAS</w:t>
      </w:r>
      <w:bookmarkEnd w:id="0"/>
      <w:bookmarkEnd w:id="1"/>
    </w:p>
    <w:p w14:paraId="280EF06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29D1F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30 mg / 12,5 mg plėvele dengtos tabletės</w:t>
      </w:r>
    </w:p>
    <w:p w14:paraId="3F69118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CD23A3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81119F6" w14:textId="77777777" w:rsidR="00ED57CD" w:rsidRPr="00ED57CD" w:rsidRDefault="00ED57CD" w:rsidP="00ED57CD">
      <w:pPr>
        <w:keepNext/>
        <w:tabs>
          <w:tab w:val="left" w:pos="567"/>
        </w:tabs>
        <w:spacing w:after="0" w:line="240" w:lineRule="auto"/>
        <w:ind w:left="567" w:hanging="567"/>
        <w:outlineLvl w:val="1"/>
        <w:rPr>
          <w:rFonts w:ascii="Times New Roman" w:eastAsia="SimSun" w:hAnsi="Times New Roman"/>
          <w:b/>
          <w:bCs/>
          <w:lang w:eastAsia="zh-CN"/>
        </w:rPr>
      </w:pPr>
      <w:bookmarkStart w:id="2" w:name="_Toc129243099"/>
      <w:bookmarkStart w:id="3" w:name="_Toc129243224"/>
      <w:r w:rsidRPr="00ED57CD">
        <w:rPr>
          <w:rFonts w:ascii="Times New Roman" w:eastAsia="SimSun" w:hAnsi="Times New Roman"/>
          <w:b/>
          <w:bCs/>
          <w:lang w:eastAsia="zh-CN"/>
        </w:rPr>
        <w:t>2.</w:t>
      </w:r>
      <w:r w:rsidRPr="00ED57CD">
        <w:rPr>
          <w:rFonts w:ascii="Times New Roman" w:eastAsia="SimSun" w:hAnsi="Times New Roman"/>
          <w:b/>
          <w:bCs/>
          <w:lang w:eastAsia="zh-CN"/>
        </w:rPr>
        <w:tab/>
        <w:t>KOKYBINĖ IR KIEKYBINĖ SUDĖTIS</w:t>
      </w:r>
      <w:bookmarkEnd w:id="2"/>
      <w:bookmarkEnd w:id="3"/>
    </w:p>
    <w:p w14:paraId="731DF078"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5E9F205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Kiekvienoje plėvele dengtoje tabletėje yra 30 mg zofenoprilio kalcio druskos ir 12,5 mg hidrochlorotiazido.</w:t>
      </w:r>
    </w:p>
    <w:p w14:paraId="19A836B8" w14:textId="77777777" w:rsidR="00ED57CD" w:rsidRPr="00ED57CD" w:rsidRDefault="00ED57CD" w:rsidP="00ED57CD">
      <w:pPr>
        <w:tabs>
          <w:tab w:val="left" w:pos="567"/>
        </w:tabs>
        <w:spacing w:after="0" w:line="240" w:lineRule="auto"/>
        <w:rPr>
          <w:rFonts w:ascii="Times New Roman" w:eastAsia="SimSun" w:hAnsi="Times New Roman"/>
          <w:highlight w:val="yellow"/>
          <w:lang w:eastAsia="zh-CN"/>
        </w:rPr>
      </w:pPr>
    </w:p>
    <w:p w14:paraId="1F98CCB4" w14:textId="0B204906" w:rsidR="00ED7880"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u w:val="single"/>
          <w:lang w:eastAsia="zh-CN"/>
        </w:rPr>
        <w:t>Pagalbinė (-s) medžiaga (-os), kurios (-ių) poveikis žinomas</w:t>
      </w:r>
    </w:p>
    <w:p w14:paraId="65480283" w14:textId="306D186A" w:rsidR="00ED57CD" w:rsidRPr="00ED57CD" w:rsidRDefault="00ED7880"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K</w:t>
      </w:r>
      <w:r w:rsidR="00ED57CD" w:rsidRPr="00ED57CD">
        <w:rPr>
          <w:rFonts w:ascii="Times New Roman" w:eastAsia="SimSun" w:hAnsi="Times New Roman"/>
          <w:lang w:eastAsia="zh-CN"/>
        </w:rPr>
        <w:t>iekvienoje plėvele dengtoje tabletėje yra 51,05 mg laktozės monohidrato ir dažiklio saulėlydžio geltonojo (E110).</w:t>
      </w:r>
    </w:p>
    <w:p w14:paraId="16955B58" w14:textId="77777777" w:rsidR="00ED57CD" w:rsidRPr="00ED57CD" w:rsidRDefault="00ED57CD" w:rsidP="00ED57CD">
      <w:pPr>
        <w:tabs>
          <w:tab w:val="left" w:pos="567"/>
        </w:tabs>
        <w:spacing w:after="0" w:line="240" w:lineRule="auto"/>
        <w:rPr>
          <w:rFonts w:ascii="Times New Roman" w:eastAsia="SimSun" w:hAnsi="Times New Roman"/>
          <w:lang w:eastAsia="zh-CN"/>
        </w:rPr>
      </w:pPr>
      <w:bookmarkStart w:id="4" w:name="_GoBack"/>
    </w:p>
    <w:bookmarkEnd w:id="4"/>
    <w:p w14:paraId="7ADE0D3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Visos pagalbinės medžiagos išvardytos 6.1 skyriuje.</w:t>
      </w:r>
    </w:p>
    <w:p w14:paraId="33AD02EB"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0F55BD6D"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6750C015" w14:textId="77777777" w:rsidR="00ED57CD" w:rsidRPr="00ED57CD" w:rsidRDefault="00ED57CD" w:rsidP="00ED57CD">
      <w:pPr>
        <w:keepNext/>
        <w:tabs>
          <w:tab w:val="left" w:pos="567"/>
        </w:tabs>
        <w:spacing w:after="0" w:line="240" w:lineRule="auto"/>
        <w:ind w:left="567" w:hanging="567"/>
        <w:outlineLvl w:val="1"/>
        <w:rPr>
          <w:rFonts w:ascii="Times New Roman" w:eastAsia="SimSun" w:hAnsi="Times New Roman"/>
          <w:b/>
          <w:bCs/>
          <w:lang w:eastAsia="zh-CN"/>
        </w:rPr>
      </w:pPr>
      <w:bookmarkStart w:id="5" w:name="_Toc129243100"/>
      <w:bookmarkStart w:id="6" w:name="_Toc129243225"/>
      <w:r w:rsidRPr="00ED57CD">
        <w:rPr>
          <w:rFonts w:ascii="Times New Roman" w:eastAsia="SimSun" w:hAnsi="Times New Roman"/>
          <w:b/>
          <w:bCs/>
          <w:lang w:eastAsia="zh-CN"/>
        </w:rPr>
        <w:t>3.</w:t>
      </w:r>
      <w:r w:rsidRPr="00ED57CD">
        <w:rPr>
          <w:rFonts w:ascii="Times New Roman" w:eastAsia="SimSun" w:hAnsi="Times New Roman"/>
          <w:b/>
          <w:bCs/>
          <w:lang w:eastAsia="zh-CN"/>
        </w:rPr>
        <w:tab/>
        <w:t>FARMACINĖ FORMA</w:t>
      </w:r>
      <w:bookmarkEnd w:id="5"/>
      <w:bookmarkEnd w:id="6"/>
    </w:p>
    <w:p w14:paraId="1FE5DC6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044BE5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Plėvele dengta tabletė.</w:t>
      </w:r>
    </w:p>
    <w:p w14:paraId="784723E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C38A73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Šviesiai raudonos, apvalios, 9 mm skersmens, su laužimo vagele vienoje pusėje, plėvele dengtos tabletės.</w:t>
      </w:r>
    </w:p>
    <w:p w14:paraId="0473A44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Laužimo vagelė skirta tik tabletei perlaužti, kad būtų lengviau nuryti, bet ne jai padalyti į lygias dozes.</w:t>
      </w:r>
    </w:p>
    <w:p w14:paraId="6370F8B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002CA5F"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061A46FA" w14:textId="77777777" w:rsidR="00ED57CD" w:rsidRPr="00ED57CD" w:rsidRDefault="00ED57CD" w:rsidP="00ED57CD">
      <w:pPr>
        <w:keepNext/>
        <w:tabs>
          <w:tab w:val="left" w:pos="567"/>
        </w:tabs>
        <w:spacing w:after="0" w:line="240" w:lineRule="auto"/>
        <w:ind w:left="567" w:hanging="567"/>
        <w:outlineLvl w:val="1"/>
        <w:rPr>
          <w:rFonts w:ascii="Times New Roman" w:eastAsia="SimSun" w:hAnsi="Times New Roman"/>
          <w:b/>
          <w:bCs/>
          <w:lang w:eastAsia="zh-CN"/>
        </w:rPr>
      </w:pPr>
      <w:bookmarkStart w:id="7" w:name="_Toc129243101"/>
      <w:bookmarkStart w:id="8" w:name="_Toc129243226"/>
      <w:r w:rsidRPr="00ED57CD">
        <w:rPr>
          <w:rFonts w:ascii="Times New Roman" w:eastAsia="SimSun" w:hAnsi="Times New Roman"/>
          <w:b/>
          <w:bCs/>
          <w:lang w:eastAsia="zh-CN"/>
        </w:rPr>
        <w:t>4.</w:t>
      </w:r>
      <w:r w:rsidRPr="00ED57CD">
        <w:rPr>
          <w:rFonts w:ascii="Times New Roman" w:eastAsia="SimSun" w:hAnsi="Times New Roman"/>
          <w:b/>
          <w:bCs/>
          <w:lang w:eastAsia="zh-CN"/>
        </w:rPr>
        <w:tab/>
        <w:t>KLINIKINĖ INFORMACIJA</w:t>
      </w:r>
      <w:bookmarkEnd w:id="7"/>
      <w:bookmarkEnd w:id="8"/>
    </w:p>
    <w:p w14:paraId="39219B98"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595AF56C"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9" w:name="_Toc129243102"/>
      <w:bookmarkStart w:id="10" w:name="_Toc129243227"/>
      <w:r w:rsidRPr="00ED57CD">
        <w:rPr>
          <w:rFonts w:ascii="Times New Roman" w:eastAsia="SimSun" w:hAnsi="Times New Roman"/>
          <w:b/>
          <w:lang w:eastAsia="zh-CN"/>
        </w:rPr>
        <w:t>4.1</w:t>
      </w:r>
      <w:r w:rsidRPr="00ED57CD">
        <w:rPr>
          <w:rFonts w:ascii="Times New Roman" w:eastAsia="SimSun" w:hAnsi="Times New Roman"/>
          <w:b/>
          <w:lang w:eastAsia="zh-CN"/>
        </w:rPr>
        <w:tab/>
        <w:t>Terapinės indikacijos</w:t>
      </w:r>
      <w:bookmarkEnd w:id="9"/>
      <w:bookmarkEnd w:id="10"/>
    </w:p>
    <w:p w14:paraId="118623D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21A201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Lengvos arba vidutinio sunkumo pirminės arterinės hipertenzijos gydymas.</w:t>
      </w:r>
    </w:p>
    <w:p w14:paraId="1F4DC72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lt-LT"/>
        </w:rPr>
        <w:t>Fiksuotų dozių derinys skirtas pacientams gydyti, kai jų kraujospūdis nepakankamai sureguliuojamas zofenoprilio monoterapija.</w:t>
      </w:r>
    </w:p>
    <w:p w14:paraId="05DF0BB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8D19425"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11" w:name="_Toc129243103"/>
      <w:bookmarkStart w:id="12" w:name="_Toc129243228"/>
      <w:r w:rsidRPr="00ED57CD">
        <w:rPr>
          <w:rFonts w:ascii="Times New Roman" w:eastAsia="SimSun" w:hAnsi="Times New Roman"/>
          <w:b/>
          <w:lang w:eastAsia="zh-CN"/>
        </w:rPr>
        <w:t>4.2</w:t>
      </w:r>
      <w:r w:rsidRPr="00ED57CD">
        <w:rPr>
          <w:rFonts w:ascii="Times New Roman" w:eastAsia="SimSun" w:hAnsi="Times New Roman"/>
          <w:b/>
          <w:lang w:eastAsia="zh-CN"/>
        </w:rPr>
        <w:tab/>
        <w:t>Dozavimas ir vartojimo metodas</w:t>
      </w:r>
      <w:bookmarkEnd w:id="11"/>
      <w:bookmarkEnd w:id="12"/>
    </w:p>
    <w:p w14:paraId="7B2D2468"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0DDAA93D" w14:textId="77777777" w:rsidR="00ED57CD" w:rsidRPr="00ED57CD" w:rsidRDefault="00ED57CD" w:rsidP="00ED57CD">
      <w:pPr>
        <w:tabs>
          <w:tab w:val="left" w:pos="0"/>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Dozavimas</w:t>
      </w:r>
    </w:p>
    <w:p w14:paraId="189B3B97"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1649CCB3"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Bendrieji duomenys</w:t>
      </w:r>
    </w:p>
    <w:p w14:paraId="283EB563"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 xml:space="preserve">Prieš pereinant prie gydymo fiksuotų dozių deriniu, rekomenduojama palengva didinti atskirų komponentų (tai yra zofenoprilio ir hidrochlorotiazido) dozę. Jei ligos požymiai stiprėja, galima spręsti dėl tiesioginio perėjimo nuo monoterapijos prie dviejų komponentų derinio. </w:t>
      </w:r>
    </w:p>
    <w:p w14:paraId="08C15FF3"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7D8A9D9A"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Suaugusiesiems</w:t>
      </w:r>
    </w:p>
    <w:p w14:paraId="49CD2337"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p>
    <w:p w14:paraId="5DCCE200"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Pacientams, kurių organizme skysčių ir druskų netrūksta</w:t>
      </w:r>
    </w:p>
    <w:p w14:paraId="1806FED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Įprastinė veiksminga dozė yra viena tabletė per parą.</w:t>
      </w:r>
    </w:p>
    <w:p w14:paraId="5F6BDDC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827899C"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Pacientams, kurių organizme skysčių ar druskų kiekis gali būti nepakankamas </w:t>
      </w:r>
    </w:p>
    <w:p w14:paraId="2FD7049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vartoti nerekomenduojama.</w:t>
      </w:r>
    </w:p>
    <w:p w14:paraId="66D88D7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CB8024C"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Senyviems &gt; 65 metų pacientams</w:t>
      </w:r>
    </w:p>
    <w:p w14:paraId="5A3CDEF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Senyviems pacientams, kurių kreatinino klirensas normalus, dozės keisti nereikia. </w:t>
      </w:r>
    </w:p>
    <w:p w14:paraId="6C41D2B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Senyviems pacientams, kurių kreatinino klirensas yra sumažėjęs (mažesnis kaip 45 ml/min.), Zofenopril / Hydrochlorothiazide Ingen Pharma vartoti nerekomenduojama.</w:t>
      </w:r>
    </w:p>
    <w:p w14:paraId="343E7AE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BFE76B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 xml:space="preserve">Kreatinino klirensą galima apskaičiuoti atsižvelgiant į kreatinino kiekį kraujo serume ir naudojant </w:t>
      </w:r>
      <w:r w:rsidRPr="00ED57CD">
        <w:rPr>
          <w:rFonts w:ascii="Times New Roman" w:eastAsia="SimSun" w:hAnsi="Times New Roman"/>
          <w:i/>
          <w:lang w:eastAsia="zh-CN"/>
        </w:rPr>
        <w:t>Cockroft-Gault</w:t>
      </w:r>
      <w:r w:rsidRPr="00ED57CD">
        <w:rPr>
          <w:rFonts w:ascii="Times New Roman" w:eastAsia="SimSun" w:hAnsi="Times New Roman"/>
          <w:lang w:eastAsia="zh-CN"/>
        </w:rPr>
        <w:t xml:space="preserve"> formulę:</w:t>
      </w:r>
    </w:p>
    <w:p w14:paraId="4C1C3EAA"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729CDBD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Kreatinino klirensas (ml/min.)</w:t>
      </w:r>
      <w:r w:rsidRPr="00ED57CD">
        <w:rPr>
          <w:rFonts w:ascii="Times New Roman" w:eastAsia="SimSun" w:hAnsi="Times New Roman"/>
          <w:lang w:eastAsia="zh-CN"/>
        </w:rPr>
        <w:sym w:font="Symbol" w:char="F03D"/>
      </w:r>
      <w:r w:rsidRPr="00ED57CD">
        <w:rPr>
          <w:rFonts w:ascii="Times New Roman" w:eastAsia="SimSun" w:hAnsi="Times New Roman"/>
          <w:u w:val="single"/>
          <w:lang w:eastAsia="zh-CN"/>
        </w:rPr>
        <w:t xml:space="preserve"> [(140 - amžius)  x  kūno svoris (kg)]</w:t>
      </w:r>
    </w:p>
    <w:p w14:paraId="06AAD06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                                                   72 x kreatinino kiekis kraujo serume (mg/100 ml) </w:t>
      </w:r>
    </w:p>
    <w:p w14:paraId="6208C3B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54969A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Ši formulė galioja norint kreatinino klirensą apskaičiuoti vyrams. Moterims gautą reikšmę reikia padauginti iš koeficiento 0,85. </w:t>
      </w:r>
    </w:p>
    <w:p w14:paraId="6C67C0AD"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63579AD7"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Vaikų populiacija</w:t>
      </w:r>
    </w:p>
    <w:p w14:paraId="32DC1CD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saugumas ir veiksmingumas vaikams ir paaugliams neištirti, todėl jiems šio vaistinio preparato vartoti nerekomenduojama.</w:t>
      </w:r>
    </w:p>
    <w:p w14:paraId="414A81A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25CA394"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Pacientams, kurių inkstų funkcija sutrikusi</w:t>
      </w:r>
    </w:p>
    <w:p w14:paraId="16FC62A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Pirmine arterine hipertenzija sergantiems pacientams, kuriems nustatytas lengvas inkstų funkcijos sutrikimas (kreatinino klirensas &gt; 45 ml/min.), galima vartoti tokią pat Zofenopril / Hydrochlorothiazide Ingen Pharma dozę kaip ir esant normaliai inkstų funkcijai.</w:t>
      </w:r>
    </w:p>
    <w:p w14:paraId="6B6133C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Esant vidutinio sunkumo arba sunkiam inkstų funkcijos sutrikimui (kreatinino klirensas &lt; 45 ml/min.), Zofenopril / Hydrochlorothiazide Ingen Pharma vartoti nerekomenduojama (žr. 4.4 skyrių).</w:t>
      </w:r>
    </w:p>
    <w:p w14:paraId="0B0C18F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Esant sunkiam inkstų funkcijos sutrikimui (kreatinino klirensas &lt; 30 ml/min.), Zofenopril / Hydrochlorothiazide Ingen Pharma vartoti draudžiama (žr. 4.3 skyrių).</w:t>
      </w:r>
    </w:p>
    <w:p w14:paraId="6A273E4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Pirmine arterine hipertenzija sergantiems pacientams, kuriems taikoma dializė, Zofenopril / Hydrochlorothiazide Ingen Pharma vartoti nerekomenduojama.</w:t>
      </w:r>
    </w:p>
    <w:p w14:paraId="7E8E307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FE64848"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Pacientams, </w:t>
      </w:r>
      <w:r w:rsidRPr="00ED57CD">
        <w:rPr>
          <w:rFonts w:ascii="Times New Roman" w:eastAsia="SimSun" w:hAnsi="Times New Roman"/>
          <w:i/>
          <w:iCs/>
          <w:lang w:eastAsia="zh-CN"/>
        </w:rPr>
        <w:t>kurių kepenų funkcija sutrikusi</w:t>
      </w:r>
    </w:p>
    <w:p w14:paraId="306FC02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Pirmine arterine hipertenzija sergantiems pacientams, kuriems nustatytas lengvas arba vidutinio sunkumo kepenų funkcijos sutrikimas ir kurie gydomi tik Zofenopril 30 mg doze, galima vartoti tokią pat dozę kaip ir vartojama esant normaliai kepenų funkcijai. </w:t>
      </w:r>
    </w:p>
    <w:p w14:paraId="4A2B9BB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Esant sunkiam kepenų funkcijos sutrikimui, Zofenopril / Hydrochlorothiazide Ingen Pharma vartoti negalima.</w:t>
      </w:r>
    </w:p>
    <w:p w14:paraId="0602A05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DCEEF8C"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Vartojimo metodas</w:t>
      </w:r>
    </w:p>
    <w:p w14:paraId="76C88694" w14:textId="77777777" w:rsidR="00ED57CD" w:rsidRPr="00ED57CD" w:rsidRDefault="00ED57CD" w:rsidP="00ED57CD">
      <w:pPr>
        <w:tabs>
          <w:tab w:val="left" w:pos="567"/>
        </w:tabs>
        <w:spacing w:after="0" w:line="240" w:lineRule="auto"/>
        <w:rPr>
          <w:rFonts w:ascii="Times New Roman" w:eastAsia="SimSun" w:hAnsi="Times New Roman"/>
          <w:lang w:eastAsia="zh-CN"/>
        </w:rPr>
      </w:pPr>
      <w:bookmarkStart w:id="13" w:name="_Toc129243104"/>
      <w:bookmarkStart w:id="14" w:name="_Toc129243229"/>
      <w:r w:rsidRPr="00ED57CD">
        <w:rPr>
          <w:rFonts w:ascii="Times New Roman" w:eastAsia="SimSun" w:hAnsi="Times New Roman"/>
          <w:lang w:eastAsia="zh-CN"/>
        </w:rPr>
        <w:t>Vartoti per burną.</w:t>
      </w:r>
    </w:p>
    <w:p w14:paraId="05DFC8D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galima vartoti vieną kartą per parą prieš valgį, jo metu arba po valgio. Kad būtų lengviau nuryti, tabletę galima padalyti į dvi dalis ir reikia jas nuryti vieną po kitos nustatytu vartojimo laiku.</w:t>
      </w:r>
    </w:p>
    <w:p w14:paraId="75298BB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5E2E079"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4.3</w:t>
      </w:r>
      <w:r w:rsidRPr="00ED57CD">
        <w:rPr>
          <w:rFonts w:ascii="Times New Roman" w:eastAsia="SimSun" w:hAnsi="Times New Roman"/>
          <w:b/>
          <w:lang w:eastAsia="zh-CN"/>
        </w:rPr>
        <w:tab/>
        <w:t>Kontraindikacijos</w:t>
      </w:r>
      <w:bookmarkEnd w:id="13"/>
      <w:bookmarkEnd w:id="14"/>
    </w:p>
    <w:p w14:paraId="7BCA63E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66E4D1" w14:textId="77777777" w:rsidR="00ED57CD" w:rsidRPr="00ED57CD" w:rsidRDefault="00ED57CD" w:rsidP="00ED57CD">
      <w:pPr>
        <w:tabs>
          <w:tab w:val="left" w:pos="567"/>
        </w:tabs>
        <w:spacing w:after="0" w:line="240" w:lineRule="auto"/>
        <w:rPr>
          <w:rFonts w:ascii="Times New Roman" w:eastAsia="SimSun" w:hAnsi="Times New Roman"/>
          <w:color w:val="000000"/>
          <w:lang w:eastAsia="zh-CN"/>
        </w:rPr>
      </w:pPr>
      <w:r w:rsidRPr="00ED57CD">
        <w:rPr>
          <w:rFonts w:ascii="Times New Roman" w:eastAsia="Times New Roman" w:hAnsi="Times New Roman"/>
          <w:snapToGrid w:val="0"/>
        </w:rPr>
        <w:t>Padidėjęs jautrumas veikliosioms medžiagoms arba bet kuriai 6.1 skyriuje nurodytai pagalbinei medžiagai</w:t>
      </w:r>
      <w:r w:rsidRPr="00ED57CD">
        <w:rPr>
          <w:rFonts w:ascii="Times New Roman" w:eastAsia="SimSun" w:hAnsi="Times New Roman"/>
          <w:color w:val="000000"/>
          <w:lang w:eastAsia="zh-CN"/>
        </w:rPr>
        <w:t>.</w:t>
      </w:r>
    </w:p>
    <w:p w14:paraId="6C64E86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Antras ir trečias nėštumo trimestrai (žr. 4.4 ir 4.6 skyrius).</w:t>
      </w:r>
    </w:p>
    <w:p w14:paraId="7633FC3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Padidėjęs organizmo jautrumas kitiems AKF inhibitoriams.</w:t>
      </w:r>
    </w:p>
    <w:p w14:paraId="4360040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Padidėjęs organizmo jautrumas kitiems sulfamidų dariniams.</w:t>
      </w:r>
    </w:p>
    <w:p w14:paraId="55875AF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Kitokių AKF inhibitorių vartojimo metu buvusi angioneurozinė edema.</w:t>
      </w:r>
    </w:p>
    <w:p w14:paraId="44BA323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Paveldima arba idiopatinė angioneurozinė edema.</w:t>
      </w:r>
    </w:p>
    <w:p w14:paraId="36262CF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Sunkus kepenų nepakankamumas.</w:t>
      </w:r>
    </w:p>
    <w:p w14:paraId="7197112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Sunkus inkstų nepakankamumas (kreatinino klirensas &lt; 30 ml/min.).</w:t>
      </w:r>
    </w:p>
    <w:p w14:paraId="4B7941A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Abiejų inkstų arba vieno, jeigu žmogus yra tik su vienu inkstu, arterijų stenozė.</w:t>
      </w:r>
    </w:p>
    <w:p w14:paraId="05D8B11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Pacientams, kurie serga cukriniu diabetu arba kurių inkstų funkcija sutrikusi (GFG &lt; 60 ml/min/1,73 m</w:t>
      </w:r>
      <w:r w:rsidRPr="00ED57CD">
        <w:rPr>
          <w:rFonts w:ascii="Times New Roman" w:eastAsia="SimSun" w:hAnsi="Times New Roman"/>
          <w:vertAlign w:val="superscript"/>
          <w:lang w:eastAsia="zh-CN"/>
        </w:rPr>
        <w:t>2</w:t>
      </w:r>
      <w:r w:rsidRPr="00ED57CD">
        <w:rPr>
          <w:rFonts w:ascii="Times New Roman" w:eastAsia="SimSun" w:hAnsi="Times New Roman"/>
          <w:lang w:eastAsia="zh-CN"/>
        </w:rPr>
        <w:t>), Zofenopril / Hydrochlorothiazide Ingen Pharma negalima vartoti kartu su vaistiniais preparatais, kurių sudėtyje yra aliskireno (žr. 4.5 ir 5.1 skyrius).</w:t>
      </w:r>
    </w:p>
    <w:p w14:paraId="650D5CE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CB2A6B8" w14:textId="77777777" w:rsidR="00ED57CD" w:rsidRPr="00ED57CD" w:rsidRDefault="00ED57CD" w:rsidP="00ED57CD">
      <w:pPr>
        <w:tabs>
          <w:tab w:val="left" w:pos="567"/>
          <w:tab w:val="left" w:pos="709"/>
        </w:tabs>
        <w:spacing w:after="0" w:line="240" w:lineRule="auto"/>
        <w:rPr>
          <w:rFonts w:ascii="Times New Roman" w:eastAsia="SimSun" w:hAnsi="Times New Roman"/>
          <w:b/>
          <w:lang w:eastAsia="zh-CN"/>
        </w:rPr>
      </w:pPr>
      <w:bookmarkStart w:id="15" w:name="_Toc129243105"/>
      <w:bookmarkStart w:id="16" w:name="_Toc129243230"/>
      <w:r w:rsidRPr="00ED57CD">
        <w:rPr>
          <w:rFonts w:ascii="Times New Roman" w:eastAsia="SimSun" w:hAnsi="Times New Roman"/>
          <w:b/>
          <w:lang w:eastAsia="zh-CN"/>
        </w:rPr>
        <w:t>4.4</w:t>
      </w:r>
      <w:r w:rsidRPr="00ED57CD">
        <w:rPr>
          <w:rFonts w:ascii="Times New Roman" w:eastAsia="SimSun" w:hAnsi="Times New Roman"/>
          <w:b/>
          <w:lang w:eastAsia="zh-CN"/>
        </w:rPr>
        <w:tab/>
        <w:t>Specialūs įspėjimai ir atsargumo priemonės</w:t>
      </w:r>
      <w:bookmarkEnd w:id="15"/>
      <w:bookmarkEnd w:id="16"/>
    </w:p>
    <w:p w14:paraId="7CB2CAA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214E1B2"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Zofenoprilis</w:t>
      </w:r>
    </w:p>
    <w:p w14:paraId="26236E10"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38423427"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lastRenderedPageBreak/>
        <w:t>Hipotenzija</w:t>
      </w:r>
    </w:p>
    <w:p w14:paraId="5ED79BE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Pavartojus Zofenopril / Hydrochlorothiazide Ingen Pharma, kaip ir kitokių AKF inhibitorių, ypač pirmą dozę, gali labai sumažėti kraujospūdis, nors esant nekomplikuotai hipertenzijai simptominė hipotenzija pasireiškia retai.</w:t>
      </w:r>
    </w:p>
    <w:p w14:paraId="1085B22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Ji dažniau galima tiems pacientams, kurių organizme trūksta skysčių ir elektrolitų dėl gydymo diuretikais, bedruske dieta ar dialize, dėl vėmimo ar viduriavimo arba tiems, kurie serga nuo renino priklausoma sunkia hipertenzija (žr. 4.5 ir 4.8 skyrius). </w:t>
      </w:r>
    </w:p>
    <w:p w14:paraId="74117BC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Daugiausia simptominė hipotenzija pasireiškė pacientams, sergantiems širdies nepakankamumu (tiek susijusiu, tiek nesusijusiu su inkstų funkcijos nepakankamumu). Pacientams, kuriems nustatytas sunkesnis širdies nepakankamumas ir dėl to jie vartoja didelę kilpinių diuretikų dozę, kuriems yra hiponatremija arba inkstų nepakankamumas, ši komplikacija gali pasireikšti dažniau. </w:t>
      </w:r>
    </w:p>
    <w:p w14:paraId="5DC779A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Pacientus, kuriems yra didesnė simptominės hipotenzijos rizika, gydymo pradžioje turi atidžiai prižiūrėti gydytojas, juos geriau pradėti gydyti ligoninėje, iš pradžių jiems reikia skirti mažą dozę, ją didinti būtina atsargiai. Jei įmanoma, prieš gydymą Zofenopril / Hydrochlorothiazide Ingen Pharma, diuretikų vartojimą reikėtų laikinai nutraukti. </w:t>
      </w:r>
    </w:p>
    <w:p w14:paraId="48930A8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Taip reikėtų elgtis ir gydant krūtinės angina arba galvos smegenų kraujagyslių liga sergančius pacientus, kadangi dėl didelio kraujospūdžio sumažėjimo juos gali ištikti miokardo infarktas arba insultas.</w:t>
      </w:r>
    </w:p>
    <w:p w14:paraId="4C08D25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97A048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pasireiškia hipotenzija, pacientą būtina paguldyti ant nugaros. Kraujo tūriui padidinti gali prireikti į veną leisti izotoninio natrio chlorido tirpalo. Pašalinus pradinės dozės sukeltą hipotenziją, toliau vaistiniu preparatu galima gydyti tiksliai nustačius kiekvieno komponento dozę ir atidžiai kontroliuojant paciento būklę.</w:t>
      </w:r>
    </w:p>
    <w:p w14:paraId="290CC6B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A2F8D14"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Renovaskulinė hipertenzija</w:t>
      </w:r>
    </w:p>
    <w:p w14:paraId="3D44201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inhibitoriais gydomiems pacientams, kuriems yra renovaskulinė hipertenzija arba abiejų inkstų (ar vieno, jeigu žmogus yra tik su vienu inkstu) arterijų stenozė, yra didesnis sunkios hipotenzijos ir inkstų nepakankamumo pasireiškimo pavojus. Diuretikai minėtas komplikacijas gali skatinti. Inkstų funkcijos sutrikimas galimas ir tiems pacientams, kurių kraujyje kreatinino kiekis padidėja nedaug, ir netgi tiems, kuriems yra tik vieno inksto arterijos stenozė.</w:t>
      </w:r>
    </w:p>
    <w:p w14:paraId="7990EF4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Šiuos pacientus reikia pradėti gydyti atidžiai prižiūrint gydytojui, pradžioje reikia skirti mažą dozę ir atsargiai ją didinti, būtina atidžiai stebėti inkstų funkciją.</w:t>
      </w:r>
    </w:p>
    <w:p w14:paraId="48390CA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FA6440B"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Inkstų nepakankamumas</w:t>
      </w:r>
    </w:p>
    <w:p w14:paraId="388D45B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Gydymo metu būtina atidžiai stebėti inkstų funkciją taip, kaip reikalinga. Kai kuriems AKF inhibitorių vartojantiems pacientams, ypač sergantiems sunkiu širdies nepakankamumu ar inkstų liga, įskaitant inkstų arterijų stenozę, pasireiškė inkstų funkcijos nepakankamumas. Kai kurių pacientų, prieš gydymą nesirgusių pastebima inkstų liga, kraujyje padidėjo urėjos ir kreatinino kiekis, ypač tų, kurie kartu su AKF inhibitoriais vartojo diuretikų. Tokiu atveju gali prireikti mažinti atskirų komponentų dozę. Pirmąsias dvi gydymo savaites rekomenduojama atidžiai stebėti inkstų funkciją.</w:t>
      </w:r>
    </w:p>
    <w:p w14:paraId="1EB96B8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A5E19C4"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Dializuojami pacientai</w:t>
      </w:r>
    </w:p>
    <w:p w14:paraId="170F4F3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inhibitoriais gydomiems pacientams, kuriems dializuoti naudojamos didelio laidumo poliakrilnitrilinės membranos (pvz., AN 69), pradėjus dializę, po kelių minučių gali pasireikšti anafilaksinė reakcija: veido sutinimas, paraudimas, hipotenzija ir dusulys. Tokių pacientų dializei rekomenduojama naudoti kitokias membranas arba juos gydyti kitų grupių antihipertenziniais vaistiniais preparatas.</w:t>
      </w:r>
    </w:p>
    <w:p w14:paraId="415FCB9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31290C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Ar saugu ir veiksminga zofenopriliu gydyti ūminio infarkto ištiktus dializuojamus pacientus netirta. Vadinasi, šių pacientų gydymui jo vartoti nereikia.</w:t>
      </w:r>
    </w:p>
    <w:p w14:paraId="4A485D0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526E895"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 xml:space="preserve">MTL aferezė </w:t>
      </w:r>
    </w:p>
    <w:p w14:paraId="50B577B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AKF inhibitorių vartojantiems žmonėms, kuriems MTL aferezė atliekama naudojant dekstrano sulfatą, gali pasireikšti tokia pat anafilaksinė reakcija, kaip ir tiems pacientams, kurie hemodializuojami naudojant didelio laidumo membranas (žr. aukščiau). Vadinasi, tokius pacientus reikia gydyti kitų grupių antihipertenziniais vaistiniais preparatais. </w:t>
      </w:r>
    </w:p>
    <w:p w14:paraId="5CBD99C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0C1C813"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lastRenderedPageBreak/>
        <w:t>Desensibilizacijos metu arba dėl vabzdžių įgėlimo pasireiškianti anafilaksinė reakcija</w:t>
      </w:r>
    </w:p>
    <w:p w14:paraId="55257E1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inhibitorių vartojantiems pacientams desensibilizacijos metu, pvz., patekus plėviasparnių vabzdžių (bičių ar širšių) nuodams (</w:t>
      </w:r>
      <w:r w:rsidRPr="00ED57CD">
        <w:rPr>
          <w:rFonts w:ascii="Times New Roman" w:eastAsia="SimSun" w:hAnsi="Times New Roman"/>
          <w:i/>
          <w:lang w:eastAsia="zh-CN"/>
        </w:rPr>
        <w:t>hymenoptera venom</w:t>
      </w:r>
      <w:r w:rsidRPr="00ED57CD">
        <w:rPr>
          <w:rFonts w:ascii="Times New Roman" w:eastAsia="SimSun" w:hAnsi="Times New Roman"/>
          <w:lang w:eastAsia="zh-CN"/>
        </w:rPr>
        <w:t>), arba po vabzdžių įgėlimo, retais atvejais gali pasireikšti gyvybei pavojinga anafilaksinė reakcija. Kai kuriems pacientams šios reakcijos pavyko išvengti, kai prieš desensibilizaciją AKF inhibitorių vartojimas buvo laikinai nutrauktas, bet jos pasikartojo, kai vaistinio preparato netyčia vėl buvo pradėta vartoti. Todėl AKF inhibitorių vartojantiems pacientams desensibilizacijos metu reikia laikytis atsargumo.</w:t>
      </w:r>
    </w:p>
    <w:p w14:paraId="1A63BFB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FBF2E50"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Inksto persodinimas</w:t>
      </w:r>
    </w:p>
    <w:p w14:paraId="6460BAE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Apie pacientų, kuriems neseniai persodintas inkstas, gydymą Zofenopril / Hydrochlorothiazide Ingen Pharma patyrimo nėra. Todėl tokiems pacientams jo vartoti nerekomenduojama.</w:t>
      </w:r>
    </w:p>
    <w:p w14:paraId="6DEF3C4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DE791FC"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Pirminis aldosteronizmas</w:t>
      </w:r>
    </w:p>
    <w:p w14:paraId="07D83A8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Pacientai, kuriems yra pirminis aldosteronizmas, į vaistinius preparatus, slopinančius renino ir angiotenzino sistemą, nereaguoja. Todėl jų zofenopriliu gydyti nerekomenduojama. </w:t>
      </w:r>
    </w:p>
    <w:p w14:paraId="0D49250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A1F5AC9"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Angioneurozinė edema</w:t>
      </w:r>
    </w:p>
    <w:p w14:paraId="2FEA9C8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AKF inhibitorių vartojantiems pacientams gali pasireikšti, dažniau per pirmąsias gydymo savaites, veido, galūnių, lūpų, gleivinių, liežuvio, tikrojo balso aparato ir (arba) gerklų angioneurozinė edema. Vis dėlto sunki angioneurozinė edema retais atvejais galima ir po ilgesnio AKF inhibitorių vartojimo. Minėtai komplikacijai prasidėjus, AKF inhibitoriaus vartojimą būtina tuoj pat nutraukti ir vietoj jo pradėti gydyti kitų grupių vaistiniais preparatais. </w:t>
      </w:r>
    </w:p>
    <w:p w14:paraId="5684844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Jeigu angioneurozinė edema apima liežuvį, tikrąjį balso aparatą arba gerklas, ji gali būti mirtina. Prasidėjus tokiai komplikacijai, būtinas skubus gydymas: tuoj pat po oda suleisti 0,3 - 0,5 ml adrenalino (1:1000) arba jo tirpalo (atskiesto laikantis instrukcijos) (koncentracija </w:t>
      </w:r>
      <w:r w:rsidRPr="00ED57CD">
        <w:rPr>
          <w:rFonts w:ascii="Times New Roman" w:eastAsia="SimSun" w:hAnsi="Times New Roman"/>
          <w:lang w:eastAsia="zh-CN"/>
        </w:rPr>
        <w:sym w:font="Symbol" w:char="F02D"/>
      </w:r>
      <w:r w:rsidRPr="00ED57CD">
        <w:rPr>
          <w:rFonts w:ascii="Times New Roman" w:eastAsia="SimSun" w:hAnsi="Times New Roman"/>
          <w:lang w:eastAsia="zh-CN"/>
        </w:rPr>
        <w:t xml:space="preserve"> 1 mg/ml) sušvirkšti lėtai į veną stebint EKG ir matuojant kraujospūdį; prireikus tokiu gydymu neapsiribojama. Tokius pacientus reikia stacionarizuoti į ligoninę ir ne trumpiau kaip 12-24 valandas stebėti. Iš ligoninės juos galima išleisti tik simptomams išnykus. </w:t>
      </w:r>
    </w:p>
    <w:p w14:paraId="34D41E7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Netgi tuomet, kai angioneurozinė edema apima tik liežuvį ir kvėpavimo sutrikimo nėra, pacientą gali prireikti stebėti, nes gydymo antihistamininiais vaistiniais preparatais ir kortikosteroidais gali nepakakti.</w:t>
      </w:r>
    </w:p>
    <w:p w14:paraId="48A29B2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127A0D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inhibitoriai angioneurozinę edemą juodaodžiams pacientams sukelia dažniau negu nejuodaodžiams.</w:t>
      </w:r>
    </w:p>
    <w:p w14:paraId="0851C78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4611A3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Pacientams, kuriems pasitaikė angioneurozinė edema, nesusijusi su AKF inhibitoriais, vartojant AKF inhibitorių angioneurozinės edemos rizika gali būti didesnė (žr. 4.3 skyrių).</w:t>
      </w:r>
    </w:p>
    <w:p w14:paraId="5C38112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DF66565"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Kosulys</w:t>
      </w:r>
    </w:p>
    <w:p w14:paraId="209CD34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vartojantiems žmonėms gali prasidėti sausas neproduktyvus kosulys, kuris gydymą nutraukus išnyksta. Atliekant kosulio diferencinę diagnostiką, reikia įvertinti AKF inhibitorių sukelto kosulio galimybę.</w:t>
      </w:r>
    </w:p>
    <w:p w14:paraId="3B62CAF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8118D6B"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Kepenų nepakankamumas</w:t>
      </w:r>
    </w:p>
    <w:p w14:paraId="346B2F5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Retais atvejais AKF inhibitorių vartojimas buvo susijęs su sindromu, kuris prasideda cholestazine gelta ir progresuoja į žaibinę kepenų nekrozę, todėl (kartais) įvyksta mirtis. Šio sindromo susidarymo mechanizmas neaiškus. Pacientų, kuriems vartojant AKF inhibitorių atsiranda gelta arba stipriai padidėja kepenų fermentų aktyvumas, gydymą AKF inhibitoriais reikia nutraukti ir tinkamai stebėti jų būklę. </w:t>
      </w:r>
    </w:p>
    <w:p w14:paraId="0F0404E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83D0C21"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Hiperkalemija</w:t>
      </w:r>
    </w:p>
    <w:p w14:paraId="49070B4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AKF inhibitorių, galima hiperkalemija. Poveikis silpnesnis vartojant tiazidinių diuretikų, sukeliančių kalio netekimą. Pacientams, kuriems yra hiperkalemijos rizika, priklauso sergantieji inkstų nepakankamumu, cukriniu diabetu arba tie, kurie kartu vartoja kalį organizme sulaikančių diuretikų, kalio papildų arba kalio turinčių druskos pakaitalų, vaistinių preparatų, sukeliančių kalio kiekio padidėjimą kraujo serume (pvz., heparino). Jeigu minėtus vaistinius preparatus kartu vartoti būtina, rekomenduojama dažnai tirti kalio koncentraciją kraujo serume (žr. 4.5 skyrių).</w:t>
      </w:r>
    </w:p>
    <w:p w14:paraId="2E4892F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13ABDFC" w14:textId="77777777" w:rsidR="00ED57CD" w:rsidRPr="00ED57CD" w:rsidRDefault="00ED57CD" w:rsidP="00ED57CD">
      <w:pPr>
        <w:autoSpaceDE w:val="0"/>
        <w:autoSpaceDN w:val="0"/>
        <w:adjustRightInd w:val="0"/>
        <w:spacing w:after="0" w:line="240" w:lineRule="auto"/>
        <w:jc w:val="both"/>
        <w:rPr>
          <w:rFonts w:ascii="Times New Roman" w:eastAsia="SimSun" w:hAnsi="Times New Roman"/>
          <w:i/>
          <w:color w:val="000000"/>
          <w:u w:val="single"/>
          <w:lang w:eastAsia="zh-CN"/>
        </w:rPr>
      </w:pPr>
      <w:r w:rsidRPr="00ED57CD">
        <w:rPr>
          <w:rFonts w:ascii="Times New Roman" w:eastAsia="SimSun" w:hAnsi="Times New Roman"/>
          <w:i/>
          <w:iCs/>
          <w:color w:val="000000"/>
          <w:u w:val="single"/>
          <w:lang w:eastAsia="zh-CN"/>
        </w:rPr>
        <w:t xml:space="preserve">Dvigubas renino, angiotenzino ir aldosterono sistemos (RAAS) nuslopinimas </w:t>
      </w:r>
    </w:p>
    <w:p w14:paraId="3597457D" w14:textId="77777777" w:rsidR="00ED57CD" w:rsidRPr="00ED57CD" w:rsidRDefault="00ED57CD" w:rsidP="00ED57CD">
      <w:pPr>
        <w:autoSpaceDE w:val="0"/>
        <w:autoSpaceDN w:val="0"/>
        <w:adjustRightInd w:val="0"/>
        <w:spacing w:after="0" w:line="240" w:lineRule="auto"/>
        <w:jc w:val="both"/>
        <w:rPr>
          <w:rFonts w:ascii="Times New Roman" w:eastAsia="SimSun" w:hAnsi="Times New Roman"/>
          <w:color w:val="000000"/>
          <w:lang w:eastAsia="zh-CN"/>
        </w:rPr>
      </w:pPr>
      <w:r w:rsidRPr="00ED57CD">
        <w:rPr>
          <w:rFonts w:ascii="Times New Roman" w:eastAsia="SimSun" w:hAnsi="Times New Roman"/>
          <w:iCs/>
          <w:color w:val="000000"/>
          <w:lang w:eastAsia="zh-CN"/>
        </w:rPr>
        <w:t xml:space="preserve">Turima įrodymų, kad kartu su AKF inhibitoriais vartojant angiotenzino II receptorių blokatorių ar aliskireno, padidėja hipotenzijos, hiperkalemijos ir inkstų funkcijos susilpnėjimo (įskaitant ūminį inkstų nepakankamumą) rizika. Todėl dvigubas RAAS slopinimas AKF inhibitorių ir angiotenzino II receptorių blokatorių ar aliskireno deriniu nerekomenduojamas (žr. 4.5 ir 5.1 skyrius). </w:t>
      </w:r>
    </w:p>
    <w:p w14:paraId="07519731" w14:textId="77777777" w:rsidR="00ED57CD" w:rsidRPr="00ED57CD" w:rsidRDefault="00ED57CD" w:rsidP="00ED57CD">
      <w:pPr>
        <w:autoSpaceDE w:val="0"/>
        <w:autoSpaceDN w:val="0"/>
        <w:adjustRightInd w:val="0"/>
        <w:spacing w:after="0" w:line="240" w:lineRule="auto"/>
        <w:jc w:val="both"/>
        <w:rPr>
          <w:rFonts w:ascii="Times New Roman" w:eastAsia="SimSun" w:hAnsi="Times New Roman"/>
          <w:color w:val="000000"/>
          <w:lang w:eastAsia="zh-CN"/>
        </w:rPr>
      </w:pPr>
      <w:r w:rsidRPr="00ED57CD">
        <w:rPr>
          <w:rFonts w:ascii="Times New Roman" w:eastAsia="SimSun" w:hAnsi="Times New Roman"/>
          <w:iCs/>
          <w:color w:val="000000"/>
          <w:lang w:eastAsia="zh-CN"/>
        </w:rPr>
        <w:t>Vis dėlto, jei dvigubas nuslopinimas laikomas absoliučiai būtinu, šis gydymas turi būti skiriamas tik prižiūrint specialistams ir dažnai bei atidžiai tiriant inkstų funkciją, elektrolitų koncentracijas bei kraujospūdį</w:t>
      </w:r>
      <w:r w:rsidRPr="00ED57CD">
        <w:rPr>
          <w:rFonts w:ascii="Times New Roman" w:eastAsia="SimSun" w:hAnsi="Times New Roman"/>
          <w:i/>
          <w:iCs/>
          <w:color w:val="000000"/>
          <w:lang w:eastAsia="zh-CN"/>
        </w:rPr>
        <w:t xml:space="preserve">. </w:t>
      </w:r>
    </w:p>
    <w:p w14:paraId="6021F0E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Cs/>
          <w:lang w:eastAsia="zh-CN"/>
        </w:rPr>
        <w:t>Pacientams, sergantiems diabetine nefropatija, negalima kartu vartoti AKF inhibitorių ir angiotenzino II receptorių blokatorių.</w:t>
      </w:r>
    </w:p>
    <w:p w14:paraId="1124311B"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347C8218"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Operacija, anestezija</w:t>
      </w:r>
    </w:p>
    <w:p w14:paraId="2797AFC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Pacientams, kuriems atliekama didelės apimties operacija arba sukeliama anestezija, nuo AKF inhibitorių gali prasidėti hipotenzija ar įvykti net hipotenzinis šokas, nes AKF inhibitoriai gali sutrikdyti angiotenzino II susidarymą dėl kompensacinio renino išsiskyrimo. Jeigu prieš minėtas procedūras AKF inhibitorių vartojimo nutraukti negalima, būtina atidžiai stebėti kraujo ir jo plazmos tūrį. </w:t>
      </w:r>
    </w:p>
    <w:p w14:paraId="013F561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5D56572"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Aortos ir mitralinė stenozė arba hipertrofinė kardiomiopatija</w:t>
      </w:r>
    </w:p>
    <w:p w14:paraId="16A1CB1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yra mitralinė stenozė ir kraujo išstūmimo iš kairiojo širdies skilvelio obstrukcija, AKF inhibitoriais reikia gydyti atsargiai ir vengti vartoti kardiogeninio šoko metu bei esant reikšmingai hemodinaminei obstrukcijai.</w:t>
      </w:r>
    </w:p>
    <w:p w14:paraId="57F9F0E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A9C8253"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Neutropenija arba agranulocitozė</w:t>
      </w:r>
    </w:p>
    <w:p w14:paraId="514075E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Pacientams, vartojantiems AKF inhibitorių, pasitaiko neutropenija arba agranulocitozė, trombocitopenija ir anemija. Su AKF inhibitorių vartojimu susijusios neutropenijos rizika, manoma, priklauso nuo vaistinio preparato, jo dozės ir paciento būklės. Jeigu liga nekomplikuota, neutropenija atsiranda retai, tačiau pacientams, sergantiems inkstų nepakankamumu, ypač susijusiu su kraujagyslių kolagenoze, pvz.: sistemine raudonąja vilklige, sklerodermija arba gydomiems imunodepresantais, alopurinoliu arba prokainamidu, arba esant šių veiksnių deriniui, neutropenija gali pasireikšti. Kai kada tokiems pacientams gali būti sunkios infekcinės komplikacijos, kurios retkarčiais nesėkmingai gydomos taikant net intensyvią antibiotikoterapiją. </w:t>
      </w:r>
    </w:p>
    <w:p w14:paraId="30F8114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 tokie pacientai vartoja zofenoprilio, prieš pradedant vartoti šį vaistinį preparatą, pirmuosius tris mėnesius kas dvi savaites ir periodiškai vėliau reikia atlikti bendrą leukocitų skaičiaus ir ląstelių sudėties tyrimus. Pacientams reikia nurodyti, kad vaistinio preparato vartojimo laikotarpiu jie turi informuoti gydytoją apie bet kokius infekcijos požymius (pvz.: ryklės skausmą, karščiavimą) ir būtinumą atlikti leukocitų sudėties tyrimą. Zofenoprilio ir kitų vaistinių preparatų (žr. 4.5 skyrių) vartojimą reikia nutraukti, jeigu įtariama arba nustatoma neutropenija (neutrofilų mažiau kaip 1000/mm</w:t>
      </w:r>
      <w:r w:rsidRPr="00ED57CD">
        <w:rPr>
          <w:rFonts w:ascii="Times New Roman" w:eastAsia="SimSun" w:hAnsi="Times New Roman"/>
          <w:vertAlign w:val="superscript"/>
          <w:lang w:eastAsia="zh-CN"/>
        </w:rPr>
        <w:t>3</w:t>
      </w:r>
      <w:r w:rsidRPr="00ED57CD">
        <w:rPr>
          <w:rFonts w:ascii="Times New Roman" w:eastAsia="SimSun" w:hAnsi="Times New Roman"/>
          <w:lang w:eastAsia="zh-CN"/>
        </w:rPr>
        <w:t>). AKF inhibitorių vartojimą nutraukus, minėta komplikacija išnyksta.</w:t>
      </w:r>
    </w:p>
    <w:p w14:paraId="37BAF1D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9DD5972"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Psoriazė</w:t>
      </w:r>
    </w:p>
    <w:p w14:paraId="5BBD19B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Psoriaze sergančius pacientus AKF inhibitoriais reikia gydyti atsargiai. </w:t>
      </w:r>
    </w:p>
    <w:p w14:paraId="008F8CB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172F04"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Proteinurija</w:t>
      </w:r>
    </w:p>
    <w:p w14:paraId="7A7365B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Ji galima, ypač pacientams, kurių inkstų funkcija sutrikusi arba kurie vartoja santykinai dideles AKF inhibitorių dozes. Pacientams, kurie serga inkstų liga, prieš pradedant gydymą šiuo vaistiniu preparatu ir periodiškai gydymo metu reikia nustatyti baltymo kiekį šlapime (rytiniame šlapime panaudojant diagnostines juosteles). </w:t>
      </w:r>
    </w:p>
    <w:p w14:paraId="381160A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DB6AA96"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Cukrinis diabetas</w:t>
      </w:r>
    </w:p>
    <w:p w14:paraId="33BAF8E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Sergantiesiems cukriniu diabetu ir gydomiems geriamaisiais vaistiniais preparatais nuo diabeto arba insulinu, pirmąjį AKF inhibitorių vartojimo mėnesį reikia atidžiai kontroliuoti gliukozės kiekį kraujyje (žr. 4.5 skyrių).</w:t>
      </w:r>
    </w:p>
    <w:p w14:paraId="26EADF6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B884796"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Litis</w:t>
      </w:r>
    </w:p>
    <w:p w14:paraId="562EF39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Ličio ir Zofenopril / Hydrochlorothiazide Ingen Pharma derinys paprastai nerekomenduojamas (žr. 4.5 skyrių).</w:t>
      </w:r>
    </w:p>
    <w:p w14:paraId="62431D1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BF5777"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Rasė</w:t>
      </w:r>
    </w:p>
    <w:p w14:paraId="1E8B49D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Kaip ir kiti AKF inhibitoriai, zofenoprilis gali nepakankamai veiksmingai mažinti kraujospūdį juodaodžiams palyginti su nejuodaodžiais asmenimis. </w:t>
      </w:r>
    </w:p>
    <w:p w14:paraId="609CC69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inhibitoriai angioneurozinę edemą dažniau sukelia juodaodžiams negu nejuodaodžiams asmenims.</w:t>
      </w:r>
    </w:p>
    <w:p w14:paraId="797BC15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BB4CD59"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Nėštumas</w:t>
      </w:r>
    </w:p>
    <w:p w14:paraId="02367F5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7FC0D6D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3FE0D6F"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Hidrochlorotiazidas</w:t>
      </w:r>
    </w:p>
    <w:p w14:paraId="64562F51" w14:textId="7E90CB01" w:rsidR="00ED57CD" w:rsidRDefault="00ED57CD" w:rsidP="00ED57CD">
      <w:pPr>
        <w:tabs>
          <w:tab w:val="left" w:pos="567"/>
        </w:tabs>
        <w:spacing w:after="0" w:line="240" w:lineRule="auto"/>
        <w:rPr>
          <w:rFonts w:ascii="Times New Roman" w:eastAsia="SimSun" w:hAnsi="Times New Roman"/>
          <w:u w:val="single"/>
          <w:lang w:eastAsia="zh-CN"/>
        </w:rPr>
      </w:pPr>
    </w:p>
    <w:p w14:paraId="32DA504E" w14:textId="77777777" w:rsidR="00077F41" w:rsidRPr="00077F41" w:rsidRDefault="00077F41" w:rsidP="00077F41">
      <w:pPr>
        <w:spacing w:after="0" w:line="240" w:lineRule="auto"/>
        <w:rPr>
          <w:rFonts w:ascii="Times New Roman" w:hAnsi="Times New Roman"/>
          <w:i/>
          <w:u w:val="single"/>
        </w:rPr>
      </w:pPr>
      <w:r w:rsidRPr="00077F41">
        <w:rPr>
          <w:rFonts w:ascii="Times New Roman" w:hAnsi="Times New Roman"/>
          <w:i/>
          <w:u w:val="single"/>
        </w:rPr>
        <w:t>Ūminis toksinis poveikis kvėpavimo sistemai</w:t>
      </w:r>
    </w:p>
    <w:p w14:paraId="7C478378" w14:textId="77777777" w:rsidR="00077F41" w:rsidRPr="00077F41" w:rsidRDefault="00077F41" w:rsidP="00077F41">
      <w:pPr>
        <w:spacing w:after="0" w:line="240" w:lineRule="auto"/>
        <w:rPr>
          <w:rFonts w:ascii="Times New Roman" w:hAnsi="Times New Roman"/>
          <w:i/>
          <w:u w:val="single"/>
        </w:rPr>
      </w:pPr>
    </w:p>
    <w:p w14:paraId="5E8B8934" w14:textId="07698199" w:rsidR="00077F41" w:rsidRDefault="00077F41" w:rsidP="00077F41">
      <w:pPr>
        <w:spacing w:after="0" w:line="240" w:lineRule="auto"/>
        <w:rPr>
          <w:rFonts w:ascii="Times New Roman" w:hAnsi="Times New Roman"/>
          <w:iCs/>
        </w:rPr>
      </w:pPr>
      <w:r w:rsidRPr="00077F41">
        <w:rPr>
          <w:rFonts w:ascii="Times New Roman" w:hAnsi="Times New Roman"/>
          <w:iCs/>
        </w:rPr>
        <w:t>Gauta pranešimų apie pavartojus hidrochlorotiazido nustatytus labai retus</w:t>
      </w:r>
      <w:r w:rsidR="003335C0">
        <w:rPr>
          <w:rFonts w:ascii="Times New Roman" w:hAnsi="Times New Roman"/>
          <w:iCs/>
        </w:rPr>
        <w:t xml:space="preserve"> </w:t>
      </w:r>
      <w:r w:rsidRPr="00077F41">
        <w:rPr>
          <w:rFonts w:ascii="Times New Roman" w:hAnsi="Times New Roman"/>
          <w:iCs/>
        </w:rPr>
        <w:t xml:space="preserve">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ED57CD">
        <w:rPr>
          <w:rFonts w:ascii="Times New Roman" w:eastAsia="SimSun" w:hAnsi="Times New Roman"/>
          <w:lang w:eastAsia="zh-CN"/>
        </w:rPr>
        <w:t>Zofenopril</w:t>
      </w:r>
      <w:r>
        <w:rPr>
          <w:rFonts w:ascii="Times New Roman" w:eastAsia="SimSun" w:hAnsi="Times New Roman"/>
          <w:lang w:eastAsia="zh-CN"/>
        </w:rPr>
        <w:t> </w:t>
      </w:r>
      <w:r w:rsidRPr="00ED57CD">
        <w:rPr>
          <w:rFonts w:ascii="Times New Roman" w:eastAsia="SimSun" w:hAnsi="Times New Roman"/>
          <w:lang w:eastAsia="zh-CN"/>
        </w:rPr>
        <w:t>/ Hydrochlorothiazide Ingen Pharma</w:t>
      </w:r>
      <w:r w:rsidRPr="00077F41">
        <w:rPr>
          <w:rFonts w:ascii="Times New Roman" w:hAnsi="Times New Roman"/>
          <w:iCs/>
        </w:rPr>
        <w:t xml:space="preserve"> vartojimą ir skirti atitinkamą gydymą. Hidrochlorotiazido negalima skirti pacientams, kuriems anksčiau pasireiškė ŪKSS pavartojus hidrochlorotiazido.</w:t>
      </w:r>
    </w:p>
    <w:p w14:paraId="13C8E066" w14:textId="77777777" w:rsidR="00077F41" w:rsidRPr="00ED57CD" w:rsidRDefault="00077F41" w:rsidP="00ED57CD">
      <w:pPr>
        <w:tabs>
          <w:tab w:val="left" w:pos="567"/>
        </w:tabs>
        <w:spacing w:after="0" w:line="240" w:lineRule="auto"/>
        <w:rPr>
          <w:rFonts w:ascii="Times New Roman" w:eastAsia="SimSun" w:hAnsi="Times New Roman"/>
          <w:u w:val="single"/>
          <w:lang w:eastAsia="zh-CN"/>
        </w:rPr>
      </w:pPr>
    </w:p>
    <w:p w14:paraId="59622804"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Inkstų funkcijos sutrikimas</w:t>
      </w:r>
    </w:p>
    <w:p w14:paraId="25A6096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Sergantiems inkstų liga pacientams tiazidiniai diuretikai gali padidinti azotemiją. Esant sutrikusiai inkstų funkcijai, gali būti šios veikliosios medžiagos kumuliacinis poveikis. Jeigu išryškėja progresuojantis inkstų funkcijos sutrikimas, pasireiškiantis didėjančiu nebaltyminės kilmės azoto kiekiu, reikia atidžiai peržiūrėti gydymą ir nuspręsti, ar nereikia nutraukti gydymo diuretikais.</w:t>
      </w:r>
    </w:p>
    <w:p w14:paraId="6DC2A59A"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5F57FD34"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Kepenų funkcijos sutrikimas</w:t>
      </w:r>
    </w:p>
    <w:p w14:paraId="4D99A24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Tiazidinių diuretikų reikia vartoti atsargiai pacientams, kuriems nustatyta sutrikusi kepenų funkcija arba progresuojanti kepenų liga, nes nežymūs skysčių ir elektrolitų apykaitos pusiausvyros sutrikimai gali pagreitinti kepenų komos išsivystymą.</w:t>
      </w:r>
    </w:p>
    <w:p w14:paraId="19F2AD2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DEA39BE"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Medžiagų apykaitos ir endokrininiai sutrikimai</w:t>
      </w:r>
    </w:p>
    <w:p w14:paraId="6DB5EFC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Gydymas tiazidiniais diuretikais gali sutrikdyti gliukozės toleravimą. Gali prireikti koreguoti insulino arba geriamųjų gliukozės kiekį mažinančių vaistinių preparatų dozę (žr. 4.5 skyrių). Gydant tiazidiniais diuretikais gali išryškėti latentinis cukrinis diabetas. </w:t>
      </w:r>
    </w:p>
    <w:p w14:paraId="77BDC47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Gydymas tiazidiniais diuretikais gali būti susijęs su cholesterolio ir trigliceridų kiekio padidėjimu kraujyje. Tiazidiniai diuretikai gali pagreitinti kai kuriems pacientams hiperurikemijos ir (arba) podagros susiformavimą.</w:t>
      </w:r>
    </w:p>
    <w:p w14:paraId="46271B9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55959C6"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Elektrolitų pusiausvyros sutrikimas</w:t>
      </w:r>
    </w:p>
    <w:p w14:paraId="2FD5E17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Kaip ir bet kuriam diuretikais gydomam pacientui, tam tikrais laiko intervalais periodiškai reikia tirti elektrolitų kiekį kraujo serume.</w:t>
      </w:r>
    </w:p>
    <w:p w14:paraId="3B365DB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Tiazidiniai vaistiniai preparatai, įskaitant hidrochlorotiazidą, gali sukelti elektrolitų pusiausvyros sutrikimus (hipokalemiją, hiponatremiją ir hipochloreminę alkalozę). Elektrolitų pusiausvyros sutrikimų įspėjamieji požymiai yra burnos džiūvimas, troškulys, silpnumas, letargija, mieguistumas, neramumas, raumenų skausmas arba mėšlungis, raumenų nuovargis, hipotenzija, oligurija, tachikardija, virškinimo sutrikimai – pykinimas arba vėmimas.</w:t>
      </w:r>
    </w:p>
    <w:p w14:paraId="2FB692D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Nors vartojant tiazidinius diuretikus gali išryškėti hipokalemija, gydymas kartu su zofenopriliu gali sumažinti diuretikų sukeltą hipokalemiją. Hipokalemijos rizika didesnė pacientams, sergantiems kepenų ciroze, esant pagreitėjusiai diurezei, pacientams, neadekvačiai vartojantiems geriamųjų elektrolitų tirpalų ir pacientams, kurie kartu vartoja kortikosteroidų arba AKTH (žr. 4.5 skyrių).</w:t>
      </w:r>
    </w:p>
    <w:p w14:paraId="0A2B4B7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Esant padidėjusiai aplinkos temperatūrai pacientams, kuriems yra edemų, dėl praskiedimo galima hiponatremija. Chloridų stoka kraujyje dažniausiai nežymi ir paprastai jokio gydymo jai nereikia.</w:t>
      </w:r>
    </w:p>
    <w:p w14:paraId="39FC0C5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Tiazidiniai diuretikai gali sumažinti kalcio išsiskyrimą su šlapimu ir sukelti nežymų protarpinį kalcio kiekio padidėjimą kraujo serume nepasireiškiant jokiam žinomam kalcio metabolizmo sutrikimui. Padidėjusi hiperkalcemija gali būti slaptojo hiperparatireoidizmo požymis. Prieš atliekant prieskydinių liaukų funkcijos tyrimą, reikia liautis vartoti tiazidinių diuretikų. Nustatyta, kad tiazidiniai diuretikai gali padidinti magnio išsiskyrimą su šlapimu ir dėl to gali pasireikšti hipomagnezemija.</w:t>
      </w:r>
    </w:p>
    <w:p w14:paraId="15736C0F"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0805433C"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Sisteminė raudonoji vilkligė</w:t>
      </w:r>
    </w:p>
    <w:p w14:paraId="4CF108B9"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Gauta pranešimų apie sisteminės raudonosios vilkligės paūmėjimą arba aktyvumo padidėjimą vartojant tiazidinių diuretikų.</w:t>
      </w:r>
    </w:p>
    <w:p w14:paraId="55E87653" w14:textId="77777777" w:rsidR="00ED57CD" w:rsidRPr="00ED57CD" w:rsidRDefault="00ED57CD" w:rsidP="00ED57CD">
      <w:pPr>
        <w:tabs>
          <w:tab w:val="left" w:pos="567"/>
        </w:tabs>
        <w:spacing w:after="0" w:line="240" w:lineRule="auto"/>
        <w:rPr>
          <w:rFonts w:ascii="Times New Roman" w:eastAsia="SimSun" w:hAnsi="Times New Roman"/>
          <w:i/>
          <w:lang w:eastAsia="zh-CN"/>
        </w:rPr>
      </w:pPr>
    </w:p>
    <w:p w14:paraId="5210352E"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i/>
          <w:u w:val="single"/>
          <w:lang w:eastAsia="zh-CN"/>
        </w:rPr>
        <w:t>Antidopingo mėginys</w:t>
      </w:r>
    </w:p>
    <w:p w14:paraId="52D4F62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vaistinio preparato sudėtyje esantis hidrochlorotiazidas gali sukelti antidopingo mėginio teigiamą rezultatą.</w:t>
      </w:r>
    </w:p>
    <w:p w14:paraId="4EF5460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28D9740"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 xml:space="preserve">Kiti duomenys </w:t>
      </w:r>
    </w:p>
    <w:p w14:paraId="7CF0380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Gali būti padidėjusio jautrumo reakcijų, esant duomenų apie praeityje buvusią alergiją, astmą arba tokių duomenų ir nesant.</w:t>
      </w:r>
    </w:p>
    <w:p w14:paraId="26A182B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D1F6B6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tiazidinių diuretikų pasitaikė padidėjusio jautrumo šviesai reakcijos atvejų (žr. 4.8 skyrių). Jei padidėjusio jautrumo šviesai reakcija atsiranda gydymo metu, rekomenduojama vaistinio preparato vartojimą nutraukti. Jei manoma, kad vėl būtina vartoti diuretikų, rekomenduojama atviras kūno vietas saugoti nuo saulės arba dirbtinės UV spinduliuotės.</w:t>
      </w:r>
    </w:p>
    <w:p w14:paraId="5967797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1AB0B5D" w14:textId="77777777" w:rsidR="00ED57CD" w:rsidRPr="00ED57CD" w:rsidRDefault="00ED57CD" w:rsidP="00ED57CD">
      <w:pPr>
        <w:tabs>
          <w:tab w:val="left" w:pos="567"/>
        </w:tabs>
        <w:spacing w:after="0" w:line="240" w:lineRule="auto"/>
        <w:rPr>
          <w:rFonts w:ascii="Times New Roman" w:eastAsia="SimSun" w:hAnsi="Times New Roman"/>
          <w:bCs/>
          <w:i/>
          <w:u w:val="single"/>
          <w:lang w:eastAsia="zh-CN"/>
        </w:rPr>
      </w:pPr>
      <w:r w:rsidRPr="00ED57CD">
        <w:rPr>
          <w:rFonts w:ascii="Times New Roman" w:eastAsia="SimSun" w:hAnsi="Times New Roman"/>
          <w:bCs/>
          <w:i/>
          <w:u w:val="single"/>
          <w:lang w:eastAsia="zh-CN"/>
        </w:rPr>
        <w:t>Nemelanominis odos vėžys</w:t>
      </w:r>
    </w:p>
    <w:p w14:paraId="49DFDFC7" w14:textId="77777777" w:rsidR="00ED57CD" w:rsidRPr="00ED57CD" w:rsidRDefault="00ED57CD" w:rsidP="00ED57CD">
      <w:pPr>
        <w:tabs>
          <w:tab w:val="left" w:pos="567"/>
        </w:tabs>
        <w:spacing w:after="0" w:line="240" w:lineRule="auto"/>
        <w:rPr>
          <w:rFonts w:ascii="Times New Roman" w:eastAsia="SimSun" w:hAnsi="Times New Roman"/>
          <w:bCs/>
          <w:lang w:eastAsia="zh-CN"/>
        </w:rPr>
      </w:pPr>
      <w:r w:rsidRPr="00ED57CD">
        <w:rPr>
          <w:rFonts w:ascii="Times New Roman" w:eastAsia="SimSun" w:hAnsi="Times New Roman"/>
          <w:bCs/>
          <w:lang w:eastAsia="zh-CN"/>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2C98ABD6" w14:textId="77777777" w:rsidR="00ED57CD" w:rsidRPr="00ED57CD" w:rsidRDefault="00ED57CD" w:rsidP="00ED57CD">
      <w:pPr>
        <w:tabs>
          <w:tab w:val="left" w:pos="567"/>
        </w:tabs>
        <w:spacing w:after="0" w:line="240" w:lineRule="auto"/>
        <w:rPr>
          <w:rFonts w:ascii="Times New Roman" w:eastAsia="SimSun" w:hAnsi="Times New Roman"/>
          <w:bCs/>
          <w:lang w:eastAsia="zh-CN"/>
        </w:rPr>
      </w:pPr>
    </w:p>
    <w:p w14:paraId="780502B6" w14:textId="77777777" w:rsidR="00ED57CD" w:rsidRPr="00ED57CD" w:rsidRDefault="00ED57CD" w:rsidP="00ED57CD">
      <w:pPr>
        <w:tabs>
          <w:tab w:val="left" w:pos="567"/>
        </w:tabs>
        <w:spacing w:after="0" w:line="240" w:lineRule="auto"/>
        <w:rPr>
          <w:rFonts w:ascii="Times New Roman" w:eastAsia="SimSun" w:hAnsi="Times New Roman"/>
          <w:bCs/>
          <w:lang w:eastAsia="zh-CN"/>
        </w:rPr>
      </w:pPr>
      <w:r w:rsidRPr="00ED57CD">
        <w:rPr>
          <w:rFonts w:ascii="Times New Roman" w:eastAsia="SimSun" w:hAnsi="Times New Roman"/>
          <w:bCs/>
          <w:lang w:eastAsia="zh-CN"/>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7345F561" w14:textId="77777777" w:rsidR="00ED57CD" w:rsidRPr="00ED57CD" w:rsidRDefault="00ED57CD" w:rsidP="00ED57CD">
      <w:pPr>
        <w:tabs>
          <w:tab w:val="left" w:pos="567"/>
        </w:tabs>
        <w:spacing w:after="0" w:line="240" w:lineRule="auto"/>
        <w:rPr>
          <w:rFonts w:ascii="Times New Roman" w:eastAsia="SimSun" w:hAnsi="Times New Roman"/>
          <w:i/>
          <w:iCs/>
          <w:lang w:eastAsia="zh-CN"/>
        </w:rPr>
      </w:pPr>
    </w:p>
    <w:p w14:paraId="5DE36E6A" w14:textId="77777777" w:rsidR="00ED57CD" w:rsidRPr="00ED57CD" w:rsidRDefault="00ED57CD" w:rsidP="00ED57CD">
      <w:pPr>
        <w:tabs>
          <w:tab w:val="left" w:pos="567"/>
        </w:tabs>
        <w:spacing w:after="0" w:line="240" w:lineRule="auto"/>
        <w:rPr>
          <w:rFonts w:ascii="Times New Roman" w:eastAsia="SimSun" w:hAnsi="Times New Roman"/>
          <w:i/>
          <w:iCs/>
          <w:u w:val="single"/>
          <w:lang w:eastAsia="zh-CN"/>
        </w:rPr>
      </w:pPr>
      <w:r w:rsidRPr="00ED57CD">
        <w:rPr>
          <w:rFonts w:ascii="Times New Roman" w:eastAsia="SimSun" w:hAnsi="Times New Roman"/>
          <w:i/>
          <w:iCs/>
          <w:u w:val="single"/>
          <w:lang w:eastAsia="zh-CN"/>
        </w:rPr>
        <w:t>Skysčio susikaupimas tarp akies gyslainės ir skleros, ūminė miopija ir antrinė uždarojo kampo glaukoma</w:t>
      </w:r>
    </w:p>
    <w:p w14:paraId="790FD32A" w14:textId="77777777" w:rsidR="00ED57CD" w:rsidRPr="00ED57CD" w:rsidRDefault="00ED57CD" w:rsidP="00ED57CD">
      <w:pPr>
        <w:tabs>
          <w:tab w:val="left" w:pos="567"/>
        </w:tabs>
        <w:spacing w:after="0" w:line="240" w:lineRule="auto"/>
        <w:rPr>
          <w:rFonts w:ascii="Times New Roman" w:eastAsia="SimSun" w:hAnsi="Times New Roman"/>
          <w:bCs/>
          <w:lang w:eastAsia="zh-CN"/>
        </w:rPr>
      </w:pPr>
      <w:r w:rsidRPr="00ED57CD">
        <w:rPr>
          <w:rFonts w:ascii="Times New Roman" w:eastAsia="SimSun" w:hAnsi="Times New Roman"/>
          <w:bCs/>
          <w:lang w:eastAsia="zh-CN"/>
        </w:rPr>
        <w:t>Sulfamidų grupės vaistiniai preparatai ar sulfamidų dariniai gali sukelti idiosinkrazinę reakciją ir dėl to gali pasireikšti skysčio susikaupimas tarp akies gyslainės ir skleros su regėjimo lauko defektu, praeinanti miopija ir ūminė uždarojo kampo glaukoma.</w:t>
      </w:r>
    </w:p>
    <w:p w14:paraId="6F24D95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3B375DC"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Zofenoprilio ir hidrochlorotiazido derinys</w:t>
      </w:r>
    </w:p>
    <w:p w14:paraId="46BD783A"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6DBA13E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Be įspėjimų, susijusių su atskirais komponentais, žemiau išvardyti sutrikimai susiję su deriniu. </w:t>
      </w:r>
    </w:p>
    <w:p w14:paraId="169B302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A9440D5"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Nėštumas</w:t>
      </w:r>
    </w:p>
    <w:p w14:paraId="0488095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nerekomenduojama vartoti pirmojo nėštumo trimestro laikotarpiu (žr. 4.6 skyrių).</w:t>
      </w:r>
    </w:p>
    <w:p w14:paraId="71DB1FE6"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7E63BDD3"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Inkstų funkcijos sutrikimas</w:t>
      </w:r>
    </w:p>
    <w:p w14:paraId="537650D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Atsižvelgiant į zofenoprilio ir hidrochlorotiazido poveikį pacientams su sutrikusia inkstų veikla, Zofenopril / Hydrochlorothiazide Ingen Pharma negalima gydyti pacientų, kuriems nustatytas vidutinio sunkumo arba sunkus inkstų nepakankamumas (kreatinino klirensas &lt;45 ml/min.).</w:t>
      </w:r>
    </w:p>
    <w:p w14:paraId="7D085EC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5292993"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Hipokalemijos rizika</w:t>
      </w:r>
    </w:p>
    <w:p w14:paraId="572CBD4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inhibitorių ir tiazidinių diuretikų derinys nepaneigia hipokalemijos atsiradimo galimybės. Reikia reguliariai tirti kalio kiekį kraujo serume.</w:t>
      </w:r>
    </w:p>
    <w:p w14:paraId="6A6519B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9856AD"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Galaktozės netoleravimas, visiškas laktazės stygius, gliukozės ir galaktozės malabsorbcija</w:t>
      </w:r>
    </w:p>
    <w:p w14:paraId="4641F27B" w14:textId="45C341C5" w:rsidR="00ED57CD" w:rsidRPr="00ED57CD" w:rsidRDefault="00ED57CD" w:rsidP="00ED57CD">
      <w:pPr>
        <w:tabs>
          <w:tab w:val="left" w:pos="567"/>
        </w:tabs>
        <w:spacing w:after="0" w:line="240" w:lineRule="auto"/>
        <w:rPr>
          <w:rFonts w:ascii="Times New Roman" w:eastAsia="SimSun" w:hAnsi="Times New Roman"/>
          <w:bCs/>
          <w:lang w:eastAsia="zh-CN"/>
        </w:rPr>
      </w:pPr>
      <w:r w:rsidRPr="00ED57CD">
        <w:rPr>
          <w:rFonts w:ascii="Times New Roman" w:eastAsia="SimSun" w:hAnsi="Times New Roman"/>
          <w:lang w:eastAsia="zh-CN"/>
        </w:rPr>
        <w:t xml:space="preserve">Šio vaistinio preparato sudėtyje yra laktozės. Šio vaistinio preparato negalima </w:t>
      </w:r>
      <w:r w:rsidRPr="00ED57CD">
        <w:rPr>
          <w:rFonts w:ascii="Times New Roman" w:eastAsia="SimSun" w:hAnsi="Times New Roman"/>
          <w:bCs/>
          <w:lang w:eastAsia="zh-CN"/>
        </w:rPr>
        <w:t>vartoti p</w:t>
      </w:r>
      <w:r w:rsidRPr="00ED57CD">
        <w:rPr>
          <w:rFonts w:ascii="Times New Roman" w:eastAsia="SimSun" w:hAnsi="Times New Roman"/>
          <w:lang w:eastAsia="zh-CN"/>
        </w:rPr>
        <w:t xml:space="preserve">acientams, kuriems nustatytas retas paveldimas sutrikimas </w:t>
      </w:r>
      <w:r w:rsidR="005333D8">
        <w:rPr>
          <w:rFonts w:ascii="Times New Roman" w:eastAsia="SimSun" w:hAnsi="Times New Roman"/>
          <w:lang w:eastAsia="zh-CN"/>
        </w:rPr>
        <w:t>–</w:t>
      </w:r>
      <w:r w:rsidRPr="00ED57CD">
        <w:rPr>
          <w:rFonts w:ascii="Times New Roman" w:eastAsia="SimSun" w:hAnsi="Times New Roman"/>
          <w:lang w:eastAsia="zh-CN"/>
        </w:rPr>
        <w:t xml:space="preserve"> galaktozės netoleravimas, visiškas laktazės stygius arba gliukozės ir galaktozės malabsorbcija</w:t>
      </w:r>
      <w:r w:rsidRPr="00ED57CD">
        <w:rPr>
          <w:rFonts w:ascii="Times New Roman" w:eastAsia="SimSun" w:hAnsi="Times New Roman"/>
          <w:bCs/>
          <w:lang w:eastAsia="zh-CN"/>
        </w:rPr>
        <w:t>.</w:t>
      </w:r>
    </w:p>
    <w:p w14:paraId="6B00250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F99A7A0" w14:textId="77777777" w:rsidR="00ED57CD" w:rsidRPr="00ED57CD" w:rsidRDefault="00ED57CD" w:rsidP="00ED57CD">
      <w:pPr>
        <w:tabs>
          <w:tab w:val="left" w:pos="567"/>
        </w:tabs>
        <w:spacing w:after="0" w:line="240" w:lineRule="auto"/>
        <w:rPr>
          <w:rFonts w:ascii="Times New Roman" w:hAnsi="Times New Roman"/>
          <w:u w:val="single"/>
        </w:rPr>
      </w:pPr>
      <w:r w:rsidRPr="00ED57CD">
        <w:rPr>
          <w:rFonts w:ascii="Times New Roman" w:hAnsi="Times New Roman"/>
          <w:u w:val="single"/>
        </w:rPr>
        <w:t>Saulėlydžio geltonasis</w:t>
      </w:r>
    </w:p>
    <w:p w14:paraId="44C0B1EA" w14:textId="77777777" w:rsidR="00ED57CD" w:rsidRPr="00ED57CD" w:rsidRDefault="00ED57CD" w:rsidP="00ED57CD">
      <w:pPr>
        <w:tabs>
          <w:tab w:val="left" w:pos="567"/>
        </w:tabs>
        <w:spacing w:after="0" w:line="240" w:lineRule="auto"/>
        <w:rPr>
          <w:rFonts w:ascii="Times New Roman" w:hAnsi="Times New Roman"/>
        </w:rPr>
      </w:pPr>
      <w:r w:rsidRPr="00ED57CD">
        <w:rPr>
          <w:rFonts w:ascii="Times New Roman" w:eastAsia="SimSun" w:hAnsi="Times New Roman"/>
          <w:lang w:eastAsia="zh-CN"/>
        </w:rPr>
        <w:t xml:space="preserve">Zofenopril / Hydrochlorothiazide Ingen Pharma </w:t>
      </w:r>
      <w:r w:rsidRPr="00ED57CD">
        <w:rPr>
          <w:rFonts w:ascii="Times New Roman" w:hAnsi="Times New Roman"/>
        </w:rPr>
        <w:t>sudėtyje yra saulėlydžio geltonojo (E110), kuris gali sukelti alerginių reakcijų.</w:t>
      </w:r>
    </w:p>
    <w:p w14:paraId="2F76438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709BD54"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17" w:name="_Toc129243106"/>
      <w:bookmarkStart w:id="18" w:name="_Toc129243231"/>
      <w:r w:rsidRPr="00ED57CD">
        <w:rPr>
          <w:rFonts w:ascii="Times New Roman" w:eastAsia="SimSun" w:hAnsi="Times New Roman"/>
          <w:b/>
          <w:lang w:eastAsia="zh-CN"/>
        </w:rPr>
        <w:t>4.5</w:t>
      </w:r>
      <w:r w:rsidRPr="00ED57CD">
        <w:rPr>
          <w:rFonts w:ascii="Times New Roman" w:eastAsia="SimSun" w:hAnsi="Times New Roman"/>
          <w:b/>
          <w:lang w:eastAsia="zh-CN"/>
        </w:rPr>
        <w:tab/>
        <w:t>Sąveika su kitais vaistiniais preparatais ir kitokia sąveika</w:t>
      </w:r>
      <w:bookmarkEnd w:id="17"/>
      <w:bookmarkEnd w:id="18"/>
    </w:p>
    <w:p w14:paraId="7BB12231"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5579BA78"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Zofenoprilis</w:t>
      </w:r>
    </w:p>
    <w:p w14:paraId="39F3736C"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4B9FCA4E"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Kartu vartoti nerekomenduojama</w:t>
      </w:r>
    </w:p>
    <w:p w14:paraId="4C20E488"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Kalį organizme sulaikantys diuretikai, kalio vaistiniai preparatai.</w:t>
      </w:r>
    </w:p>
    <w:p w14:paraId="24EC193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inhibitoriai mažina diuretikų sukeliamą kalio išsiskyrimą iš organizmo. Kalį organizme sulaikantys diuretikai, pvz.: spironolaktonas, triamterenas arba amiloridas, kalio papildai, kalio vaistiniai preparatai ar druskų pakaitalai, kuriuose yra kalio, gali labai padidinti kalio kiekį kraujo serume. Jeigu minėtais vaistiniais preparatais būtina gydyti dėl hipokalemijos, tai reikia daryti atsargiai ir dažnai tirti kalio koncentraciją kraujo serume bei atlikti EKG (žr. 4.4 skyrių).</w:t>
      </w:r>
    </w:p>
    <w:p w14:paraId="1090045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0040BCD" w14:textId="77777777" w:rsidR="00ED57CD" w:rsidRPr="00ED57CD" w:rsidRDefault="00ED57CD" w:rsidP="00ED57CD">
      <w:pPr>
        <w:tabs>
          <w:tab w:val="left" w:pos="567"/>
        </w:tabs>
        <w:spacing w:after="0" w:line="240" w:lineRule="auto"/>
        <w:rPr>
          <w:rFonts w:ascii="Times New Roman" w:eastAsia="SimSun" w:hAnsi="Times New Roman"/>
          <w:i/>
          <w:iCs/>
          <w:lang w:eastAsia="zh-CN"/>
        </w:rPr>
      </w:pPr>
      <w:r w:rsidRPr="00ED57CD">
        <w:rPr>
          <w:rFonts w:ascii="Times New Roman" w:eastAsia="SimSun" w:hAnsi="Times New Roman"/>
          <w:i/>
          <w:iCs/>
          <w:lang w:eastAsia="zh-CN"/>
        </w:rPr>
        <w:t>AKF inhibitoriai, angiotenzino II receptorių blokatoriai ar aliskirenas</w:t>
      </w:r>
    </w:p>
    <w:p w14:paraId="36456AC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Cs/>
          <w:lang w:eastAsia="zh-CN"/>
        </w:rPr>
        <w:t>Klinikinių tyrimų duomenys parodė, kad, palyginti su vieno RAAS veikiančio vaistinio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r w:rsidRPr="00ED57CD">
        <w:rPr>
          <w:rFonts w:ascii="Times New Roman" w:eastAsia="SimSun" w:hAnsi="Times New Roman"/>
          <w:i/>
          <w:iCs/>
          <w:lang w:eastAsia="zh-CN"/>
        </w:rPr>
        <w:t>.</w:t>
      </w:r>
    </w:p>
    <w:p w14:paraId="201EFE3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0B26B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u w:val="single"/>
          <w:lang w:eastAsia="zh-CN"/>
        </w:rPr>
        <w:t>Vaistiniai preparatai, kurių kartu reikia vartoti atsargiai</w:t>
      </w:r>
    </w:p>
    <w:p w14:paraId="26DA5204"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Diuretikai (tiazidai arba kilpiniai diuretikai)</w:t>
      </w:r>
    </w:p>
    <w:p w14:paraId="20893B1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Ankstesnis didelės diuretikų dozės vartojimas pradėjus gydymą zofenopriliu gali sukelti kraujo tūrio sumažėjimą ir hipotenzijos riziką (žr. 4.4 skyrių). Hipotenzinį poveikį galima sumažinti nutraukus diuretikų vartojimą, padidinus kraujo tūrį, druskos vartojimą arba gydymą pradėjus maža zofenoprilio doze.</w:t>
      </w:r>
    </w:p>
    <w:p w14:paraId="4BADDBAB"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67D10CEE"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Anestetikai </w:t>
      </w:r>
    </w:p>
    <w:p w14:paraId="59E9F02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AKF inhibitoriai gali stiprinti kai kurių anestetikų sukeliamą hipotenzinį poveikį. </w:t>
      </w:r>
    </w:p>
    <w:p w14:paraId="7EB0203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5D13327"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Narkotikai, tricikliai antidepresantai, vaistiniai preparatai nuo psichozės, barbitūratai</w:t>
      </w:r>
    </w:p>
    <w:p w14:paraId="05A4302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Šių vaistinių preparatų vartojant kartu su AKF inhibitoriais, galima ortostatinė hipotenzija.</w:t>
      </w:r>
    </w:p>
    <w:p w14:paraId="06D8A2A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FE4FA59"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Kiti antihipertenziniai vaistiniai preparatai (pvz.: beta adrenoblokatoriai, alfa adrenoblokatoriai, kalcio kanalų blokatoriai) </w:t>
      </w:r>
    </w:p>
    <w:p w14:paraId="4E64F0B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Galimas suminis hipotenzinis poveikis arba šio poveikio sustiprėjimas. Gydyti nitroglicerinu ir kitais nitratais arba kitais kraujagysles plečiančiais vaistiniais preparatais reikia atsargiai. </w:t>
      </w:r>
    </w:p>
    <w:p w14:paraId="117361CB" w14:textId="77777777" w:rsidR="00ED57CD" w:rsidRPr="00ED57CD" w:rsidRDefault="00ED57CD" w:rsidP="00ED57CD">
      <w:pPr>
        <w:tabs>
          <w:tab w:val="left" w:pos="567"/>
        </w:tabs>
        <w:spacing w:after="0" w:line="240" w:lineRule="auto"/>
        <w:rPr>
          <w:rFonts w:ascii="Times New Roman" w:eastAsia="SimSun" w:hAnsi="Times New Roman"/>
          <w:i/>
          <w:lang w:eastAsia="zh-CN"/>
        </w:rPr>
      </w:pPr>
    </w:p>
    <w:p w14:paraId="127B5CE6"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Cimetidinas</w:t>
      </w:r>
    </w:p>
    <w:p w14:paraId="21A7A73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Gali didinti hipotenzijos pasireiškimo galimybę.</w:t>
      </w:r>
    </w:p>
    <w:p w14:paraId="37C6C3A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F4C6289"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Ciklosporinas</w:t>
      </w:r>
    </w:p>
    <w:p w14:paraId="106D1A8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kartu su AKF inhibitoriais didėja inkstų funkcijos sutrikimo pasireiškimo rizika.</w:t>
      </w:r>
    </w:p>
    <w:p w14:paraId="44A08BE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E251B33"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Alopurinolis, prokainamidas, citostatiniai ar imunosupresiniai vaistiniai preparatai </w:t>
      </w:r>
    </w:p>
    <w:p w14:paraId="5091696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Vartojant kartu su AKF inhibitoriais didėja padidėjusio organizmo jautrumo reakcijos pasireiškimo galimybė. Duomenys apie kitus AKF inhibitorius rodo, kad didėja ir leukopenijos atsiradimo pavojus. </w:t>
      </w:r>
    </w:p>
    <w:p w14:paraId="7584F07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80964CA"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Vaistiniai preparatai nuo cukrinio diabeto</w:t>
      </w:r>
    </w:p>
    <w:p w14:paraId="6B6C5A5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inhibitoriai sergant cukriniu diabetu retais atvejais gali sustiprinti insulino ir geriamųjų vaistinių preparatų nuo cukrinio diabeto, pavyzdžiui, sulfonilkarbamido darinių, gliukozės kiekį kraujyje mažinantį poveikį. Tokiais atvejais, vartojant kartu su AKF inhibitoriais, gali reikėti sumažinti vaistinių preparatų nuo cukrinio diabeto dozę.</w:t>
      </w:r>
    </w:p>
    <w:p w14:paraId="36D2CE5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041C614"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Hemodializė, kurios metu naudojamos didelio laidumo membranos </w:t>
      </w:r>
    </w:p>
    <w:p w14:paraId="0658C02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kartu su AKF inhibitoriais didėja anafilaksinės reakcijos pasireiškimo rizika.</w:t>
      </w:r>
    </w:p>
    <w:p w14:paraId="15CFD48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18583D"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Simpatikomimetikai</w:t>
      </w:r>
    </w:p>
    <w:p w14:paraId="7DFE144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Gali silpninti AKF inhibitorių sukeliamą antihipertenzinį poveikį. Jeigu pacientas vartoja šių vaistinių preparatų, būtina stebėti, ar poveikis yra reikiamas.</w:t>
      </w:r>
    </w:p>
    <w:p w14:paraId="175C7B6D" w14:textId="77777777" w:rsidR="00ED57CD" w:rsidRPr="00ED57CD" w:rsidRDefault="00ED57CD" w:rsidP="00ED57CD">
      <w:pPr>
        <w:tabs>
          <w:tab w:val="left" w:pos="567"/>
        </w:tabs>
        <w:spacing w:after="0" w:line="240" w:lineRule="auto"/>
        <w:rPr>
          <w:rFonts w:ascii="Times New Roman" w:eastAsia="SimSun" w:hAnsi="Times New Roman"/>
          <w:i/>
          <w:lang w:eastAsia="zh-CN"/>
        </w:rPr>
      </w:pPr>
    </w:p>
    <w:p w14:paraId="51F7CEDA"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Antacidiniai vaistiniai preparatai</w:t>
      </w:r>
    </w:p>
    <w:p w14:paraId="2AC75B4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Jie mažina biologinį AKF inhibitorių prieinamumą. </w:t>
      </w:r>
    </w:p>
    <w:p w14:paraId="3D04D98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E1AE99C"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 xml:space="preserve">Maistas </w:t>
      </w:r>
    </w:p>
    <w:p w14:paraId="6980FB6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Gali sulėtinti zofenoprilio absorbciją, bet jos nemažina.</w:t>
      </w:r>
    </w:p>
    <w:p w14:paraId="1438C63B" w14:textId="77777777" w:rsidR="00ED57CD" w:rsidRPr="00ED57CD" w:rsidRDefault="00ED57CD" w:rsidP="00ED57CD">
      <w:pPr>
        <w:tabs>
          <w:tab w:val="left" w:pos="567"/>
        </w:tabs>
        <w:spacing w:after="0" w:line="240" w:lineRule="auto"/>
        <w:rPr>
          <w:rFonts w:ascii="Times New Roman" w:eastAsia="SimSun" w:hAnsi="Times New Roman"/>
          <w:i/>
          <w:lang w:eastAsia="zh-CN"/>
        </w:rPr>
      </w:pPr>
    </w:p>
    <w:p w14:paraId="611980ED"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Aukso vaistiniai preparatai</w:t>
      </w:r>
    </w:p>
    <w:p w14:paraId="2A73E67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Gydomiems AKF inhibitoriais pacientams po aukso vaistinių preparatų (pvz., natrio aurotiomalato) sušvirkštimo dažniau pasitaiko nitritoidinių reakcijų (kraujagyslių dilatacijos simptomų, įskaitant veido ir kaklo paraudimą, pykinimą, svaigulį ir hipotenziją, kuri gali būti labai stipri).</w:t>
      </w:r>
    </w:p>
    <w:p w14:paraId="3B5DC31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71325DA"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Papildoma informacija</w:t>
      </w:r>
    </w:p>
    <w:p w14:paraId="549FC86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Klinikinių tyrimų, kurių metu tiesiogiai būtų stebėta zofenoprilio sąveika su kitais vaistiniais preparatais, metabolizuojamais CYP fermentų, neatlikta. Tačiau metabolizmo tyrimų </w:t>
      </w:r>
      <w:r w:rsidRPr="00ED57CD">
        <w:rPr>
          <w:rFonts w:ascii="Times New Roman" w:eastAsia="SimSun" w:hAnsi="Times New Roman"/>
          <w:i/>
          <w:lang w:eastAsia="zh-CN"/>
        </w:rPr>
        <w:t>in vitro</w:t>
      </w:r>
      <w:r w:rsidRPr="00ED57CD">
        <w:rPr>
          <w:rFonts w:ascii="Times New Roman" w:eastAsia="SimSun" w:hAnsi="Times New Roman"/>
          <w:lang w:eastAsia="zh-CN"/>
        </w:rPr>
        <w:t xml:space="preserve"> rezultatai rodo, kad zofenoprilio ir vaistinių preparatų, metabolizuojamų CYP fermentų, sąveika nepasireiškia.</w:t>
      </w:r>
    </w:p>
    <w:p w14:paraId="10D7F7B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8467787"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Hidrochlorotiazidas</w:t>
      </w:r>
    </w:p>
    <w:p w14:paraId="5264464A"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6BE97353"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Vaistiniai preparatai, kurių kartu vartoti reikia atsargiai</w:t>
      </w:r>
    </w:p>
    <w:p w14:paraId="75FA2D50"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Kolestiraminas, kolestipolis</w:t>
      </w:r>
    </w:p>
    <w:p w14:paraId="19A9412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anijonais pasikeičiančiųjų dervų, trikdoma hidrochlorotiazido absorbcija. Vienkartinės kolestiramino arba kolestipolio dozės sujungiamos su hidrochlorotiazidu ir sumažina jo absorbciją virškinimo trakte atitinkamai iki 85% ir 43%.</w:t>
      </w:r>
    </w:p>
    <w:p w14:paraId="0D34A4E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Sulfonamidiniai diuretikai turi būti vartojami mažiausiai vieną valandą prieš šio vaistinio preparato gėrimą arba po 4-6 valandų.</w:t>
      </w:r>
    </w:p>
    <w:p w14:paraId="37A7B6F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8231BA4"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Kortikosteroidai, AKTH, amfotericinas B (vartojamas parenteriniu būdu), karbenoksolonas, stimuliuojamieji vidurius paleidžiantys vaistiniai preparatai</w:t>
      </w:r>
    </w:p>
    <w:p w14:paraId="35E82A5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Vartojami kartu su hidrochlorotiazidu jie gali sustiprinti elektrolitų, ypač kalio, netekimą (hipokalemiją).</w:t>
      </w:r>
    </w:p>
    <w:p w14:paraId="26ADE5B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8524C3C"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Kalcio druskos</w:t>
      </w:r>
    </w:p>
    <w:p w14:paraId="084380D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kartu su tiazidiniais diuretikais gali padidėti kalcio kiekis kraujo serume dėl sumažėjusios jo ekskrecijos.</w:t>
      </w:r>
    </w:p>
    <w:p w14:paraId="20B1EF3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5325B7B"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lastRenderedPageBreak/>
        <w:t>Rusmenės glikozidai</w:t>
      </w:r>
    </w:p>
    <w:p w14:paraId="57EC635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Tiazidų sukeliama hipokalemija arba hipomagnezemija gali skatinti rusmenės glikozidų sukeliamo širdies ritmo sutrikimo pasireiškimą.</w:t>
      </w:r>
    </w:p>
    <w:p w14:paraId="22ACACE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5728DCF" w14:textId="77777777" w:rsidR="00ED57CD" w:rsidRPr="00ED57CD" w:rsidRDefault="00ED57CD" w:rsidP="00ED57CD">
      <w:pPr>
        <w:tabs>
          <w:tab w:val="left" w:pos="567"/>
        </w:tabs>
        <w:spacing w:after="0" w:line="240" w:lineRule="auto"/>
        <w:ind w:right="-1"/>
        <w:jc w:val="both"/>
        <w:rPr>
          <w:rFonts w:ascii="Times New Roman" w:eastAsia="SimSun" w:hAnsi="Times New Roman"/>
          <w:i/>
          <w:lang w:eastAsia="zh-CN"/>
        </w:rPr>
      </w:pPr>
      <w:r w:rsidRPr="00ED57CD">
        <w:rPr>
          <w:rFonts w:ascii="Times New Roman" w:eastAsia="SimSun" w:hAnsi="Times New Roman"/>
          <w:i/>
          <w:lang w:eastAsia="zh-CN"/>
        </w:rPr>
        <w:t>Vaistiniai preparatai, susiję su torsades de pointes</w:t>
      </w:r>
    </w:p>
    <w:p w14:paraId="26B7214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Dėl hipokalemijos rizikos reikia laikytis atsargumo vartojant hidrochlorotiazido kartu vaistiniais preparatais, susijusiais su </w:t>
      </w:r>
      <w:r w:rsidRPr="00ED57CD">
        <w:rPr>
          <w:rFonts w:ascii="Times New Roman" w:eastAsia="SimSun" w:hAnsi="Times New Roman"/>
          <w:i/>
          <w:lang w:eastAsia="zh-CN"/>
        </w:rPr>
        <w:t>torsades de pointes</w:t>
      </w:r>
      <w:r w:rsidRPr="00ED57CD">
        <w:rPr>
          <w:rFonts w:ascii="Times New Roman" w:eastAsia="SimSun" w:hAnsi="Times New Roman"/>
          <w:lang w:eastAsia="zh-CN"/>
        </w:rPr>
        <w:t xml:space="preserve">, pvz., kai kuriais antiaritminiais, antipsichoziniais ir kitais vaistiniais preparatais, kurie sukelia </w:t>
      </w:r>
      <w:r w:rsidRPr="00ED57CD">
        <w:rPr>
          <w:rFonts w:ascii="Times New Roman" w:eastAsia="SimSun" w:hAnsi="Times New Roman"/>
          <w:i/>
          <w:lang w:eastAsia="zh-CN"/>
        </w:rPr>
        <w:t>torsades de pointes</w:t>
      </w:r>
      <w:r w:rsidRPr="00ED57CD">
        <w:rPr>
          <w:rFonts w:ascii="Times New Roman" w:eastAsia="SimSun" w:hAnsi="Times New Roman"/>
          <w:lang w:eastAsia="zh-CN"/>
        </w:rPr>
        <w:t>.</w:t>
      </w:r>
    </w:p>
    <w:p w14:paraId="5A83996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5A0AF48"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Kraujospūdį didinantys aminai (pvz., adrenalinas)</w:t>
      </w:r>
    </w:p>
    <w:p w14:paraId="00710CB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Šių vaistinių preparatų poveikis gali susilpnėti, bet ne tokiu intensyvumu, kad negalima būtų vartoti kartu su hidrochlorotiazidu.</w:t>
      </w:r>
    </w:p>
    <w:p w14:paraId="0C026F4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472B3C1"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Nedepoliarizuojantys miorelaksantai (pvz., tubokurarinas)</w:t>
      </w:r>
    </w:p>
    <w:p w14:paraId="4F66DFB9"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lang w:eastAsia="zh-CN"/>
        </w:rPr>
        <w:t>Kartu vartojamas hidrochlorotiazidas gali sustiprinti nedepoliarizuojamųjų miorelaksantų poveikį.</w:t>
      </w:r>
    </w:p>
    <w:p w14:paraId="38A18DE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8CCCA21"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Amantadinas</w:t>
      </w:r>
    </w:p>
    <w:p w14:paraId="5373223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Tiazidai gali padidinti amantadino sukeliamo nepageidaujamo poveikio riziką.</w:t>
      </w:r>
    </w:p>
    <w:p w14:paraId="02F463B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4A2EF45"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Vaistiniai preparatai podagrai gydyti (probenecidas, sulfinpirazonas, alopurinolis)</w:t>
      </w:r>
    </w:p>
    <w:p w14:paraId="29C2315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Kadangi hidrochlorotiazidas gali padidinti šlapimo rūgšties kiekį kraujo serume, gali prireikti šlapimo rūgšties išsiskyrimą koreguoti šlapimą didinančiais vaistiniais preparatais. Gali reikėti padidinti probenecido arba sulfinpirazono dozę. Kartu vartojami tiazidai gali didinti alerginių alopurinolio sukeltų reakcijų dažnumą.</w:t>
      </w:r>
    </w:p>
    <w:p w14:paraId="19EAB59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C450811"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Papildoma informacija</w:t>
      </w:r>
    </w:p>
    <w:p w14:paraId="5F536671"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Sąveika su laboratoriniais tyrimais</w:t>
      </w:r>
    </w:p>
    <w:p w14:paraId="1D8DD6F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Dėl poveikio kalcio metabolizmui tiazidiniai diuretikai gali trikdyti prieskydinių liaukų funkcijos tyrimo mėginius.</w:t>
      </w:r>
    </w:p>
    <w:p w14:paraId="657C9A5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83B03C7"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Zofenoprilio ir hidrochlorotiazido derinys</w:t>
      </w:r>
    </w:p>
    <w:p w14:paraId="0B0CDE42"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07B7524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Papildomai su sąveika, susijusia su atskirais komponentais, gali būti ir sąveika su deriniu.</w:t>
      </w:r>
    </w:p>
    <w:p w14:paraId="1EDC78DD"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0B156E8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u w:val="single"/>
          <w:lang w:eastAsia="zh-CN"/>
        </w:rPr>
        <w:t>Kartu vartoti nerekomenduojama</w:t>
      </w:r>
    </w:p>
    <w:p w14:paraId="503F273C"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Litis</w:t>
      </w:r>
    </w:p>
    <w:p w14:paraId="21D106F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Vartojant litį kartu su tiazidiniais diuretikais gali padidėti jo toksinio poveikio rizika dar labiau negu  su AKF inhibitorių vartojimu susijusi toksinio poveikio rizika.</w:t>
      </w:r>
    </w:p>
    <w:p w14:paraId="6B05B16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472F383"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Laboratoriniai tyrimai</w:t>
      </w:r>
    </w:p>
    <w:p w14:paraId="58F4CC9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Tiazidiniai diuretikai gali sumažinti kraujo serumo baltymo, susijungusio su jodu, kiekį be reikšmingų skydliaukės funkcijos sutrikimų.</w:t>
      </w:r>
    </w:p>
    <w:p w14:paraId="425AB60B"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2D06AC5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u w:val="single"/>
          <w:lang w:eastAsia="zh-CN"/>
        </w:rPr>
        <w:t>Vaistiniai preparatai, kurių kartu vartoti reikia atsargiai</w:t>
      </w:r>
    </w:p>
    <w:p w14:paraId="740F9352"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Nesteroidiniai vaistiniai preparatai nuo uždegimo (įskaitant ne mažesnę kaip 3 g acetilsalicilo rūgšties paros dozę).</w:t>
      </w:r>
    </w:p>
    <w:p w14:paraId="1493B6B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Jie gali silpninti antihipertenzinį AKF inhibitorių ir diuretikų poveikį. Be to, pastebėta, jog nesteroidinių vaistinių preparatų nuo uždegimo (NVPNU) ir AKF inhibitorių kalio kiekį kraujo serume didinantis poveikis yra adityvus, kadangi jie slopina inkstų funkciją. Toks poveikis yra laikinas ir pasireiškia daugiausia tiems pacientams, kurių inkstų funkcija sutrikusi. Retais atvejais galimas ūminis inkstų nepakankamumas, ypač pacientams su sutrikusia inkstų funkcija, pvz., senyviems pacientams arba esant dehidracijos būklei.</w:t>
      </w:r>
    </w:p>
    <w:p w14:paraId="01D4483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7E259DD"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Alkoholis</w:t>
      </w:r>
    </w:p>
    <w:p w14:paraId="519E59D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Sustiprina AKF inhibitorių ir hidrochlorotiazido poveikį.</w:t>
      </w:r>
    </w:p>
    <w:p w14:paraId="42EA575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32484B6"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Trimetoprimas</w:t>
      </w:r>
    </w:p>
    <w:p w14:paraId="1B03FC2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AKF inhibitorių ir tiazidų vartojimas kartu su trimetoprimu padidina hiperkalcemijos riziką.</w:t>
      </w:r>
    </w:p>
    <w:p w14:paraId="02EC58CE" w14:textId="77777777" w:rsidR="00ED57CD" w:rsidRPr="00ED57CD" w:rsidRDefault="00ED57CD" w:rsidP="00ED57CD">
      <w:pPr>
        <w:tabs>
          <w:tab w:val="left" w:pos="567"/>
        </w:tabs>
        <w:spacing w:after="0" w:line="240" w:lineRule="auto"/>
        <w:rPr>
          <w:rFonts w:ascii="Times New Roman" w:eastAsia="SimSun" w:hAnsi="Times New Roman"/>
          <w:i/>
          <w:lang w:eastAsia="zh-CN"/>
        </w:rPr>
      </w:pPr>
    </w:p>
    <w:p w14:paraId="40179002"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19" w:name="_Toc129243107"/>
      <w:bookmarkStart w:id="20" w:name="_Toc129243232"/>
      <w:r w:rsidRPr="00ED57CD">
        <w:rPr>
          <w:rFonts w:ascii="Times New Roman" w:eastAsia="SimSun" w:hAnsi="Times New Roman"/>
          <w:b/>
          <w:lang w:eastAsia="zh-CN"/>
        </w:rPr>
        <w:t>4.6</w:t>
      </w:r>
      <w:r w:rsidRPr="00ED57CD">
        <w:rPr>
          <w:rFonts w:ascii="Times New Roman" w:eastAsia="SimSun" w:hAnsi="Times New Roman"/>
          <w:b/>
          <w:lang w:eastAsia="zh-CN"/>
        </w:rPr>
        <w:tab/>
        <w:t>Vaisingumas, nėštumo ir žindymo laikotarpis</w:t>
      </w:r>
      <w:bookmarkEnd w:id="19"/>
      <w:bookmarkEnd w:id="20"/>
    </w:p>
    <w:p w14:paraId="62FC66E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804BC62"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u w:val="single"/>
          <w:lang w:eastAsia="zh-CN"/>
        </w:rPr>
        <w:t>Nėštumas</w:t>
      </w:r>
    </w:p>
    <w:p w14:paraId="38BBB6DF"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Zofenoprilis ir hidrochlorotiazidas</w:t>
      </w:r>
    </w:p>
    <w:p w14:paraId="1463567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Atsižvelgiant į atskirų derinio komponentų poveikį, Zofenopril / Hydrochlorothiazide Ingen Pharma pirmąjį nėštumo trimestrą vartoti nerekomenduojama (žr. 4.4 skyrių). Antrąjį ir trečiąjį nėštumo trimestrą Zofenopril / Hydrochlorothiazide Ingen Pharma vartoti draudžiama (žr. 4.3 ir 4.4 skyrius).</w:t>
      </w:r>
    </w:p>
    <w:p w14:paraId="41F9CC3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71BDC15"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Zofenoprilis</w:t>
      </w:r>
    </w:p>
    <w:p w14:paraId="72D6C86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AKF inhibitorių pirmąjį nėštumo trimestrą vartoti nerekomenduojama (žr. 4.4 skyrių). Antrąjį ir trečiąjį nėštumo trimestrą AKF inhibitorių vartoti draudžiama (žr. 4.3 ir 4.4 skyrius).</w:t>
      </w:r>
    </w:p>
    <w:p w14:paraId="34D2E8C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Epidemiologinių tyrimų duomenys dėl pirmąjį nėštumo trimestrą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1A39716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Žinoma, kad antrąjį arba trečiąjį nėštumo trimestrą vartojami AKF inhibitoriai sukelia toksinį poveikį žmogaus vaisiui (inkstų funkcijos susilpnėjimą, oligohidramnioną, kaukolės kaulėjimo sulėtėjimą) ir naujagimiui (inkstų nepakankamumą, hipotenziją, hiperkalemiją) (žr. 5.3 skyrių).</w:t>
      </w:r>
    </w:p>
    <w:p w14:paraId="28C0B5C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moteris antrąjį arba trečiąjį nėštumo trimestrą vartojo AKF inhibitorių, reikia ultragarsu sekti vaisiaus inkstų funkciją ir kaukolės būklę. Naujagimiams, kurių motinos nėštumo metu vartojo AKF inhibitorių, reikia atidžiai stebėti, ar jiems nepasireiškia hipotenzija (žr. 4.3 ir 4.4 skyrius).</w:t>
      </w:r>
    </w:p>
    <w:p w14:paraId="040AEEC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276634A"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Hidrochlorotiazidas</w:t>
      </w:r>
    </w:p>
    <w:p w14:paraId="02CBED6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Apie hidrochlorotiazido vartojimą nėštumo laikotarpiu, ypač pirmąjį nėštumo trimestrą, duomenų nepakanka. Tyrimų su gyvūnais nepakanka.</w:t>
      </w:r>
    </w:p>
    <w:p w14:paraId="645FEC0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Hidrochlorotiazidas prasiskverbia per placentos barjerą. Remiantis hidrochlorotiazido farmakologinio veikimo mechanizmu, jo vartojimas antrojo ir trečiojo nėštumo trimestro laikotarpiu gali sutrikdyti vaisiaus-placentos kraujotaką ir sukelti poveikį vaisiui ir naujagimiui, pavyzdžiui, geltą, elektrolitų balanso sutrikimus ir trombocitopeniją.</w:t>
      </w:r>
    </w:p>
    <w:p w14:paraId="4EEF81D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Hidrochlorotiazido negalima vartoti esant edemoms nėštumo laikotarpiu, nėščiųjų hipertenzijai ar preeklampsijai gydyti dėl plazmos tūrio sumažėjimo ir placentos perfuzijos nepakankamumo rizikos, be teigiamo poveikio ligos eigai.</w:t>
      </w:r>
    </w:p>
    <w:p w14:paraId="555430A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Hidrochlorotiazido negalima vartoti nėščiųjų pirminei hipertenzijai gydyti, išskyrus retus atvejus, kai negalima vartoti jokio kitokio gydymo.</w:t>
      </w:r>
    </w:p>
    <w:p w14:paraId="19DA5414" w14:textId="77777777" w:rsidR="00ED57CD" w:rsidRPr="00ED57CD" w:rsidRDefault="00ED57CD" w:rsidP="00ED57CD">
      <w:pPr>
        <w:tabs>
          <w:tab w:val="left" w:pos="567"/>
        </w:tabs>
        <w:spacing w:after="0" w:line="240" w:lineRule="auto"/>
        <w:rPr>
          <w:rFonts w:ascii="Times New Roman" w:eastAsia="SimSun" w:hAnsi="Times New Roman"/>
          <w:i/>
          <w:lang w:eastAsia="zh-CN"/>
        </w:rPr>
      </w:pPr>
    </w:p>
    <w:p w14:paraId="67D83098"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Žindymas</w:t>
      </w:r>
    </w:p>
    <w:p w14:paraId="6BCD334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Kadangi duomenų apie Zofenopril / Hydrochlorothiazide Ingen Pharma vartojimą žindymo metu nėra, Zofenopril / Hydrochlorothiazide Ingen Pharma vartoti nerekomenduojama ir pirmenybę reikia teikti kitiems vaistiniams preparatams su geriau ištirtu vartojimo žindymo metu saugumu, ypač žindant naujagimius ir neišnešiotus naujagimius.</w:t>
      </w:r>
    </w:p>
    <w:p w14:paraId="3A35E305"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p>
    <w:p w14:paraId="40530CC2"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Hidrochlorotiazidas</w:t>
      </w:r>
    </w:p>
    <w:p w14:paraId="4D1D556D"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Nedidelis hidrochlorotiazido kiekis patenka į žindyvės pieną. Didelės tiazidų dozės sukelia intensyvią diurezę ir gali slopinti pieno susidarymą. Zofenopril / Hydrochlorothiazide Ingen Pharma žindymo laikotarpiu vartoti nerekomenduojama. Jeigu Zofenopril / Hydrochlorothiazide Ingen Pharma vartojamas žindymo laikotarpiu, reikia vartoti galimai mažiausią jo dozę.</w:t>
      </w:r>
    </w:p>
    <w:p w14:paraId="79632676"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6BC78456"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21" w:name="_Toc129243108"/>
      <w:bookmarkStart w:id="22" w:name="_Toc129243233"/>
      <w:r w:rsidRPr="00ED57CD">
        <w:rPr>
          <w:rFonts w:ascii="Times New Roman" w:eastAsia="SimSun" w:hAnsi="Times New Roman"/>
          <w:b/>
          <w:lang w:eastAsia="zh-CN"/>
        </w:rPr>
        <w:t>4.7</w:t>
      </w:r>
      <w:r w:rsidRPr="00ED57CD">
        <w:rPr>
          <w:rFonts w:ascii="Times New Roman" w:eastAsia="SimSun" w:hAnsi="Times New Roman"/>
          <w:b/>
          <w:lang w:eastAsia="zh-CN"/>
        </w:rPr>
        <w:tab/>
        <w:t>Poveikis gebėjimui vairuoti ir valdyti mechanizmus</w:t>
      </w:r>
      <w:bookmarkEnd w:id="21"/>
      <w:bookmarkEnd w:id="22"/>
    </w:p>
    <w:p w14:paraId="602CC0A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FE8297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Poveikio gebėjimui vairuoti ir valdyti mechanizmus tyrimų neatlikta. Vairuojant arba valdant mechanizmus reikia prisiminti, kad vaistinis preparatas kartais gali sukelti mieguistumą, svaigulį bei nuovargį.</w:t>
      </w:r>
    </w:p>
    <w:p w14:paraId="788C007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DFBAD14"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23" w:name="_Toc129243109"/>
      <w:bookmarkStart w:id="24" w:name="_Toc129243234"/>
      <w:r w:rsidRPr="00ED57CD">
        <w:rPr>
          <w:rFonts w:ascii="Times New Roman" w:eastAsia="SimSun" w:hAnsi="Times New Roman"/>
          <w:b/>
          <w:lang w:eastAsia="zh-CN"/>
        </w:rPr>
        <w:lastRenderedPageBreak/>
        <w:t>4.8</w:t>
      </w:r>
      <w:r w:rsidRPr="00ED57CD">
        <w:rPr>
          <w:rFonts w:ascii="Times New Roman" w:eastAsia="SimSun" w:hAnsi="Times New Roman"/>
          <w:b/>
          <w:lang w:eastAsia="zh-CN"/>
        </w:rPr>
        <w:tab/>
        <w:t>Nepageidaujamas poveikis</w:t>
      </w:r>
      <w:bookmarkEnd w:id="23"/>
      <w:bookmarkEnd w:id="24"/>
    </w:p>
    <w:p w14:paraId="2B2BA0DF"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43C7653A" w14:textId="77777777" w:rsidR="00ED57CD" w:rsidRPr="00ED57CD" w:rsidRDefault="00ED57CD" w:rsidP="00ED57CD">
      <w:pPr>
        <w:tabs>
          <w:tab w:val="left" w:pos="567"/>
        </w:tabs>
        <w:spacing w:after="0" w:line="240" w:lineRule="auto"/>
        <w:outlineLvl w:val="0"/>
        <w:rPr>
          <w:rFonts w:ascii="Times New Roman" w:eastAsia="SimSun" w:hAnsi="Times New Roman"/>
          <w:lang w:eastAsia="zh-CN"/>
        </w:rPr>
      </w:pPr>
      <w:r w:rsidRPr="00ED57CD">
        <w:rPr>
          <w:rFonts w:ascii="Times New Roman" w:eastAsia="SimSun" w:hAnsi="Times New Roman"/>
          <w:lang w:eastAsia="zh-CN"/>
        </w:rPr>
        <w:t>Kontroliuojamų klinikinių tyrimų metu, kuriuose dalyvavo 597 pacientai, gydant zofenopriliu ir hidrochlorotiazidu, nepageidaujamas poveikis, susijęs su šiuo deriniu, nestebėtas. Nepageidaujamas poveikis apsiribojo reiškiniais, apie kuriuos buvo pranešta vartojant zofenoprilio kalcio druskos arba hidrochlorotiazido. Nepageidaujamo poveikio dažnis su pacientų lytimi arba amžiumi nekoreliavo.</w:t>
      </w:r>
    </w:p>
    <w:p w14:paraId="53833038" w14:textId="77777777" w:rsidR="00ED57CD" w:rsidRPr="00ED57CD" w:rsidRDefault="00ED57CD" w:rsidP="00ED57CD">
      <w:pPr>
        <w:tabs>
          <w:tab w:val="left" w:pos="567"/>
        </w:tabs>
        <w:spacing w:after="0" w:line="240" w:lineRule="auto"/>
        <w:outlineLvl w:val="0"/>
        <w:rPr>
          <w:rFonts w:ascii="Times New Roman" w:eastAsia="SimSun" w:hAnsi="Times New Roman"/>
          <w:lang w:eastAsia="zh-CN"/>
        </w:rPr>
      </w:pPr>
    </w:p>
    <w:p w14:paraId="6ADDBF7D" w14:textId="77777777" w:rsidR="00ED57CD" w:rsidRPr="00ED57CD" w:rsidRDefault="00ED57CD" w:rsidP="00ED57CD">
      <w:pPr>
        <w:tabs>
          <w:tab w:val="left" w:pos="567"/>
        </w:tabs>
        <w:spacing w:after="0" w:line="240" w:lineRule="auto"/>
        <w:outlineLvl w:val="0"/>
        <w:rPr>
          <w:rFonts w:ascii="Times New Roman" w:eastAsia="SimSun" w:hAnsi="Times New Roman"/>
          <w:u w:val="single"/>
          <w:lang w:eastAsia="zh-CN"/>
        </w:rPr>
      </w:pPr>
      <w:r w:rsidRPr="00ED57CD">
        <w:rPr>
          <w:rFonts w:ascii="Times New Roman" w:eastAsia="SimSun" w:hAnsi="Times New Roman"/>
          <w:u w:val="single"/>
          <w:lang w:eastAsia="zh-CN"/>
        </w:rPr>
        <w:t>Nepageidaujamų reakcijų santrauka lentelėje</w:t>
      </w:r>
    </w:p>
    <w:p w14:paraId="580814DF" w14:textId="77777777" w:rsidR="00ED57CD" w:rsidRPr="00ED57CD" w:rsidRDefault="00ED57CD" w:rsidP="00ED57CD">
      <w:pPr>
        <w:tabs>
          <w:tab w:val="left" w:pos="567"/>
        </w:tabs>
        <w:spacing w:after="0" w:line="240" w:lineRule="auto"/>
        <w:outlineLvl w:val="0"/>
        <w:rPr>
          <w:rFonts w:ascii="Times New Roman" w:eastAsia="SimSun" w:hAnsi="Times New Roman"/>
          <w:lang w:eastAsia="zh-CN"/>
        </w:rPr>
      </w:pPr>
    </w:p>
    <w:p w14:paraId="49158F98" w14:textId="1210A3CE" w:rsidR="00ED57CD" w:rsidRPr="00ED57CD" w:rsidRDefault="00ED57CD" w:rsidP="00ED57CD">
      <w:pPr>
        <w:tabs>
          <w:tab w:val="left" w:pos="567"/>
        </w:tabs>
        <w:spacing w:after="0" w:line="240" w:lineRule="auto"/>
        <w:outlineLvl w:val="0"/>
        <w:rPr>
          <w:rFonts w:ascii="Times New Roman" w:eastAsia="SimSun" w:hAnsi="Times New Roman"/>
          <w:lang w:eastAsia="zh-CN"/>
        </w:rPr>
      </w:pPr>
      <w:r w:rsidRPr="00ED57CD">
        <w:rPr>
          <w:rFonts w:ascii="Times New Roman" w:eastAsia="SimSun" w:hAnsi="Times New Roman"/>
          <w:lang w:eastAsia="zh-CN"/>
        </w:rPr>
        <w:t>Nepageidaujamo poveikio dažnis apibūdinamas taip: labai dažnas (≥ 1/10), dažnas (nuo ≥ 1/100 iki &lt; 1/10), nedažnas (nuo ≥ 1/1</w:t>
      </w:r>
      <w:r w:rsidR="00C963FC">
        <w:rPr>
          <w:rFonts w:ascii="Times New Roman" w:eastAsia="SimSun" w:hAnsi="Times New Roman"/>
          <w:lang w:eastAsia="zh-CN"/>
        </w:rPr>
        <w:t> </w:t>
      </w:r>
      <w:r w:rsidRPr="00ED57CD">
        <w:rPr>
          <w:rFonts w:ascii="Times New Roman" w:eastAsia="SimSun" w:hAnsi="Times New Roman"/>
          <w:lang w:eastAsia="zh-CN"/>
        </w:rPr>
        <w:t>000 iki &lt; 1/100), retas (nuo ≥ 1/10</w:t>
      </w:r>
      <w:r w:rsidR="00C963FC">
        <w:rPr>
          <w:rFonts w:ascii="Times New Roman" w:eastAsia="SimSun" w:hAnsi="Times New Roman"/>
          <w:lang w:eastAsia="zh-CN"/>
        </w:rPr>
        <w:t> </w:t>
      </w:r>
      <w:r w:rsidRPr="00ED57CD">
        <w:rPr>
          <w:rFonts w:ascii="Times New Roman" w:eastAsia="SimSun" w:hAnsi="Times New Roman"/>
          <w:lang w:eastAsia="zh-CN"/>
        </w:rPr>
        <w:t>000 iki &lt; 1/1</w:t>
      </w:r>
      <w:r w:rsidR="00C963FC">
        <w:rPr>
          <w:rFonts w:ascii="Times New Roman" w:eastAsia="SimSun" w:hAnsi="Times New Roman"/>
          <w:lang w:eastAsia="zh-CN"/>
        </w:rPr>
        <w:t> </w:t>
      </w:r>
      <w:r w:rsidRPr="00ED57CD">
        <w:rPr>
          <w:rFonts w:ascii="Times New Roman" w:eastAsia="SimSun" w:hAnsi="Times New Roman"/>
          <w:lang w:eastAsia="zh-CN"/>
        </w:rPr>
        <w:t>000), labai retas (&lt; 1/10</w:t>
      </w:r>
      <w:r w:rsidR="00C963FC">
        <w:rPr>
          <w:rFonts w:ascii="Times New Roman" w:eastAsia="SimSun" w:hAnsi="Times New Roman"/>
          <w:lang w:eastAsia="zh-CN"/>
        </w:rPr>
        <w:t> </w:t>
      </w:r>
      <w:r w:rsidRPr="00ED57CD">
        <w:rPr>
          <w:rFonts w:ascii="Times New Roman" w:eastAsia="SimSun" w:hAnsi="Times New Roman"/>
          <w:lang w:eastAsia="zh-CN"/>
        </w:rPr>
        <w:t>000) ir nežinomas (negali būti apskaičiuotas pagal turimus duomenis).</w:t>
      </w:r>
    </w:p>
    <w:p w14:paraId="5B32993A"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7"/>
        <w:gridCol w:w="6734"/>
      </w:tblGrid>
      <w:tr w:rsidR="00ED57CD" w:rsidRPr="00ED57CD" w14:paraId="43056A1B" w14:textId="77777777" w:rsidTr="003335C0">
        <w:tc>
          <w:tcPr>
            <w:tcW w:w="9286" w:type="dxa"/>
            <w:gridSpan w:val="2"/>
          </w:tcPr>
          <w:p w14:paraId="3F2D2C33"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Infekcijos ir infestacijos</w:t>
            </w:r>
          </w:p>
        </w:tc>
      </w:tr>
      <w:tr w:rsidR="00ED57CD" w:rsidRPr="00ED57CD" w14:paraId="64AC136F" w14:textId="77777777" w:rsidTr="003335C0">
        <w:tc>
          <w:tcPr>
            <w:tcW w:w="2376" w:type="dxa"/>
          </w:tcPr>
          <w:p w14:paraId="41C475E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28EB446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Infekcija, bronchitas, faringitas</w:t>
            </w:r>
          </w:p>
        </w:tc>
      </w:tr>
      <w:tr w:rsidR="00ED57CD" w:rsidRPr="00ED57CD" w14:paraId="1A808F55" w14:textId="77777777" w:rsidTr="003335C0">
        <w:tc>
          <w:tcPr>
            <w:tcW w:w="9286" w:type="dxa"/>
            <w:gridSpan w:val="2"/>
          </w:tcPr>
          <w:p w14:paraId="3872785E"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Metabolizmo ir mitybos sutrikimai</w:t>
            </w:r>
          </w:p>
        </w:tc>
      </w:tr>
      <w:tr w:rsidR="00ED57CD" w:rsidRPr="00ED57CD" w14:paraId="79AB3F69" w14:textId="77777777" w:rsidTr="003335C0">
        <w:tc>
          <w:tcPr>
            <w:tcW w:w="2376" w:type="dxa"/>
          </w:tcPr>
          <w:p w14:paraId="510779E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26DCA4CE" w14:textId="62FFFC5F"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Hipercholesterolemija, hiperglikemija, hiperlipidemija, hipokalemija, hiperurikemija</w:t>
            </w:r>
          </w:p>
        </w:tc>
      </w:tr>
      <w:tr w:rsidR="00350061" w:rsidRPr="00ED57CD" w14:paraId="55DC7DEA" w14:textId="77777777" w:rsidTr="003335C0">
        <w:tc>
          <w:tcPr>
            <w:tcW w:w="2376" w:type="dxa"/>
          </w:tcPr>
          <w:p w14:paraId="13959439" w14:textId="3597D49D" w:rsidR="00350061" w:rsidRPr="00ED57CD" w:rsidRDefault="00350061"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Retas</w:t>
            </w:r>
          </w:p>
        </w:tc>
        <w:tc>
          <w:tcPr>
            <w:tcW w:w="6910" w:type="dxa"/>
          </w:tcPr>
          <w:p w14:paraId="6C641091" w14:textId="5BA7E45F" w:rsidR="00350061" w:rsidRPr="00ED57CD" w:rsidRDefault="00350061"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H</w:t>
            </w:r>
            <w:r w:rsidRPr="00ED57CD">
              <w:rPr>
                <w:rFonts w:ascii="Times New Roman" w:eastAsia="SimSun" w:hAnsi="Times New Roman"/>
                <w:lang w:eastAsia="zh-CN"/>
              </w:rPr>
              <w:t>iperkalemija</w:t>
            </w:r>
            <w:r>
              <w:rPr>
                <w:rFonts w:ascii="Times New Roman" w:eastAsia="SimSun" w:hAnsi="Times New Roman"/>
                <w:lang w:eastAsia="zh-CN"/>
              </w:rPr>
              <w:t xml:space="preserve"> (žr. 4.4, 4.5 skyrius)</w:t>
            </w:r>
          </w:p>
        </w:tc>
      </w:tr>
      <w:tr w:rsidR="00ED57CD" w:rsidRPr="00ED57CD" w14:paraId="2C534323" w14:textId="77777777" w:rsidTr="003335C0">
        <w:tc>
          <w:tcPr>
            <w:tcW w:w="9286" w:type="dxa"/>
            <w:gridSpan w:val="2"/>
          </w:tcPr>
          <w:p w14:paraId="39AC9169"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Psichikos sutrikimai</w:t>
            </w:r>
          </w:p>
        </w:tc>
      </w:tr>
      <w:tr w:rsidR="00ED57CD" w:rsidRPr="00ED57CD" w14:paraId="4C6F0AED" w14:textId="77777777" w:rsidTr="003335C0">
        <w:tc>
          <w:tcPr>
            <w:tcW w:w="2376" w:type="dxa"/>
          </w:tcPr>
          <w:p w14:paraId="11434EF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5E39048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Nemiga</w:t>
            </w:r>
          </w:p>
        </w:tc>
      </w:tr>
      <w:tr w:rsidR="00ED57CD" w:rsidRPr="00ED57CD" w14:paraId="1FB68E1E" w14:textId="77777777" w:rsidTr="003335C0">
        <w:tc>
          <w:tcPr>
            <w:tcW w:w="9286" w:type="dxa"/>
            <w:gridSpan w:val="2"/>
          </w:tcPr>
          <w:p w14:paraId="5B03112B"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Nervų sistemos sutrikimai</w:t>
            </w:r>
          </w:p>
        </w:tc>
      </w:tr>
      <w:tr w:rsidR="00ED57CD" w:rsidRPr="00ED57CD" w14:paraId="0D425082" w14:textId="77777777" w:rsidTr="003335C0">
        <w:tc>
          <w:tcPr>
            <w:tcW w:w="2376" w:type="dxa"/>
          </w:tcPr>
          <w:p w14:paraId="3976D32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Dažnas</w:t>
            </w:r>
          </w:p>
        </w:tc>
        <w:tc>
          <w:tcPr>
            <w:tcW w:w="6910" w:type="dxa"/>
          </w:tcPr>
          <w:p w14:paraId="1E8FC9E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Svaigulys, galvos skausmas</w:t>
            </w:r>
          </w:p>
        </w:tc>
      </w:tr>
      <w:tr w:rsidR="00ED57CD" w:rsidRPr="00ED57CD" w14:paraId="163F9869" w14:textId="77777777" w:rsidTr="003335C0">
        <w:tc>
          <w:tcPr>
            <w:tcW w:w="2376" w:type="dxa"/>
          </w:tcPr>
          <w:p w14:paraId="441742A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4B65AA3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Mieguistumas, apalpimas, hipertonija</w:t>
            </w:r>
          </w:p>
        </w:tc>
      </w:tr>
      <w:tr w:rsidR="00ED57CD" w:rsidRPr="00ED57CD" w14:paraId="01558236" w14:textId="77777777" w:rsidTr="003335C0">
        <w:tc>
          <w:tcPr>
            <w:tcW w:w="9286" w:type="dxa"/>
            <w:gridSpan w:val="2"/>
          </w:tcPr>
          <w:p w14:paraId="20C6AFDD"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Širdies sutrikimai</w:t>
            </w:r>
          </w:p>
        </w:tc>
      </w:tr>
      <w:tr w:rsidR="00ED57CD" w:rsidRPr="00ED57CD" w14:paraId="5470B68F" w14:textId="77777777" w:rsidTr="003335C0">
        <w:tc>
          <w:tcPr>
            <w:tcW w:w="2376" w:type="dxa"/>
          </w:tcPr>
          <w:p w14:paraId="48710BB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33DA3003" w14:textId="4A4EC404"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Krūtinės angina, prieširdžių virpėjimas, miokardo infarktas</w:t>
            </w:r>
          </w:p>
        </w:tc>
      </w:tr>
      <w:tr w:rsidR="00350061" w:rsidRPr="00ED57CD" w14:paraId="3D0664BF" w14:textId="77777777" w:rsidTr="003335C0">
        <w:tc>
          <w:tcPr>
            <w:tcW w:w="2376" w:type="dxa"/>
          </w:tcPr>
          <w:p w14:paraId="697CBA1F" w14:textId="5A32C681" w:rsidR="00350061" w:rsidRPr="00ED57CD" w:rsidRDefault="00350061"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Retas</w:t>
            </w:r>
          </w:p>
        </w:tc>
        <w:tc>
          <w:tcPr>
            <w:tcW w:w="6910" w:type="dxa"/>
          </w:tcPr>
          <w:p w14:paraId="70FD35D0" w14:textId="3A73C424" w:rsidR="00350061" w:rsidRPr="00350061" w:rsidRDefault="00350061" w:rsidP="00ED57CD">
            <w:pPr>
              <w:tabs>
                <w:tab w:val="left" w:pos="567"/>
              </w:tabs>
              <w:spacing w:after="0" w:line="240" w:lineRule="auto"/>
              <w:rPr>
                <w:rFonts w:ascii="Times New Roman" w:eastAsia="SimSun" w:hAnsi="Times New Roman"/>
                <w:lang w:eastAsia="zh-CN"/>
              </w:rPr>
            </w:pPr>
            <w:r w:rsidRPr="00D93E01">
              <w:rPr>
                <w:rFonts w:ascii="Times New Roman" w:eastAsia="SimSun" w:hAnsi="Times New Roman"/>
                <w:lang w:eastAsia="zh-CN"/>
              </w:rPr>
              <w:t>Palpitacijos (širdies plakimai, perplakimai)</w:t>
            </w:r>
          </w:p>
        </w:tc>
      </w:tr>
      <w:tr w:rsidR="00ED57CD" w:rsidRPr="00ED57CD" w14:paraId="5C057109" w14:textId="77777777" w:rsidTr="003335C0">
        <w:tc>
          <w:tcPr>
            <w:tcW w:w="9286" w:type="dxa"/>
            <w:gridSpan w:val="2"/>
          </w:tcPr>
          <w:p w14:paraId="03187321"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Kraujagyslių sutrikimai</w:t>
            </w:r>
          </w:p>
        </w:tc>
      </w:tr>
      <w:tr w:rsidR="00ED57CD" w:rsidRPr="00ED57CD" w14:paraId="25BBE698" w14:textId="77777777" w:rsidTr="003335C0">
        <w:tc>
          <w:tcPr>
            <w:tcW w:w="2376" w:type="dxa"/>
          </w:tcPr>
          <w:p w14:paraId="57CE3B0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1DBAE3A5" w14:textId="4AC2A532"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Kraujo priplūdimas į veidą</w:t>
            </w:r>
            <w:r w:rsidRPr="00350061">
              <w:rPr>
                <w:rFonts w:ascii="Times New Roman" w:eastAsia="SimSun" w:hAnsi="Times New Roman"/>
                <w:lang w:eastAsia="zh-CN"/>
              </w:rPr>
              <w:t>, hipertenzija</w:t>
            </w:r>
          </w:p>
        </w:tc>
      </w:tr>
      <w:tr w:rsidR="00350061" w:rsidRPr="00ED57CD" w14:paraId="4BB9F637" w14:textId="77777777" w:rsidTr="003335C0">
        <w:tc>
          <w:tcPr>
            <w:tcW w:w="2376" w:type="dxa"/>
          </w:tcPr>
          <w:p w14:paraId="5436114D" w14:textId="2CCDCFEA" w:rsidR="00350061" w:rsidRPr="00ED57CD" w:rsidRDefault="00350061"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Retas</w:t>
            </w:r>
          </w:p>
        </w:tc>
        <w:tc>
          <w:tcPr>
            <w:tcW w:w="6910" w:type="dxa"/>
          </w:tcPr>
          <w:p w14:paraId="39429E26" w14:textId="489C887B" w:rsidR="00350061" w:rsidRPr="00350061" w:rsidRDefault="00350061" w:rsidP="00ED57CD">
            <w:pPr>
              <w:tabs>
                <w:tab w:val="left" w:pos="567"/>
              </w:tabs>
              <w:spacing w:after="0" w:line="240" w:lineRule="auto"/>
              <w:rPr>
                <w:rFonts w:ascii="Times New Roman" w:eastAsia="SimSun" w:hAnsi="Times New Roman"/>
                <w:lang w:eastAsia="zh-CN"/>
              </w:rPr>
            </w:pPr>
            <w:r w:rsidRPr="00D93E01">
              <w:rPr>
                <w:rFonts w:ascii="Times New Roman" w:eastAsia="SimSun" w:hAnsi="Times New Roman"/>
                <w:lang w:eastAsia="zh-CN"/>
              </w:rPr>
              <w:t>Hipotenzija (žr. 4.4 skyrių), apalpimas (sinkopė)</w:t>
            </w:r>
          </w:p>
        </w:tc>
      </w:tr>
      <w:tr w:rsidR="00ED57CD" w:rsidRPr="00ED57CD" w14:paraId="2ECCE2B7" w14:textId="77777777" w:rsidTr="003335C0">
        <w:tc>
          <w:tcPr>
            <w:tcW w:w="9286" w:type="dxa"/>
            <w:gridSpan w:val="2"/>
          </w:tcPr>
          <w:p w14:paraId="348A0ACB"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Kvėpavimo sistemos, krūtinės ir tarpuplaučio sutrikimai</w:t>
            </w:r>
          </w:p>
        </w:tc>
      </w:tr>
      <w:tr w:rsidR="00ED57CD" w:rsidRPr="00ED57CD" w14:paraId="675C9459" w14:textId="77777777" w:rsidTr="003335C0">
        <w:tc>
          <w:tcPr>
            <w:tcW w:w="2376" w:type="dxa"/>
          </w:tcPr>
          <w:p w14:paraId="05225F9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Dažnas</w:t>
            </w:r>
          </w:p>
        </w:tc>
        <w:tc>
          <w:tcPr>
            <w:tcW w:w="6910" w:type="dxa"/>
          </w:tcPr>
          <w:p w14:paraId="12B93CC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Kosulys</w:t>
            </w:r>
          </w:p>
        </w:tc>
      </w:tr>
      <w:tr w:rsidR="00ED57CD" w:rsidRPr="00ED57CD" w14:paraId="52A8BBDA" w14:textId="77777777" w:rsidTr="003335C0">
        <w:tc>
          <w:tcPr>
            <w:tcW w:w="2376" w:type="dxa"/>
          </w:tcPr>
          <w:p w14:paraId="65B40B2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471D85F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Dusulys</w:t>
            </w:r>
          </w:p>
        </w:tc>
      </w:tr>
      <w:tr w:rsidR="00ED57CD" w:rsidRPr="00ED57CD" w14:paraId="3DDEA0E7" w14:textId="77777777" w:rsidTr="003335C0">
        <w:tc>
          <w:tcPr>
            <w:tcW w:w="9286" w:type="dxa"/>
            <w:gridSpan w:val="2"/>
          </w:tcPr>
          <w:p w14:paraId="2E3B8EB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Virškinimo trakto sutrikimai</w:t>
            </w:r>
          </w:p>
        </w:tc>
      </w:tr>
      <w:tr w:rsidR="00ED57CD" w:rsidRPr="00ED57CD" w14:paraId="5FD92868" w14:textId="77777777" w:rsidTr="003335C0">
        <w:tc>
          <w:tcPr>
            <w:tcW w:w="2376" w:type="dxa"/>
          </w:tcPr>
          <w:p w14:paraId="20CF8E0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55880FF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Pykinimas, dispepsija, gastritas, dantenų uždegimas, burnos džiūvimas, pilvo skausmas</w:t>
            </w:r>
          </w:p>
        </w:tc>
      </w:tr>
      <w:tr w:rsidR="00ED57CD" w:rsidRPr="00ED57CD" w14:paraId="1B70E41D" w14:textId="77777777" w:rsidTr="003335C0">
        <w:tc>
          <w:tcPr>
            <w:tcW w:w="9286" w:type="dxa"/>
            <w:gridSpan w:val="2"/>
          </w:tcPr>
          <w:p w14:paraId="28F00808"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Odos ir poodinio audinio sutrikimai</w:t>
            </w:r>
          </w:p>
        </w:tc>
      </w:tr>
      <w:tr w:rsidR="00ED57CD" w:rsidRPr="00ED57CD" w14:paraId="6FD6AE50" w14:textId="77777777" w:rsidTr="003335C0">
        <w:tc>
          <w:tcPr>
            <w:tcW w:w="2376" w:type="dxa"/>
          </w:tcPr>
          <w:p w14:paraId="54EBF1C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7AA6E61C" w14:textId="766DB0D2"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Angioneurozinė edema, psoriazė, spuogai, sausa oda </w:t>
            </w:r>
          </w:p>
        </w:tc>
      </w:tr>
      <w:tr w:rsidR="00350061" w:rsidRPr="00ED57CD" w14:paraId="57C6E3E2" w14:textId="77777777" w:rsidTr="003335C0">
        <w:tc>
          <w:tcPr>
            <w:tcW w:w="2376" w:type="dxa"/>
          </w:tcPr>
          <w:p w14:paraId="10902FB2" w14:textId="298AEAB8" w:rsidR="00350061" w:rsidRPr="00ED57CD" w:rsidRDefault="00350061"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Retas</w:t>
            </w:r>
          </w:p>
        </w:tc>
        <w:tc>
          <w:tcPr>
            <w:tcW w:w="6910" w:type="dxa"/>
          </w:tcPr>
          <w:p w14:paraId="06828221" w14:textId="3FCE85F8" w:rsidR="00350061" w:rsidRPr="00ED57CD" w:rsidRDefault="00350061" w:rsidP="00ED57CD">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Niežėjimas, dilgėlinė</w:t>
            </w:r>
          </w:p>
        </w:tc>
      </w:tr>
      <w:tr w:rsidR="00ED57CD" w:rsidRPr="00ED57CD" w14:paraId="48D4886A" w14:textId="77777777" w:rsidTr="003335C0">
        <w:tc>
          <w:tcPr>
            <w:tcW w:w="9286" w:type="dxa"/>
            <w:gridSpan w:val="2"/>
          </w:tcPr>
          <w:p w14:paraId="19EA33DE"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Skeleto, raumenų ir jungiamojo audinio sutrikimai</w:t>
            </w:r>
          </w:p>
        </w:tc>
      </w:tr>
      <w:tr w:rsidR="00ED57CD" w:rsidRPr="00ED57CD" w14:paraId="25FB905F" w14:textId="77777777" w:rsidTr="003335C0">
        <w:tc>
          <w:tcPr>
            <w:tcW w:w="2376" w:type="dxa"/>
          </w:tcPr>
          <w:p w14:paraId="1C82304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4982477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Nugaros skausmas</w:t>
            </w:r>
          </w:p>
        </w:tc>
      </w:tr>
      <w:tr w:rsidR="00ED57CD" w:rsidRPr="00ED57CD" w14:paraId="70B98E07" w14:textId="77777777" w:rsidTr="003335C0">
        <w:tc>
          <w:tcPr>
            <w:tcW w:w="9286" w:type="dxa"/>
            <w:gridSpan w:val="2"/>
          </w:tcPr>
          <w:p w14:paraId="3EDE4994"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Inkstų ir šlapimo takų sutrikimai</w:t>
            </w:r>
          </w:p>
        </w:tc>
      </w:tr>
      <w:tr w:rsidR="00ED57CD" w:rsidRPr="00ED57CD" w14:paraId="6613E659" w14:textId="77777777" w:rsidTr="003335C0">
        <w:tc>
          <w:tcPr>
            <w:tcW w:w="2376" w:type="dxa"/>
          </w:tcPr>
          <w:p w14:paraId="198A858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72313D9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Poliurija</w:t>
            </w:r>
          </w:p>
        </w:tc>
      </w:tr>
      <w:tr w:rsidR="00ED57CD" w:rsidRPr="00ED57CD" w14:paraId="4BA23BED" w14:textId="77777777" w:rsidTr="003335C0">
        <w:tc>
          <w:tcPr>
            <w:tcW w:w="9286" w:type="dxa"/>
            <w:gridSpan w:val="2"/>
          </w:tcPr>
          <w:p w14:paraId="2478DC25"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Bendrieji sutrikimai ir vartojimo vietos pažeidimai</w:t>
            </w:r>
          </w:p>
        </w:tc>
      </w:tr>
      <w:tr w:rsidR="00ED57CD" w:rsidRPr="00ED57CD" w14:paraId="523BC838" w14:textId="77777777" w:rsidTr="003335C0">
        <w:tc>
          <w:tcPr>
            <w:tcW w:w="2376" w:type="dxa"/>
          </w:tcPr>
          <w:p w14:paraId="29E1CDB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569CA39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Astenija, į gripą panašūs simptomai, periferinės edemos</w:t>
            </w:r>
          </w:p>
        </w:tc>
      </w:tr>
      <w:tr w:rsidR="00ED57CD" w:rsidRPr="00ED57CD" w14:paraId="03699854" w14:textId="77777777" w:rsidTr="003335C0">
        <w:tc>
          <w:tcPr>
            <w:tcW w:w="9286" w:type="dxa"/>
            <w:gridSpan w:val="2"/>
          </w:tcPr>
          <w:p w14:paraId="5A7CDE50"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Lytinės sistemos ir krūties sutrikimai</w:t>
            </w:r>
          </w:p>
        </w:tc>
      </w:tr>
      <w:tr w:rsidR="00ED57CD" w:rsidRPr="00ED57CD" w14:paraId="4E50CE53" w14:textId="77777777" w:rsidTr="003335C0">
        <w:tc>
          <w:tcPr>
            <w:tcW w:w="2376" w:type="dxa"/>
          </w:tcPr>
          <w:p w14:paraId="05058C4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40E28D3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Erekcijos sutrikimas</w:t>
            </w:r>
          </w:p>
        </w:tc>
      </w:tr>
      <w:tr w:rsidR="00ED57CD" w:rsidRPr="00ED57CD" w14:paraId="0BF3E29F" w14:textId="77777777" w:rsidTr="003335C0">
        <w:tc>
          <w:tcPr>
            <w:tcW w:w="9286" w:type="dxa"/>
            <w:gridSpan w:val="2"/>
          </w:tcPr>
          <w:p w14:paraId="0D082158"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Tyrimai</w:t>
            </w:r>
          </w:p>
        </w:tc>
      </w:tr>
      <w:tr w:rsidR="00ED57CD" w:rsidRPr="00ED57CD" w14:paraId="4EE4C3B5" w14:textId="77777777" w:rsidTr="003335C0">
        <w:tc>
          <w:tcPr>
            <w:tcW w:w="2376" w:type="dxa"/>
          </w:tcPr>
          <w:p w14:paraId="2649A35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Nedažnas</w:t>
            </w:r>
          </w:p>
        </w:tc>
        <w:tc>
          <w:tcPr>
            <w:tcW w:w="6910" w:type="dxa"/>
          </w:tcPr>
          <w:p w14:paraId="720BEF3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Padidėjęs kreatinino kiekis kraujyje, pakitęs kepenų fermentų aktyvumas kraujyje</w:t>
            </w:r>
          </w:p>
        </w:tc>
      </w:tr>
    </w:tbl>
    <w:p w14:paraId="3934CF8B" w14:textId="77777777" w:rsidR="00ED57CD" w:rsidRPr="00ED57CD" w:rsidRDefault="00ED57CD" w:rsidP="00ED57CD">
      <w:pPr>
        <w:tabs>
          <w:tab w:val="left" w:pos="567"/>
        </w:tabs>
        <w:spacing w:after="0" w:line="240" w:lineRule="auto"/>
        <w:rPr>
          <w:rFonts w:ascii="Times New Roman" w:eastAsia="SimSun" w:hAnsi="Times New Roman"/>
          <w:highlight w:val="yellow"/>
          <w:lang w:eastAsia="zh-CN"/>
        </w:rPr>
      </w:pPr>
    </w:p>
    <w:p w14:paraId="3A0AEAB4"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Papildoma informacija apie atskirus derinio komponentus</w:t>
      </w:r>
    </w:p>
    <w:p w14:paraId="4FDAC1B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Nepageidaujami reiškiniai, pasitaikantys vartojant atskirus komponentus monoterapijai gali pasitaikyti vartojant Zofenopril / Hydrochlorothiazide Ingen Pharma.</w:t>
      </w:r>
    </w:p>
    <w:p w14:paraId="1647ABB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693FBA0"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Zofenoprilis</w:t>
      </w:r>
    </w:p>
    <w:p w14:paraId="06290909"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Dažniausiai pasitaikantys nepageidaujami reiškiniai, būdingi AKF inhibitoriams, stebėti zofenoprilio vartojusiems pacientams klinikinių tyrimų metu:</w:t>
      </w:r>
    </w:p>
    <w:p w14:paraId="6F4C64ED"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p>
    <w:p w14:paraId="60C8BCF3"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r w:rsidRPr="00ED57CD">
        <w:rPr>
          <w:rFonts w:ascii="Times New Roman" w:eastAsia="SimSun" w:hAnsi="Times New Roman"/>
          <w:b/>
          <w:lang w:eastAsia="zh-CN"/>
        </w:rPr>
        <w:t>Nervų sistemos sutrikimai</w:t>
      </w:r>
    </w:p>
    <w:p w14:paraId="1005A300"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i/>
          <w:iCs/>
          <w:lang w:eastAsia="zh-CN"/>
        </w:rPr>
        <w:t>Dažnas</w:t>
      </w:r>
      <w:r w:rsidRPr="00ED57CD">
        <w:rPr>
          <w:rFonts w:ascii="Times New Roman" w:eastAsia="SimSun" w:hAnsi="Times New Roman"/>
          <w:lang w:eastAsia="zh-CN"/>
        </w:rPr>
        <w:t>: svaigulys, galvos skausmas.</w:t>
      </w:r>
    </w:p>
    <w:p w14:paraId="434AFFFB"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p>
    <w:p w14:paraId="2F4B16E1"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r w:rsidRPr="00ED57CD">
        <w:rPr>
          <w:rFonts w:ascii="Times New Roman" w:eastAsia="SimSun" w:hAnsi="Times New Roman"/>
          <w:b/>
          <w:lang w:eastAsia="zh-CN"/>
        </w:rPr>
        <w:t>Kvėpavimo sistemos, krūtinės ir tarpuplaučio sutrikimai</w:t>
      </w:r>
    </w:p>
    <w:p w14:paraId="6EB96F48"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i/>
          <w:iCs/>
          <w:lang w:eastAsia="zh-CN"/>
        </w:rPr>
        <w:t>Dažnas</w:t>
      </w:r>
      <w:r w:rsidRPr="00ED57CD">
        <w:rPr>
          <w:rFonts w:ascii="Times New Roman" w:eastAsia="SimSun" w:hAnsi="Times New Roman"/>
          <w:lang w:eastAsia="zh-CN"/>
        </w:rPr>
        <w:t>: kosulys.</w:t>
      </w:r>
    </w:p>
    <w:p w14:paraId="5AEF0A2D"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p>
    <w:p w14:paraId="1F664547" w14:textId="77777777" w:rsidR="00ED57CD" w:rsidRPr="00ED57CD" w:rsidRDefault="00ED57CD" w:rsidP="00ED57CD">
      <w:pPr>
        <w:tabs>
          <w:tab w:val="left" w:pos="0"/>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Virškinimo trakto sutrikimai</w:t>
      </w:r>
    </w:p>
    <w:p w14:paraId="317C81F8" w14:textId="77777777" w:rsidR="00ED57CD" w:rsidRPr="00ED57CD" w:rsidRDefault="00ED57CD" w:rsidP="00ED57CD">
      <w:pPr>
        <w:tabs>
          <w:tab w:val="left" w:pos="0"/>
          <w:tab w:val="left" w:pos="567"/>
        </w:tabs>
        <w:spacing w:after="0" w:line="240" w:lineRule="auto"/>
        <w:rPr>
          <w:rFonts w:ascii="Times New Roman" w:eastAsia="SimSun" w:hAnsi="Times New Roman"/>
          <w:b/>
          <w:highlight w:val="yellow"/>
          <w:lang w:eastAsia="zh-CN"/>
        </w:rPr>
      </w:pPr>
      <w:r w:rsidRPr="00ED57CD">
        <w:rPr>
          <w:rFonts w:ascii="Times New Roman" w:eastAsia="SimSun" w:hAnsi="Times New Roman"/>
          <w:i/>
          <w:iCs/>
          <w:lang w:eastAsia="zh-CN"/>
        </w:rPr>
        <w:t>Dažnas</w:t>
      </w:r>
      <w:r w:rsidRPr="00ED57CD">
        <w:rPr>
          <w:rFonts w:ascii="Times New Roman" w:eastAsia="SimSun" w:hAnsi="Times New Roman"/>
          <w:lang w:eastAsia="zh-CN"/>
        </w:rPr>
        <w:t>: pykinimas arba vėmimas.</w:t>
      </w:r>
    </w:p>
    <w:p w14:paraId="1092E462"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p>
    <w:p w14:paraId="6E503C8B"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r w:rsidRPr="00ED57CD">
        <w:rPr>
          <w:rFonts w:ascii="Times New Roman" w:eastAsia="SimSun" w:hAnsi="Times New Roman"/>
          <w:b/>
          <w:lang w:eastAsia="zh-CN"/>
        </w:rPr>
        <w:t>Odos ir poodinio audinio sutrikimai</w:t>
      </w:r>
    </w:p>
    <w:p w14:paraId="172FA280"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r w:rsidRPr="00ED57CD">
        <w:rPr>
          <w:rFonts w:ascii="Times New Roman" w:eastAsia="SimSun" w:hAnsi="Times New Roman"/>
          <w:i/>
          <w:iCs/>
          <w:lang w:eastAsia="zh-CN"/>
        </w:rPr>
        <w:t>Nedažnas</w:t>
      </w:r>
      <w:r w:rsidRPr="00ED57CD">
        <w:rPr>
          <w:rFonts w:ascii="Times New Roman" w:eastAsia="SimSun" w:hAnsi="Times New Roman"/>
          <w:lang w:eastAsia="zh-CN"/>
        </w:rPr>
        <w:t xml:space="preserve"> odos bėrimas.</w:t>
      </w:r>
    </w:p>
    <w:p w14:paraId="1979C1AC"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i/>
          <w:iCs/>
          <w:lang w:eastAsia="zh-CN"/>
        </w:rPr>
        <w:t>Retas:</w:t>
      </w:r>
      <w:r w:rsidRPr="00ED57CD">
        <w:rPr>
          <w:rFonts w:ascii="Times New Roman" w:eastAsia="SimSun" w:hAnsi="Times New Roman"/>
          <w:lang w:eastAsia="zh-CN"/>
        </w:rPr>
        <w:t xml:space="preserve"> angioneurozinė edema.</w:t>
      </w:r>
    </w:p>
    <w:p w14:paraId="6F07ADA9"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p>
    <w:p w14:paraId="149E25DB" w14:textId="77777777" w:rsidR="00ED57CD" w:rsidRPr="00ED57CD" w:rsidRDefault="00ED57CD" w:rsidP="00ED57CD">
      <w:pPr>
        <w:tabs>
          <w:tab w:val="left" w:pos="0"/>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Skeleto, raumenų ir jungiamojo audinio sutrikimai</w:t>
      </w:r>
    </w:p>
    <w:p w14:paraId="121F06F9" w14:textId="77777777" w:rsidR="00ED57CD" w:rsidRPr="00ED57CD" w:rsidRDefault="00ED57CD" w:rsidP="00ED57CD">
      <w:pPr>
        <w:tabs>
          <w:tab w:val="left" w:pos="0"/>
          <w:tab w:val="left" w:pos="567"/>
        </w:tabs>
        <w:spacing w:after="0" w:line="240" w:lineRule="auto"/>
        <w:rPr>
          <w:rFonts w:ascii="Times New Roman" w:eastAsia="SimSun" w:hAnsi="Times New Roman"/>
          <w:b/>
          <w:highlight w:val="yellow"/>
          <w:lang w:eastAsia="zh-CN"/>
        </w:rPr>
      </w:pPr>
      <w:r w:rsidRPr="00ED57CD">
        <w:rPr>
          <w:rFonts w:ascii="Times New Roman" w:eastAsia="SimSun" w:hAnsi="Times New Roman"/>
          <w:i/>
          <w:iCs/>
          <w:lang w:eastAsia="zh-CN"/>
        </w:rPr>
        <w:t>Nedažnas:</w:t>
      </w:r>
      <w:r w:rsidRPr="00ED57CD">
        <w:rPr>
          <w:rFonts w:ascii="Times New Roman" w:eastAsia="SimSun" w:hAnsi="Times New Roman"/>
          <w:lang w:eastAsia="zh-CN"/>
        </w:rPr>
        <w:t xml:space="preserve"> mėšlungis.</w:t>
      </w:r>
    </w:p>
    <w:p w14:paraId="4B5B2BB7" w14:textId="77777777" w:rsidR="00ED57CD" w:rsidRPr="00ED57CD" w:rsidRDefault="00ED57CD" w:rsidP="00ED57CD">
      <w:pPr>
        <w:tabs>
          <w:tab w:val="left" w:pos="0"/>
          <w:tab w:val="left" w:pos="567"/>
        </w:tabs>
        <w:spacing w:after="0" w:line="240" w:lineRule="auto"/>
        <w:rPr>
          <w:rFonts w:ascii="Times New Roman" w:eastAsia="SimSun" w:hAnsi="Times New Roman"/>
          <w:b/>
          <w:highlight w:val="yellow"/>
          <w:lang w:eastAsia="zh-CN"/>
        </w:rPr>
      </w:pPr>
    </w:p>
    <w:p w14:paraId="03A8DA3C" w14:textId="77777777" w:rsidR="00ED57CD" w:rsidRPr="00ED57CD" w:rsidRDefault="00ED57CD" w:rsidP="00ED57CD">
      <w:pPr>
        <w:tabs>
          <w:tab w:val="left" w:pos="0"/>
          <w:tab w:val="left" w:pos="567"/>
        </w:tabs>
        <w:spacing w:after="0" w:line="240" w:lineRule="auto"/>
        <w:rPr>
          <w:rFonts w:ascii="Times New Roman" w:eastAsia="SimSun" w:hAnsi="Times New Roman"/>
          <w:b/>
          <w:highlight w:val="yellow"/>
          <w:lang w:eastAsia="zh-CN"/>
        </w:rPr>
      </w:pPr>
      <w:r w:rsidRPr="00ED57CD">
        <w:rPr>
          <w:rFonts w:ascii="Times New Roman" w:eastAsia="SimSun" w:hAnsi="Times New Roman"/>
          <w:b/>
          <w:lang w:eastAsia="zh-CN"/>
        </w:rPr>
        <w:t>Bendrieji sutrikimai ir vartojimo vietos pažeidimai</w:t>
      </w:r>
    </w:p>
    <w:p w14:paraId="7FC8DF99" w14:textId="77777777" w:rsidR="00ED57CD" w:rsidRPr="00ED57CD" w:rsidRDefault="00ED57CD" w:rsidP="00ED57CD">
      <w:pPr>
        <w:tabs>
          <w:tab w:val="left" w:pos="0"/>
          <w:tab w:val="left" w:pos="567"/>
        </w:tabs>
        <w:spacing w:after="0" w:line="240" w:lineRule="auto"/>
        <w:rPr>
          <w:rFonts w:ascii="Times New Roman" w:eastAsia="SimSun" w:hAnsi="Times New Roman"/>
          <w:b/>
          <w:highlight w:val="yellow"/>
          <w:lang w:eastAsia="zh-CN"/>
        </w:rPr>
      </w:pPr>
      <w:r w:rsidRPr="00ED57CD">
        <w:rPr>
          <w:rFonts w:ascii="Times New Roman" w:eastAsia="SimSun" w:hAnsi="Times New Roman"/>
          <w:i/>
          <w:iCs/>
          <w:lang w:eastAsia="zh-CN"/>
        </w:rPr>
        <w:t>Dažnas:</w:t>
      </w:r>
      <w:r w:rsidRPr="00ED57CD">
        <w:rPr>
          <w:rFonts w:ascii="Times New Roman" w:eastAsia="SimSun" w:hAnsi="Times New Roman"/>
          <w:lang w:eastAsia="zh-CN"/>
        </w:rPr>
        <w:t xml:space="preserve"> nuovargis.</w:t>
      </w:r>
    </w:p>
    <w:p w14:paraId="5836EC70"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r w:rsidRPr="00ED57CD">
        <w:rPr>
          <w:rFonts w:ascii="Times New Roman" w:eastAsia="SimSun" w:hAnsi="Times New Roman"/>
          <w:i/>
          <w:iCs/>
          <w:lang w:eastAsia="zh-CN"/>
        </w:rPr>
        <w:t>Nedažnas:</w:t>
      </w:r>
      <w:r w:rsidRPr="00ED57CD">
        <w:rPr>
          <w:rFonts w:ascii="Times New Roman" w:eastAsia="SimSun" w:hAnsi="Times New Roman"/>
          <w:lang w:eastAsia="zh-CN"/>
        </w:rPr>
        <w:t xml:space="preserve"> astenija.</w:t>
      </w:r>
    </w:p>
    <w:p w14:paraId="4E196844" w14:textId="77777777" w:rsidR="00ED57CD" w:rsidRPr="00ED57CD" w:rsidRDefault="00ED57CD" w:rsidP="00ED57CD">
      <w:pPr>
        <w:tabs>
          <w:tab w:val="left" w:pos="0"/>
          <w:tab w:val="left" w:pos="567"/>
        </w:tabs>
        <w:spacing w:after="0" w:line="240" w:lineRule="auto"/>
        <w:rPr>
          <w:rFonts w:ascii="Times New Roman" w:eastAsia="SimSun" w:hAnsi="Times New Roman"/>
          <w:highlight w:val="yellow"/>
          <w:lang w:eastAsia="zh-CN"/>
        </w:rPr>
      </w:pPr>
    </w:p>
    <w:p w14:paraId="3FC1E1E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Žemiau išvardytos reakcijos, stebėtos taikant gydymą AKF inhibitoriais.</w:t>
      </w:r>
    </w:p>
    <w:p w14:paraId="0C0435A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88B4699"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Kraujo ir limfinės sistemos sutrikimai</w:t>
      </w:r>
    </w:p>
    <w:p w14:paraId="322029E2" w14:textId="77777777" w:rsidR="00ED57CD" w:rsidRPr="00ED57CD" w:rsidRDefault="00ED57CD" w:rsidP="00ED57CD">
      <w:pPr>
        <w:spacing w:after="0" w:line="240" w:lineRule="auto"/>
        <w:rPr>
          <w:rFonts w:ascii="Times New Roman" w:hAnsi="Times New Roman"/>
        </w:rPr>
      </w:pPr>
      <w:r w:rsidRPr="00ED57CD">
        <w:rPr>
          <w:rFonts w:ascii="Times New Roman" w:hAnsi="Times New Roman"/>
        </w:rPr>
        <w:t xml:space="preserve">Pavieniams pacientams pasitaiko agranulocitozė ir pancitopenija. </w:t>
      </w:r>
    </w:p>
    <w:p w14:paraId="16F395D3"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hAnsi="Times New Roman"/>
        </w:rPr>
        <w:t>Pasitaikė pranešimų apie hemolizinės anemijos atvejus pacientams, kuriems nustatyta gliukozės-6-fosfatdehidrogenazės stoka</w:t>
      </w:r>
      <w:r w:rsidRPr="00ED57CD">
        <w:rPr>
          <w:rFonts w:ascii="Times New Roman" w:eastAsia="Times New Roman" w:hAnsi="Times New Roman"/>
        </w:rPr>
        <w:t xml:space="preserve">. </w:t>
      </w:r>
    </w:p>
    <w:p w14:paraId="19C78783" w14:textId="77777777" w:rsidR="00ED57CD" w:rsidRPr="00ED57CD" w:rsidRDefault="00ED57CD" w:rsidP="00ED57CD">
      <w:pPr>
        <w:tabs>
          <w:tab w:val="left" w:pos="0"/>
        </w:tabs>
        <w:spacing w:after="0" w:line="240" w:lineRule="auto"/>
        <w:rPr>
          <w:rFonts w:ascii="Times New Roman" w:eastAsia="Times New Roman" w:hAnsi="Times New Roman"/>
        </w:rPr>
      </w:pPr>
    </w:p>
    <w:p w14:paraId="16A6677D" w14:textId="77777777" w:rsidR="00ED57CD" w:rsidRPr="00ED57CD" w:rsidRDefault="00ED57CD" w:rsidP="00ED57CD">
      <w:pPr>
        <w:spacing w:after="0" w:line="240" w:lineRule="auto"/>
        <w:rPr>
          <w:rFonts w:ascii="Times New Roman" w:eastAsia="Times New Roman" w:hAnsi="Times New Roman"/>
          <w:b/>
          <w:bCs/>
        </w:rPr>
      </w:pPr>
      <w:r w:rsidRPr="00ED57CD">
        <w:rPr>
          <w:rFonts w:ascii="Times New Roman" w:eastAsia="Times New Roman" w:hAnsi="Times New Roman"/>
          <w:b/>
          <w:bCs/>
        </w:rPr>
        <w:t>Endokrininiai sutrikimai</w:t>
      </w:r>
    </w:p>
    <w:p w14:paraId="08DCD10C"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Dažnis nežinomas</w:t>
      </w:r>
      <w:r w:rsidRPr="00ED57CD">
        <w:rPr>
          <w:rFonts w:ascii="Times New Roman" w:eastAsia="Times New Roman" w:hAnsi="Times New Roman"/>
        </w:rPr>
        <w:t>: a</w:t>
      </w:r>
      <w:r w:rsidRPr="00ED57CD">
        <w:rPr>
          <w:rFonts w:ascii="Times New Roman" w:eastAsia="SimSun" w:hAnsi="Times New Roman"/>
          <w:lang w:eastAsia="zh-CN"/>
        </w:rPr>
        <w:t>ntidiurezinio hormono sekrecijos neatitikimas</w:t>
      </w:r>
      <w:r w:rsidRPr="00ED57CD">
        <w:rPr>
          <w:rFonts w:ascii="Times New Roman" w:eastAsia="Times New Roman" w:hAnsi="Times New Roman"/>
        </w:rPr>
        <w:t>.</w:t>
      </w:r>
    </w:p>
    <w:p w14:paraId="1A4C7A66" w14:textId="77777777" w:rsidR="00ED57CD" w:rsidRPr="00ED57CD" w:rsidRDefault="00ED57CD" w:rsidP="00ED57CD">
      <w:pPr>
        <w:tabs>
          <w:tab w:val="left" w:pos="0"/>
        </w:tabs>
        <w:spacing w:after="0" w:line="240" w:lineRule="auto"/>
        <w:rPr>
          <w:rFonts w:ascii="Times New Roman" w:eastAsia="Times New Roman" w:hAnsi="Times New Roman"/>
        </w:rPr>
      </w:pPr>
    </w:p>
    <w:p w14:paraId="03006803"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Metabolizmo ir mitybos sutrikimai</w:t>
      </w:r>
    </w:p>
    <w:p w14:paraId="41A2DD1C"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Labai retas</w:t>
      </w:r>
      <w:r w:rsidRPr="00ED57CD">
        <w:rPr>
          <w:rFonts w:ascii="Times New Roman" w:eastAsia="Times New Roman" w:hAnsi="Times New Roman"/>
        </w:rPr>
        <w:t>: hipoglikemija.</w:t>
      </w:r>
    </w:p>
    <w:p w14:paraId="2009407C" w14:textId="77777777" w:rsidR="00ED57CD" w:rsidRPr="00ED57CD" w:rsidRDefault="00ED57CD" w:rsidP="00ED57CD">
      <w:pPr>
        <w:tabs>
          <w:tab w:val="left" w:pos="0"/>
        </w:tabs>
        <w:spacing w:after="0" w:line="240" w:lineRule="auto"/>
        <w:rPr>
          <w:rFonts w:ascii="Times New Roman" w:eastAsia="Times New Roman" w:hAnsi="Times New Roman"/>
        </w:rPr>
      </w:pPr>
    </w:p>
    <w:p w14:paraId="1DFBA034"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Psichikos sutrikimai</w:t>
      </w:r>
    </w:p>
    <w:p w14:paraId="593DA57C"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Retas</w:t>
      </w:r>
      <w:r w:rsidRPr="00ED57CD">
        <w:rPr>
          <w:rFonts w:ascii="Times New Roman" w:eastAsia="Times New Roman" w:hAnsi="Times New Roman"/>
        </w:rPr>
        <w:t>: depresija, nuotaikos pakitimai, miego sutrikimai, konfūzijos būklė.</w:t>
      </w:r>
    </w:p>
    <w:p w14:paraId="2D026189" w14:textId="77777777" w:rsidR="00ED57CD" w:rsidRPr="00ED57CD" w:rsidRDefault="00ED57CD" w:rsidP="00ED57CD">
      <w:pPr>
        <w:tabs>
          <w:tab w:val="left" w:pos="0"/>
        </w:tabs>
        <w:spacing w:after="0" w:line="240" w:lineRule="auto"/>
        <w:rPr>
          <w:rFonts w:ascii="Times New Roman" w:eastAsia="Times New Roman" w:hAnsi="Times New Roman"/>
        </w:rPr>
      </w:pPr>
    </w:p>
    <w:p w14:paraId="4F64964A"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Nervų sistemos sutrikimai</w:t>
      </w:r>
    </w:p>
    <w:p w14:paraId="60E686B2" w14:textId="77777777" w:rsidR="00ED57CD" w:rsidRPr="00ED57CD" w:rsidRDefault="00ED57CD" w:rsidP="00ED57CD">
      <w:pPr>
        <w:spacing w:after="0" w:line="240" w:lineRule="auto"/>
        <w:jc w:val="both"/>
        <w:rPr>
          <w:rFonts w:ascii="Times New Roman" w:eastAsia="Times New Roman" w:hAnsi="Times New Roman"/>
          <w:lang w:eastAsia="lt-LT"/>
        </w:rPr>
      </w:pPr>
      <w:r w:rsidRPr="00ED57CD">
        <w:rPr>
          <w:rFonts w:ascii="Times New Roman" w:eastAsia="Times New Roman" w:hAnsi="Times New Roman"/>
          <w:i/>
        </w:rPr>
        <w:t>Dažnis nežinomas:</w:t>
      </w:r>
      <w:r w:rsidRPr="00ED57CD">
        <w:rPr>
          <w:rFonts w:ascii="Times New Roman" w:eastAsia="Times New Roman" w:hAnsi="Times New Roman"/>
        </w:rPr>
        <w:t xml:space="preserve"> </w:t>
      </w:r>
      <w:r w:rsidRPr="00ED57CD">
        <w:rPr>
          <w:rFonts w:ascii="Times New Roman" w:eastAsia="SimSun" w:hAnsi="Times New Roman"/>
          <w:lang w:eastAsia="zh-CN"/>
        </w:rPr>
        <w:t>pavieniai parestezijos, skonio jutimo (disgeuzijos), pusiausvyros sutrikimo atvejai</w:t>
      </w:r>
      <w:r w:rsidRPr="00ED57CD">
        <w:rPr>
          <w:rFonts w:ascii="Times New Roman" w:eastAsia="Times New Roman" w:hAnsi="Times New Roman"/>
        </w:rPr>
        <w:t>.</w:t>
      </w:r>
      <w:r w:rsidRPr="00ED57CD">
        <w:rPr>
          <w:rFonts w:ascii="Times New Roman" w:eastAsia="Times New Roman" w:hAnsi="Times New Roman"/>
          <w:lang w:eastAsia="lt-LT"/>
        </w:rPr>
        <w:t xml:space="preserve"> </w:t>
      </w:r>
    </w:p>
    <w:p w14:paraId="06CA5780" w14:textId="77777777" w:rsidR="00ED57CD" w:rsidRPr="00ED57CD" w:rsidRDefault="00ED57CD" w:rsidP="00ED57CD">
      <w:pPr>
        <w:tabs>
          <w:tab w:val="left" w:pos="0"/>
        </w:tabs>
        <w:spacing w:after="0" w:line="240" w:lineRule="auto"/>
        <w:rPr>
          <w:rFonts w:ascii="Times New Roman" w:eastAsia="Times New Roman" w:hAnsi="Times New Roman"/>
        </w:rPr>
      </w:pPr>
    </w:p>
    <w:p w14:paraId="1B8B6E24"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Akių sutrikimai</w:t>
      </w:r>
    </w:p>
    <w:p w14:paraId="4F0D2E19"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Retas</w:t>
      </w:r>
      <w:r w:rsidRPr="00ED57CD">
        <w:rPr>
          <w:rFonts w:ascii="Times New Roman" w:eastAsia="Times New Roman" w:hAnsi="Times New Roman"/>
        </w:rPr>
        <w:t>: neryškus matymas.</w:t>
      </w:r>
    </w:p>
    <w:p w14:paraId="47AE58D0" w14:textId="77777777" w:rsidR="00ED57CD" w:rsidRPr="00ED57CD" w:rsidRDefault="00ED57CD" w:rsidP="00ED57CD">
      <w:pPr>
        <w:tabs>
          <w:tab w:val="left" w:pos="0"/>
        </w:tabs>
        <w:spacing w:after="0" w:line="240" w:lineRule="auto"/>
        <w:rPr>
          <w:rFonts w:ascii="Times New Roman" w:eastAsia="Times New Roman" w:hAnsi="Times New Roman"/>
        </w:rPr>
      </w:pPr>
    </w:p>
    <w:p w14:paraId="0691F457"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Ausų ir labirintų sutrikimai</w:t>
      </w:r>
    </w:p>
    <w:p w14:paraId="285759BD"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Retas</w:t>
      </w:r>
      <w:r w:rsidRPr="00ED57CD">
        <w:rPr>
          <w:rFonts w:ascii="Times New Roman" w:eastAsia="Times New Roman" w:hAnsi="Times New Roman"/>
        </w:rPr>
        <w:t>: ūžimas ausyse.</w:t>
      </w:r>
    </w:p>
    <w:p w14:paraId="3A1A80FA" w14:textId="77777777" w:rsidR="00ED57CD" w:rsidRPr="00ED57CD" w:rsidRDefault="00ED57CD" w:rsidP="00ED57CD">
      <w:pPr>
        <w:tabs>
          <w:tab w:val="left" w:pos="0"/>
        </w:tabs>
        <w:spacing w:after="0" w:line="240" w:lineRule="auto"/>
        <w:rPr>
          <w:rFonts w:ascii="Times New Roman" w:eastAsia="Times New Roman" w:hAnsi="Times New Roman"/>
        </w:rPr>
      </w:pPr>
    </w:p>
    <w:p w14:paraId="25D2BE14"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Širdies sutrikimai</w:t>
      </w:r>
    </w:p>
    <w:p w14:paraId="20D2D524" w14:textId="69255263"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 xml:space="preserve">Dažnis nežinomas: </w:t>
      </w:r>
      <w:r w:rsidRPr="00ED57CD">
        <w:rPr>
          <w:rFonts w:ascii="Times New Roman" w:eastAsia="SimSun" w:hAnsi="Times New Roman"/>
          <w:lang w:eastAsia="zh-CN"/>
        </w:rPr>
        <w:t>pavieniai tachikardijos, aritmijos, krūtinės anginos, miokardo infarkto atvejai pasitaikė tuomet, kai vartojant AKF inhibitorių buvo hipotenzija.</w:t>
      </w:r>
    </w:p>
    <w:p w14:paraId="534791AE" w14:textId="77777777" w:rsidR="00ED57CD" w:rsidRPr="00ED57CD" w:rsidRDefault="00ED57CD" w:rsidP="00645B88">
      <w:pPr>
        <w:tabs>
          <w:tab w:val="left" w:pos="0"/>
        </w:tabs>
        <w:spacing w:after="0" w:line="240" w:lineRule="auto"/>
        <w:rPr>
          <w:rFonts w:ascii="Times New Roman" w:eastAsia="Times New Roman" w:hAnsi="Times New Roman"/>
        </w:rPr>
      </w:pPr>
    </w:p>
    <w:p w14:paraId="7EA87250"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Kvėpavimo sistemos, krūtinės ląstos ir tarpuplaučio sutrikimai</w:t>
      </w:r>
    </w:p>
    <w:p w14:paraId="1F36573C" w14:textId="77777777" w:rsidR="00ED57CD" w:rsidRPr="00ED57CD" w:rsidRDefault="00ED57CD" w:rsidP="00ED57CD">
      <w:pPr>
        <w:tabs>
          <w:tab w:val="left" w:pos="0"/>
        </w:tabs>
        <w:spacing w:after="0" w:line="240" w:lineRule="auto"/>
        <w:rPr>
          <w:rFonts w:ascii="Times New Roman" w:eastAsia="Times New Roman" w:hAnsi="Times New Roman"/>
          <w:i/>
        </w:rPr>
      </w:pPr>
      <w:r w:rsidRPr="00ED57CD">
        <w:rPr>
          <w:rFonts w:ascii="Times New Roman" w:eastAsia="Times New Roman" w:hAnsi="Times New Roman"/>
          <w:i/>
        </w:rPr>
        <w:t xml:space="preserve">Retas: </w:t>
      </w:r>
      <w:r w:rsidRPr="00ED57CD">
        <w:rPr>
          <w:rFonts w:ascii="Times New Roman" w:eastAsia="SimSun" w:hAnsi="Times New Roman"/>
          <w:lang w:eastAsia="zh-CN"/>
        </w:rPr>
        <w:t>dusulys, sinusitas, rinitas, glositas, bronchitas ar bronchų spazmas. Kai kuriems pacientams pasireiškia angioneurozinė edema, nedideliam skaičiui tokių pacientų ji apima veidą, burną bei burninės ryklės dalies audinius. Pavieniais atvejais dėl angioneurozinės edemos pasireiškė mirtina kvėpavimo takų obstrukcija.</w:t>
      </w:r>
      <w:r w:rsidRPr="00ED57CD">
        <w:rPr>
          <w:rFonts w:ascii="Times New Roman" w:eastAsia="Times New Roman" w:hAnsi="Times New Roman"/>
          <w:i/>
        </w:rPr>
        <w:t xml:space="preserve"> </w:t>
      </w:r>
    </w:p>
    <w:p w14:paraId="02BD4921" w14:textId="77777777" w:rsidR="00ED57CD" w:rsidRPr="00ED57CD" w:rsidRDefault="00ED57CD" w:rsidP="00ED57CD">
      <w:pPr>
        <w:tabs>
          <w:tab w:val="left" w:pos="0"/>
        </w:tabs>
        <w:spacing w:after="0" w:line="240" w:lineRule="auto"/>
        <w:rPr>
          <w:rFonts w:ascii="Times New Roman" w:eastAsia="Times New Roman" w:hAnsi="Times New Roman"/>
        </w:rPr>
      </w:pPr>
    </w:p>
    <w:p w14:paraId="32AB3089"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Virškinimo trakto sutrikimai</w:t>
      </w:r>
    </w:p>
    <w:p w14:paraId="6C71BE6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Times New Roman" w:hAnsi="Times New Roman"/>
          <w:i/>
        </w:rPr>
        <w:t xml:space="preserve">Dažnis nežinomas: </w:t>
      </w:r>
      <w:r w:rsidRPr="00ED57CD">
        <w:rPr>
          <w:rFonts w:ascii="Times New Roman" w:eastAsia="SimSun" w:hAnsi="Times New Roman"/>
          <w:lang w:eastAsia="zh-CN"/>
        </w:rPr>
        <w:t>retkarčiais gali atsirasti pilvo skausmas, viduriavimas, vidurių užkietėjimas bei burnos džiūvimas. Pavieniais atvejais pasireiškė pankreatitas bei žarnų nepraeinamumas.</w:t>
      </w:r>
    </w:p>
    <w:p w14:paraId="62A35774" w14:textId="77777777" w:rsidR="00ED57CD" w:rsidRPr="00ED57CD" w:rsidRDefault="00ED57CD" w:rsidP="00ED57CD">
      <w:pPr>
        <w:tabs>
          <w:tab w:val="left" w:pos="0"/>
        </w:tabs>
        <w:spacing w:after="0" w:line="240" w:lineRule="auto"/>
        <w:rPr>
          <w:rFonts w:ascii="Times New Roman" w:eastAsia="Times New Roman" w:hAnsi="Times New Roman"/>
          <w:u w:val="single"/>
        </w:rPr>
      </w:pPr>
      <w:r w:rsidRPr="00ED57CD">
        <w:rPr>
          <w:rFonts w:ascii="Times New Roman" w:eastAsia="SimSun" w:hAnsi="Times New Roman"/>
          <w:lang w:eastAsia="zh-CN"/>
        </w:rPr>
        <w:t>Labai retai pasitaikė žarnų angioneurozinė edema</w:t>
      </w:r>
    </w:p>
    <w:p w14:paraId="2F5EE0B9" w14:textId="77777777" w:rsidR="00ED57CD" w:rsidRPr="00ED57CD" w:rsidRDefault="00ED57CD" w:rsidP="00ED57CD">
      <w:pPr>
        <w:tabs>
          <w:tab w:val="left" w:pos="0"/>
        </w:tabs>
        <w:spacing w:after="0" w:line="240" w:lineRule="auto"/>
        <w:rPr>
          <w:rFonts w:ascii="Times New Roman" w:eastAsia="Times New Roman" w:hAnsi="Times New Roman"/>
        </w:rPr>
      </w:pPr>
    </w:p>
    <w:p w14:paraId="65DFDC0B"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Kepenų, tulžies pūslės ir latakų sutrikimai</w:t>
      </w:r>
    </w:p>
    <w:p w14:paraId="58096CBC"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 xml:space="preserve">Dažnis nežinomas: </w:t>
      </w:r>
      <w:r w:rsidRPr="00ED57CD">
        <w:rPr>
          <w:rFonts w:ascii="Times New Roman" w:eastAsia="SimSun" w:hAnsi="Times New Roman"/>
          <w:lang w:eastAsia="zh-CN"/>
        </w:rPr>
        <w:t>vartojant AKF inhibitorių pasitaikė pavienių cholestazinės geltos ir hepatito atvejų</w:t>
      </w:r>
    </w:p>
    <w:p w14:paraId="7C9D40DC" w14:textId="77777777" w:rsidR="00ED57CD" w:rsidRPr="00ED57CD" w:rsidRDefault="00ED57CD" w:rsidP="00ED57CD">
      <w:pPr>
        <w:tabs>
          <w:tab w:val="left" w:pos="0"/>
        </w:tabs>
        <w:spacing w:after="0" w:line="240" w:lineRule="auto"/>
        <w:rPr>
          <w:rFonts w:ascii="Times New Roman" w:eastAsia="Times New Roman" w:hAnsi="Times New Roman"/>
        </w:rPr>
      </w:pPr>
    </w:p>
    <w:p w14:paraId="37CE2C96"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Odos ir poodinio audinio sutrikimai</w:t>
      </w:r>
    </w:p>
    <w:p w14:paraId="7B914949" w14:textId="43872041"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Dažnis nežinomas</w:t>
      </w:r>
      <w:r w:rsidRPr="00ED57CD">
        <w:rPr>
          <w:rFonts w:ascii="Times New Roman" w:eastAsia="Times New Roman" w:hAnsi="Times New Roman"/>
        </w:rPr>
        <w:t xml:space="preserve">: </w:t>
      </w:r>
      <w:r w:rsidRPr="00ED57CD">
        <w:rPr>
          <w:rFonts w:ascii="Times New Roman" w:eastAsia="SimSun" w:hAnsi="Times New Roman"/>
          <w:lang w:eastAsia="zh-CN"/>
        </w:rPr>
        <w:t xml:space="preserve">retkarčiais gali būti alerginė ir padidėjusio organizmo jautrumo reakcija: daugiaformė eritema, </w:t>
      </w:r>
      <w:r w:rsidRPr="00ED57CD">
        <w:rPr>
          <w:rFonts w:ascii="Times New Roman" w:eastAsia="Times New Roman" w:hAnsi="Times New Roman"/>
          <w:iCs/>
        </w:rPr>
        <w:t>Stivenso-Džonsono (</w:t>
      </w:r>
      <w:r w:rsidRPr="00ED57CD">
        <w:rPr>
          <w:rFonts w:ascii="Times New Roman" w:eastAsia="Times New Roman" w:hAnsi="Times New Roman"/>
          <w:i/>
        </w:rPr>
        <w:t>Stevens-Johnson</w:t>
      </w:r>
      <w:r w:rsidRPr="00ED57CD">
        <w:rPr>
          <w:rFonts w:ascii="Times New Roman" w:eastAsia="Times New Roman" w:hAnsi="Times New Roman"/>
          <w:iCs/>
        </w:rPr>
        <w:t>)</w:t>
      </w:r>
      <w:r w:rsidRPr="00ED57CD">
        <w:rPr>
          <w:rFonts w:eastAsia="Times New Roman"/>
          <w:iCs/>
        </w:rPr>
        <w:t xml:space="preserve"> </w:t>
      </w:r>
      <w:r w:rsidRPr="00ED57CD">
        <w:rPr>
          <w:rFonts w:ascii="Times New Roman" w:eastAsia="SimSun" w:hAnsi="Times New Roman"/>
          <w:lang w:eastAsia="zh-CN"/>
        </w:rPr>
        <w:t>sindromas, toksinė epidermio nekrolizė, į psoriazę panašus bėrimas, alopecija. Minėtus simptomus gali papildyti karščiavimas, raumenų ir sąnarių skausmas, eozinofilija ir (arba) antibranduolinių antikūnių titro padidėjimas. Retai pasitaiko padidėjęs prakaitavimas</w:t>
      </w:r>
      <w:r w:rsidRPr="00ED57CD">
        <w:rPr>
          <w:rFonts w:ascii="Times New Roman" w:eastAsia="Times New Roman" w:hAnsi="Times New Roman"/>
        </w:rPr>
        <w:t>.</w:t>
      </w:r>
    </w:p>
    <w:p w14:paraId="0FB56AB6" w14:textId="77777777" w:rsidR="00ED57CD" w:rsidRPr="00ED57CD" w:rsidRDefault="00ED57CD" w:rsidP="00ED57CD">
      <w:pPr>
        <w:tabs>
          <w:tab w:val="left" w:pos="0"/>
        </w:tabs>
        <w:spacing w:after="0" w:line="240" w:lineRule="auto"/>
        <w:rPr>
          <w:rFonts w:ascii="Times New Roman" w:eastAsia="Times New Roman" w:hAnsi="Times New Roman"/>
        </w:rPr>
      </w:pPr>
    </w:p>
    <w:p w14:paraId="3DCB7EE4"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Skeleto, raumenų ir jungiamojo audinio sutrikimai</w:t>
      </w:r>
    </w:p>
    <w:p w14:paraId="42CFC233"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Dažnis nežinomas</w:t>
      </w:r>
      <w:r w:rsidRPr="00ED57CD">
        <w:rPr>
          <w:rFonts w:ascii="Times New Roman" w:eastAsia="Times New Roman" w:hAnsi="Times New Roman"/>
        </w:rPr>
        <w:t xml:space="preserve">: </w:t>
      </w:r>
      <w:r w:rsidRPr="00ED57CD">
        <w:rPr>
          <w:rFonts w:ascii="Times New Roman" w:eastAsia="SimSun" w:hAnsi="Times New Roman"/>
          <w:lang w:eastAsia="zh-CN"/>
        </w:rPr>
        <w:t>retkarčiais raumenų skausmo atvejai</w:t>
      </w:r>
      <w:r w:rsidRPr="00ED57CD">
        <w:rPr>
          <w:rFonts w:ascii="Times New Roman" w:eastAsia="Times New Roman" w:hAnsi="Times New Roman"/>
        </w:rPr>
        <w:t>.</w:t>
      </w:r>
    </w:p>
    <w:p w14:paraId="375A0268" w14:textId="77777777" w:rsidR="00ED57CD" w:rsidRPr="00ED57CD" w:rsidRDefault="00ED57CD" w:rsidP="00ED57CD">
      <w:pPr>
        <w:tabs>
          <w:tab w:val="left" w:pos="0"/>
        </w:tabs>
        <w:spacing w:after="0" w:line="240" w:lineRule="auto"/>
        <w:rPr>
          <w:rFonts w:ascii="Times New Roman" w:eastAsia="Times New Roman" w:hAnsi="Times New Roman"/>
        </w:rPr>
      </w:pPr>
    </w:p>
    <w:p w14:paraId="131B2E7E"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Inkstų ir šlapimo takų sutrikimai</w:t>
      </w:r>
    </w:p>
    <w:p w14:paraId="14D36208" w14:textId="77777777" w:rsidR="00ED57CD" w:rsidRPr="00ED57CD" w:rsidRDefault="00ED57CD" w:rsidP="00ED57CD">
      <w:pPr>
        <w:tabs>
          <w:tab w:val="left" w:pos="567"/>
        </w:tabs>
        <w:spacing w:after="0" w:line="240" w:lineRule="auto"/>
        <w:rPr>
          <w:rFonts w:ascii="Times New Roman" w:eastAsia="Times New Roman" w:hAnsi="Times New Roman"/>
        </w:rPr>
      </w:pPr>
      <w:r w:rsidRPr="00ED57CD">
        <w:rPr>
          <w:rFonts w:ascii="Times New Roman" w:eastAsia="Times New Roman" w:hAnsi="Times New Roman"/>
          <w:i/>
        </w:rPr>
        <w:t>Dažnis nežinomas: g</w:t>
      </w:r>
      <w:r w:rsidRPr="00ED57CD">
        <w:rPr>
          <w:rFonts w:ascii="Times New Roman" w:eastAsia="SimSun" w:hAnsi="Times New Roman"/>
          <w:lang w:eastAsia="zh-CN"/>
        </w:rPr>
        <w:t>ali prasidėti arba pasunkėti inkstų nepakankamumas. Buvo ūminio inkstų nepakankamumo atvejų (žr. 4.4 skyrių). Retai gali būti šlapimo tekėjimo sutrikimai (mikturija).</w:t>
      </w:r>
    </w:p>
    <w:p w14:paraId="0C64809C" w14:textId="77777777" w:rsidR="00ED57CD" w:rsidRPr="00ED57CD" w:rsidRDefault="00ED57CD" w:rsidP="00ED57CD">
      <w:pPr>
        <w:tabs>
          <w:tab w:val="left" w:pos="0"/>
        </w:tabs>
        <w:spacing w:after="0" w:line="240" w:lineRule="auto"/>
        <w:rPr>
          <w:rFonts w:ascii="Times New Roman" w:eastAsia="Times New Roman" w:hAnsi="Times New Roman"/>
        </w:rPr>
      </w:pPr>
    </w:p>
    <w:p w14:paraId="06A6A0E4"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 xml:space="preserve">Lytinės sistemos ir krūties sutrikimai </w:t>
      </w:r>
    </w:p>
    <w:p w14:paraId="4176F17E"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Retas</w:t>
      </w:r>
      <w:r w:rsidRPr="00ED57CD">
        <w:rPr>
          <w:rFonts w:ascii="Times New Roman" w:eastAsia="Times New Roman" w:hAnsi="Times New Roman"/>
        </w:rPr>
        <w:t>: erekcijos sutrikimas.</w:t>
      </w:r>
    </w:p>
    <w:p w14:paraId="0B1B3E20" w14:textId="77777777" w:rsidR="00ED57CD" w:rsidRPr="00ED57CD" w:rsidRDefault="00ED57CD" w:rsidP="00ED57CD">
      <w:pPr>
        <w:tabs>
          <w:tab w:val="left" w:pos="0"/>
        </w:tabs>
        <w:spacing w:after="0" w:line="240" w:lineRule="auto"/>
        <w:rPr>
          <w:rFonts w:ascii="Times New Roman" w:eastAsia="Times New Roman" w:hAnsi="Times New Roman"/>
        </w:rPr>
      </w:pPr>
    </w:p>
    <w:p w14:paraId="2F2B12D0"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Bendrieji sutrikimai ir vartojimo vietos pažeidimai.</w:t>
      </w:r>
    </w:p>
    <w:p w14:paraId="227D9074" w14:textId="77777777" w:rsidR="00ED57CD" w:rsidRPr="00ED57CD" w:rsidRDefault="00ED57CD" w:rsidP="00ED57CD">
      <w:pPr>
        <w:tabs>
          <w:tab w:val="left" w:pos="0"/>
        </w:tabs>
        <w:spacing w:after="0" w:line="240" w:lineRule="auto"/>
        <w:rPr>
          <w:rFonts w:ascii="Times New Roman" w:eastAsia="Times New Roman" w:hAnsi="Times New Roman"/>
        </w:rPr>
      </w:pPr>
      <w:r w:rsidRPr="00ED57CD">
        <w:rPr>
          <w:rFonts w:ascii="Times New Roman" w:eastAsia="Times New Roman" w:hAnsi="Times New Roman"/>
          <w:i/>
        </w:rPr>
        <w:t>Labai retas</w:t>
      </w:r>
      <w:r w:rsidRPr="00ED57CD">
        <w:rPr>
          <w:rFonts w:ascii="Times New Roman" w:eastAsia="Times New Roman" w:hAnsi="Times New Roman"/>
        </w:rPr>
        <w:t>: periferinė edema, krūtinės skausmas.</w:t>
      </w:r>
    </w:p>
    <w:p w14:paraId="461B7247" w14:textId="77777777" w:rsidR="00ED57CD" w:rsidRPr="00ED57CD" w:rsidRDefault="00ED57CD" w:rsidP="00ED57CD">
      <w:pPr>
        <w:tabs>
          <w:tab w:val="left" w:pos="0"/>
        </w:tabs>
        <w:spacing w:after="0" w:line="240" w:lineRule="auto"/>
        <w:rPr>
          <w:rFonts w:ascii="Times New Roman" w:eastAsia="Times New Roman" w:hAnsi="Times New Roman"/>
        </w:rPr>
      </w:pPr>
    </w:p>
    <w:p w14:paraId="25FBFA37" w14:textId="77777777" w:rsidR="00ED57CD" w:rsidRPr="00ED57CD" w:rsidRDefault="00ED57CD" w:rsidP="00ED57CD">
      <w:pPr>
        <w:tabs>
          <w:tab w:val="left" w:pos="0"/>
        </w:tabs>
        <w:spacing w:after="0" w:line="240" w:lineRule="auto"/>
        <w:rPr>
          <w:rFonts w:ascii="Times New Roman" w:eastAsia="Times New Roman" w:hAnsi="Times New Roman"/>
          <w:b/>
          <w:bCs/>
        </w:rPr>
      </w:pPr>
      <w:r w:rsidRPr="00ED57CD">
        <w:rPr>
          <w:rFonts w:ascii="Times New Roman" w:eastAsia="Times New Roman" w:hAnsi="Times New Roman"/>
          <w:b/>
          <w:bCs/>
        </w:rPr>
        <w:t>Tyrimai</w:t>
      </w:r>
    </w:p>
    <w:p w14:paraId="4EBAE373"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Times New Roman" w:hAnsi="Times New Roman"/>
          <w:i/>
        </w:rPr>
        <w:t xml:space="preserve">Dažnis nežinomas: </w:t>
      </w:r>
      <w:r w:rsidRPr="00ED57CD">
        <w:rPr>
          <w:rFonts w:ascii="Times New Roman" w:eastAsia="SimSun" w:hAnsi="Times New Roman"/>
          <w:lang w:eastAsia="zh-CN"/>
        </w:rPr>
        <w:t>padidėjęs kreatinino kiekis kraujyje, išnykstantis nutraukus vaistinio preparato vartojimą, ypač pacientų, sergančių inkstų nepakankamumu, sunkiu širdies nepakankamumu ar renovaskuline hipertenzija. Kai kuriems pacientams gali sumažėti hemoglobino, hematokrito rodmenys, trombocitų ir leukocitų skaičius. Kraujo serume gali padidėti kepenų fermentų aktyvumas ir bilirubino kiekis</w:t>
      </w:r>
    </w:p>
    <w:p w14:paraId="72B499F3"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1583040E"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Hidrochlorotiazidas</w:t>
      </w:r>
    </w:p>
    <w:p w14:paraId="5E3F3B7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Toliau nurodyti tik hidrochlorotiazido vartojimo metu pasitaikę nepageidaujami reiškiniai.</w:t>
      </w:r>
    </w:p>
    <w:p w14:paraId="3AD92EC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8E46D5F"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Kraujo ir limfinės sistemos sutrikimai</w:t>
      </w:r>
    </w:p>
    <w:p w14:paraId="2E44B0A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leukopenija, neutropenija, agranulocitozė, trombocitopenija, aplazinė anemija, hemolizinė anemija, kaulų čiulpų nepakankamumas.</w:t>
      </w:r>
    </w:p>
    <w:p w14:paraId="1C38BF2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80AB4AE"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Imuninės sistemos sutrikimai</w:t>
      </w:r>
    </w:p>
    <w:p w14:paraId="5DC24BC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anafilaksinė reakcija.</w:t>
      </w:r>
    </w:p>
    <w:p w14:paraId="01E2FA7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BAED4BB"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Metabolizmo ir mitybos sutrikimai</w:t>
      </w:r>
    </w:p>
    <w:p w14:paraId="7D240AA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anoreksija, skysčių netekimas, podagra, cukrinis diabetas, metabolinė alkalozė, hiperurikemija, sutrikęs elektrolitų balansas (įskaitant hiponatremiją, hipomagnezemiją, hipochloremiją, hiperkalcemiją), hiperglikemija, padidėjęs amilazės kiekis kraujyje.</w:t>
      </w:r>
    </w:p>
    <w:p w14:paraId="6AB9E88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91B96D4"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Psichikos sutrikimai</w:t>
      </w:r>
    </w:p>
    <w:p w14:paraId="32763DE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apatija, konfūzijos būklė, depresija, nervingumas, miego sutrikimai.</w:t>
      </w:r>
    </w:p>
    <w:p w14:paraId="7D31763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D904D9A"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Nervų sistemos sutrikimai</w:t>
      </w:r>
    </w:p>
    <w:p w14:paraId="53FE0D7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 xml:space="preserve">Labai retas: </w:t>
      </w:r>
      <w:r w:rsidRPr="00ED57CD">
        <w:rPr>
          <w:rFonts w:ascii="Times New Roman" w:eastAsia="SimSun" w:hAnsi="Times New Roman"/>
          <w:lang w:eastAsia="zh-CN"/>
        </w:rPr>
        <w:t>parestezijos, skonio jutimo sutrikimas, pusiausvyros sutrikimai.</w:t>
      </w:r>
    </w:p>
    <w:p w14:paraId="5456BC0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787525"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lastRenderedPageBreak/>
        <w:t>Akių sutrikimai</w:t>
      </w:r>
    </w:p>
    <w:p w14:paraId="0E32D80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ksantopsija, neryškus matymas, miopija (sunkesnė eiga), sumažėjęs ašarų susidarymas, skysčio susikaupimas tarp akies gyslainės ir skleros.</w:t>
      </w:r>
    </w:p>
    <w:p w14:paraId="4F97026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F43EC2D"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Ausų ir labirintų sutrikimai</w:t>
      </w:r>
    </w:p>
    <w:p w14:paraId="1BC8747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galvos svaigimas (</w:t>
      </w:r>
      <w:r w:rsidRPr="00ED57CD">
        <w:rPr>
          <w:rFonts w:ascii="Times New Roman" w:eastAsia="SimSun" w:hAnsi="Times New Roman"/>
          <w:i/>
          <w:lang w:eastAsia="zh-CN"/>
        </w:rPr>
        <w:t>vertigo</w:t>
      </w:r>
      <w:r w:rsidRPr="00ED57CD">
        <w:rPr>
          <w:rFonts w:ascii="Times New Roman" w:eastAsia="SimSun" w:hAnsi="Times New Roman"/>
          <w:lang w:eastAsia="zh-CN"/>
        </w:rPr>
        <w:t>).</w:t>
      </w:r>
    </w:p>
    <w:p w14:paraId="74296F8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4A81D2D"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 xml:space="preserve">Širdies sutrikimai </w:t>
      </w:r>
    </w:p>
    <w:p w14:paraId="70743BD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širdies ritmo sutrikimai, juntamas stiprus širdies plakimas (palpitacijos).</w:t>
      </w:r>
    </w:p>
    <w:p w14:paraId="3629522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A412C95"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Kraujagyslių sutrikimai</w:t>
      </w:r>
    </w:p>
    <w:p w14:paraId="6158337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ortostatinė hipotenzija, trombozė, embolija, šokas.</w:t>
      </w:r>
    </w:p>
    <w:p w14:paraId="0FBBF058"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380020B5"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Kvėpavimo sistemos, krūtinės ląstos ir tarpuplaučio sutrikimai</w:t>
      </w:r>
    </w:p>
    <w:p w14:paraId="77F39731" w14:textId="7D0C2EC2" w:rsid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pneumonija, plaučių intersticinė liga, plaučių edema</w:t>
      </w:r>
      <w:r w:rsidR="00C963FC">
        <w:rPr>
          <w:rFonts w:ascii="Times New Roman" w:eastAsia="SimSun" w:hAnsi="Times New Roman"/>
          <w:lang w:eastAsia="zh-CN"/>
        </w:rPr>
        <w:t>.</w:t>
      </w:r>
    </w:p>
    <w:p w14:paraId="08450329" w14:textId="5B34B0FA" w:rsidR="00C963FC" w:rsidRPr="00ED57CD" w:rsidRDefault="00C963FC" w:rsidP="00ED57CD">
      <w:pPr>
        <w:tabs>
          <w:tab w:val="left" w:pos="567"/>
        </w:tabs>
        <w:spacing w:after="0" w:line="240" w:lineRule="auto"/>
        <w:rPr>
          <w:rFonts w:ascii="Times New Roman" w:eastAsia="SimSun" w:hAnsi="Times New Roman"/>
          <w:lang w:eastAsia="zh-CN"/>
        </w:rPr>
      </w:pPr>
      <w:r w:rsidRPr="00324AD4">
        <w:rPr>
          <w:rFonts w:ascii="Times New Roman" w:eastAsia="SimSun" w:hAnsi="Times New Roman"/>
          <w:i/>
          <w:iCs/>
          <w:lang w:eastAsia="zh-CN"/>
        </w:rPr>
        <w:t>Labai retas</w:t>
      </w:r>
      <w:r>
        <w:rPr>
          <w:rFonts w:ascii="Times New Roman" w:eastAsia="SimSun" w:hAnsi="Times New Roman"/>
          <w:lang w:eastAsia="zh-CN"/>
        </w:rPr>
        <w:t>: ū</w:t>
      </w:r>
      <w:r w:rsidRPr="008C1C16">
        <w:rPr>
          <w:rFonts w:ascii="Times New Roman" w:hAnsi="Times New Roman"/>
        </w:rPr>
        <w:t>minis kvėpavimo sutrikimo sindromas (ŪKSS) (žr. 4.4 skyrių)</w:t>
      </w:r>
      <w:r>
        <w:rPr>
          <w:rFonts w:ascii="Times New Roman" w:hAnsi="Times New Roman"/>
        </w:rPr>
        <w:t>.</w:t>
      </w:r>
    </w:p>
    <w:p w14:paraId="56FC320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1820DE"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Virškinimo trakto sutrikimai</w:t>
      </w:r>
    </w:p>
    <w:p w14:paraId="4CB1B4D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burnos džiūvimas, pykinimas, vėmimas, nemalonus pojūtis skrandyje, viduriavimas, vidurių užkietėjimas, paralyžinis žarnų nepraeinamumas, pilvo pūtimas, seilių liaukų uždegimas, pankreatitas.</w:t>
      </w:r>
    </w:p>
    <w:p w14:paraId="5872C3C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5CD0A1F"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Kepenų, tulžies pūslės ir latakų sutrikimai</w:t>
      </w:r>
    </w:p>
    <w:p w14:paraId="660A31E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cholestazinė gelta, tulžies pūslės uždegimas.</w:t>
      </w:r>
    </w:p>
    <w:p w14:paraId="3028972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03B63CC"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Odos ir poodinio audinio sutrikimai</w:t>
      </w:r>
    </w:p>
    <w:p w14:paraId="21705E8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niežulys, purpura, dilgėlinė, padidėjusio jautrumo šviesai reakcijos, išbėrimas, odos raudonoji vilkligė, nekrozuojantis vaskulitas, toksinė epidermio nekrolizė.</w:t>
      </w:r>
    </w:p>
    <w:p w14:paraId="6EE73D9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8323D1E"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Skeleto, raumenų ir jungiamojo audinio sutrikimai</w:t>
      </w:r>
    </w:p>
    <w:p w14:paraId="7A5F868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raumenų spazmas, skausmas.</w:t>
      </w:r>
    </w:p>
    <w:p w14:paraId="3DB8F90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C376C6B"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Inkstų ir šlapimo takų sutrikimai</w:t>
      </w:r>
    </w:p>
    <w:p w14:paraId="7547390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inkstų nepakankamumas, ūminis inkstų nepakankamumas, intersticinis nefritas, glikozurija.</w:t>
      </w:r>
    </w:p>
    <w:p w14:paraId="4862F08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6B2F737"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 xml:space="preserve">Lytinės sistemos ir krūties sutrikimai </w:t>
      </w:r>
    </w:p>
    <w:p w14:paraId="6AC2AFF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erekcijos sutrikimas.</w:t>
      </w:r>
    </w:p>
    <w:p w14:paraId="49E5F01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538C69A"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Bendrieji sutrikimai ir vartojimo vietos pažeidimai</w:t>
      </w:r>
    </w:p>
    <w:p w14:paraId="3E27BB6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astenija, karščiavimas, nuovargis, troškulys.</w:t>
      </w:r>
    </w:p>
    <w:p w14:paraId="154DB79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87D1EC"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Tyrimai</w:t>
      </w:r>
    </w:p>
    <w:p w14:paraId="328D36E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Dažnis nežinomas:</w:t>
      </w:r>
      <w:r w:rsidRPr="00ED57CD">
        <w:rPr>
          <w:rFonts w:ascii="Times New Roman" w:eastAsia="SimSun" w:hAnsi="Times New Roman"/>
          <w:lang w:eastAsia="zh-CN"/>
        </w:rPr>
        <w:t xml:space="preserve"> EKG pakitimai, padidėjęs cholesterolio, trigliceridų kiekis kraujyje.</w:t>
      </w:r>
    </w:p>
    <w:p w14:paraId="6E812D6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CB72280" w14:textId="77777777" w:rsidR="00ED57CD" w:rsidRPr="00ED57CD" w:rsidRDefault="00ED57CD" w:rsidP="00ED57CD">
      <w:pPr>
        <w:tabs>
          <w:tab w:val="left" w:pos="567"/>
        </w:tabs>
        <w:spacing w:after="0" w:line="240" w:lineRule="auto"/>
        <w:rPr>
          <w:rFonts w:ascii="Times New Roman" w:eastAsia="SimSun" w:hAnsi="Times New Roman"/>
          <w:b/>
          <w:bCs/>
          <w:iCs/>
          <w:lang w:eastAsia="zh-CN"/>
        </w:rPr>
      </w:pPr>
      <w:r w:rsidRPr="00ED57CD">
        <w:rPr>
          <w:rFonts w:ascii="Times New Roman" w:eastAsia="SimSun" w:hAnsi="Times New Roman"/>
          <w:b/>
          <w:bCs/>
          <w:iCs/>
          <w:lang w:eastAsia="zh-CN"/>
        </w:rPr>
        <w:t>Gerybiniai, piktybiniai ir nepatikslinti navikai (tarp jų cistos ir polipai)</w:t>
      </w:r>
    </w:p>
    <w:p w14:paraId="48B38C4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 xml:space="preserve">Dažnis nežinomas: </w:t>
      </w:r>
      <w:r w:rsidRPr="00ED57CD">
        <w:rPr>
          <w:rFonts w:ascii="Times New Roman" w:eastAsia="SimSun" w:hAnsi="Times New Roman"/>
          <w:lang w:eastAsia="zh-CN"/>
        </w:rPr>
        <w:t>nemelanominis odos vėžys (bazalinių ląstelių karcinoma ir plokščiųjų ląstelių karcinoma).</w:t>
      </w:r>
    </w:p>
    <w:p w14:paraId="2B1A2CEE"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263A80D4"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Atrinktų nepageidaujamų reakcijų apibūdinimas</w:t>
      </w:r>
    </w:p>
    <w:p w14:paraId="2D6CFAB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Nemelanominis odos vėžys. Remiantis turimais epidemiologinių tyrimų duomenimis buvo nustatyta nuo kumuliacinės dozės priklausoma HCTZ sąsaja su NOV (taip pat žr. 4.4 ir 5.1 skyrius).</w:t>
      </w:r>
    </w:p>
    <w:p w14:paraId="48DC079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 tiazido ir į tiazidą panašių diuretikų vartojimo buvo pranešta apie atvejus, kai pasireiškė skysčio susikaupimas tarp akies gyslainės ir skleros su regėjimo lauko defektu.</w:t>
      </w:r>
    </w:p>
    <w:p w14:paraId="3C1B1686"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u w:val="single"/>
          <w:lang w:eastAsia="zh-CN"/>
        </w:rPr>
      </w:pPr>
    </w:p>
    <w:p w14:paraId="763BEC24" w14:textId="77777777" w:rsidR="00ED57CD" w:rsidRPr="00B93176" w:rsidRDefault="00ED57CD" w:rsidP="00B93176">
      <w:pPr>
        <w:tabs>
          <w:tab w:val="left" w:pos="567"/>
        </w:tabs>
        <w:autoSpaceDE w:val="0"/>
        <w:autoSpaceDN w:val="0"/>
        <w:adjustRightInd w:val="0"/>
        <w:spacing w:after="0" w:line="240" w:lineRule="auto"/>
        <w:rPr>
          <w:rFonts w:ascii="Times New Roman" w:eastAsia="Times New Roman" w:hAnsi="Times New Roman"/>
          <w:snapToGrid w:val="0"/>
          <w:u w:val="single"/>
        </w:rPr>
      </w:pPr>
      <w:r w:rsidRPr="00B93176">
        <w:rPr>
          <w:rFonts w:ascii="Times New Roman" w:eastAsia="Times New Roman" w:hAnsi="Times New Roman"/>
          <w:snapToGrid w:val="0"/>
          <w:u w:val="single"/>
        </w:rPr>
        <w:t>Pranešimas apie įtariamas nepageidaujamas reakcijas</w:t>
      </w:r>
    </w:p>
    <w:p w14:paraId="1B0A700E" w14:textId="5918C675" w:rsidR="00B93176" w:rsidRPr="00B93176" w:rsidRDefault="00ED57CD" w:rsidP="00D93E01">
      <w:pPr>
        <w:tabs>
          <w:tab w:val="left" w:pos="567"/>
        </w:tabs>
        <w:autoSpaceDE w:val="0"/>
        <w:autoSpaceDN w:val="0"/>
        <w:adjustRightInd w:val="0"/>
        <w:spacing w:after="0" w:line="240" w:lineRule="auto"/>
        <w:jc w:val="both"/>
        <w:rPr>
          <w:rFonts w:ascii="Times New Roman" w:eastAsia="Times New Roman" w:hAnsi="Times New Roman"/>
          <w:noProof/>
          <w:snapToGrid w:val="0"/>
        </w:rPr>
      </w:pPr>
      <w:r w:rsidRPr="00B93176">
        <w:rPr>
          <w:rFonts w:ascii="Times New Roman" w:eastAsia="Times New Roman" w:hAnsi="Times New Roman"/>
          <w:snapToGrid w:val="0"/>
        </w:rPr>
        <w:lastRenderedPageBreak/>
        <w:t xml:space="preserve">Svarbu pranešti apie įtariamas nepageidaujamas reakcijas, pastebėtas po vaistinio preparato registracijos, nes tai leidžia nuolat stebėti vaistinio preparato naudos ir rizikos santykį. </w:t>
      </w:r>
      <w:r w:rsidR="00B93176" w:rsidRPr="00B93176">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93176" w:rsidRPr="00B93176">
        <w:rPr>
          <w:rFonts w:ascii="Times New Roman" w:hAnsi="Times New Roman"/>
          <w:u w:val="single"/>
        </w:rPr>
        <w:t>https://vvkt.lrv.lt/lt/</w:t>
      </w:r>
      <w:r w:rsidR="00B93176" w:rsidRPr="00B93176">
        <w:rPr>
          <w:rFonts w:ascii="Times New Roman" w:hAnsi="Times New Roman"/>
        </w:rPr>
        <w:t xml:space="preserve"> nurodytais būdais.</w:t>
      </w:r>
    </w:p>
    <w:p w14:paraId="73DF1CA2" w14:textId="2B9B3DC0" w:rsidR="00ED57CD" w:rsidRPr="00B93176" w:rsidRDefault="00ED57CD" w:rsidP="00B93176">
      <w:pPr>
        <w:tabs>
          <w:tab w:val="left" w:pos="567"/>
        </w:tabs>
        <w:autoSpaceDE w:val="0"/>
        <w:autoSpaceDN w:val="0"/>
        <w:adjustRightInd w:val="0"/>
        <w:spacing w:after="0" w:line="240" w:lineRule="auto"/>
        <w:rPr>
          <w:rFonts w:ascii="Times New Roman" w:eastAsia="Times New Roman" w:hAnsi="Times New Roman"/>
          <w:snapToGrid w:val="0"/>
        </w:rPr>
      </w:pPr>
    </w:p>
    <w:p w14:paraId="515A60EC" w14:textId="77777777" w:rsidR="00ED57CD" w:rsidRPr="00B93176" w:rsidRDefault="00ED57CD" w:rsidP="00B93176">
      <w:pPr>
        <w:tabs>
          <w:tab w:val="left" w:pos="567"/>
        </w:tabs>
        <w:spacing w:after="0" w:line="240" w:lineRule="auto"/>
        <w:rPr>
          <w:rFonts w:ascii="Times New Roman" w:eastAsia="SimSun" w:hAnsi="Times New Roman"/>
          <w:lang w:eastAsia="zh-CN"/>
        </w:rPr>
      </w:pPr>
    </w:p>
    <w:p w14:paraId="13451122" w14:textId="77777777" w:rsidR="00ED57CD" w:rsidRPr="00ED57CD" w:rsidRDefault="00ED57CD" w:rsidP="00ED57CD">
      <w:pPr>
        <w:keepNext/>
        <w:keepLines/>
        <w:tabs>
          <w:tab w:val="left" w:pos="567"/>
        </w:tabs>
        <w:spacing w:after="0" w:line="240" w:lineRule="auto"/>
        <w:ind w:left="567" w:hanging="567"/>
        <w:outlineLvl w:val="2"/>
        <w:rPr>
          <w:rFonts w:ascii="Times New Roman" w:eastAsia="SimSun" w:hAnsi="Times New Roman"/>
          <w:b/>
          <w:bCs/>
          <w:kern w:val="28"/>
          <w:lang w:eastAsia="zh-CN"/>
        </w:rPr>
      </w:pPr>
      <w:bookmarkStart w:id="25" w:name="_Toc129243110"/>
      <w:bookmarkStart w:id="26" w:name="_Toc129243235"/>
      <w:r w:rsidRPr="00ED57CD">
        <w:rPr>
          <w:rFonts w:ascii="Times New Roman" w:eastAsia="SimSun" w:hAnsi="Times New Roman"/>
          <w:b/>
          <w:bCs/>
          <w:kern w:val="28"/>
          <w:lang w:eastAsia="zh-CN"/>
        </w:rPr>
        <w:t>4.9</w:t>
      </w:r>
      <w:r w:rsidRPr="00ED57CD">
        <w:rPr>
          <w:rFonts w:ascii="Times New Roman" w:eastAsia="SimSun" w:hAnsi="Times New Roman"/>
          <w:b/>
          <w:bCs/>
          <w:kern w:val="28"/>
          <w:lang w:eastAsia="zh-CN"/>
        </w:rPr>
        <w:tab/>
        <w:t>Perdozavimas</w:t>
      </w:r>
      <w:bookmarkEnd w:id="25"/>
      <w:bookmarkEnd w:id="26"/>
    </w:p>
    <w:p w14:paraId="5BAEFF32"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638103B1"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Vaistinio preparato perdozavimo simptomai yra sunki hipotenzija, šokas, stuporas, bradikardija, elektrolitų pusiausvyros sutrikimas ir inkstų nepakankamumas.</w:t>
      </w:r>
    </w:p>
    <w:p w14:paraId="67779808"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721058F9"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Gydymas yra palaikomasis simptominis. Apsinuodijusį pacientą būtina atidžiai prižiūrėti, geriau jį gydyti intensyviosios terapijos skyriuje. Būtina dažnai nustatyti elektrolitų ir kreatinino kiekį kraujo serume. Gydymo priemonės priklauso nuo pasireiškusių apsinuodijimo simptomų pobūdžio ir sunkumo. Jeigu apsinuodyta neseniai, būtina imtis absorbciją mažinančių priemonių: išplauti skrandį, skirti vartoti adsorbuojamųjų medžiagų ir natrio sulfato. Pasireiškus hipotenzijai, pacientą reikia paguldyti taip, kaip guldoma ištikus šokui, prireikus infuzuoti kraujo tūrį didinančių skysčių ir (arba) angiotenzino II. Bradikardiją ir kitokius dėl klajoklio nervo tonuso padidėjimo pasireiškusius simptomus reikia šalinti atropinu. Gali prireikti dirbtinio širdies stimuliatoriaus. AKF inhibitorius iš organizmo galima pašalinti hemodialize. Negalima naudoti didelio laidumo poliakrilnitrilinių membranų. </w:t>
      </w:r>
    </w:p>
    <w:p w14:paraId="78324223"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Apsinuodijimas hidrochlorotiazidu susijęs su elektrolitų (hipokalemija, hipochloremija) ir skysčių netekimu dėl pernelyg intensyvios diurezės. Dažniausi perdozavimo simptomai yra pykinimas ir mieguistumas. Hipokalemija gali sukelti raumenų spazmus ir (arba) sustiprinti kartu vartojamų rusmenės glikozidų arba antiaritminių vaistinių preparatų sukeltas širdies aritmijas. </w:t>
      </w:r>
    </w:p>
    <w:p w14:paraId="3B203851"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5E1D6227"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p>
    <w:p w14:paraId="284B4D22"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27" w:name="_Toc129243111"/>
      <w:bookmarkStart w:id="28" w:name="_Toc129243236"/>
      <w:r w:rsidRPr="00ED57CD">
        <w:rPr>
          <w:rFonts w:ascii="Times New Roman" w:eastAsia="SimSun" w:hAnsi="Times New Roman"/>
          <w:b/>
          <w:lang w:eastAsia="zh-CN"/>
        </w:rPr>
        <w:t>5.</w:t>
      </w:r>
      <w:r w:rsidRPr="00ED57CD">
        <w:rPr>
          <w:rFonts w:ascii="Times New Roman" w:eastAsia="SimSun" w:hAnsi="Times New Roman"/>
          <w:b/>
          <w:lang w:eastAsia="zh-CN"/>
        </w:rPr>
        <w:tab/>
        <w:t>FARMAKOLOGINĖS SAVYBĖS</w:t>
      </w:r>
      <w:bookmarkEnd w:id="27"/>
      <w:bookmarkEnd w:id="28"/>
    </w:p>
    <w:p w14:paraId="6BDAD875"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45AEE8CE"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29" w:name="_Toc129243112"/>
      <w:bookmarkStart w:id="30" w:name="_Toc129243237"/>
      <w:r w:rsidRPr="00ED57CD">
        <w:rPr>
          <w:rFonts w:ascii="Times New Roman" w:eastAsia="SimSun" w:hAnsi="Times New Roman"/>
          <w:b/>
          <w:lang w:eastAsia="zh-CN"/>
        </w:rPr>
        <w:t>5.1</w:t>
      </w:r>
      <w:r w:rsidRPr="00ED57CD">
        <w:rPr>
          <w:rFonts w:ascii="Times New Roman" w:eastAsia="SimSun" w:hAnsi="Times New Roman"/>
          <w:b/>
          <w:lang w:eastAsia="zh-CN"/>
        </w:rPr>
        <w:tab/>
        <w:t>Farmakodinaminės savybės</w:t>
      </w:r>
      <w:bookmarkEnd w:id="29"/>
      <w:bookmarkEnd w:id="30"/>
    </w:p>
    <w:p w14:paraId="6225FAA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60EC8D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Farmakoterapinė grupė – AKF inhibitorius, ATC kodas – C09BA15.</w:t>
      </w:r>
    </w:p>
    <w:p w14:paraId="603CB67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3056C3"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Zofenoprilio ir hidrochlorotiazido derinio tabletės</w:t>
      </w:r>
    </w:p>
    <w:p w14:paraId="1D7D296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Zofenopril / Hydrochlorothiazide Ingen Pharma yra AKF inhibitoriaus zofenoprilio ir tiazidinio diuretiko hidrochlorotiazido fiksuotų dozių derinio vaistinis preparatas. Kiekvienas komponentas papildo vienas kito poveikį ir pasižymi suminiu antihipertenziniu poveikiu. </w:t>
      </w:r>
    </w:p>
    <w:p w14:paraId="65AAB8A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7A9CC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Zofenoprilis yra sulfhidrilinis AKF inhibitorius, gebantis blokuoti fermentą, katalizuojantį angiotenzino I virtimą kraujagysles sutraukiančiu peptidu angiotenzinu II. Todėl silpniau sutraukiamos kraujagyslės, mažiau išsiskiria aldosterono. Dėl pastarojo poveikio gali padidėti kraujyje kalio koncentracija ir daugiau išsiskirti iš organizmo natrio ir skysčių. Neigiamo angiotenzino II grįžtamojo ryšio reninui nutraukimas sukelia renino aktyvumo plazmoje padidėjimą. Manoma, kad svarbiausias zofenoprilio kraujospūdį mažinantis veikimo mechanizmas susijęs su renino-angiotenzino-aldosterono sistemos slopinimu. AKF atitinka kininazę II, fermentą, kuris ardo stipriu vazodilataciniu poveikiu pasižymintį peptidą bradikininą, reikšmingą AKF inhibitorių gydomajam poveikiui.</w:t>
      </w:r>
    </w:p>
    <w:p w14:paraId="37DD94C0"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p>
    <w:p w14:paraId="4AA0596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Hidrochlorotiazidas yra diurezę sukeliantis antihipertenzinis vaistinis preparatas, kuris priklauso tiazidų grupės diuretikams. Jis veikia elektrolitų reabsorbciją inkstų tolimuosiuose kanalėliuose. Jis maždaug vienodai didina natrio ir chloro išsiskyrimą. Kartu su šlapimu daugiau išsiskiria kalio ir bikarbonato. Tikriausiai dėl renino, angiotenzino ir aldosterono sistemos blokavimo kartu vartojamas zofenoprilis veikia atstatydamas kalio netekimą, susijusį su diuretiko poveikiu. Suvartojus hidrochlorotiazido, diurezė prasideda apytikriai po 2 valandų, maksimalus poveikis esti po 4 valandų, veikimas trunka apytikriai 6-12 valandų.</w:t>
      </w:r>
    </w:p>
    <w:p w14:paraId="04927B1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289F84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Nemelanominis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020789F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644F3CB" w14:textId="77777777" w:rsidR="00ED57CD" w:rsidRPr="00ED57CD" w:rsidRDefault="00ED57CD" w:rsidP="00ED57CD">
      <w:pPr>
        <w:spacing w:after="0" w:line="240" w:lineRule="auto"/>
        <w:rPr>
          <w:rFonts w:ascii="Times New Roman" w:eastAsia="SimSun" w:hAnsi="Times New Roman"/>
          <w:i/>
        </w:rPr>
      </w:pPr>
      <w:r w:rsidRPr="00ED57CD">
        <w:rPr>
          <w:rFonts w:ascii="Times New Roman" w:eastAsia="SimSun" w:hAnsi="Times New Roman"/>
          <w:i/>
        </w:rPr>
        <w:t>Kita informacija</w:t>
      </w:r>
    </w:p>
    <w:p w14:paraId="4E499785" w14:textId="77777777" w:rsidR="00ED57CD" w:rsidRPr="00ED57CD" w:rsidRDefault="00ED57CD" w:rsidP="00ED57CD">
      <w:pPr>
        <w:spacing w:after="0" w:line="240" w:lineRule="auto"/>
        <w:rPr>
          <w:rFonts w:ascii="Times New Roman" w:eastAsia="SimSun" w:hAnsi="Times New Roman"/>
        </w:rPr>
      </w:pPr>
    </w:p>
    <w:p w14:paraId="7846A759" w14:textId="77777777" w:rsidR="00ED57CD" w:rsidRPr="00ED57CD" w:rsidRDefault="00ED57CD" w:rsidP="00ED57CD">
      <w:pPr>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iCs/>
          <w:color w:val="000000"/>
          <w:lang w:eastAsia="zh-CN"/>
        </w:rPr>
        <w:t>Dviem dideliais atsitiktinės atrankos, kontroliuojamais tyrimais (ONTARGET (angl. „</w:t>
      </w:r>
      <w:r w:rsidRPr="00ED57CD">
        <w:rPr>
          <w:rFonts w:ascii="Times New Roman" w:eastAsia="SimSun" w:hAnsi="Times New Roman"/>
          <w:i/>
          <w:iCs/>
          <w:color w:val="000000"/>
          <w:lang w:eastAsia="zh-CN"/>
        </w:rPr>
        <w:t>ONgoing Telmisartan Alone and in combination with Ramipril Global Endpoint Trial</w:t>
      </w:r>
      <w:r w:rsidRPr="00ED57CD">
        <w:rPr>
          <w:rFonts w:ascii="Times New Roman" w:eastAsia="SimSun" w:hAnsi="Times New Roman"/>
          <w:iCs/>
          <w:color w:val="000000"/>
          <w:lang w:eastAsia="zh-CN"/>
        </w:rPr>
        <w:t>“) ir VA NEPHRON-D (angl. „</w:t>
      </w:r>
      <w:r w:rsidRPr="00ED57CD">
        <w:rPr>
          <w:rFonts w:ascii="Times New Roman" w:eastAsia="SimSun" w:hAnsi="Times New Roman"/>
          <w:i/>
          <w:iCs/>
          <w:color w:val="000000"/>
          <w:lang w:eastAsia="zh-CN"/>
        </w:rPr>
        <w:t>The Veterans Affairs Nephropathy in Diabetes</w:t>
      </w:r>
      <w:r w:rsidRPr="00ED57CD">
        <w:rPr>
          <w:rFonts w:ascii="Times New Roman" w:eastAsia="SimSun" w:hAnsi="Times New Roman"/>
          <w:iCs/>
          <w:color w:val="000000"/>
          <w:lang w:eastAsia="zh-CN"/>
        </w:rPr>
        <w:t xml:space="preserve">“)) buvo ištirtas AKF inhibitoriaus ir angiotenzino II receptorių blokatoriaus derinio vartojimas. </w:t>
      </w:r>
    </w:p>
    <w:p w14:paraId="498EFFF6" w14:textId="77777777" w:rsidR="00ED57CD" w:rsidRPr="00ED57CD" w:rsidRDefault="00ED57CD" w:rsidP="00ED57CD">
      <w:pPr>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iCs/>
          <w:color w:val="000000"/>
          <w:lang w:eastAsia="zh-CN"/>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0DFE594F" w14:textId="77777777" w:rsidR="00ED57CD" w:rsidRPr="00ED57CD" w:rsidRDefault="00ED57CD" w:rsidP="00ED57CD">
      <w:pPr>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iCs/>
          <w:color w:val="000000"/>
          <w:lang w:eastAsia="zh-CN"/>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71B4F67A" w14:textId="77777777" w:rsidR="00ED57CD" w:rsidRPr="00ED57CD" w:rsidRDefault="00ED57CD" w:rsidP="00ED57CD">
      <w:pPr>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iCs/>
          <w:color w:val="000000"/>
          <w:lang w:eastAsia="zh-CN"/>
        </w:rPr>
        <w:t xml:space="preserve">Todėl pacientams, sergantiems diabetine nefropatija, negalima kartu vartoti AKF inhibitorių ir angiotenzino II receptorių blokatorių. </w:t>
      </w:r>
    </w:p>
    <w:p w14:paraId="46608AC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Cs/>
          <w:lang w:eastAsia="zh-CN"/>
        </w:rPr>
        <w:t>ALTITUDE (angl. „</w:t>
      </w:r>
      <w:r w:rsidRPr="00ED57CD">
        <w:rPr>
          <w:rFonts w:ascii="Times New Roman" w:eastAsia="SimSun" w:hAnsi="Times New Roman"/>
          <w:i/>
          <w:iCs/>
          <w:lang w:eastAsia="zh-CN"/>
        </w:rPr>
        <w:t>Aliskiren Trial in Type 2 Diabetes Using Cardiovascular and Renal Disease Endpoints</w:t>
      </w:r>
      <w:r w:rsidRPr="00ED57CD">
        <w:rPr>
          <w:rFonts w:ascii="Times New Roman" w:eastAsia="SimSun" w:hAnsi="Times New Roman"/>
          <w:iCs/>
          <w:lang w:eastAsia="zh-C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00B9A44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CE00E68"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31" w:name="_Toc129243113"/>
      <w:bookmarkStart w:id="32" w:name="_Toc129243238"/>
      <w:r w:rsidRPr="00ED57CD">
        <w:rPr>
          <w:rFonts w:ascii="Times New Roman" w:eastAsia="SimSun" w:hAnsi="Times New Roman"/>
          <w:b/>
          <w:lang w:eastAsia="zh-CN"/>
        </w:rPr>
        <w:t>5.2</w:t>
      </w:r>
      <w:r w:rsidRPr="00ED57CD">
        <w:rPr>
          <w:rFonts w:ascii="Times New Roman" w:eastAsia="SimSun" w:hAnsi="Times New Roman"/>
          <w:b/>
          <w:lang w:eastAsia="zh-CN"/>
        </w:rPr>
        <w:tab/>
        <w:t>Farmakokinetinės savybės</w:t>
      </w:r>
      <w:bookmarkEnd w:id="31"/>
      <w:bookmarkEnd w:id="32"/>
    </w:p>
    <w:p w14:paraId="6A95AB1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AD1416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Zofenoprilio ir hidrochlorotiazido vartojimas kartu šių veikliųjų medžiagų biologiniam prieinamumui įtakos neturi arba ji yra menka. Tabletėje esantis derinys bioekvivalentiškas kartu vartojamoms dviems atskiroms veikliosioms medžiagoms.</w:t>
      </w:r>
    </w:p>
    <w:p w14:paraId="18C6370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738D225" w14:textId="77777777" w:rsidR="00ED57CD" w:rsidRPr="00ED57CD" w:rsidRDefault="00ED57CD" w:rsidP="00ED57CD">
      <w:pPr>
        <w:tabs>
          <w:tab w:val="left" w:pos="567"/>
        </w:tabs>
        <w:spacing w:after="0" w:line="240" w:lineRule="auto"/>
        <w:rPr>
          <w:rFonts w:ascii="Times New Roman" w:eastAsia="SimSun" w:hAnsi="Times New Roman"/>
          <w:u w:val="single"/>
          <w:lang w:eastAsia="zh-CN"/>
        </w:rPr>
      </w:pPr>
      <w:r w:rsidRPr="00ED57CD">
        <w:rPr>
          <w:rFonts w:ascii="Times New Roman" w:eastAsia="SimSun" w:hAnsi="Times New Roman"/>
          <w:u w:val="single"/>
          <w:lang w:eastAsia="zh-CN"/>
        </w:rPr>
        <w:t>Zofenoprilis</w:t>
      </w:r>
    </w:p>
    <w:p w14:paraId="29E2926F" w14:textId="77777777" w:rsidR="00ED57CD" w:rsidRPr="00ED57CD" w:rsidRDefault="00ED57CD" w:rsidP="00ED57CD">
      <w:pPr>
        <w:tabs>
          <w:tab w:val="left" w:pos="0"/>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Zofenopril yra provaistas. Sulfidinį esterį hidrolizuojant, atsiranda veiklusis metabolitas zofenoprilatas, kurio sudėtyje merkapto grupės nėra. </w:t>
      </w:r>
    </w:p>
    <w:p w14:paraId="7418809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B0B147F"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Absorbcija</w:t>
      </w:r>
    </w:p>
    <w:p w14:paraId="231E49F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Pavartotas zofenoprilis absorbuojamas visas ir greitai. Beveik visa absorbuota dozė virsta zofenoprilatu. Didžiausia zofenoprilato koncentracija kraujyje atsiranda po 1,5 val. suvartojus zofenoprilio. Vienkartinių 10-80 mg zofenoprilio kalcio druskos dozių kinetika yra tiesinė. Vartojant 15-60 mg zofeniprilio paros dozę 3 savaites, vaistinio preparato organizme nesikaupia. Maistas absorbciją lėtina, bet jos apimties nemažina. Zofenoprilato AUC yra beveik identiška tiek pavalgius, tiek nevalgius. </w:t>
      </w:r>
    </w:p>
    <w:p w14:paraId="5C077B7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6195B8E"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Pasiskirstymas</w:t>
      </w:r>
    </w:p>
    <w:p w14:paraId="35DA14B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lastRenderedPageBreak/>
        <w:t>Ex vivo</w:t>
      </w:r>
      <w:r w:rsidRPr="00ED57CD">
        <w:rPr>
          <w:rFonts w:ascii="Times New Roman" w:eastAsia="SimSun" w:hAnsi="Times New Roman"/>
          <w:lang w:eastAsia="zh-CN"/>
        </w:rPr>
        <w:t xml:space="preserve"> tyrimais su žymėtuoju (radioaktyviuoju) zofenoprilio vaistiniu preparatu nustatyta, kad apie 88 % radioaktyviosios dozės prisijungia prie kraujo plazmos baltymų, pasiskirstymo tūris tuo metu, kai vaistinio preparato apykaita organizme tampa pastovi, yra 96 l.</w:t>
      </w:r>
    </w:p>
    <w:p w14:paraId="0A59072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72FFEA"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Biotransformacija</w:t>
      </w:r>
    </w:p>
    <w:p w14:paraId="1AD06AB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Iš žmonių, pavartojusių žymėtojo (radioaktyviojo) zofenoprilio preparato, organizmo 76 % radioaktyviosios dozės išsiskyrė su šlapimu prisijungusi prie aštuonių rūšių metabolitų. Svarbiausias metabolitas yra zofenoprilatas (22 %), kuris toliau metabolizuojamas įvairiais būdais, įskaitant konjugaciją su gliukurono rūgštimi (17 %), ciklizaciją ir gliukuronido konjugaciją (13 %), cisteino konjugaciją (9 %) ir merkaptogrupės S-metilinimą (8 %). </w:t>
      </w:r>
    </w:p>
    <w:p w14:paraId="489A6C2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7342288"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 xml:space="preserve">Eliminacija </w:t>
      </w:r>
    </w:p>
    <w:p w14:paraId="561D99B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Į veną sušvirkšto žymėtojo (radioaktyviojo) zofenoprilato vaistinio preparato, jis pasišalina su šlapimu (76 %), su išmatomis (16 %), o pavartojus - atitinkamai 69 % ir 26 %. Vadinasi, vaistinis preparatas eliminuojamas dviem būdais - pro inkstus ir per kepenis. Suvartojus zofenoprilato, jo pusinės eliminacijos laikas yra 5,5 val., suvartoto zofenoprilio bendras organizmo klirensas </w:t>
      </w:r>
      <w:r w:rsidRPr="00ED57CD">
        <w:rPr>
          <w:rFonts w:ascii="Times New Roman" w:eastAsia="SimSun" w:hAnsi="Times New Roman"/>
          <w:lang w:eastAsia="zh-CN"/>
        </w:rPr>
        <w:sym w:font="Symbol" w:char="F02D"/>
      </w:r>
      <w:r w:rsidRPr="00ED57CD">
        <w:rPr>
          <w:rFonts w:ascii="Times New Roman" w:eastAsia="SimSun" w:hAnsi="Times New Roman"/>
          <w:lang w:eastAsia="zh-CN"/>
        </w:rPr>
        <w:t xml:space="preserve"> 1300 ml/min.</w:t>
      </w:r>
    </w:p>
    <w:p w14:paraId="489FDBC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7C00FC7"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Ypatingos populiacijos</w:t>
      </w:r>
    </w:p>
    <w:p w14:paraId="5E2A29FF"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Senyvi pacientai</w:t>
      </w:r>
    </w:p>
    <w:p w14:paraId="1299FA4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inkstų funkcija normali, senyviems pacientams dozės keisti nereikia.</w:t>
      </w:r>
    </w:p>
    <w:p w14:paraId="382312B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491D4AB"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Sutrikusi inkstų funkcija</w:t>
      </w:r>
    </w:p>
    <w:p w14:paraId="599863F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Zofenoprilato farmakokinetikos tyrimų lengvu inkstų nepakankamumu (kreatinino klirensas yra didesnis kaip 45 ml/min., bet mažesnis kaip 90 ml/min.) sergančių žmonių, suvartojusių žymėtojo (radioaktyviojo) zofenoprilio, organizme rezultatai rodo, jog zofenoprilio eliminacijos greitis yra toks pat kaip žmonių, kurių inkstų funkcija normali (kreatinino klirensas didesnis kaip 90 ml/min.). </w:t>
      </w:r>
    </w:p>
    <w:p w14:paraId="463FA4E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yra vidutinio sunkumo arba sunkus inkstų nepakankamumas (kreatinino klirensas 7-44 ml/min.), vaistinio preparato eliminacijos greitis yra 50 % mažesnis.</w:t>
      </w:r>
    </w:p>
    <w:p w14:paraId="12A688F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Pacientams, kuriems dėl terminalinės inkstų ligos fazės atliekama hemodializė arba peritoninė dializė, eliminacijos greitis sumažėja 25 %, palyginti su normalia.</w:t>
      </w:r>
    </w:p>
    <w:p w14:paraId="19E12B0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E3D317D"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 xml:space="preserve">Sutrikusi kepenų funkcija </w:t>
      </w:r>
    </w:p>
    <w:p w14:paraId="3CA0893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Lengvu arba vidutinio sunkumo kepenų nepakankamumu sergančių pacientų, suvartojusių vieną žymėtojo (radioaktyviojo) zofenoprilio dozę, organizme zofenoprilato C</w:t>
      </w:r>
      <w:r w:rsidRPr="00ED57CD">
        <w:rPr>
          <w:rFonts w:ascii="Times New Roman" w:eastAsia="SimSun" w:hAnsi="Times New Roman"/>
          <w:vertAlign w:val="subscript"/>
          <w:lang w:eastAsia="zh-CN"/>
        </w:rPr>
        <w:t>max</w:t>
      </w:r>
      <w:r w:rsidRPr="00ED57CD">
        <w:rPr>
          <w:rFonts w:ascii="Times New Roman" w:eastAsia="SimSun" w:hAnsi="Times New Roman"/>
          <w:lang w:eastAsia="zh-CN"/>
        </w:rPr>
        <w:t xml:space="preserve"> kraujo plazmoje ir T</w:t>
      </w:r>
      <w:r w:rsidRPr="00ED57CD">
        <w:rPr>
          <w:rFonts w:ascii="Times New Roman" w:eastAsia="SimSun" w:hAnsi="Times New Roman"/>
          <w:vertAlign w:val="subscript"/>
          <w:lang w:eastAsia="zh-CN"/>
        </w:rPr>
        <w:t>max</w:t>
      </w:r>
      <w:r w:rsidRPr="00ED57CD">
        <w:rPr>
          <w:rFonts w:ascii="Times New Roman" w:eastAsia="SimSun" w:hAnsi="Times New Roman"/>
          <w:lang w:eastAsia="zh-CN"/>
        </w:rPr>
        <w:t xml:space="preserve">, buvo tokie pat kaip sveikų žmonių. Tačiau kepenų ciroze sergančių ligonių organizme zofenoprilato AUC buvo du kartus didesnis palyginti su sveikais asmenimis. Šie duomenys rodo, kad lengvu arba vidutinio sunkumo kepenų funkcijos nepakankamumu sergantiems pacientams pradžioje reikia vartoti perpus mažesnę zofenoprilio dozę negu pacientams, kurių kepenų funkcija normali. </w:t>
      </w:r>
    </w:p>
    <w:p w14:paraId="75BCBFBF"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Sunkiu kepenų funkcijos nepakankamumu sergančių ligonių organizme zofenoprilio ir zofenoprilato farmakokinetika netirta, todėl jiems zofenoprilio vartoti draudžiama. </w:t>
      </w:r>
    </w:p>
    <w:p w14:paraId="6514E82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E1A7A5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u w:val="single"/>
          <w:lang w:eastAsia="zh-CN"/>
        </w:rPr>
        <w:t>Hidrochlorotiazidas</w:t>
      </w:r>
    </w:p>
    <w:p w14:paraId="08D3CCC6"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Absorbcija</w:t>
      </w:r>
    </w:p>
    <w:p w14:paraId="40637CE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Pavartotas hidrochlorotiazidas absorbuojamas gerai (65-75 %). Plazmos koncentracijos kinetika po pavartotos dozės yra tiesinė. Hidrochlorotiazido absorbcija priklauso nuo judėjimo žarnynu laiko; ji didėja, jei judėjimas lėtas, pvz., pavartojus vaistinio preparato su maistu. Stebint vaistinio preparato koncentraciją kraujo plazmoje bent 24 valandas, nustatyta, kad pusinės eliminacijos laikas yra 5,6-14,8 val., koncentracija tampa didžiausia pavartojus vaistinio preparato būna po 1,5-2 val. </w:t>
      </w:r>
    </w:p>
    <w:p w14:paraId="43BB93D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E247F59"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Pasiskirstymas</w:t>
      </w:r>
    </w:p>
    <w:p w14:paraId="293628B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Tiazidai plačiai pasiskirsto organizmo skysčiuose ir ekstensyviai susijungia su kraujo plazmos baltymais (92 %), ypač albuminu; stipriausiai susijungia pakitusios molekulės. Dėl to inkstų klirensas mažesnis palyginti su pradine medžiaga ir veikimo trukmė ilgesnė. Ryšio tarp hidrochlorotiazido koncentracijos kraujo plazmoje ir kraujospūdžio sumažėjimo intensyvumo nenustatyta.</w:t>
      </w:r>
    </w:p>
    <w:p w14:paraId="1DC3B9F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8C2CE69" w14:textId="77777777" w:rsidR="00ED57CD" w:rsidRPr="00ED57CD" w:rsidRDefault="00ED57CD" w:rsidP="00ED57CD">
      <w:pPr>
        <w:tabs>
          <w:tab w:val="left" w:pos="567"/>
        </w:tabs>
        <w:spacing w:after="0" w:line="240" w:lineRule="auto"/>
        <w:rPr>
          <w:rFonts w:ascii="Times New Roman" w:eastAsia="SimSun" w:hAnsi="Times New Roman"/>
          <w:i/>
          <w:u w:val="single"/>
          <w:lang w:eastAsia="zh-CN"/>
        </w:rPr>
      </w:pPr>
      <w:r w:rsidRPr="00ED57CD">
        <w:rPr>
          <w:rFonts w:ascii="Times New Roman" w:eastAsia="SimSun" w:hAnsi="Times New Roman"/>
          <w:i/>
          <w:u w:val="single"/>
          <w:lang w:eastAsia="zh-CN"/>
        </w:rPr>
        <w:t>Eliminacija</w:t>
      </w:r>
    </w:p>
    <w:p w14:paraId="6475987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Didžiausia hidrochlorotiazido dalis iš organizmo išsiskiria pro inkstus. Dauguma tiazidų išsiskiria su šlapimu nepakitę, daugiau kaip 95 % suvartotos hidrochlorotiazido dozės išsiskiria nepakitusio vaistinio preparato pavidalu per 3-6 valandas. Sergančių inkstų ligomis pacientų kraujo plazmoje hidrochlorotiazido koncentracija yra didesnė ir pusinės eliminacijos laikas ilgesnis. Hidrochlorotiazidas prasiskverbia pro placentos barjerą, bet neprasiskverbia pro hematoencefalinį barjerą.</w:t>
      </w:r>
    </w:p>
    <w:p w14:paraId="0E67E77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27F4A8" w14:textId="77777777" w:rsidR="00ED57CD" w:rsidRPr="00ED57CD" w:rsidRDefault="00ED57CD" w:rsidP="00ED57CD">
      <w:pPr>
        <w:tabs>
          <w:tab w:val="left" w:pos="567"/>
          <w:tab w:val="left" w:pos="709"/>
        </w:tabs>
        <w:spacing w:after="0" w:line="240" w:lineRule="auto"/>
        <w:rPr>
          <w:rFonts w:ascii="Times New Roman" w:eastAsia="SimSun" w:hAnsi="Times New Roman"/>
          <w:b/>
          <w:lang w:eastAsia="zh-CN"/>
        </w:rPr>
      </w:pPr>
      <w:bookmarkStart w:id="33" w:name="_Toc129243114"/>
      <w:bookmarkStart w:id="34" w:name="_Toc129243239"/>
      <w:r w:rsidRPr="00ED57CD">
        <w:rPr>
          <w:rFonts w:ascii="Times New Roman" w:eastAsia="SimSun" w:hAnsi="Times New Roman"/>
          <w:b/>
          <w:lang w:eastAsia="zh-CN"/>
        </w:rPr>
        <w:t>5.3</w:t>
      </w:r>
      <w:r w:rsidRPr="00ED57CD">
        <w:rPr>
          <w:rFonts w:ascii="Times New Roman" w:eastAsia="SimSun" w:hAnsi="Times New Roman"/>
          <w:b/>
          <w:lang w:eastAsia="zh-CN"/>
        </w:rPr>
        <w:tab/>
        <w:t>Ikiklinikinių saugumo tyrimų duomenys</w:t>
      </w:r>
      <w:bookmarkEnd w:id="33"/>
      <w:bookmarkEnd w:id="34"/>
    </w:p>
    <w:p w14:paraId="6EE1B9D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4A3E4D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Įprastų farmakologinio saugumo, kartotinių dozių toksiškumo, genotoksiškumo ikiklinikinių tyrimų duomenys fiksuoto zofenoprilio ir hidrochlorotiazido derinio specifinio pavojaus žmogui nerodo.</w:t>
      </w:r>
    </w:p>
    <w:p w14:paraId="7E8E133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Derinio toksinis poveikis reprodukcijai tirtas su žiurkėmis ir triušiais, teratogeninio poveikio nenustatyta. Tačiau tiriant vaisingas žiurkių ir triušių pateles nustatyta, kad derinys reikšmingai padidina zofenoprilio toksinį poveikį patelėms.</w:t>
      </w:r>
    </w:p>
    <w:p w14:paraId="2B85324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Zofenoprilio ir hidrochlorotiazido kancerogeniškumo tyrimai neatlikti.</w:t>
      </w:r>
    </w:p>
    <w:p w14:paraId="2FE59D7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Zofenoprilio kancerogeniškumo tyrimai su pelėmis ir žiurkėmis tokio poveikio nenustatė.</w:t>
      </w:r>
    </w:p>
    <w:p w14:paraId="16D78EE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Įprastų farmakologinio saugumo, kartotinių dozių toksiškumo, genotoksiškumo ir karcinogeniškumo ikiklinikinių tyrimų duomenys hidrochlorotiazido specifinio pavojaus žmogui nerodo.</w:t>
      </w:r>
    </w:p>
    <w:p w14:paraId="6691896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852418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6A91949"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35" w:name="_Toc129243115"/>
      <w:bookmarkStart w:id="36" w:name="_Toc129243240"/>
      <w:r w:rsidRPr="00ED57CD">
        <w:rPr>
          <w:rFonts w:ascii="Times New Roman" w:eastAsia="SimSun" w:hAnsi="Times New Roman"/>
          <w:b/>
          <w:lang w:eastAsia="zh-CN"/>
        </w:rPr>
        <w:t>6.</w:t>
      </w:r>
      <w:r w:rsidRPr="00ED57CD">
        <w:rPr>
          <w:rFonts w:ascii="Times New Roman" w:eastAsia="SimSun" w:hAnsi="Times New Roman"/>
          <w:b/>
          <w:lang w:eastAsia="zh-CN"/>
        </w:rPr>
        <w:tab/>
        <w:t>FARMACINĖ INFORMACIJA</w:t>
      </w:r>
      <w:bookmarkEnd w:id="35"/>
      <w:bookmarkEnd w:id="36"/>
    </w:p>
    <w:p w14:paraId="203BCA62"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30CFC24E" w14:textId="77777777" w:rsidR="00ED57CD" w:rsidRPr="00ED57CD" w:rsidRDefault="00ED57CD" w:rsidP="00ED57CD">
      <w:pPr>
        <w:tabs>
          <w:tab w:val="left" w:pos="567"/>
          <w:tab w:val="left" w:pos="709"/>
        </w:tabs>
        <w:spacing w:after="0" w:line="240" w:lineRule="auto"/>
        <w:rPr>
          <w:rFonts w:ascii="Times New Roman" w:eastAsia="SimSun" w:hAnsi="Times New Roman"/>
          <w:b/>
          <w:lang w:eastAsia="zh-CN"/>
        </w:rPr>
      </w:pPr>
      <w:bookmarkStart w:id="37" w:name="_Toc129243116"/>
      <w:bookmarkStart w:id="38" w:name="_Toc129243241"/>
      <w:r w:rsidRPr="00ED57CD">
        <w:rPr>
          <w:rFonts w:ascii="Times New Roman" w:eastAsia="SimSun" w:hAnsi="Times New Roman"/>
          <w:b/>
          <w:lang w:eastAsia="zh-CN"/>
        </w:rPr>
        <w:t>6.1</w:t>
      </w:r>
      <w:r w:rsidRPr="00ED57CD">
        <w:rPr>
          <w:rFonts w:ascii="Times New Roman" w:eastAsia="SimSun" w:hAnsi="Times New Roman"/>
          <w:b/>
          <w:lang w:eastAsia="zh-CN"/>
        </w:rPr>
        <w:tab/>
        <w:t>Pagalbinių medžiagų sąrašas</w:t>
      </w:r>
      <w:bookmarkEnd w:id="37"/>
      <w:bookmarkEnd w:id="38"/>
    </w:p>
    <w:p w14:paraId="2D5E06B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B34BFA0"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Tabletės šerdis:</w:t>
      </w:r>
    </w:p>
    <w:p w14:paraId="01A81D7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Mikrokristalinė celiuliozė</w:t>
      </w:r>
    </w:p>
    <w:p w14:paraId="29801F6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Laktozė monohidratas</w:t>
      </w:r>
    </w:p>
    <w:p w14:paraId="33406CF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Pregelifikuotas kukurūzų krakmolas</w:t>
      </w:r>
    </w:p>
    <w:p w14:paraId="49A1CCF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Kroskarmeliozės natrio druska</w:t>
      </w:r>
    </w:p>
    <w:p w14:paraId="5F41C20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Koloidinis bevandenis silicio dioksidas</w:t>
      </w:r>
    </w:p>
    <w:p w14:paraId="78BDDDB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Magnio stearatas</w:t>
      </w:r>
    </w:p>
    <w:p w14:paraId="26F068E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FF596F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Tabletės plėvelė:</w:t>
      </w:r>
    </w:p>
    <w:p w14:paraId="3BADB09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i/>
          <w:lang w:eastAsia="zh-CN"/>
        </w:rPr>
        <w:t>Opadry II Orange,</w:t>
      </w:r>
      <w:r w:rsidRPr="00ED57CD">
        <w:rPr>
          <w:rFonts w:ascii="Times New Roman" w:eastAsia="SimSun" w:hAnsi="Times New Roman"/>
          <w:lang w:eastAsia="zh-CN"/>
        </w:rPr>
        <w:t xml:space="preserve"> kurio sudėtyje yra:</w:t>
      </w:r>
    </w:p>
    <w:p w14:paraId="115D4F1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Polivinilo alkoholis</w:t>
      </w:r>
    </w:p>
    <w:p w14:paraId="43AF762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Titano dioksidas (E171)</w:t>
      </w:r>
    </w:p>
    <w:p w14:paraId="3D547F6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Makrogolis 4000</w:t>
      </w:r>
    </w:p>
    <w:p w14:paraId="6DA74B1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Talkas</w:t>
      </w:r>
    </w:p>
    <w:p w14:paraId="45F944B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Saulėlydžio geltonasis FCF (E110)</w:t>
      </w:r>
    </w:p>
    <w:p w14:paraId="06CE0EB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Raudonasis geležies oksidas (E172)</w:t>
      </w:r>
    </w:p>
    <w:p w14:paraId="2A16CA4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75B2384" w14:textId="77777777" w:rsidR="00ED57CD" w:rsidRPr="00ED57CD" w:rsidRDefault="00ED57CD" w:rsidP="00ED57CD">
      <w:pPr>
        <w:tabs>
          <w:tab w:val="left" w:pos="567"/>
          <w:tab w:val="left" w:pos="709"/>
        </w:tabs>
        <w:spacing w:after="0" w:line="240" w:lineRule="auto"/>
        <w:rPr>
          <w:rFonts w:ascii="Times New Roman" w:eastAsia="SimSun" w:hAnsi="Times New Roman"/>
          <w:b/>
          <w:lang w:eastAsia="zh-CN"/>
        </w:rPr>
      </w:pPr>
      <w:bookmarkStart w:id="39" w:name="_Toc129243117"/>
      <w:bookmarkStart w:id="40" w:name="_Toc129243242"/>
      <w:r w:rsidRPr="00ED57CD">
        <w:rPr>
          <w:rFonts w:ascii="Times New Roman" w:eastAsia="SimSun" w:hAnsi="Times New Roman"/>
          <w:b/>
          <w:lang w:eastAsia="zh-CN"/>
        </w:rPr>
        <w:t>6.2</w:t>
      </w:r>
      <w:r w:rsidRPr="00ED57CD">
        <w:rPr>
          <w:rFonts w:ascii="Times New Roman" w:eastAsia="SimSun" w:hAnsi="Times New Roman"/>
          <w:b/>
          <w:lang w:eastAsia="zh-CN"/>
        </w:rPr>
        <w:tab/>
        <w:t>Nesuderinamumas</w:t>
      </w:r>
      <w:bookmarkEnd w:id="39"/>
      <w:bookmarkEnd w:id="40"/>
    </w:p>
    <w:p w14:paraId="0E6E665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C597E0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Duomenys nebūtini.</w:t>
      </w:r>
    </w:p>
    <w:p w14:paraId="5044017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BF94444" w14:textId="77777777" w:rsidR="00ED57CD" w:rsidRPr="00ED57CD" w:rsidRDefault="00ED57CD" w:rsidP="00ED57CD">
      <w:pPr>
        <w:tabs>
          <w:tab w:val="left" w:pos="567"/>
          <w:tab w:val="left" w:pos="709"/>
        </w:tabs>
        <w:spacing w:after="0" w:line="240" w:lineRule="auto"/>
        <w:rPr>
          <w:rFonts w:ascii="Times New Roman" w:eastAsia="SimSun" w:hAnsi="Times New Roman"/>
          <w:b/>
          <w:lang w:eastAsia="zh-CN"/>
        </w:rPr>
      </w:pPr>
      <w:bookmarkStart w:id="41" w:name="_Toc129243118"/>
      <w:bookmarkStart w:id="42" w:name="_Toc129243243"/>
      <w:r w:rsidRPr="00ED57CD">
        <w:rPr>
          <w:rFonts w:ascii="Times New Roman" w:eastAsia="SimSun" w:hAnsi="Times New Roman"/>
          <w:b/>
          <w:lang w:eastAsia="zh-CN"/>
        </w:rPr>
        <w:t>6.3</w:t>
      </w:r>
      <w:r w:rsidRPr="00ED57CD">
        <w:rPr>
          <w:rFonts w:ascii="Times New Roman" w:eastAsia="SimSun" w:hAnsi="Times New Roman"/>
          <w:b/>
          <w:lang w:eastAsia="zh-CN"/>
        </w:rPr>
        <w:tab/>
        <w:t>Tinkamumo laikas</w:t>
      </w:r>
      <w:bookmarkEnd w:id="41"/>
      <w:bookmarkEnd w:id="42"/>
    </w:p>
    <w:p w14:paraId="04BCBF3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8008B0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3 metai.</w:t>
      </w:r>
    </w:p>
    <w:p w14:paraId="27E1800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0F95E25"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43" w:name="_Toc129243119"/>
      <w:bookmarkStart w:id="44" w:name="_Toc129243244"/>
      <w:r w:rsidRPr="00ED57CD">
        <w:rPr>
          <w:rFonts w:ascii="Times New Roman" w:eastAsia="SimSun" w:hAnsi="Times New Roman"/>
          <w:b/>
          <w:lang w:eastAsia="zh-CN"/>
        </w:rPr>
        <w:t>6.4</w:t>
      </w:r>
      <w:r w:rsidRPr="00ED57CD">
        <w:rPr>
          <w:rFonts w:ascii="Times New Roman" w:eastAsia="SimSun" w:hAnsi="Times New Roman"/>
          <w:b/>
          <w:lang w:eastAsia="zh-CN"/>
        </w:rPr>
        <w:tab/>
        <w:t>Specialios laikymo sąlygos</w:t>
      </w:r>
      <w:bookmarkEnd w:id="43"/>
      <w:bookmarkEnd w:id="44"/>
    </w:p>
    <w:p w14:paraId="499D5D8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518C9D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Šiam vaistiniam preparatui specialių laikymo sąlygų nereikia.</w:t>
      </w:r>
    </w:p>
    <w:p w14:paraId="1304553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845C81E" w14:textId="77777777" w:rsidR="00ED57CD" w:rsidRPr="00ED57CD" w:rsidRDefault="00ED57CD" w:rsidP="00ED57CD">
      <w:pPr>
        <w:keepNext/>
        <w:keepLines/>
        <w:tabs>
          <w:tab w:val="left" w:pos="567"/>
        </w:tabs>
        <w:spacing w:after="0" w:line="240" w:lineRule="auto"/>
        <w:ind w:left="567" w:hanging="567"/>
        <w:outlineLvl w:val="2"/>
        <w:rPr>
          <w:rFonts w:ascii="Times New Roman" w:eastAsia="SimSun" w:hAnsi="Times New Roman"/>
          <w:b/>
          <w:kern w:val="28"/>
          <w:lang w:eastAsia="zh-CN"/>
        </w:rPr>
      </w:pPr>
      <w:bookmarkStart w:id="45" w:name="_Toc129243120"/>
      <w:bookmarkStart w:id="46" w:name="_Toc129243245"/>
      <w:r w:rsidRPr="00ED57CD">
        <w:rPr>
          <w:rFonts w:ascii="Times New Roman" w:eastAsia="SimSun" w:hAnsi="Times New Roman"/>
          <w:b/>
          <w:kern w:val="28"/>
          <w:lang w:eastAsia="zh-CN"/>
        </w:rPr>
        <w:t>6.5</w:t>
      </w:r>
      <w:r w:rsidRPr="00ED57CD">
        <w:rPr>
          <w:rFonts w:ascii="Times New Roman" w:eastAsia="SimSun" w:hAnsi="Times New Roman"/>
          <w:b/>
          <w:kern w:val="28"/>
          <w:lang w:eastAsia="zh-CN"/>
        </w:rPr>
        <w:tab/>
        <w:t>Talpyklės pobūdis ir jos turinys</w:t>
      </w:r>
      <w:bookmarkEnd w:id="45"/>
      <w:bookmarkEnd w:id="46"/>
    </w:p>
    <w:p w14:paraId="181AF60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D5D16D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Lizdinė plokštelė, pagaminta iš PVDC/PVC plėvelės ir aliuminio folijos.</w:t>
      </w:r>
    </w:p>
    <w:p w14:paraId="574183E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Kartono dėžutėje yra 28 plėvele dengtos tabletės. </w:t>
      </w:r>
    </w:p>
    <w:p w14:paraId="076E1A4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5F3A63C"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47" w:name="_Toc129243121"/>
      <w:bookmarkStart w:id="48" w:name="_Toc129243246"/>
      <w:r w:rsidRPr="00ED57CD">
        <w:rPr>
          <w:rFonts w:ascii="Times New Roman" w:eastAsia="SimSun" w:hAnsi="Times New Roman"/>
          <w:b/>
          <w:lang w:eastAsia="zh-CN"/>
        </w:rPr>
        <w:t>6.6</w:t>
      </w:r>
      <w:r w:rsidRPr="00ED57CD">
        <w:rPr>
          <w:rFonts w:ascii="Times New Roman" w:eastAsia="SimSun" w:hAnsi="Times New Roman"/>
          <w:b/>
          <w:lang w:eastAsia="zh-CN"/>
        </w:rPr>
        <w:tab/>
        <w:t>Specialūs reikalavimai atliekoms tvarkyti</w:t>
      </w:r>
      <w:bookmarkEnd w:id="47"/>
      <w:bookmarkEnd w:id="48"/>
    </w:p>
    <w:p w14:paraId="0F3D105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4A9549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Specialių reikalavimų nėra.</w:t>
      </w:r>
    </w:p>
    <w:p w14:paraId="5F1FF7E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876563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D5B0FB"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49" w:name="_Toc129243122"/>
      <w:bookmarkStart w:id="50" w:name="_Toc129243247"/>
      <w:r w:rsidRPr="00ED57CD">
        <w:rPr>
          <w:rFonts w:ascii="Times New Roman" w:eastAsia="SimSun" w:hAnsi="Times New Roman"/>
          <w:b/>
          <w:lang w:eastAsia="zh-CN"/>
        </w:rPr>
        <w:t>7.</w:t>
      </w:r>
      <w:r w:rsidRPr="00ED57CD">
        <w:rPr>
          <w:rFonts w:ascii="Times New Roman" w:eastAsia="SimSun" w:hAnsi="Times New Roman"/>
          <w:b/>
          <w:lang w:eastAsia="zh-CN"/>
        </w:rPr>
        <w:tab/>
        <w:t>REGISTRUOTOJAS</w:t>
      </w:r>
      <w:bookmarkEnd w:id="49"/>
      <w:bookmarkEnd w:id="50"/>
    </w:p>
    <w:p w14:paraId="06F3477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E09F94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SIA Ingen Pharma</w:t>
      </w:r>
    </w:p>
    <w:p w14:paraId="1FADBA9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 Ulmaņa gatve 119</w:t>
      </w:r>
    </w:p>
    <w:p w14:paraId="66DD095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LV-2167 Mārupe, Rīga</w:t>
      </w:r>
    </w:p>
    <w:p w14:paraId="48BCA64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Latvija</w:t>
      </w:r>
    </w:p>
    <w:p w14:paraId="0842B5F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24AF6CF"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51" w:name="_Toc129243123"/>
      <w:bookmarkStart w:id="52" w:name="_Toc129243248"/>
      <w:r w:rsidRPr="00ED57CD">
        <w:rPr>
          <w:rFonts w:ascii="Times New Roman" w:eastAsia="SimSun" w:hAnsi="Times New Roman"/>
          <w:b/>
          <w:lang w:eastAsia="zh-CN"/>
        </w:rPr>
        <w:t>8.</w:t>
      </w:r>
      <w:r w:rsidRPr="00ED57CD">
        <w:rPr>
          <w:rFonts w:ascii="Times New Roman" w:eastAsia="SimSun" w:hAnsi="Times New Roman"/>
          <w:b/>
          <w:lang w:eastAsia="zh-CN"/>
        </w:rPr>
        <w:tab/>
        <w:t>REGISTRACIJOS PAŽYMĖJIMO NUMER</w:t>
      </w:r>
      <w:bookmarkEnd w:id="51"/>
      <w:bookmarkEnd w:id="52"/>
      <w:r w:rsidRPr="00ED57CD">
        <w:rPr>
          <w:rFonts w:ascii="Times New Roman" w:eastAsia="SimSun" w:hAnsi="Times New Roman"/>
          <w:b/>
          <w:lang w:eastAsia="zh-CN"/>
        </w:rPr>
        <w:t>IS (-IAI)</w:t>
      </w:r>
    </w:p>
    <w:p w14:paraId="10EB1A4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65BB651" w14:textId="77777777" w:rsidR="00ED57CD" w:rsidRPr="00ED57CD" w:rsidRDefault="00ED57CD" w:rsidP="00ED57CD">
      <w:pPr>
        <w:tabs>
          <w:tab w:val="left" w:pos="1296"/>
        </w:tabs>
        <w:snapToGrid w:val="0"/>
        <w:spacing w:after="0" w:line="240" w:lineRule="auto"/>
        <w:rPr>
          <w:rFonts w:ascii="Times New Roman" w:eastAsia="Times New Roman" w:hAnsi="Times New Roman"/>
        </w:rPr>
      </w:pPr>
      <w:r w:rsidRPr="00ED57CD">
        <w:rPr>
          <w:rFonts w:ascii="Times New Roman" w:eastAsia="Times New Roman" w:hAnsi="Times New Roman"/>
        </w:rPr>
        <w:t>LT/1/16/3932/001</w:t>
      </w:r>
    </w:p>
    <w:p w14:paraId="276E057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2D4570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71ACB14"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53" w:name="_Toc129243124"/>
      <w:bookmarkStart w:id="54" w:name="_Toc129243249"/>
      <w:r w:rsidRPr="00ED57CD">
        <w:rPr>
          <w:rFonts w:ascii="Times New Roman" w:eastAsia="SimSun" w:hAnsi="Times New Roman"/>
          <w:b/>
          <w:lang w:eastAsia="zh-CN"/>
        </w:rPr>
        <w:t>9.</w:t>
      </w:r>
      <w:r w:rsidRPr="00ED57CD">
        <w:rPr>
          <w:rFonts w:ascii="Times New Roman" w:eastAsia="SimSun" w:hAnsi="Times New Roman"/>
          <w:b/>
          <w:lang w:eastAsia="zh-CN"/>
        </w:rPr>
        <w:tab/>
        <w:t>REGISTRAVIMO / PERREGISTRAVIMO DATA</w:t>
      </w:r>
      <w:bookmarkEnd w:id="53"/>
      <w:bookmarkEnd w:id="54"/>
    </w:p>
    <w:p w14:paraId="09EDB8E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FDC1CD5" w14:textId="77777777" w:rsidR="00ED57CD" w:rsidRPr="00ED57CD" w:rsidRDefault="00ED57CD" w:rsidP="00ED57CD">
      <w:pPr>
        <w:tabs>
          <w:tab w:val="left" w:pos="1296"/>
        </w:tabs>
        <w:snapToGrid w:val="0"/>
        <w:spacing w:after="0" w:line="240" w:lineRule="auto"/>
        <w:rPr>
          <w:rFonts w:ascii="Times New Roman" w:eastAsia="Times New Roman" w:hAnsi="Times New Roman"/>
        </w:rPr>
      </w:pPr>
      <w:r w:rsidRPr="00ED57CD">
        <w:rPr>
          <w:rFonts w:ascii="Times New Roman" w:eastAsia="Times New Roman" w:hAnsi="Times New Roman"/>
        </w:rPr>
        <w:t>Registravimo data 2016 m. birželio 17 d.</w:t>
      </w:r>
    </w:p>
    <w:p w14:paraId="3A4B152F" w14:textId="7FF0F4E0" w:rsidR="00ED57CD" w:rsidRPr="00ED57CD" w:rsidRDefault="00ED57CD" w:rsidP="00ED57CD">
      <w:pPr>
        <w:tabs>
          <w:tab w:val="left" w:pos="1296"/>
        </w:tabs>
        <w:snapToGrid w:val="0"/>
        <w:spacing w:after="0" w:line="240" w:lineRule="auto"/>
        <w:rPr>
          <w:rFonts w:ascii="Times New Roman" w:eastAsia="Times New Roman" w:hAnsi="Times New Roman"/>
        </w:rPr>
      </w:pPr>
      <w:r w:rsidRPr="00ED57CD">
        <w:rPr>
          <w:rFonts w:ascii="Times New Roman" w:eastAsia="Times New Roman" w:hAnsi="Times New Roman"/>
        </w:rPr>
        <w:t>Paskutinio perregistravimo data</w:t>
      </w:r>
      <w:r w:rsidR="00480AFA">
        <w:rPr>
          <w:rFonts w:ascii="Times New Roman" w:eastAsia="Times New Roman" w:hAnsi="Times New Roman"/>
        </w:rPr>
        <w:t xml:space="preserve"> 2021 m. vasario18 d.</w:t>
      </w:r>
    </w:p>
    <w:p w14:paraId="6D78850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93B53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9C7D11"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55" w:name="_Toc129243125"/>
      <w:bookmarkStart w:id="56" w:name="_Toc129243250"/>
      <w:r w:rsidRPr="00ED57CD">
        <w:rPr>
          <w:rFonts w:ascii="Times New Roman" w:eastAsia="SimSun" w:hAnsi="Times New Roman"/>
          <w:b/>
          <w:lang w:eastAsia="zh-CN"/>
        </w:rPr>
        <w:t>10.</w:t>
      </w:r>
      <w:r w:rsidRPr="00ED57CD">
        <w:rPr>
          <w:rFonts w:ascii="Times New Roman" w:eastAsia="SimSun" w:hAnsi="Times New Roman"/>
          <w:b/>
          <w:lang w:eastAsia="zh-CN"/>
        </w:rPr>
        <w:tab/>
        <w:t>TEKSTO PERŽIŪROS DATA</w:t>
      </w:r>
      <w:bookmarkEnd w:id="55"/>
      <w:bookmarkEnd w:id="56"/>
    </w:p>
    <w:p w14:paraId="5276A67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921442A" w14:textId="642BA62E" w:rsidR="00ED57CD" w:rsidRDefault="00645B88" w:rsidP="00ED57CD">
      <w:pPr>
        <w:tabs>
          <w:tab w:val="left" w:pos="0"/>
        </w:tabs>
        <w:spacing w:after="0" w:line="240" w:lineRule="auto"/>
        <w:rPr>
          <w:rFonts w:ascii="Times New Roman" w:eastAsia="Times New Roman" w:hAnsi="Times New Roman"/>
        </w:rPr>
      </w:pPr>
      <w:r>
        <w:rPr>
          <w:rFonts w:ascii="Times New Roman" w:eastAsia="Times New Roman" w:hAnsi="Times New Roman"/>
        </w:rPr>
        <w:t xml:space="preserve">2024 m. gruodžio 13 d. </w:t>
      </w:r>
    </w:p>
    <w:p w14:paraId="4D01BD99" w14:textId="77777777" w:rsidR="00645B88" w:rsidRPr="00ED57CD" w:rsidRDefault="00645B88" w:rsidP="00ED57CD">
      <w:pPr>
        <w:tabs>
          <w:tab w:val="left" w:pos="0"/>
        </w:tabs>
        <w:spacing w:after="0" w:line="240" w:lineRule="auto"/>
        <w:rPr>
          <w:rFonts w:ascii="Times New Roman" w:eastAsia="SimSun" w:hAnsi="Times New Roman"/>
          <w:lang w:eastAsia="zh-CN"/>
        </w:rPr>
      </w:pPr>
    </w:p>
    <w:p w14:paraId="1C40E8FC" w14:textId="79932B58" w:rsidR="00ED57CD" w:rsidRPr="00B93176" w:rsidRDefault="00ED57CD" w:rsidP="00ED57CD">
      <w:pPr>
        <w:tabs>
          <w:tab w:val="left" w:pos="0"/>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Išsami informacija apie šį vaistinį preparatą pateikiama Valstybinės vaistų kontrolės tarnybos prie Lietuvos Respublikos  sveikatos apsaugos ministerijos </w:t>
      </w:r>
      <w:r w:rsidRPr="00B93176">
        <w:rPr>
          <w:rFonts w:ascii="Times New Roman" w:eastAsia="SimSun" w:hAnsi="Times New Roman"/>
          <w:lang w:eastAsia="zh-CN"/>
        </w:rPr>
        <w:t>tinklalapyje</w:t>
      </w:r>
      <w:r w:rsidRPr="00B93176">
        <w:rPr>
          <w:rFonts w:ascii="Times New Roman" w:eastAsia="SimSun" w:hAnsi="Times New Roman"/>
          <w:i/>
          <w:lang w:eastAsia="zh-CN"/>
        </w:rPr>
        <w:t xml:space="preserve"> </w:t>
      </w:r>
      <w:r w:rsidR="00B93176" w:rsidRPr="00D93E01">
        <w:rPr>
          <w:rFonts w:ascii="Times New Roman" w:hAnsi="Times New Roman"/>
          <w:color w:val="0000EE"/>
          <w:u w:val="single"/>
          <w:lang w:eastAsia="lt-LT"/>
        </w:rPr>
        <w:t>https://vvkt.lrv.lt/lt.</w:t>
      </w:r>
    </w:p>
    <w:p w14:paraId="0136CA57" w14:textId="77777777" w:rsidR="00ED57CD" w:rsidRPr="00ED57CD" w:rsidRDefault="00ED57CD" w:rsidP="00ED57CD">
      <w:pPr>
        <w:tabs>
          <w:tab w:val="left" w:pos="5954"/>
          <w:tab w:val="left" w:pos="6237"/>
          <w:tab w:val="left" w:pos="6663"/>
          <w:tab w:val="left" w:pos="6946"/>
        </w:tabs>
        <w:spacing w:after="0" w:line="240" w:lineRule="auto"/>
        <w:ind w:left="5103"/>
        <w:rPr>
          <w:rFonts w:ascii="Times New Roman" w:eastAsia="SimSun" w:hAnsi="Times New Roman"/>
        </w:rPr>
      </w:pPr>
      <w:r w:rsidRPr="00ED57CD">
        <w:rPr>
          <w:rFonts w:ascii="Times New Roman" w:eastAsia="SimSun" w:hAnsi="Times New Roman"/>
        </w:rPr>
        <w:br w:type="page"/>
      </w:r>
    </w:p>
    <w:p w14:paraId="2DFD275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3DA6C1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D7100D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339F18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F29A95" w14:textId="77777777" w:rsidR="00ED57CD" w:rsidRPr="00ED57CD" w:rsidRDefault="00ED57CD" w:rsidP="00ED57CD">
      <w:pPr>
        <w:tabs>
          <w:tab w:val="left" w:pos="567"/>
        </w:tabs>
        <w:spacing w:after="0" w:line="240" w:lineRule="auto"/>
        <w:ind w:left="1701" w:firstLine="993"/>
        <w:rPr>
          <w:rFonts w:ascii="Times New Roman" w:eastAsia="SimSun" w:hAnsi="Times New Roman"/>
          <w:lang w:eastAsia="zh-CN"/>
        </w:rPr>
      </w:pPr>
    </w:p>
    <w:p w14:paraId="5621333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2B7148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49B84C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D421BF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C38944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19C1EE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D5AAB4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A6AC74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D6C810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69EE24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85AA2F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82BB9C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82B00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0A8DBB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9027C2F"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II PRIEDAS</w:t>
      </w:r>
    </w:p>
    <w:p w14:paraId="2F62FC74" w14:textId="77777777" w:rsidR="00ED57CD" w:rsidRPr="00ED57CD" w:rsidRDefault="00ED57CD" w:rsidP="00ED57CD">
      <w:pPr>
        <w:tabs>
          <w:tab w:val="left" w:pos="567"/>
        </w:tabs>
        <w:spacing w:after="0" w:line="240" w:lineRule="auto"/>
        <w:rPr>
          <w:rFonts w:ascii="Times New Roman" w:eastAsia="SimSun" w:hAnsi="Times New Roman"/>
          <w:b/>
          <w:i/>
          <w:lang w:eastAsia="zh-CN"/>
        </w:rPr>
      </w:pPr>
    </w:p>
    <w:p w14:paraId="037BBEC4" w14:textId="77777777" w:rsidR="00ED57CD" w:rsidRPr="00ED57CD" w:rsidRDefault="00ED57CD" w:rsidP="00ED57CD">
      <w:pPr>
        <w:tabs>
          <w:tab w:val="left" w:pos="567"/>
        </w:tabs>
        <w:spacing w:after="0" w:line="240" w:lineRule="auto"/>
        <w:jc w:val="center"/>
        <w:rPr>
          <w:rFonts w:ascii="Times New Roman" w:eastAsia="SimSun" w:hAnsi="Times New Roman"/>
          <w:i/>
          <w:lang w:eastAsia="zh-CN"/>
        </w:rPr>
      </w:pPr>
      <w:r w:rsidRPr="00ED57CD">
        <w:rPr>
          <w:rFonts w:ascii="Times New Roman" w:eastAsia="SimSun" w:hAnsi="Times New Roman"/>
          <w:b/>
        </w:rPr>
        <w:t>REGISTRACIJOS SĄLYGOS</w:t>
      </w:r>
    </w:p>
    <w:p w14:paraId="3D5229C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18FF66" w14:textId="77777777" w:rsidR="00ED57CD" w:rsidRPr="00ED57CD" w:rsidRDefault="00ED57CD" w:rsidP="00ED57CD">
      <w:pPr>
        <w:tabs>
          <w:tab w:val="left" w:pos="567"/>
        </w:tabs>
        <w:spacing w:after="0" w:line="240" w:lineRule="auto"/>
        <w:ind w:left="1701" w:right="1416" w:hanging="708"/>
        <w:rPr>
          <w:rFonts w:ascii="Times New Roman" w:eastAsia="SimSun" w:hAnsi="Times New Roman"/>
          <w:b/>
          <w:lang w:eastAsia="zh-CN"/>
        </w:rPr>
      </w:pPr>
      <w:r w:rsidRPr="00ED57CD">
        <w:rPr>
          <w:rFonts w:ascii="Times New Roman" w:eastAsia="SimSun" w:hAnsi="Times New Roman"/>
          <w:b/>
          <w:lang w:eastAsia="zh-CN"/>
        </w:rPr>
        <w:t>A.</w:t>
      </w:r>
      <w:r w:rsidRPr="00ED57CD">
        <w:rPr>
          <w:rFonts w:ascii="Times New Roman" w:eastAsia="SimSun" w:hAnsi="Times New Roman"/>
          <w:b/>
          <w:lang w:eastAsia="zh-CN"/>
        </w:rPr>
        <w:tab/>
        <w:t>GAMINTOJAS (-AI), ATSAKINGAS (-I) UŽ SERIJŲ IŠLEIDIMĄ</w:t>
      </w:r>
    </w:p>
    <w:p w14:paraId="1E0AB29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B71153B" w14:textId="77777777" w:rsidR="00ED57CD" w:rsidRPr="00ED57CD" w:rsidRDefault="00ED57CD" w:rsidP="00ED57CD">
      <w:pPr>
        <w:suppressLineNumbers/>
        <w:tabs>
          <w:tab w:val="left" w:pos="567"/>
        </w:tabs>
        <w:spacing w:after="0" w:line="240" w:lineRule="auto"/>
        <w:ind w:left="1701" w:right="1416" w:hanging="708"/>
        <w:rPr>
          <w:rFonts w:ascii="Times New Roman" w:eastAsia="SimSun" w:hAnsi="Times New Roman"/>
          <w:lang w:eastAsia="zh-CN"/>
        </w:rPr>
      </w:pPr>
      <w:r w:rsidRPr="00ED57CD">
        <w:rPr>
          <w:rFonts w:ascii="Times New Roman" w:eastAsia="SimSun" w:hAnsi="Times New Roman"/>
          <w:b/>
          <w:lang w:eastAsia="zh-CN"/>
        </w:rPr>
        <w:t>B.</w:t>
      </w:r>
      <w:r w:rsidRPr="00ED57CD">
        <w:rPr>
          <w:rFonts w:ascii="Times New Roman" w:eastAsia="SimSun" w:hAnsi="Times New Roman"/>
          <w:b/>
          <w:lang w:eastAsia="zh-CN"/>
        </w:rPr>
        <w:tab/>
        <w:t>TIEKIMO IR VARTOJIMO SĄLYGOS AR APRIBOJIMAI</w:t>
      </w:r>
    </w:p>
    <w:p w14:paraId="5C4846E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BD42CC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5C5F47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63FE82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br w:type="page"/>
      </w:r>
      <w:r w:rsidRPr="00ED57CD">
        <w:rPr>
          <w:rFonts w:ascii="Times New Roman" w:eastAsia="SimSun" w:hAnsi="Times New Roman"/>
          <w:b/>
          <w:lang w:eastAsia="zh-CN"/>
        </w:rPr>
        <w:lastRenderedPageBreak/>
        <w:t>A.</w:t>
      </w:r>
      <w:r w:rsidRPr="00ED57CD">
        <w:rPr>
          <w:rFonts w:ascii="Times New Roman" w:eastAsia="SimSun" w:hAnsi="Times New Roman"/>
          <w:b/>
          <w:lang w:eastAsia="zh-CN"/>
        </w:rPr>
        <w:tab/>
        <w:t>GAMINTOJAS (-AI), ATSAKINGAS (-I) UŽ SERIJŲ IŠLEIDIMĄ</w:t>
      </w:r>
    </w:p>
    <w:p w14:paraId="1CB9C3C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D97CE08" w14:textId="24BEFE3C" w:rsidR="00ED57CD" w:rsidRPr="00ED57CD" w:rsidRDefault="00ED57CD" w:rsidP="00ED57CD">
      <w:pPr>
        <w:tabs>
          <w:tab w:val="left" w:pos="567"/>
        </w:tabs>
        <w:spacing w:after="0" w:line="240" w:lineRule="auto"/>
        <w:jc w:val="both"/>
        <w:rPr>
          <w:rFonts w:ascii="Times New Roman" w:eastAsia="SimSun" w:hAnsi="Times New Roman"/>
          <w:u w:val="single"/>
          <w:lang w:eastAsia="zh-CN"/>
        </w:rPr>
      </w:pPr>
      <w:r w:rsidRPr="00ED57CD">
        <w:rPr>
          <w:rFonts w:ascii="Times New Roman" w:eastAsia="SimSun" w:hAnsi="Times New Roman"/>
          <w:u w:val="single"/>
          <w:lang w:eastAsia="zh-CN"/>
        </w:rPr>
        <w:t>Gamintojo</w:t>
      </w:r>
      <w:r w:rsidR="005333D8">
        <w:rPr>
          <w:rFonts w:ascii="Times New Roman" w:eastAsia="SimSun" w:hAnsi="Times New Roman"/>
          <w:u w:val="single"/>
          <w:lang w:eastAsia="zh-CN"/>
        </w:rPr>
        <w:t xml:space="preserve"> (-ų)</w:t>
      </w:r>
      <w:r w:rsidRPr="00ED57CD">
        <w:rPr>
          <w:rFonts w:ascii="Times New Roman" w:eastAsia="SimSun" w:hAnsi="Times New Roman"/>
          <w:u w:val="single"/>
          <w:lang w:eastAsia="zh-CN"/>
        </w:rPr>
        <w:t>, atsakingo</w:t>
      </w:r>
      <w:r w:rsidR="005333D8">
        <w:rPr>
          <w:rFonts w:ascii="Times New Roman" w:eastAsia="SimSun" w:hAnsi="Times New Roman"/>
          <w:u w:val="single"/>
          <w:lang w:eastAsia="zh-CN"/>
        </w:rPr>
        <w:t xml:space="preserve"> (-ų)</w:t>
      </w:r>
      <w:r w:rsidRPr="00ED57CD">
        <w:rPr>
          <w:rFonts w:ascii="Times New Roman" w:eastAsia="SimSun" w:hAnsi="Times New Roman"/>
          <w:u w:val="single"/>
          <w:lang w:eastAsia="zh-CN"/>
        </w:rPr>
        <w:t xml:space="preserve"> už serijų išleidimą, pavadinimas</w:t>
      </w:r>
      <w:r w:rsidR="005333D8">
        <w:rPr>
          <w:rFonts w:ascii="Times New Roman" w:eastAsia="SimSun" w:hAnsi="Times New Roman"/>
          <w:u w:val="single"/>
          <w:lang w:eastAsia="zh-CN"/>
        </w:rPr>
        <w:t xml:space="preserve"> (-ai)</w:t>
      </w:r>
      <w:r w:rsidRPr="00ED57CD">
        <w:rPr>
          <w:rFonts w:ascii="Times New Roman" w:eastAsia="SimSun" w:hAnsi="Times New Roman"/>
          <w:u w:val="single"/>
          <w:lang w:eastAsia="zh-CN"/>
        </w:rPr>
        <w:t xml:space="preserve"> ir adresas</w:t>
      </w:r>
      <w:r w:rsidR="005333D8">
        <w:rPr>
          <w:rFonts w:ascii="Times New Roman" w:eastAsia="SimSun" w:hAnsi="Times New Roman"/>
          <w:u w:val="single"/>
          <w:lang w:eastAsia="zh-CN"/>
        </w:rPr>
        <w:t xml:space="preserve"> (-ai)</w:t>
      </w:r>
    </w:p>
    <w:p w14:paraId="63C7D99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4F3DAD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Bluepharma-Indústria Farmaceutica, S.A.</w:t>
      </w:r>
    </w:p>
    <w:p w14:paraId="1A1F212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 Martinho do Bispo</w:t>
      </w:r>
    </w:p>
    <w:p w14:paraId="3748A89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Coimbra, 3045-016</w:t>
      </w:r>
    </w:p>
    <w:p w14:paraId="7978A29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Portugalija</w:t>
      </w:r>
    </w:p>
    <w:p w14:paraId="2403413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BEACA0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9564F74" w14:textId="77777777" w:rsidR="00ED57CD" w:rsidRPr="00ED57CD" w:rsidRDefault="00ED57CD" w:rsidP="00ED57CD">
      <w:pPr>
        <w:suppressLineNumbers/>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b/>
          <w:lang w:eastAsia="zh-CN"/>
        </w:rPr>
        <w:t>B.</w:t>
      </w:r>
      <w:r w:rsidRPr="00ED57CD">
        <w:rPr>
          <w:rFonts w:ascii="Times New Roman" w:eastAsia="SimSun" w:hAnsi="Times New Roman"/>
          <w:b/>
          <w:lang w:eastAsia="zh-CN"/>
        </w:rPr>
        <w:tab/>
        <w:t xml:space="preserve">TIEKIMO IR VARTOJIMO SĄLYGOS AR APRIBOJIMAI </w:t>
      </w:r>
    </w:p>
    <w:p w14:paraId="2F33033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30F01F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Receptinis vaistinis preparatas.</w:t>
      </w:r>
    </w:p>
    <w:p w14:paraId="01CA2D6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43D954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9938C40" w14:textId="77777777" w:rsidR="00ED57CD" w:rsidRPr="00ED57CD" w:rsidRDefault="00ED57CD" w:rsidP="00ED57CD">
      <w:pPr>
        <w:tabs>
          <w:tab w:val="left" w:pos="567"/>
        </w:tabs>
        <w:spacing w:after="0" w:line="240" w:lineRule="auto"/>
        <w:jc w:val="center"/>
        <w:rPr>
          <w:rFonts w:ascii="Times New Roman" w:eastAsia="SimSun" w:hAnsi="Times New Roman"/>
          <w:lang w:eastAsia="zh-CN"/>
        </w:rPr>
      </w:pPr>
      <w:r w:rsidRPr="00ED57CD">
        <w:rPr>
          <w:rFonts w:ascii="Times New Roman" w:eastAsia="SimSun" w:hAnsi="Times New Roman"/>
          <w:lang w:eastAsia="zh-CN"/>
        </w:rPr>
        <w:br w:type="page"/>
      </w:r>
    </w:p>
    <w:p w14:paraId="7C782F1D" w14:textId="77777777" w:rsidR="00ED57CD" w:rsidRPr="00ED57CD" w:rsidRDefault="00ED57CD" w:rsidP="00ED57CD">
      <w:pPr>
        <w:spacing w:after="0" w:line="240" w:lineRule="auto"/>
        <w:rPr>
          <w:rFonts w:ascii="Times New Roman" w:eastAsia="SimSun" w:hAnsi="Times New Roman"/>
          <w:color w:val="000000"/>
        </w:rPr>
      </w:pPr>
    </w:p>
    <w:p w14:paraId="29B470C2" w14:textId="77777777" w:rsidR="00ED57CD" w:rsidRPr="00ED57CD" w:rsidRDefault="00ED57CD" w:rsidP="00ED57CD">
      <w:pPr>
        <w:spacing w:after="0" w:line="240" w:lineRule="auto"/>
        <w:rPr>
          <w:rFonts w:ascii="Times New Roman" w:eastAsia="SimSun" w:hAnsi="Times New Roman"/>
          <w:color w:val="000000"/>
        </w:rPr>
      </w:pPr>
    </w:p>
    <w:p w14:paraId="0A569AD2" w14:textId="77777777" w:rsidR="00ED57CD" w:rsidRPr="00ED57CD" w:rsidRDefault="00ED57CD" w:rsidP="00ED57CD">
      <w:pPr>
        <w:spacing w:after="0" w:line="240" w:lineRule="auto"/>
        <w:rPr>
          <w:rFonts w:ascii="Times New Roman" w:eastAsia="SimSun" w:hAnsi="Times New Roman"/>
          <w:color w:val="000000"/>
        </w:rPr>
      </w:pPr>
    </w:p>
    <w:p w14:paraId="377E23AF" w14:textId="77777777" w:rsidR="00ED57CD" w:rsidRPr="00ED57CD" w:rsidRDefault="00ED57CD" w:rsidP="00ED57CD">
      <w:pPr>
        <w:spacing w:after="0" w:line="240" w:lineRule="auto"/>
        <w:rPr>
          <w:rFonts w:ascii="Times New Roman" w:eastAsia="SimSun" w:hAnsi="Times New Roman"/>
          <w:color w:val="000000"/>
        </w:rPr>
      </w:pPr>
    </w:p>
    <w:p w14:paraId="7D2BCFA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CA4D2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FFDB07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266EDD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1C0191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18E7C9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24E776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747C6B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79F56E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6D703B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1B644B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8780EE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0DFB04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07A1B8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77E3F4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14DE2E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06918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B09F18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784060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EE7EFEE"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III PRIEDAS</w:t>
      </w:r>
    </w:p>
    <w:p w14:paraId="02EC543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F681BF2"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ŽENKLINIMAS IR PAKUOTĖS LAPELIS</w:t>
      </w:r>
    </w:p>
    <w:p w14:paraId="1804FBD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br w:type="page"/>
      </w:r>
    </w:p>
    <w:p w14:paraId="123D56C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63789B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BAB989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10886A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F23AE2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6DD129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A1E1D0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4C023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EFDB0B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570B01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F21811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361EB1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E84400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299E7C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55D617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A71A19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5226D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EA96E1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4F1034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D16B68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B65DBD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DAFD64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DBCD98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F11708"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A. ŽENKLINIMAS</w:t>
      </w:r>
    </w:p>
    <w:p w14:paraId="1C0D80B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br w:type="page"/>
      </w:r>
    </w:p>
    <w:p w14:paraId="4D0F10FE"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lastRenderedPageBreak/>
        <w:t>INFORMACIJA ANT IŠORINĖS PAKUOTĖS</w:t>
      </w:r>
    </w:p>
    <w:p w14:paraId="560BC26E"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lang w:eastAsia="zh-CN"/>
        </w:rPr>
      </w:pPr>
    </w:p>
    <w:p w14:paraId="1C2ECDDB"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KARTONINĖ DĖŽUTĖ</w:t>
      </w:r>
    </w:p>
    <w:p w14:paraId="4A9C008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DCC4CA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1A64D56"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1.</w:t>
      </w:r>
      <w:r w:rsidRPr="00ED57CD">
        <w:rPr>
          <w:rFonts w:ascii="Times New Roman" w:eastAsia="SimSun" w:hAnsi="Times New Roman"/>
          <w:b/>
          <w:lang w:eastAsia="zh-CN"/>
        </w:rPr>
        <w:tab/>
      </w:r>
      <w:r w:rsidRPr="00ED57CD">
        <w:rPr>
          <w:rFonts w:ascii="Times New Roman" w:eastAsia="SimSun" w:hAnsi="Times New Roman"/>
          <w:b/>
          <w:caps/>
          <w:lang w:eastAsia="zh-CN"/>
        </w:rPr>
        <w:t>VAISTINIO</w:t>
      </w:r>
      <w:r w:rsidRPr="00ED57CD">
        <w:rPr>
          <w:rFonts w:ascii="Times New Roman" w:eastAsia="SimSun" w:hAnsi="Times New Roman"/>
          <w:b/>
          <w:lang w:eastAsia="zh-CN"/>
        </w:rPr>
        <w:t xml:space="preserve"> PREPARATO PAVADINIMAS</w:t>
      </w:r>
    </w:p>
    <w:p w14:paraId="63F1907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540163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Zofenopril / Hydrochlorothiazide Ingen Pharma 30 mg/12,5 mg plėvele dengtos tabletės </w:t>
      </w:r>
    </w:p>
    <w:p w14:paraId="46A16AB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Zofenoprilio kalcio druska/Hidrochlorotiazidas</w:t>
      </w:r>
    </w:p>
    <w:p w14:paraId="3987B86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6BB5EE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D33AE6F"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b/>
          <w:lang w:eastAsia="zh-CN"/>
        </w:rPr>
      </w:pPr>
      <w:r w:rsidRPr="00ED57CD">
        <w:rPr>
          <w:rFonts w:ascii="Times New Roman" w:eastAsia="SimSun" w:hAnsi="Times New Roman"/>
          <w:b/>
          <w:lang w:eastAsia="zh-CN"/>
        </w:rPr>
        <w:t>2.</w:t>
      </w:r>
      <w:r w:rsidRPr="00ED57CD">
        <w:rPr>
          <w:rFonts w:ascii="Times New Roman" w:eastAsia="SimSun" w:hAnsi="Times New Roman"/>
          <w:b/>
          <w:lang w:eastAsia="zh-CN"/>
        </w:rPr>
        <w:tab/>
        <w:t>VEIKLIOJI (-IOS) MEDŽIAGA (-OS) IR JOS (-Ų) KIEKIS (-IAI)</w:t>
      </w:r>
    </w:p>
    <w:p w14:paraId="42B7CA3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FD57D6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Kiekvienoje plėvele dengtoje tabletėje yra 30 mg zofenoprilio kalcio druskos ir 12,5 mg hidrochlorotiazido.</w:t>
      </w:r>
    </w:p>
    <w:p w14:paraId="5C3938C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A43178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AE9B670"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3.</w:t>
      </w:r>
      <w:r w:rsidRPr="00ED57CD">
        <w:rPr>
          <w:rFonts w:ascii="Times New Roman" w:eastAsia="SimSun" w:hAnsi="Times New Roman"/>
          <w:b/>
          <w:lang w:eastAsia="zh-CN"/>
        </w:rPr>
        <w:tab/>
        <w:t>PAGALBINIŲ MEDŽIAGŲ SĄRAŠAS</w:t>
      </w:r>
    </w:p>
    <w:p w14:paraId="1308A2D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D5C7FE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Sudėtyje yra laktozės ir dažiklio saulėlydžio geltonojo. Daugiau informacijos pateikta pakuotės lapelyje.</w:t>
      </w:r>
    </w:p>
    <w:p w14:paraId="70A4952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4FB65F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B82A7CA"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4.</w:t>
      </w:r>
      <w:r w:rsidRPr="00ED57CD">
        <w:rPr>
          <w:rFonts w:ascii="Times New Roman" w:eastAsia="SimSun" w:hAnsi="Times New Roman"/>
          <w:b/>
          <w:lang w:eastAsia="zh-CN"/>
        </w:rPr>
        <w:tab/>
        <w:t>FARMACINĖ FORMA IR KIEKIS PAKUOTĖJE</w:t>
      </w:r>
    </w:p>
    <w:p w14:paraId="0E6BD71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A282835"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28 plėvele dengtos tabletės</w:t>
      </w:r>
    </w:p>
    <w:p w14:paraId="519B6DB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2CC037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7AE59E6"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5.</w:t>
      </w:r>
      <w:r w:rsidRPr="00ED57CD">
        <w:rPr>
          <w:rFonts w:ascii="Times New Roman" w:eastAsia="SimSun" w:hAnsi="Times New Roman"/>
          <w:b/>
          <w:lang w:eastAsia="zh-CN"/>
        </w:rPr>
        <w:tab/>
        <w:t>VARTOJIMO METODAS IR BŪDAS (-AI)</w:t>
      </w:r>
    </w:p>
    <w:p w14:paraId="76BBD30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9C755D" w14:textId="77777777" w:rsidR="00ED57CD" w:rsidRPr="00ED57CD" w:rsidRDefault="00ED57CD" w:rsidP="00ED57CD">
      <w:pPr>
        <w:spacing w:after="0" w:line="240" w:lineRule="auto"/>
        <w:rPr>
          <w:rFonts w:ascii="Times New Roman" w:eastAsia="SimSun" w:hAnsi="Times New Roman"/>
        </w:rPr>
      </w:pPr>
      <w:r w:rsidRPr="00ED57CD">
        <w:rPr>
          <w:rFonts w:ascii="Times New Roman" w:eastAsia="SimSun" w:hAnsi="Times New Roman"/>
        </w:rPr>
        <w:t>Vartoti per burną.</w:t>
      </w:r>
    </w:p>
    <w:p w14:paraId="734F29F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Prieš vartojimą perskaitykite pakuotės lapelį.</w:t>
      </w:r>
    </w:p>
    <w:p w14:paraId="3F09662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6A1EC5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CF3D80F"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6.</w:t>
      </w:r>
      <w:r w:rsidRPr="00ED57CD">
        <w:rPr>
          <w:rFonts w:ascii="Times New Roman" w:eastAsia="SimSun" w:hAnsi="Times New Roman"/>
          <w:b/>
          <w:lang w:eastAsia="zh-CN"/>
        </w:rPr>
        <w:tab/>
        <w:t>SPECIALUS ĮSPĖJIMAS, KAD VAISTINĮ PREPARATĄ BŪTINA LAIKYTI VAIKAMS NEPASTEBIMOJE IR NEPASIEKIAMOJE VIETOJE</w:t>
      </w:r>
    </w:p>
    <w:p w14:paraId="61B4A23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9C0386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Laikyti vaikams nepastebimoje ir nepasiekiamoje vietoje.</w:t>
      </w:r>
    </w:p>
    <w:p w14:paraId="0E409D2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FD919C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6BE23B6"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7.</w:t>
      </w:r>
      <w:r w:rsidRPr="00ED57CD">
        <w:rPr>
          <w:rFonts w:ascii="Times New Roman" w:eastAsia="SimSun" w:hAnsi="Times New Roman"/>
          <w:b/>
          <w:lang w:eastAsia="zh-CN"/>
        </w:rPr>
        <w:tab/>
        <w:t>KITAS (-I) SPECIALUS (-ŪS) ĮSPĖJIMAS (-AI) (JEI REIKIA)</w:t>
      </w:r>
    </w:p>
    <w:p w14:paraId="676CB6B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0AB3E4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4815740"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8.</w:t>
      </w:r>
      <w:r w:rsidRPr="00ED57CD">
        <w:rPr>
          <w:rFonts w:ascii="Times New Roman" w:eastAsia="SimSun" w:hAnsi="Times New Roman"/>
          <w:b/>
          <w:lang w:eastAsia="zh-CN"/>
        </w:rPr>
        <w:tab/>
        <w:t>TINKAMUMO LAIKAS</w:t>
      </w:r>
    </w:p>
    <w:p w14:paraId="00FD1F3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9A29F0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highlight w:val="lightGray"/>
          <w:lang w:eastAsia="zh-CN"/>
        </w:rPr>
        <w:t>Tinka iki</w:t>
      </w:r>
      <w:r w:rsidRPr="00ED57CD">
        <w:rPr>
          <w:rFonts w:ascii="Times New Roman" w:eastAsia="SimSun" w:hAnsi="Times New Roman"/>
          <w:lang w:eastAsia="zh-CN"/>
        </w:rPr>
        <w:t>/EXP {mm / MMMM}</w:t>
      </w:r>
    </w:p>
    <w:p w14:paraId="3EBC800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895F4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11831C2" w14:textId="77777777" w:rsidR="00ED57CD" w:rsidRPr="00ED57CD" w:rsidRDefault="00ED57CD" w:rsidP="00ED57CD">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D57CD">
        <w:rPr>
          <w:rFonts w:ascii="Times New Roman" w:eastAsia="SimSun" w:hAnsi="Times New Roman"/>
          <w:b/>
          <w:lang w:eastAsia="zh-CN"/>
        </w:rPr>
        <w:t>9.</w:t>
      </w:r>
      <w:r w:rsidRPr="00ED57CD">
        <w:rPr>
          <w:rFonts w:ascii="Times New Roman" w:eastAsia="SimSun" w:hAnsi="Times New Roman"/>
          <w:b/>
          <w:lang w:eastAsia="zh-CN"/>
        </w:rPr>
        <w:tab/>
        <w:t>SPECIALIOS LAIKYMO SĄLYGOS</w:t>
      </w:r>
    </w:p>
    <w:p w14:paraId="68399D9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55F99F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FA1CEED"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10.</w:t>
      </w:r>
      <w:r w:rsidRPr="00ED57CD">
        <w:rPr>
          <w:rFonts w:ascii="Times New Roman" w:eastAsia="SimSun" w:hAnsi="Times New Roman"/>
          <w:b/>
          <w:lang w:eastAsia="zh-CN"/>
        </w:rPr>
        <w:tab/>
        <w:t>SPECIALIOS ATSARGUMO PRIEMONĖS DĖL NESUVARTOTO VAISTINIO PREPARATO AR JO ATLIEKŲ TVARKYMO (JEI REIKIA)</w:t>
      </w:r>
    </w:p>
    <w:p w14:paraId="3D8C372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72CEA4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1254D9D"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11.</w:t>
      </w:r>
      <w:r w:rsidRPr="00ED57CD">
        <w:rPr>
          <w:rFonts w:ascii="Times New Roman" w:eastAsia="SimSun" w:hAnsi="Times New Roman"/>
          <w:b/>
          <w:lang w:eastAsia="zh-CN"/>
        </w:rPr>
        <w:tab/>
      </w:r>
      <w:r w:rsidRPr="00ED57CD">
        <w:rPr>
          <w:rFonts w:ascii="Times New Roman" w:eastAsia="SimSun" w:hAnsi="Times New Roman"/>
          <w:b/>
          <w:caps/>
          <w:lang w:eastAsia="zh-CN"/>
        </w:rPr>
        <w:t>REGISTRUOTOJO</w:t>
      </w:r>
      <w:r w:rsidRPr="00ED57CD" w:rsidDel="001E232E">
        <w:rPr>
          <w:rFonts w:ascii="Times New Roman" w:eastAsia="SimSun" w:hAnsi="Times New Roman"/>
          <w:b/>
          <w:caps/>
          <w:lang w:eastAsia="zh-CN"/>
        </w:rPr>
        <w:t xml:space="preserve"> </w:t>
      </w:r>
      <w:r w:rsidRPr="00ED57CD">
        <w:rPr>
          <w:rFonts w:ascii="Times New Roman" w:eastAsia="SimSun" w:hAnsi="Times New Roman"/>
          <w:b/>
          <w:caps/>
          <w:lang w:eastAsia="zh-CN"/>
        </w:rPr>
        <w:t>PAVADINIMAS IR ADRESAS</w:t>
      </w:r>
    </w:p>
    <w:p w14:paraId="2F1F380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BB47280" w14:textId="77777777" w:rsidR="00ED57CD" w:rsidRPr="00ED57CD" w:rsidRDefault="00ED57CD" w:rsidP="00ED57CD">
      <w:pPr>
        <w:tabs>
          <w:tab w:val="left" w:pos="567"/>
        </w:tabs>
        <w:spacing w:after="0" w:line="240" w:lineRule="auto"/>
        <w:rPr>
          <w:rFonts w:ascii="Times New Roman" w:eastAsia="Times New Roman" w:hAnsi="Times New Roman"/>
          <w:b/>
        </w:rPr>
      </w:pPr>
      <w:r w:rsidRPr="00ED57CD">
        <w:rPr>
          <w:rFonts w:ascii="Times New Roman" w:eastAsia="Times New Roman" w:hAnsi="Times New Roman"/>
        </w:rPr>
        <w:t>SIA Ingen Pharma</w:t>
      </w:r>
    </w:p>
    <w:p w14:paraId="3499872C" w14:textId="77777777" w:rsidR="00ED57CD" w:rsidRPr="00ED57CD" w:rsidRDefault="00ED57CD" w:rsidP="00ED57CD">
      <w:pPr>
        <w:tabs>
          <w:tab w:val="left" w:pos="567"/>
        </w:tabs>
        <w:spacing w:after="0" w:line="240" w:lineRule="auto"/>
        <w:rPr>
          <w:rFonts w:ascii="Times New Roman" w:eastAsia="Times New Roman" w:hAnsi="Times New Roman"/>
          <w:b/>
        </w:rPr>
      </w:pPr>
      <w:r w:rsidRPr="00ED57CD">
        <w:rPr>
          <w:rFonts w:ascii="Times New Roman" w:eastAsia="Times New Roman" w:hAnsi="Times New Roman"/>
        </w:rPr>
        <w:t>K. Ulmaņa gatve 119</w:t>
      </w:r>
    </w:p>
    <w:p w14:paraId="00E36154" w14:textId="77777777" w:rsidR="00ED57CD" w:rsidRPr="00ED57CD" w:rsidRDefault="00ED57CD" w:rsidP="00ED57CD">
      <w:pPr>
        <w:tabs>
          <w:tab w:val="left" w:pos="567"/>
        </w:tabs>
        <w:spacing w:after="0" w:line="240" w:lineRule="auto"/>
        <w:rPr>
          <w:rFonts w:ascii="Times New Roman" w:eastAsia="Times New Roman" w:hAnsi="Times New Roman"/>
          <w:b/>
        </w:rPr>
      </w:pPr>
      <w:r w:rsidRPr="00ED57CD">
        <w:rPr>
          <w:rFonts w:ascii="Times New Roman" w:eastAsia="Times New Roman" w:hAnsi="Times New Roman"/>
        </w:rPr>
        <w:t>LV-2167 Mārupe, Rīga</w:t>
      </w:r>
    </w:p>
    <w:p w14:paraId="2E198BCA" w14:textId="77777777" w:rsidR="00ED57CD" w:rsidRPr="00ED57CD" w:rsidRDefault="00ED57CD" w:rsidP="00ED57CD">
      <w:pPr>
        <w:tabs>
          <w:tab w:val="left" w:pos="567"/>
        </w:tabs>
        <w:spacing w:after="0" w:line="240" w:lineRule="auto"/>
        <w:rPr>
          <w:rFonts w:ascii="Times New Roman" w:eastAsia="Times New Roman" w:hAnsi="Times New Roman"/>
          <w:b/>
        </w:rPr>
      </w:pPr>
      <w:r w:rsidRPr="00ED57CD">
        <w:rPr>
          <w:rFonts w:ascii="Times New Roman" w:eastAsia="Times New Roman" w:hAnsi="Times New Roman"/>
        </w:rPr>
        <w:t>Latvija</w:t>
      </w:r>
    </w:p>
    <w:p w14:paraId="251487A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FA594C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E4A97B0"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ED57CD">
        <w:rPr>
          <w:rFonts w:ascii="Times New Roman" w:eastAsia="SimSun" w:hAnsi="Times New Roman"/>
          <w:b/>
          <w:lang w:eastAsia="zh-CN"/>
        </w:rPr>
        <w:t>12.</w:t>
      </w:r>
      <w:r w:rsidRPr="00ED57CD">
        <w:rPr>
          <w:rFonts w:ascii="Times New Roman" w:eastAsia="SimSun" w:hAnsi="Times New Roman"/>
          <w:b/>
          <w:lang w:eastAsia="zh-CN"/>
        </w:rPr>
        <w:tab/>
        <w:t xml:space="preserve">REGISTRACIJOS PAŽYMĖJIMO NUMERIS (-IAI) </w:t>
      </w:r>
    </w:p>
    <w:p w14:paraId="7EAA0BE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C97474A" w14:textId="77777777" w:rsidR="00ED57CD" w:rsidRPr="00ED57CD" w:rsidRDefault="00ED57CD" w:rsidP="00ED57CD">
      <w:pPr>
        <w:tabs>
          <w:tab w:val="left" w:pos="1296"/>
        </w:tabs>
        <w:snapToGrid w:val="0"/>
        <w:spacing w:after="0" w:line="240" w:lineRule="auto"/>
        <w:rPr>
          <w:rFonts w:ascii="Times New Roman" w:eastAsia="Times New Roman" w:hAnsi="Times New Roman"/>
        </w:rPr>
      </w:pPr>
      <w:r w:rsidRPr="00ED57CD">
        <w:rPr>
          <w:rFonts w:ascii="Times New Roman" w:eastAsia="Times New Roman" w:hAnsi="Times New Roman"/>
        </w:rPr>
        <w:t>LT/1/16/3932/001</w:t>
      </w:r>
    </w:p>
    <w:p w14:paraId="3296C41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CEE6B6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19AD9E2"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ED57CD">
        <w:rPr>
          <w:rFonts w:ascii="Times New Roman" w:eastAsia="SimSun" w:hAnsi="Times New Roman"/>
          <w:b/>
          <w:lang w:eastAsia="zh-CN"/>
        </w:rPr>
        <w:t>13.</w:t>
      </w:r>
      <w:r w:rsidRPr="00ED57CD">
        <w:rPr>
          <w:rFonts w:ascii="Times New Roman" w:eastAsia="SimSun" w:hAnsi="Times New Roman"/>
          <w:b/>
          <w:lang w:eastAsia="zh-CN"/>
        </w:rPr>
        <w:tab/>
        <w:t xml:space="preserve">SERIJOS NUMERIS </w:t>
      </w:r>
    </w:p>
    <w:p w14:paraId="6CA584E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E9391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highlight w:val="lightGray"/>
          <w:lang w:eastAsia="zh-CN"/>
        </w:rPr>
        <w:t>Serija</w:t>
      </w:r>
      <w:r w:rsidRPr="00ED57CD">
        <w:rPr>
          <w:rFonts w:ascii="Times New Roman" w:eastAsia="SimSun" w:hAnsi="Times New Roman"/>
          <w:lang w:eastAsia="zh-CN"/>
        </w:rPr>
        <w:t>/Lot</w:t>
      </w:r>
    </w:p>
    <w:p w14:paraId="223EE0D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459E7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6DDBBDC"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ED57CD">
        <w:rPr>
          <w:rFonts w:ascii="Times New Roman" w:eastAsia="SimSun" w:hAnsi="Times New Roman"/>
          <w:b/>
          <w:lang w:eastAsia="zh-CN"/>
        </w:rPr>
        <w:t>14.</w:t>
      </w:r>
      <w:r w:rsidRPr="00ED57CD">
        <w:rPr>
          <w:rFonts w:ascii="Times New Roman" w:eastAsia="SimSun" w:hAnsi="Times New Roman"/>
          <w:b/>
          <w:lang w:eastAsia="zh-CN"/>
        </w:rPr>
        <w:tab/>
        <w:t>PARDAVIMO (IŠDAVIMO) TVARKA</w:t>
      </w:r>
    </w:p>
    <w:p w14:paraId="437CC55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AB22A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Receptinis vaistas.</w:t>
      </w:r>
    </w:p>
    <w:p w14:paraId="545C184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C1D73C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0EF7468" w14:textId="77777777" w:rsidR="00ED57CD" w:rsidRPr="00ED57CD" w:rsidRDefault="00ED57CD" w:rsidP="00ED57CD">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ED57CD">
        <w:rPr>
          <w:rFonts w:ascii="Times New Roman" w:eastAsia="SimSun" w:hAnsi="Times New Roman"/>
          <w:b/>
          <w:lang w:eastAsia="zh-CN"/>
        </w:rPr>
        <w:t>15.</w:t>
      </w:r>
      <w:r w:rsidRPr="00ED57CD">
        <w:rPr>
          <w:rFonts w:ascii="Times New Roman" w:eastAsia="SimSun" w:hAnsi="Times New Roman"/>
          <w:b/>
          <w:lang w:eastAsia="zh-CN"/>
        </w:rPr>
        <w:tab/>
        <w:t>VARTOJIMO INSTRUKCIJA</w:t>
      </w:r>
    </w:p>
    <w:p w14:paraId="3D518ED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CE114B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E45EB6" w14:textId="77777777" w:rsidR="00ED57CD" w:rsidRPr="00ED57CD" w:rsidRDefault="00ED57CD" w:rsidP="00ED57CD">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olor w:val="008000"/>
          <w:lang w:eastAsia="zh-CN"/>
        </w:rPr>
      </w:pPr>
      <w:r w:rsidRPr="00ED57CD">
        <w:rPr>
          <w:rFonts w:ascii="Times New Roman" w:eastAsia="SimSun" w:hAnsi="Times New Roman"/>
          <w:b/>
          <w:lang w:eastAsia="zh-CN"/>
        </w:rPr>
        <w:t>16.</w:t>
      </w:r>
      <w:r w:rsidRPr="00ED57CD">
        <w:rPr>
          <w:rFonts w:ascii="Times New Roman" w:eastAsia="SimSun" w:hAnsi="Times New Roman"/>
          <w:b/>
          <w:lang w:eastAsia="zh-CN"/>
        </w:rPr>
        <w:tab/>
        <w:t>INFORMACIJA BRAILIO RAŠTU</w:t>
      </w:r>
    </w:p>
    <w:p w14:paraId="111248C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57FD4C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zofenopril / hydrochlorothiazide ingen pharma </w:t>
      </w:r>
    </w:p>
    <w:p w14:paraId="1412131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72E91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764F6BE" w14:textId="77777777" w:rsidR="00ED57CD" w:rsidRPr="00ED57CD" w:rsidRDefault="00ED57CD" w:rsidP="00ED57C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szCs w:val="20"/>
        </w:rPr>
      </w:pPr>
      <w:r w:rsidRPr="00ED57CD">
        <w:rPr>
          <w:rFonts w:ascii="Times New Roman" w:eastAsia="Times New Roman" w:hAnsi="Times New Roman"/>
          <w:b/>
          <w:noProof/>
          <w:szCs w:val="20"/>
        </w:rPr>
        <w:t>17.</w:t>
      </w:r>
      <w:r w:rsidRPr="00ED57CD">
        <w:rPr>
          <w:rFonts w:ascii="Times New Roman" w:eastAsia="Times New Roman" w:hAnsi="Times New Roman"/>
          <w:b/>
          <w:noProof/>
          <w:szCs w:val="20"/>
        </w:rPr>
        <w:tab/>
        <w:t>UNIKALUS IDENTIFIKATORIUS – 2D BRŪKŠNINIS KODAS</w:t>
      </w:r>
    </w:p>
    <w:p w14:paraId="175A9345" w14:textId="77777777" w:rsidR="00ED57CD" w:rsidRPr="00ED57CD" w:rsidRDefault="00ED57CD" w:rsidP="00ED57CD">
      <w:pPr>
        <w:spacing w:after="0" w:line="240" w:lineRule="auto"/>
        <w:rPr>
          <w:rFonts w:ascii="Times New Roman" w:eastAsia="Times New Roman" w:hAnsi="Times New Roman"/>
          <w:noProof/>
          <w:szCs w:val="20"/>
        </w:rPr>
      </w:pPr>
    </w:p>
    <w:p w14:paraId="08D0730B" w14:textId="77777777" w:rsidR="00ED57CD" w:rsidRPr="00ED57CD" w:rsidRDefault="00ED57CD" w:rsidP="00ED57CD">
      <w:pPr>
        <w:tabs>
          <w:tab w:val="left" w:pos="567"/>
        </w:tabs>
        <w:spacing w:after="0" w:line="240" w:lineRule="auto"/>
        <w:rPr>
          <w:rFonts w:ascii="Times New Roman" w:eastAsia="Times New Roman" w:hAnsi="Times New Roman"/>
          <w:noProof/>
          <w:shd w:val="clear" w:color="auto" w:fill="CCCCCC"/>
          <w:lang w:eastAsia="lt-LT" w:bidi="lt-LT"/>
        </w:rPr>
      </w:pPr>
      <w:r w:rsidRPr="00ED57CD">
        <w:rPr>
          <w:rFonts w:ascii="Times New Roman" w:eastAsia="Times New Roman" w:hAnsi="Times New Roman"/>
          <w:noProof/>
          <w:szCs w:val="20"/>
          <w:highlight w:val="lightGray"/>
          <w:lang w:eastAsia="lt-LT" w:bidi="lt-LT"/>
        </w:rPr>
        <w:t>2D brūkšninis kodas su nurodytu unikaliu identifikatoriumi.</w:t>
      </w:r>
    </w:p>
    <w:p w14:paraId="3FDA3095" w14:textId="77777777" w:rsidR="00ED57CD" w:rsidRPr="00ED57CD" w:rsidRDefault="00ED57CD" w:rsidP="00ED57CD">
      <w:pPr>
        <w:spacing w:after="0" w:line="240" w:lineRule="auto"/>
        <w:rPr>
          <w:rFonts w:ascii="Times New Roman" w:eastAsia="Times New Roman" w:hAnsi="Times New Roman"/>
          <w:noProof/>
          <w:szCs w:val="20"/>
        </w:rPr>
      </w:pPr>
    </w:p>
    <w:p w14:paraId="308697D3" w14:textId="77777777" w:rsidR="00ED57CD" w:rsidRPr="00ED57CD" w:rsidRDefault="00ED57CD" w:rsidP="00ED57CD">
      <w:pPr>
        <w:spacing w:after="0" w:line="240" w:lineRule="auto"/>
        <w:rPr>
          <w:rFonts w:ascii="Times New Roman" w:eastAsia="Times New Roman" w:hAnsi="Times New Roman"/>
          <w:noProof/>
          <w:szCs w:val="20"/>
        </w:rPr>
      </w:pPr>
    </w:p>
    <w:p w14:paraId="367B4F5F" w14:textId="77777777" w:rsidR="00ED57CD" w:rsidRPr="00ED57CD" w:rsidRDefault="00ED57CD" w:rsidP="00ED57C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szCs w:val="20"/>
        </w:rPr>
      </w:pPr>
      <w:r w:rsidRPr="00ED57CD">
        <w:rPr>
          <w:rFonts w:ascii="Times New Roman" w:eastAsia="Times New Roman" w:hAnsi="Times New Roman"/>
          <w:b/>
          <w:noProof/>
          <w:szCs w:val="20"/>
        </w:rPr>
        <w:t>18.</w:t>
      </w:r>
      <w:r w:rsidRPr="00ED57CD">
        <w:rPr>
          <w:rFonts w:ascii="Times New Roman" w:eastAsia="Times New Roman" w:hAnsi="Times New Roman"/>
          <w:b/>
          <w:noProof/>
          <w:szCs w:val="20"/>
        </w:rPr>
        <w:tab/>
        <w:t>UNIKALUS IDENTIFIKATORIUS – ŽMONĖMS SUPRANTAMI DUOMENYS</w:t>
      </w:r>
    </w:p>
    <w:p w14:paraId="33A0C18F" w14:textId="77777777" w:rsidR="00ED57CD" w:rsidRPr="00ED57CD" w:rsidRDefault="00ED57CD" w:rsidP="00ED57CD">
      <w:pPr>
        <w:spacing w:after="0" w:line="240" w:lineRule="auto"/>
        <w:rPr>
          <w:rFonts w:ascii="Times New Roman" w:eastAsia="Times New Roman" w:hAnsi="Times New Roman"/>
          <w:noProof/>
          <w:szCs w:val="20"/>
        </w:rPr>
      </w:pPr>
    </w:p>
    <w:p w14:paraId="392E60D1" w14:textId="77777777" w:rsidR="00ED57CD" w:rsidRPr="00ED57CD" w:rsidRDefault="00ED57CD" w:rsidP="00ED57CD">
      <w:pPr>
        <w:tabs>
          <w:tab w:val="left" w:pos="567"/>
        </w:tabs>
        <w:spacing w:after="0" w:line="260" w:lineRule="exact"/>
        <w:rPr>
          <w:rFonts w:ascii="Times New Roman" w:eastAsia="Times New Roman" w:hAnsi="Times New Roman"/>
          <w:color w:val="008000"/>
        </w:rPr>
      </w:pPr>
      <w:r w:rsidRPr="00ED57CD">
        <w:rPr>
          <w:rFonts w:ascii="Times New Roman" w:eastAsia="Times New Roman" w:hAnsi="Times New Roman"/>
        </w:rPr>
        <w:t xml:space="preserve">PC: {numeris} </w:t>
      </w:r>
    </w:p>
    <w:p w14:paraId="434511E9" w14:textId="77777777" w:rsidR="00ED57CD" w:rsidRPr="00ED57CD" w:rsidRDefault="00ED57CD" w:rsidP="00ED57CD">
      <w:pPr>
        <w:tabs>
          <w:tab w:val="left" w:pos="567"/>
        </w:tabs>
        <w:spacing w:after="0" w:line="260" w:lineRule="exact"/>
        <w:rPr>
          <w:rFonts w:ascii="Times New Roman" w:eastAsia="Times New Roman" w:hAnsi="Times New Roman"/>
        </w:rPr>
      </w:pPr>
      <w:r w:rsidRPr="00ED57CD">
        <w:rPr>
          <w:rFonts w:ascii="Times New Roman" w:eastAsia="Times New Roman" w:hAnsi="Times New Roman"/>
        </w:rPr>
        <w:t xml:space="preserve">SN: {numeris} </w:t>
      </w:r>
    </w:p>
    <w:p w14:paraId="4BCCE545" w14:textId="77777777" w:rsidR="00ED57CD" w:rsidRPr="00ED57CD" w:rsidRDefault="00ED57CD" w:rsidP="00ED57CD">
      <w:pPr>
        <w:tabs>
          <w:tab w:val="left" w:pos="567"/>
        </w:tabs>
        <w:spacing w:after="0" w:line="260" w:lineRule="exact"/>
        <w:rPr>
          <w:rFonts w:ascii="Times New Roman" w:eastAsia="Times New Roman" w:hAnsi="Times New Roman"/>
        </w:rPr>
      </w:pPr>
      <w:r w:rsidRPr="00ED57CD">
        <w:rPr>
          <w:rFonts w:ascii="Times New Roman" w:eastAsia="Times New Roman" w:hAnsi="Times New Roman"/>
          <w:highlight w:val="lightGray"/>
        </w:rPr>
        <w:t>NN: {numeris}</w:t>
      </w:r>
      <w:r w:rsidRPr="00ED57CD">
        <w:rPr>
          <w:rFonts w:ascii="Times New Roman" w:eastAsia="Times New Roman" w:hAnsi="Times New Roman"/>
        </w:rPr>
        <w:t xml:space="preserve"> </w:t>
      </w:r>
    </w:p>
    <w:p w14:paraId="0E8468C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8B5470F" w14:textId="77777777" w:rsidR="00ED57CD" w:rsidRPr="00ED57CD" w:rsidRDefault="00ED57CD" w:rsidP="00ED57C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br w:type="page"/>
      </w:r>
      <w:r w:rsidRPr="00ED57CD">
        <w:rPr>
          <w:rFonts w:ascii="Times New Roman" w:eastAsia="SimSun" w:hAnsi="Times New Roman"/>
          <w:b/>
          <w:lang w:eastAsia="zh-CN"/>
        </w:rPr>
        <w:lastRenderedPageBreak/>
        <w:t>MINIMALI INFORMACIJA ANT LIZDINIŲ PLOKŠTELIŲ ARBA DVISLUOKSNIŲ JUOSTELIŲ</w:t>
      </w:r>
    </w:p>
    <w:p w14:paraId="2D73C1F9" w14:textId="77777777" w:rsidR="00ED57CD" w:rsidRPr="00ED57CD" w:rsidRDefault="00ED57CD" w:rsidP="00ED57C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p>
    <w:p w14:paraId="4CE537C9" w14:textId="77777777" w:rsidR="00ED57CD" w:rsidRPr="00ED57CD" w:rsidRDefault="00ED57CD" w:rsidP="00ED57C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LIZDINĖ PLOKŠTELĖ</w:t>
      </w:r>
    </w:p>
    <w:p w14:paraId="1099FB0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E41042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F4A261D"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1.</w:t>
      </w:r>
      <w:r w:rsidRPr="00ED57CD">
        <w:rPr>
          <w:rFonts w:ascii="Times New Roman" w:eastAsia="SimSun" w:hAnsi="Times New Roman"/>
          <w:b/>
          <w:lang w:eastAsia="zh-CN"/>
        </w:rPr>
        <w:tab/>
      </w:r>
      <w:r w:rsidRPr="00ED57CD">
        <w:rPr>
          <w:rFonts w:ascii="Times New Roman" w:eastAsia="SimSun" w:hAnsi="Times New Roman"/>
          <w:b/>
          <w:caps/>
          <w:lang w:eastAsia="zh-CN"/>
        </w:rPr>
        <w:t>VAISTINIO</w:t>
      </w:r>
      <w:r w:rsidRPr="00ED57CD">
        <w:rPr>
          <w:rFonts w:ascii="Times New Roman" w:eastAsia="SimSun" w:hAnsi="Times New Roman"/>
          <w:b/>
          <w:lang w:eastAsia="zh-CN"/>
        </w:rPr>
        <w:t xml:space="preserve"> PREPARATO PAVADINIMAS</w:t>
      </w:r>
    </w:p>
    <w:p w14:paraId="7AA4F26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4F58C9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30 mg/12,5 mg plėvele dengtos tabletės</w:t>
      </w:r>
    </w:p>
    <w:p w14:paraId="7B1FC89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Zofenoprilio kalcio druska/Hidrochlorotiazidas</w:t>
      </w:r>
    </w:p>
    <w:p w14:paraId="0D5EF7C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F53C29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B5CF107"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2.</w:t>
      </w:r>
      <w:r w:rsidRPr="00ED57CD">
        <w:rPr>
          <w:rFonts w:ascii="Times New Roman" w:eastAsia="SimSun" w:hAnsi="Times New Roman"/>
          <w:b/>
          <w:lang w:eastAsia="zh-CN"/>
        </w:rPr>
        <w:tab/>
      </w:r>
      <w:r w:rsidRPr="00ED57CD">
        <w:rPr>
          <w:rFonts w:ascii="Times New Roman" w:eastAsia="SimSun" w:hAnsi="Times New Roman"/>
          <w:b/>
          <w:caps/>
          <w:lang w:eastAsia="zh-CN"/>
        </w:rPr>
        <w:t>REGISTRUOTOJO pavadinimas</w:t>
      </w:r>
    </w:p>
    <w:p w14:paraId="579748A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CBD1FD"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SIA Ingen Pharma</w:t>
      </w:r>
    </w:p>
    <w:p w14:paraId="6343B92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82278F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D866761" w14:textId="77777777" w:rsidR="00ED57CD" w:rsidRPr="00ED57CD" w:rsidRDefault="00ED57CD" w:rsidP="00ED57CD">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3.</w:t>
      </w:r>
      <w:r w:rsidRPr="00ED57CD">
        <w:rPr>
          <w:rFonts w:ascii="Times New Roman" w:eastAsia="SimSun" w:hAnsi="Times New Roman"/>
          <w:b/>
          <w:lang w:eastAsia="zh-CN"/>
        </w:rPr>
        <w:tab/>
        <w:t>TINKAMUMO LAIKAS</w:t>
      </w:r>
    </w:p>
    <w:p w14:paraId="4838C60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51314C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highlight w:val="lightGray"/>
          <w:lang w:eastAsia="zh-CN"/>
        </w:rPr>
        <w:t>Tinka iki</w:t>
      </w:r>
      <w:r w:rsidRPr="00ED57CD">
        <w:rPr>
          <w:rFonts w:ascii="Times New Roman" w:eastAsia="SimSun" w:hAnsi="Times New Roman"/>
          <w:lang w:eastAsia="zh-CN"/>
        </w:rPr>
        <w:t>/EXP {mm / MMMM}</w:t>
      </w:r>
    </w:p>
    <w:p w14:paraId="0810DC4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9DF5C4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8E4948B"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4.</w:t>
      </w:r>
      <w:r w:rsidRPr="00ED57CD">
        <w:rPr>
          <w:rFonts w:ascii="Times New Roman" w:eastAsia="SimSun" w:hAnsi="Times New Roman"/>
          <w:b/>
          <w:lang w:eastAsia="zh-CN"/>
        </w:rPr>
        <w:tab/>
        <w:t>SERIJOS NUMERIS</w:t>
      </w:r>
    </w:p>
    <w:p w14:paraId="5423768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F8717A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highlight w:val="lightGray"/>
          <w:lang w:eastAsia="zh-CN"/>
        </w:rPr>
        <w:t>Serija</w:t>
      </w:r>
      <w:r w:rsidRPr="00ED57CD">
        <w:rPr>
          <w:rFonts w:ascii="Times New Roman" w:eastAsia="SimSun" w:hAnsi="Times New Roman"/>
          <w:lang w:eastAsia="zh-CN"/>
        </w:rPr>
        <w:t>/Lot</w:t>
      </w:r>
    </w:p>
    <w:p w14:paraId="2CA3FA4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9C532B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D373D72" w14:textId="77777777" w:rsidR="00ED57CD" w:rsidRPr="00ED57CD" w:rsidRDefault="00ED57CD" w:rsidP="00ED57C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ED57CD">
        <w:rPr>
          <w:rFonts w:ascii="Times New Roman" w:eastAsia="SimSun" w:hAnsi="Times New Roman"/>
          <w:b/>
          <w:lang w:eastAsia="zh-CN"/>
        </w:rPr>
        <w:t>5.</w:t>
      </w:r>
      <w:r w:rsidRPr="00ED57CD">
        <w:rPr>
          <w:rFonts w:ascii="Times New Roman" w:eastAsia="SimSun" w:hAnsi="Times New Roman"/>
          <w:b/>
          <w:lang w:eastAsia="zh-CN"/>
        </w:rPr>
        <w:tab/>
        <w:t>KITA</w:t>
      </w:r>
    </w:p>
    <w:p w14:paraId="1B3D034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EB36B80" w14:textId="77777777" w:rsidR="00ED57CD" w:rsidRPr="00ED57CD" w:rsidRDefault="00ED57CD" w:rsidP="00ED57CD">
      <w:pPr>
        <w:tabs>
          <w:tab w:val="left" w:pos="5954"/>
          <w:tab w:val="left" w:pos="6237"/>
          <w:tab w:val="left" w:pos="6663"/>
          <w:tab w:val="left" w:pos="6946"/>
        </w:tabs>
        <w:spacing w:after="0" w:line="240" w:lineRule="auto"/>
        <w:rPr>
          <w:rFonts w:ascii="Times New Roman" w:eastAsia="SimSun" w:hAnsi="Times New Roman"/>
        </w:rPr>
      </w:pPr>
    </w:p>
    <w:p w14:paraId="142FC38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br w:type="page"/>
      </w:r>
      <w:r w:rsidRPr="00ED57CD" w:rsidDel="002C6795">
        <w:rPr>
          <w:rFonts w:ascii="Times New Roman" w:eastAsia="SimSun" w:hAnsi="Times New Roman"/>
          <w:b/>
          <w:lang w:eastAsia="zh-CN"/>
        </w:rPr>
        <w:lastRenderedPageBreak/>
        <w:t xml:space="preserve"> </w:t>
      </w:r>
    </w:p>
    <w:p w14:paraId="076CC41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2ABB37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00FF76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F920B7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0CFD70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07859B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415BFB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168458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83FACB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DD211E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F054C1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945F12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B40CE8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04063AA"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13C614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46D9A1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BBC68E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610260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48FAD6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6FC914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25F0FFC"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F52EA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00BC377"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B. PAKUOTĖS LAPELIS</w:t>
      </w:r>
    </w:p>
    <w:p w14:paraId="4E567D4D" w14:textId="77777777" w:rsidR="00ED57CD" w:rsidRPr="00ED57CD" w:rsidRDefault="00ED57CD" w:rsidP="00ED57CD">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i/>
        </w:rPr>
        <w:br w:type="page"/>
      </w:r>
      <w:r w:rsidRPr="00ED57CD">
        <w:rPr>
          <w:rFonts w:ascii="Times New Roman" w:eastAsia="SimSun" w:hAnsi="Times New Roman"/>
          <w:b/>
          <w:iCs/>
        </w:rPr>
        <w:lastRenderedPageBreak/>
        <w:t>Pakuotės lapelis: informacija vartotojui</w:t>
      </w:r>
    </w:p>
    <w:p w14:paraId="6711E157" w14:textId="77777777" w:rsidR="00ED57CD" w:rsidRPr="00ED57CD" w:rsidRDefault="00ED57CD" w:rsidP="00ED57CD">
      <w:pPr>
        <w:tabs>
          <w:tab w:val="left" w:pos="567"/>
        </w:tabs>
        <w:spacing w:after="0" w:line="240" w:lineRule="auto"/>
        <w:jc w:val="center"/>
        <w:rPr>
          <w:rFonts w:ascii="Times New Roman" w:eastAsia="SimSun" w:hAnsi="Times New Roman"/>
          <w:b/>
          <w:lang w:eastAsia="zh-CN"/>
        </w:rPr>
      </w:pPr>
    </w:p>
    <w:p w14:paraId="33FEB5CD" w14:textId="77777777" w:rsidR="00ED57CD" w:rsidRPr="00ED57CD" w:rsidRDefault="00ED57CD" w:rsidP="00ED57CD">
      <w:pPr>
        <w:tabs>
          <w:tab w:val="left" w:pos="567"/>
        </w:tabs>
        <w:spacing w:after="0" w:line="240" w:lineRule="auto"/>
        <w:jc w:val="center"/>
        <w:rPr>
          <w:rFonts w:ascii="Times New Roman" w:eastAsia="SimSun" w:hAnsi="Times New Roman"/>
          <w:b/>
          <w:highlight w:val="lightGray"/>
          <w:lang w:eastAsia="zh-CN"/>
        </w:rPr>
      </w:pPr>
      <w:r w:rsidRPr="00ED57CD">
        <w:rPr>
          <w:rFonts w:ascii="Times New Roman" w:eastAsia="SimSun" w:hAnsi="Times New Roman"/>
          <w:b/>
          <w:lang w:eastAsia="zh-CN"/>
        </w:rPr>
        <w:t>Zofenopril / Hydrochlorothiazide Ingen Pharma 30 mg/12,5 mg plėvele dengtos tabletės</w:t>
      </w:r>
    </w:p>
    <w:p w14:paraId="4D91423A" w14:textId="4FDF0F14" w:rsidR="00ED57CD" w:rsidRPr="00ED57CD" w:rsidRDefault="00B24ADD" w:rsidP="00ED57CD">
      <w:pPr>
        <w:tabs>
          <w:tab w:val="left" w:pos="567"/>
        </w:tabs>
        <w:spacing w:after="0" w:line="240" w:lineRule="auto"/>
        <w:jc w:val="center"/>
        <w:rPr>
          <w:rFonts w:ascii="Times New Roman" w:eastAsia="SimSun" w:hAnsi="Times New Roman"/>
          <w:lang w:eastAsia="zh-CN"/>
        </w:rPr>
      </w:pPr>
      <w:r>
        <w:rPr>
          <w:rFonts w:ascii="Times New Roman" w:eastAsia="SimSun" w:hAnsi="Times New Roman"/>
          <w:lang w:eastAsia="zh-CN"/>
        </w:rPr>
        <w:t>z</w:t>
      </w:r>
      <w:r w:rsidR="00ED57CD" w:rsidRPr="00ED57CD">
        <w:rPr>
          <w:rFonts w:ascii="Times New Roman" w:eastAsia="SimSun" w:hAnsi="Times New Roman"/>
          <w:lang w:eastAsia="zh-CN"/>
        </w:rPr>
        <w:t>ofenoprilio kalcio druska/</w:t>
      </w:r>
      <w:r>
        <w:rPr>
          <w:rFonts w:ascii="Times New Roman" w:eastAsia="SimSun" w:hAnsi="Times New Roman"/>
          <w:lang w:eastAsia="zh-CN"/>
        </w:rPr>
        <w:t>h</w:t>
      </w:r>
      <w:r w:rsidR="00ED57CD" w:rsidRPr="00ED57CD">
        <w:rPr>
          <w:rFonts w:ascii="Times New Roman" w:eastAsia="SimSun" w:hAnsi="Times New Roman"/>
          <w:lang w:eastAsia="zh-CN"/>
        </w:rPr>
        <w:t>idrochlorotiazidas</w:t>
      </w:r>
    </w:p>
    <w:p w14:paraId="58A6933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96AB79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E12EDEE" w14:textId="77777777" w:rsidR="00ED57CD" w:rsidRPr="00ED57CD" w:rsidRDefault="00ED57CD" w:rsidP="00ED57CD">
      <w:pPr>
        <w:suppressAutoHyphens/>
        <w:spacing w:after="0" w:line="240" w:lineRule="auto"/>
        <w:rPr>
          <w:rFonts w:ascii="Times New Roman" w:eastAsia="SimSun" w:hAnsi="Times New Roman"/>
          <w:lang w:eastAsia="zh-CN"/>
        </w:rPr>
      </w:pPr>
      <w:r w:rsidRPr="00ED57CD">
        <w:rPr>
          <w:rFonts w:ascii="Times New Roman" w:eastAsia="SimSun" w:hAnsi="Times New Roman"/>
          <w:b/>
          <w:lang w:eastAsia="zh-CN"/>
        </w:rPr>
        <w:t>Atidžiai perskaitykite visą šį lapelį, prieš pradėdami vartoti vaistą, nes jame pateikiama Jums svarbi informacija.</w:t>
      </w:r>
    </w:p>
    <w:p w14:paraId="173EB2E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Neišmeskite šio lapelio, nes vėl gali prireikti jį perskaityti.</w:t>
      </w:r>
    </w:p>
    <w:p w14:paraId="5B613F66"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Jeigu kiltų daugiau klausimų, kreipkitės į gydytoją arba vaistininką.</w:t>
      </w:r>
    </w:p>
    <w:p w14:paraId="3CCA07D8"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Šis vaistas skirtas tik Jums, todėl kitiems žmonėms jo duoti negalima. Vaistas gali jiems pakenkti (net tiems, kurių ligos požymiai yra tokie patys kaip Jūsų).</w:t>
      </w:r>
    </w:p>
    <w:p w14:paraId="2D9BB081"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Jeigu pasireiškė šalutinis poveikis (net jeigu jis šiame lapelyje nenurodytas), kreipkitės į gydytoją arba vaistininką. Žr. 4 skyrių.</w:t>
      </w:r>
    </w:p>
    <w:p w14:paraId="48CEFFD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8396658"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Apie ką rašoma šiame lapelyje?</w:t>
      </w:r>
    </w:p>
    <w:p w14:paraId="5D18213F"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bCs/>
          <w:color w:val="000000"/>
          <w:lang w:eastAsia="zh-CN"/>
        </w:rPr>
      </w:pPr>
    </w:p>
    <w:p w14:paraId="01C06195"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1.</w:t>
      </w:r>
      <w:r w:rsidRPr="00ED57CD">
        <w:rPr>
          <w:rFonts w:ascii="Times New Roman" w:eastAsia="SimSun" w:hAnsi="Times New Roman"/>
          <w:lang w:eastAsia="zh-CN"/>
        </w:rPr>
        <w:tab/>
        <w:t>Kas yra Zofenopril / Hydrochlorothiazide Ingen Pharma ir kam jis vartojamas</w:t>
      </w:r>
    </w:p>
    <w:p w14:paraId="4C6C2FA0"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2.</w:t>
      </w:r>
      <w:r w:rsidRPr="00ED57CD">
        <w:rPr>
          <w:rFonts w:ascii="Times New Roman" w:eastAsia="SimSun" w:hAnsi="Times New Roman"/>
          <w:lang w:eastAsia="zh-CN"/>
        </w:rPr>
        <w:tab/>
        <w:t>Kas žinotina prieš vartojant Zofenopril / Hydrochlorothiazide Ingen Pharma</w:t>
      </w:r>
    </w:p>
    <w:p w14:paraId="6D6BE431"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3.</w:t>
      </w:r>
      <w:r w:rsidRPr="00ED57CD">
        <w:rPr>
          <w:rFonts w:ascii="Times New Roman" w:eastAsia="SimSun" w:hAnsi="Times New Roman"/>
          <w:lang w:eastAsia="zh-CN"/>
        </w:rPr>
        <w:tab/>
        <w:t>Kaip vartoti Zofenopril / Hydrochlorothiazide Ingen Pharma</w:t>
      </w:r>
    </w:p>
    <w:p w14:paraId="5F1E1F30"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4.</w:t>
      </w:r>
      <w:r w:rsidRPr="00ED57CD">
        <w:rPr>
          <w:rFonts w:ascii="Times New Roman" w:eastAsia="SimSun" w:hAnsi="Times New Roman"/>
          <w:lang w:eastAsia="zh-CN"/>
        </w:rPr>
        <w:tab/>
        <w:t>Galimas šalutinis poveikis</w:t>
      </w:r>
    </w:p>
    <w:p w14:paraId="219F6A27"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5.</w:t>
      </w:r>
      <w:r w:rsidRPr="00ED57CD">
        <w:rPr>
          <w:rFonts w:ascii="Times New Roman" w:eastAsia="SimSun" w:hAnsi="Times New Roman"/>
          <w:lang w:eastAsia="zh-CN"/>
        </w:rPr>
        <w:tab/>
        <w:t>Kaip laikyti Zofenopril / Hydrochlorothiazide Ingen Pharma</w:t>
      </w:r>
    </w:p>
    <w:p w14:paraId="7BB81B5A"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lang w:eastAsia="zh-CN"/>
        </w:rPr>
        <w:t>6.</w:t>
      </w:r>
      <w:r w:rsidRPr="00ED57CD">
        <w:rPr>
          <w:rFonts w:ascii="Times New Roman" w:eastAsia="SimSun" w:hAnsi="Times New Roman"/>
          <w:lang w:eastAsia="zh-CN"/>
        </w:rPr>
        <w:tab/>
      </w:r>
      <w:r w:rsidRPr="00ED57CD">
        <w:rPr>
          <w:rFonts w:ascii="Times New Roman" w:eastAsia="SimSun" w:hAnsi="Times New Roman"/>
          <w:color w:val="000000"/>
          <w:lang w:eastAsia="zh-CN"/>
        </w:rPr>
        <w:t>Pakuotės turinys ir kita informacija</w:t>
      </w:r>
    </w:p>
    <w:p w14:paraId="60FE4CF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6DAC67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1FD9CCC"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57" w:name="_Toc129243139"/>
      <w:bookmarkStart w:id="58" w:name="_Toc129243264"/>
      <w:r w:rsidRPr="00ED57CD">
        <w:rPr>
          <w:rFonts w:ascii="Times New Roman" w:eastAsia="SimSun" w:hAnsi="Times New Roman"/>
          <w:b/>
          <w:lang w:eastAsia="zh-CN"/>
        </w:rPr>
        <w:t>1.</w:t>
      </w:r>
      <w:r w:rsidRPr="00ED57CD">
        <w:rPr>
          <w:rFonts w:ascii="Times New Roman" w:eastAsia="SimSun" w:hAnsi="Times New Roman"/>
          <w:b/>
          <w:lang w:eastAsia="zh-CN"/>
        </w:rPr>
        <w:tab/>
        <w:t>Kas yra Zofenopril / Hydrochlorothiazide Ingen Pharma ir kam jis vartojamas</w:t>
      </w:r>
      <w:bookmarkEnd w:id="57"/>
      <w:bookmarkEnd w:id="58"/>
    </w:p>
    <w:p w14:paraId="597533D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051E6D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w:t>
      </w:r>
      <w:r w:rsidRPr="00ED57CD">
        <w:rPr>
          <w:rFonts w:ascii="Times New Roman" w:hAnsi="Times New Roman"/>
        </w:rPr>
        <w:t> </w:t>
      </w:r>
      <w:r w:rsidRPr="00ED57CD">
        <w:rPr>
          <w:rFonts w:ascii="Times New Roman" w:eastAsia="SimSun" w:hAnsi="Times New Roman"/>
          <w:lang w:eastAsia="zh-CN"/>
        </w:rPr>
        <w:t xml:space="preserve">Hydrochlorothiazide Ingen Pharma sudėtyje yra veikliųjų medžiagų: 30 mg zofenoprilio kalcio druskos ir 12,5 mg hidrochlorotiazido. </w:t>
      </w:r>
    </w:p>
    <w:p w14:paraId="6111A0FE" w14:textId="77777777" w:rsidR="00ED57CD" w:rsidRPr="00ED57CD" w:rsidRDefault="00ED57CD" w:rsidP="00ED57CD">
      <w:pPr>
        <w:numPr>
          <w:ilvl w:val="0"/>
          <w:numId w:val="5"/>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Zofenoprilio kalcio druska yra širdies ir kraujagyslių sistemą veikiantis vaistas, priklausantis vaistų, kurie vadinami angiotenziną konvertuojančio fermento (AKF) inhibitoriai, grupei.</w:t>
      </w:r>
    </w:p>
    <w:p w14:paraId="7C5A16C6" w14:textId="77777777" w:rsidR="00ED57CD" w:rsidRPr="00ED57CD" w:rsidRDefault="00ED57CD" w:rsidP="00ED57CD">
      <w:pPr>
        <w:numPr>
          <w:ilvl w:val="0"/>
          <w:numId w:val="5"/>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Hidrochlorotiazidas yra diuretikas, kuris didina šlapimo išsiskyrimą iš organizmo.</w:t>
      </w:r>
    </w:p>
    <w:p w14:paraId="2728A4BD" w14:textId="77777777" w:rsidR="00ED57CD" w:rsidRPr="00ED57CD" w:rsidRDefault="00ED57CD" w:rsidP="00ED57CD">
      <w:pPr>
        <w:spacing w:after="0" w:line="240" w:lineRule="auto"/>
        <w:contextualSpacing/>
        <w:rPr>
          <w:rFonts w:ascii="Times New Roman" w:eastAsia="SimSun" w:hAnsi="Times New Roman"/>
        </w:rPr>
      </w:pPr>
    </w:p>
    <w:p w14:paraId="5D44B56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vartojamas gydyti lengvai arba vidutinio sunkumo padidėjusio kraujospūdžio ligai (pirminei hipertenzijai), kai jos nepavyksta sureguliuoti vartojant tik zofenoprilio.</w:t>
      </w:r>
    </w:p>
    <w:p w14:paraId="2FF0535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1B8F98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04AA018"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59" w:name="_Toc129243140"/>
      <w:bookmarkStart w:id="60" w:name="_Toc129243265"/>
      <w:r w:rsidRPr="00ED57CD">
        <w:rPr>
          <w:rFonts w:ascii="Times New Roman" w:eastAsia="SimSun" w:hAnsi="Times New Roman"/>
          <w:b/>
          <w:lang w:eastAsia="zh-CN"/>
        </w:rPr>
        <w:t>2.</w:t>
      </w:r>
      <w:r w:rsidRPr="00ED57CD">
        <w:rPr>
          <w:rFonts w:ascii="Times New Roman" w:eastAsia="SimSun" w:hAnsi="Times New Roman"/>
          <w:b/>
          <w:lang w:eastAsia="zh-CN"/>
        </w:rPr>
        <w:tab/>
        <w:t xml:space="preserve">Kas žinotina prieš vartojant </w:t>
      </w:r>
      <w:bookmarkEnd w:id="59"/>
      <w:bookmarkEnd w:id="60"/>
      <w:r w:rsidRPr="00ED57CD">
        <w:rPr>
          <w:rFonts w:ascii="Times New Roman" w:eastAsia="SimSun" w:hAnsi="Times New Roman"/>
          <w:b/>
          <w:lang w:eastAsia="zh-CN"/>
        </w:rPr>
        <w:t>Zofenopril / Hydrochlorothiazide Ingen Pharma</w:t>
      </w:r>
    </w:p>
    <w:p w14:paraId="69EC749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F417D5A" w14:textId="1B07B4A1"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 xml:space="preserve">Zofenopril / Hydrochlorothiazide Ingen Pharma vartoti </w:t>
      </w:r>
      <w:r w:rsidR="00B24ADD">
        <w:rPr>
          <w:rFonts w:ascii="Times New Roman" w:eastAsia="SimSun" w:hAnsi="Times New Roman"/>
          <w:b/>
          <w:lang w:eastAsia="zh-CN"/>
        </w:rPr>
        <w:t>draudžiama</w:t>
      </w:r>
      <w:r w:rsidRPr="00ED57CD">
        <w:rPr>
          <w:rFonts w:ascii="Times New Roman" w:eastAsia="SimSun" w:hAnsi="Times New Roman"/>
          <w:b/>
          <w:lang w:eastAsia="zh-CN"/>
        </w:rPr>
        <w:t>:</w:t>
      </w:r>
    </w:p>
    <w:p w14:paraId="7E72BDE2"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nustatytas didesnis nei trijų mėnesių nėštumas (geriau Zofenopril / Hydrochlorothiazide Ingen Pharma vengti vartoti ir ankstyvuoju nėštumo laikotarpiu, žr. sk. „Nėštumas“);</w:t>
      </w:r>
    </w:p>
    <w:p w14:paraId="12EB7F4A"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yra alergija veikliosioms medžiagoms arba bet kuriai pagalbinei šio vaisto medžiagai (jos išvardytos 6 skyriuje);</w:t>
      </w:r>
    </w:p>
    <w:p w14:paraId="6F7EFAD8"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anksčiau pasireiškė alergija sulfonamidų grupės vaistams (panašiems kaip hidrochlorotiazidas, kuris priklauso šiai vaistų grupei);</w:t>
      </w:r>
    </w:p>
    <w:p w14:paraId="756A1CD0"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 anksčiau pasireiškė alergija kitiems AKF inhibitoriams, pvz., kaptopriliui arba enalapriliui;</w:t>
      </w:r>
    </w:p>
    <w:p w14:paraId="02E04A95"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Jums buvo sunkus veido, nosies ir ryklės patinimas ir niežėjimas (angioneurozinė edema), susijusi su AKF inhibitorių vartojimu arba sergate paveldima (idiopatine) angioneurozine edema (staigus odos, audinių, virškinimo trakto ir kitų organų patinimas);</w:t>
      </w:r>
    </w:p>
    <w:p w14:paraId="7199E2B5"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Jums nustatyta sunki kepenų arba inkstų liga;</w:t>
      </w:r>
    </w:p>
    <w:p w14:paraId="379B3CE2"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Jums nustatytas abiejų inkstų arterijų susiaurėjimas;</w:t>
      </w:r>
    </w:p>
    <w:p w14:paraId="597B6FB5" w14:textId="77777777" w:rsidR="00ED57CD" w:rsidRPr="00ED57CD" w:rsidRDefault="00ED57CD" w:rsidP="00ED57CD">
      <w:pPr>
        <w:numPr>
          <w:ilvl w:val="0"/>
          <w:numId w:val="11"/>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Jūs sergate cukriniu diabetu arba Jūsų inkstų veikla sutrikusi ir Jums skirta vartoti kraujospūdį </w:t>
      </w:r>
      <w:r w:rsidRPr="00ED57CD">
        <w:rPr>
          <w:rFonts w:ascii="Times New Roman" w:eastAsia="SimSun" w:hAnsi="Times New Roman"/>
          <w:iCs/>
          <w:lang w:eastAsia="zh-CN"/>
        </w:rPr>
        <w:t>mažinančio vaisto, kurio sudėtyje yra aliskireno.</w:t>
      </w:r>
    </w:p>
    <w:p w14:paraId="6F79692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FC3639F"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Įspėjimai ir atsargumo priemonės</w:t>
      </w:r>
    </w:p>
    <w:p w14:paraId="25D180A3" w14:textId="7FFC52CF" w:rsid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Pasitarkite su gydytoju, prieš pradėdami vartoti Zofenopril / Hydrochlorothiazide Ingen Pharma:</w:t>
      </w:r>
    </w:p>
    <w:p w14:paraId="4358EBF4" w14:textId="578A6E3D" w:rsidR="00B24ADD" w:rsidRPr="00B24ADD" w:rsidRDefault="00B24ADD" w:rsidP="00B24ADD">
      <w:pPr>
        <w:numPr>
          <w:ilvl w:val="0"/>
          <w:numId w:val="18"/>
        </w:numPr>
        <w:tabs>
          <w:tab w:val="left" w:pos="540"/>
        </w:tabs>
        <w:spacing w:after="0" w:line="240" w:lineRule="auto"/>
        <w:ind w:left="540" w:hanging="540"/>
        <w:rPr>
          <w:rFonts w:ascii="Times New Roman" w:hAnsi="Times New Roman"/>
        </w:rPr>
      </w:pPr>
      <w:r w:rsidRPr="00B24ADD">
        <w:rPr>
          <w:rFonts w:ascii="Times New Roman" w:hAnsi="Times New Roman"/>
        </w:rPr>
        <w:t xml:space="preserve">jeigu praeityje pavartojus hidrochlorotiazido, Jums pasireiškė kvėpavimo ar plaučių veiklos sutrikimų (įskaitant plaučių uždegimą ar skysčio susidarymą juose). Jeigu pavartojus </w:t>
      </w:r>
      <w:r w:rsidRPr="00ED57CD">
        <w:rPr>
          <w:rFonts w:ascii="Times New Roman" w:eastAsia="SimSun" w:hAnsi="Times New Roman"/>
          <w:lang w:eastAsia="zh-CN"/>
        </w:rPr>
        <w:t>Zofenopril</w:t>
      </w:r>
      <w:r>
        <w:rPr>
          <w:rFonts w:ascii="Times New Roman" w:eastAsia="SimSun" w:hAnsi="Times New Roman"/>
          <w:lang w:eastAsia="zh-CN"/>
        </w:rPr>
        <w:t> </w:t>
      </w:r>
      <w:r w:rsidRPr="00ED57CD">
        <w:rPr>
          <w:rFonts w:ascii="Times New Roman" w:eastAsia="SimSun" w:hAnsi="Times New Roman"/>
          <w:lang w:eastAsia="zh-CN"/>
        </w:rPr>
        <w:t>/ Hydrochlorothiazide Ingen Pharma</w:t>
      </w:r>
      <w:r w:rsidRPr="00B24ADD">
        <w:rPr>
          <w:rFonts w:ascii="Times New Roman" w:hAnsi="Times New Roman"/>
        </w:rPr>
        <w:t xml:space="preserve"> Jums pasireikštų stiprus dusulys arba kvėpavimo sunkumų, nedelsdami kreipkitės medicininės pagalbos;</w:t>
      </w:r>
    </w:p>
    <w:p w14:paraId="7140B7B1"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Zofenopril / Hydrochlorothiazide Ingen Pharma, saugokite savo odą nuo saulės ir ultravioletinių spindulių;</w:t>
      </w:r>
    </w:p>
    <w:p w14:paraId="5AD3F045" w14:textId="77777777" w:rsidR="00ED57CD" w:rsidRPr="00ED57CD" w:rsidRDefault="00ED57CD" w:rsidP="00ED57CD">
      <w:pPr>
        <w:numPr>
          <w:ilvl w:val="0"/>
          <w:numId w:val="12"/>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yra </w:t>
      </w:r>
      <w:r w:rsidRPr="00ED57CD">
        <w:rPr>
          <w:rFonts w:ascii="Times New Roman" w:eastAsia="SimSun" w:hAnsi="Times New Roman"/>
          <w:b/>
        </w:rPr>
        <w:t>sutrikusi inkstų ar kepenų veikla</w:t>
      </w:r>
      <w:r w:rsidRPr="00ED57CD">
        <w:rPr>
          <w:rFonts w:ascii="Times New Roman" w:eastAsia="SimSun" w:hAnsi="Times New Roman"/>
        </w:rPr>
        <w:t>;</w:t>
      </w:r>
    </w:p>
    <w:p w14:paraId="0FB5615C"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kraujospūdis padidėjęs dėl inkstų ligos arba dėl susiaurėjusių inkstų arterijų (renovaskulinė hipertenzija);</w:t>
      </w:r>
    </w:p>
    <w:p w14:paraId="3C64B52D"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neseniai </w:t>
      </w:r>
      <w:r w:rsidRPr="00ED57CD">
        <w:rPr>
          <w:rFonts w:ascii="Times New Roman" w:eastAsia="SimSun" w:hAnsi="Times New Roman"/>
          <w:b/>
          <w:lang w:eastAsia="zh-CN"/>
        </w:rPr>
        <w:t>persodintas inkstas</w:t>
      </w:r>
      <w:r w:rsidRPr="00ED57CD">
        <w:rPr>
          <w:rFonts w:ascii="Times New Roman" w:eastAsia="SimSun" w:hAnsi="Times New Roman"/>
          <w:lang w:eastAsia="zh-CN"/>
        </w:rPr>
        <w:t>;</w:t>
      </w:r>
    </w:p>
    <w:p w14:paraId="7E87665F"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taikoma </w:t>
      </w:r>
      <w:r w:rsidRPr="00ED57CD">
        <w:rPr>
          <w:rFonts w:ascii="Times New Roman" w:eastAsia="SimSun" w:hAnsi="Times New Roman"/>
          <w:b/>
          <w:lang w:eastAsia="zh-CN"/>
        </w:rPr>
        <w:t>hemodializė</w:t>
      </w:r>
      <w:r w:rsidRPr="00ED57CD">
        <w:rPr>
          <w:rFonts w:ascii="Times New Roman" w:eastAsia="SimSun" w:hAnsi="Times New Roman"/>
          <w:lang w:eastAsia="zh-CN"/>
        </w:rPr>
        <w:t>;</w:t>
      </w:r>
    </w:p>
    <w:p w14:paraId="2B6F4159"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taikoma </w:t>
      </w:r>
      <w:r w:rsidRPr="00ED57CD">
        <w:rPr>
          <w:rFonts w:ascii="Times New Roman" w:eastAsia="SimSun" w:hAnsi="Times New Roman"/>
          <w:b/>
          <w:lang w:eastAsia="zh-CN"/>
        </w:rPr>
        <w:t>MTL aferezė</w:t>
      </w:r>
      <w:r w:rsidRPr="00ED57CD">
        <w:rPr>
          <w:rFonts w:ascii="Times New Roman" w:eastAsia="SimSun" w:hAnsi="Times New Roman"/>
          <w:lang w:eastAsia="zh-CN"/>
        </w:rPr>
        <w:t xml:space="preserve"> (procedūra panaši į hemodializę, kurios dėka iš kraujo pašalinamas kenksmingas cholesterolis);</w:t>
      </w:r>
    </w:p>
    <w:p w14:paraId="662AD077"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w:t>
      </w:r>
      <w:r w:rsidRPr="00ED57CD">
        <w:rPr>
          <w:rFonts w:ascii="Times New Roman" w:eastAsia="SimSun" w:hAnsi="Times New Roman"/>
          <w:b/>
          <w:lang w:eastAsia="zh-CN"/>
        </w:rPr>
        <w:t>padidėjęs hormono aldosterono kiekis</w:t>
      </w:r>
      <w:r w:rsidRPr="00ED57CD">
        <w:rPr>
          <w:rFonts w:ascii="Times New Roman" w:eastAsia="SimSun" w:hAnsi="Times New Roman"/>
          <w:lang w:eastAsia="zh-CN"/>
        </w:rPr>
        <w:t xml:space="preserve"> Jūsų kraujyje (pirminis aldosteronizmas);</w:t>
      </w:r>
    </w:p>
    <w:p w14:paraId="138C5CF8"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w:t>
      </w:r>
      <w:r w:rsidRPr="00ED57CD">
        <w:rPr>
          <w:rFonts w:ascii="Times New Roman" w:eastAsia="SimSun" w:hAnsi="Times New Roman"/>
          <w:b/>
          <w:lang w:eastAsia="zh-CN"/>
        </w:rPr>
        <w:t>susiaurėjęs širdies vožtuvas</w:t>
      </w:r>
      <w:r w:rsidRPr="00ED57CD">
        <w:rPr>
          <w:rFonts w:ascii="Times New Roman" w:eastAsia="SimSun" w:hAnsi="Times New Roman"/>
          <w:lang w:eastAsia="zh-CN"/>
        </w:rPr>
        <w:t xml:space="preserve"> (aortos stenozė) arba sustorėjusios širdies sienelės (hipertrofinė kardiomiopatija);</w:t>
      </w:r>
    </w:p>
    <w:p w14:paraId="0AD7539D" w14:textId="77777777" w:rsidR="00ED57CD" w:rsidRPr="00ED57CD" w:rsidRDefault="00ED57CD" w:rsidP="00ED57CD">
      <w:pPr>
        <w:numPr>
          <w:ilvl w:val="0"/>
          <w:numId w:val="1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sirgote ar sergate </w:t>
      </w:r>
      <w:r w:rsidRPr="00ED57CD">
        <w:rPr>
          <w:rFonts w:ascii="Times New Roman" w:eastAsia="SimSun" w:hAnsi="Times New Roman"/>
          <w:b/>
          <w:lang w:eastAsia="zh-CN"/>
        </w:rPr>
        <w:t>psoriaze</w:t>
      </w:r>
      <w:r w:rsidRPr="00ED57CD">
        <w:rPr>
          <w:rFonts w:ascii="Times New Roman" w:eastAsia="SimSun" w:hAnsi="Times New Roman"/>
          <w:lang w:eastAsia="zh-CN"/>
        </w:rPr>
        <w:t xml:space="preserve"> (odos liga, kai atsiranda pleiskanojančių rožinių dėmelių);</w:t>
      </w:r>
    </w:p>
    <w:p w14:paraId="01AF6663" w14:textId="77777777" w:rsidR="00ED57CD" w:rsidRPr="00ED57CD" w:rsidRDefault="00ED57CD" w:rsidP="00ED57CD">
      <w:pPr>
        <w:numPr>
          <w:ilvl w:val="0"/>
          <w:numId w:val="6"/>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švirkščiami </w:t>
      </w:r>
      <w:r w:rsidRPr="00ED57CD">
        <w:rPr>
          <w:rFonts w:ascii="Times New Roman" w:eastAsia="SimSun" w:hAnsi="Times New Roman"/>
          <w:b/>
          <w:lang w:eastAsia="zh-CN"/>
        </w:rPr>
        <w:t>jautrumą mažinantys</w:t>
      </w:r>
      <w:r w:rsidRPr="00ED57CD">
        <w:rPr>
          <w:rFonts w:ascii="Times New Roman" w:eastAsia="SimSun" w:hAnsi="Times New Roman"/>
          <w:lang w:eastAsia="zh-CN"/>
        </w:rPr>
        <w:t xml:space="preserve"> vaistai („injekcijos nuo alergijos“) po vabzdžių įgėlimo;</w:t>
      </w:r>
    </w:p>
    <w:p w14:paraId="40F787DB" w14:textId="77777777" w:rsidR="00ED57CD" w:rsidRPr="00ED57CD" w:rsidRDefault="00ED57CD" w:rsidP="00ED57CD">
      <w:pPr>
        <w:numPr>
          <w:ilvl w:val="0"/>
          <w:numId w:val="12"/>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sergate </w:t>
      </w:r>
      <w:r w:rsidRPr="00ED57CD">
        <w:rPr>
          <w:rFonts w:ascii="Times New Roman" w:eastAsia="SimSun" w:hAnsi="Times New Roman"/>
          <w:b/>
        </w:rPr>
        <w:t>raudonąja vilklige</w:t>
      </w:r>
      <w:r w:rsidRPr="00ED57CD">
        <w:rPr>
          <w:rFonts w:ascii="Times New Roman" w:eastAsia="SimSun" w:hAnsi="Times New Roman"/>
        </w:rPr>
        <w:t xml:space="preserve"> (Jūsų organizmą saugančios imuninės sistemos liga);</w:t>
      </w:r>
    </w:p>
    <w:p w14:paraId="7323B69F" w14:textId="77777777" w:rsidR="00ED57CD" w:rsidRPr="00ED57CD" w:rsidRDefault="00ED57CD" w:rsidP="00ED57CD">
      <w:pPr>
        <w:numPr>
          <w:ilvl w:val="0"/>
          <w:numId w:val="12"/>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yra polinkis </w:t>
      </w:r>
      <w:r w:rsidRPr="00ED57CD">
        <w:rPr>
          <w:rFonts w:ascii="Times New Roman" w:eastAsia="SimSun" w:hAnsi="Times New Roman"/>
          <w:b/>
        </w:rPr>
        <w:t>kalio kiekiui</w:t>
      </w:r>
      <w:r w:rsidRPr="00ED57CD">
        <w:rPr>
          <w:rFonts w:ascii="Times New Roman" w:eastAsia="SimSun" w:hAnsi="Times New Roman"/>
        </w:rPr>
        <w:t xml:space="preserve"> kraujyje sumažėti ir ypač jeigu sergate pailgėjusio QT sindromu (EKG pokytis) arba jeigu vartojate rusmenės (digitalio) glikozidus (padedančius širdies veiklai);</w:t>
      </w:r>
    </w:p>
    <w:p w14:paraId="3C21EF58" w14:textId="77777777" w:rsidR="00ED57CD" w:rsidRPr="00ED57CD" w:rsidRDefault="00ED57CD" w:rsidP="00ED57CD">
      <w:pPr>
        <w:numPr>
          <w:ilvl w:val="0"/>
          <w:numId w:val="12"/>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sergate </w:t>
      </w:r>
      <w:r w:rsidRPr="00ED57CD">
        <w:rPr>
          <w:rFonts w:ascii="Times New Roman" w:eastAsia="SimSun" w:hAnsi="Times New Roman"/>
          <w:b/>
        </w:rPr>
        <w:t>cukriniu diabetu</w:t>
      </w:r>
      <w:r w:rsidRPr="00ED57CD">
        <w:rPr>
          <w:rFonts w:ascii="Times New Roman" w:eastAsia="SimSun" w:hAnsi="Times New Roman"/>
        </w:rPr>
        <w:t>;</w:t>
      </w:r>
    </w:p>
    <w:p w14:paraId="7CE7C6ED" w14:textId="77777777" w:rsidR="00ED57CD" w:rsidRPr="00ED57CD" w:rsidRDefault="00ED57CD" w:rsidP="00ED57CD">
      <w:pPr>
        <w:numPr>
          <w:ilvl w:val="0"/>
          <w:numId w:val="12"/>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jeigu sergate krūtinės angina arba galvos smegenis pažeidžiančiomis ligomis, nes sumažėjęs kraujospūdis gali sukelti miokardo infarktą arba insultą;</w:t>
      </w:r>
    </w:p>
    <w:p w14:paraId="62C768A2" w14:textId="77777777" w:rsidR="00ED57CD" w:rsidRPr="00ED57CD" w:rsidRDefault="00ED57CD" w:rsidP="00ED57CD">
      <w:pPr>
        <w:numPr>
          <w:ilvl w:val="0"/>
          <w:numId w:val="12"/>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iCs/>
          <w:color w:val="000000"/>
          <w:lang w:eastAsia="lt-LT"/>
        </w:rPr>
        <w:t>jeigu vartojate kurio nors iš šių vaistų padidėjusiam kraujospūdžiui gydyti:</w:t>
      </w:r>
    </w:p>
    <w:p w14:paraId="1705F67B" w14:textId="77777777" w:rsidR="00ED57CD" w:rsidRPr="00ED57CD" w:rsidRDefault="00ED57CD" w:rsidP="00ED57CD">
      <w:pPr>
        <w:numPr>
          <w:ilvl w:val="0"/>
          <w:numId w:val="12"/>
        </w:numPr>
        <w:tabs>
          <w:tab w:val="left" w:pos="567"/>
          <w:tab w:val="num" w:pos="900"/>
        </w:tabs>
        <w:spacing w:after="0" w:line="240" w:lineRule="auto"/>
        <w:ind w:left="900" w:hanging="360"/>
        <w:contextualSpacing/>
        <w:rPr>
          <w:rFonts w:ascii="Times New Roman" w:eastAsia="SimSun" w:hAnsi="Times New Roman"/>
        </w:rPr>
      </w:pPr>
      <w:r w:rsidRPr="00ED57CD">
        <w:rPr>
          <w:rFonts w:ascii="Times New Roman" w:eastAsia="SimSun" w:hAnsi="Times New Roman"/>
          <w:iCs/>
        </w:rPr>
        <w:t>angiotenzino II receptorių blokatorių (ARB) (vadinamojo sartano, pavyzdžiui, valsartano, telmisartano, irbesartano), ypač jei turite su diabetu susijusių inkstų sutrikimų;</w:t>
      </w:r>
    </w:p>
    <w:p w14:paraId="5ACD882D" w14:textId="77777777" w:rsidR="00ED57CD" w:rsidRPr="00ED57CD" w:rsidRDefault="00ED57CD" w:rsidP="00ED57CD">
      <w:pPr>
        <w:numPr>
          <w:ilvl w:val="0"/>
          <w:numId w:val="12"/>
        </w:numPr>
        <w:tabs>
          <w:tab w:val="left" w:pos="567"/>
          <w:tab w:val="num" w:pos="900"/>
        </w:tabs>
        <w:spacing w:after="0" w:line="240" w:lineRule="auto"/>
        <w:ind w:left="900" w:hanging="360"/>
        <w:contextualSpacing/>
        <w:rPr>
          <w:rFonts w:ascii="Times New Roman" w:eastAsia="SimSun" w:hAnsi="Times New Roman"/>
        </w:rPr>
      </w:pPr>
      <w:r w:rsidRPr="00ED57CD">
        <w:rPr>
          <w:rFonts w:ascii="Times New Roman" w:eastAsia="SimSun" w:hAnsi="Times New Roman"/>
          <w:iCs/>
          <w:color w:val="000000"/>
          <w:lang w:eastAsia="lt-LT"/>
        </w:rPr>
        <w:t>aliskireno.</w:t>
      </w:r>
    </w:p>
    <w:p w14:paraId="19EE08BB" w14:textId="77777777" w:rsidR="00ED57CD" w:rsidRPr="00ED57CD" w:rsidRDefault="00ED57CD" w:rsidP="00ED57CD">
      <w:pPr>
        <w:numPr>
          <w:ilvl w:val="0"/>
          <w:numId w:val="12"/>
        </w:numPr>
        <w:tabs>
          <w:tab w:val="left" w:pos="567"/>
        </w:tabs>
        <w:spacing w:after="0" w:line="240" w:lineRule="auto"/>
        <w:ind w:left="567" w:hanging="567"/>
        <w:contextualSpacing/>
        <w:rPr>
          <w:rFonts w:ascii="Times New Roman" w:eastAsia="SimSun" w:hAnsi="Times New Roman"/>
          <w:lang w:eastAsia="zh-CN"/>
        </w:rPr>
      </w:pPr>
      <w:r w:rsidRPr="00ED57CD">
        <w:rPr>
          <w:rFonts w:ascii="Times New Roman" w:eastAsia="SimSun" w:hAnsi="Times New Roman"/>
          <w:lang w:eastAsia="zh-CN"/>
        </w:rPr>
        <w:t>jeigu jums susilpnėja regėjimas arba atsiranda akies skausmas. Šie simptomai gali būti skysčio susikaupimo akies kraujagysliniame dangale (tarp gyslainės ir skleros) arba padidėjusio akispūdžio požymiai ir gali atsirasti po kelių valandų ar net po savaitės nuo Zofenopril / Hydrochlorthiazide Ingen Pharma vartojimo pradžios.</w:t>
      </w:r>
    </w:p>
    <w:p w14:paraId="5BD1B45D" w14:textId="77777777" w:rsidR="00ED57CD" w:rsidRPr="00ED57CD" w:rsidRDefault="00ED57CD" w:rsidP="00ED57CD">
      <w:pPr>
        <w:spacing w:after="0" w:line="240" w:lineRule="auto"/>
        <w:contextualSpacing/>
        <w:rPr>
          <w:rFonts w:ascii="Times New Roman" w:eastAsia="SimSun" w:hAnsi="Times New Roman"/>
          <w:iCs/>
          <w:color w:val="000000"/>
          <w:lang w:eastAsia="lt-LT"/>
        </w:rPr>
      </w:pPr>
    </w:p>
    <w:p w14:paraId="17014A1A"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iCs/>
          <w:color w:val="000000"/>
          <w:lang w:eastAsia="lt-LT"/>
        </w:rPr>
      </w:pPr>
      <w:r w:rsidRPr="00ED57CD">
        <w:rPr>
          <w:rFonts w:ascii="Times New Roman" w:eastAsia="SimSun" w:hAnsi="Times New Roman"/>
          <w:iCs/>
          <w:color w:val="000000"/>
          <w:lang w:eastAsia="lt-LT"/>
        </w:rPr>
        <w:t>Jūsų gydytojas gali reguliariai ištirti Jūsų inkstų funkciją, kraujospūdį ir elektrolitų (pvz., kalio) kiekį kraujyje.</w:t>
      </w:r>
    </w:p>
    <w:p w14:paraId="278473A8"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lt-LT"/>
        </w:rPr>
      </w:pPr>
    </w:p>
    <w:p w14:paraId="1F55ADF4" w14:textId="77777777" w:rsidR="00ED57CD" w:rsidRPr="00ED57CD" w:rsidRDefault="00ED57CD" w:rsidP="00ED57CD">
      <w:pPr>
        <w:spacing w:after="0" w:line="240" w:lineRule="auto"/>
        <w:contextualSpacing/>
        <w:rPr>
          <w:rFonts w:ascii="Times New Roman" w:eastAsia="SimSun" w:hAnsi="Times New Roman"/>
        </w:rPr>
      </w:pPr>
      <w:r w:rsidRPr="00ED57CD">
        <w:rPr>
          <w:rFonts w:ascii="Times New Roman" w:eastAsia="SimSun" w:hAnsi="Times New Roman"/>
          <w:iCs/>
          <w:color w:val="000000"/>
          <w:lang w:eastAsia="lt-LT"/>
        </w:rPr>
        <w:t>Taip pat žiūrėkite informaciją, pateiktą poskyryje „Zofenopril / Hydrochlorothiazide Ingen Pharma vartoti negalima“.</w:t>
      </w:r>
    </w:p>
    <w:p w14:paraId="34FF2CC7" w14:textId="77777777" w:rsidR="00ED57CD" w:rsidRPr="00ED57CD" w:rsidRDefault="00ED57CD" w:rsidP="00ED57CD">
      <w:pPr>
        <w:spacing w:after="0" w:line="240" w:lineRule="auto"/>
        <w:contextualSpacing/>
        <w:rPr>
          <w:rFonts w:ascii="Times New Roman" w:eastAsia="SimSun" w:hAnsi="Times New Roman"/>
        </w:rPr>
      </w:pPr>
    </w:p>
    <w:p w14:paraId="3C659E8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sudėtyje esantis hidrochlorotiazidas gali sukelti padidėjusį Jūsų odos jautrumą saulės šviesai arba dirbtiniams UV spinduliams. Jeigu vaisto vartojimo metu atsirado odos bėrimas, niežtinčios dėmės arba padidėjęs odos jautrumas, nutraukite vaisto vartojimą ir pasakykite apie tai gydytojui.</w:t>
      </w:r>
    </w:p>
    <w:p w14:paraId="2180029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6EFB790"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i/>
          <w:lang w:eastAsia="zh-CN"/>
        </w:rPr>
        <w:t>Antidopingo mėginys</w:t>
      </w:r>
      <w:r w:rsidRPr="00ED57CD">
        <w:rPr>
          <w:rFonts w:ascii="Times New Roman" w:eastAsia="SimSun" w:hAnsi="Times New Roman"/>
          <w:lang w:eastAsia="zh-CN"/>
        </w:rPr>
        <w:t xml:space="preserve">: </w:t>
      </w:r>
      <w:r w:rsidRPr="00ED57CD">
        <w:rPr>
          <w:rFonts w:ascii="Times New Roman" w:eastAsia="SimSun" w:hAnsi="Times New Roman"/>
          <w:b/>
          <w:lang w:eastAsia="zh-CN"/>
        </w:rPr>
        <w:t>Zofenopril / Hydrochlorothiazide Ingen Pharma gali sukelti teigiamą antidopingo mėginio rezultatą.</w:t>
      </w:r>
    </w:p>
    <w:p w14:paraId="7561FA4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ACC9139"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 xml:space="preserve">Vartojant Zofenopril / Hydrochlorothiazide Ingen Pharma </w:t>
      </w:r>
      <w:r w:rsidRPr="00ED57CD">
        <w:rPr>
          <w:rFonts w:ascii="Times New Roman" w:eastAsia="SimSun" w:hAnsi="Times New Roman"/>
          <w:b/>
        </w:rPr>
        <w:t>Jūsų kraujospūdis gali sumažėti pernelyg smarkiai</w:t>
      </w:r>
      <w:r w:rsidRPr="00ED57CD">
        <w:rPr>
          <w:rFonts w:ascii="Times New Roman" w:eastAsia="SimSun" w:hAnsi="Times New Roman"/>
        </w:rPr>
        <w:t xml:space="preserve">, ypač po pirmosios dozės vartojimo (tai labiau tikėtina tuomet, jeigu Jūs vartojate šlapimo išskyrimą skatinančių vaistų, esate netekęs skysčių arba su maistu mažai vartojate druskos, arba jeigu Jūs vemiate ar viduriuojate). Jeigu taip įvyko, </w:t>
      </w:r>
      <w:r w:rsidRPr="00ED57CD">
        <w:rPr>
          <w:rFonts w:ascii="Times New Roman" w:eastAsia="SimSun" w:hAnsi="Times New Roman"/>
          <w:b/>
        </w:rPr>
        <w:t>nedelsiant</w:t>
      </w:r>
      <w:r w:rsidRPr="00ED57CD">
        <w:rPr>
          <w:rFonts w:ascii="Times New Roman" w:eastAsia="SimSun" w:hAnsi="Times New Roman"/>
        </w:rPr>
        <w:t xml:space="preserve"> apie tai pasakykite gydytojui ir atsigulkite ant nugaros (žr. taip pat 4 skyrių).</w:t>
      </w:r>
    </w:p>
    <w:p w14:paraId="24EC208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1A8DFA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Jums bus atliekama operacija, pasakykite gydytojui anesteziologui prieš narkozę, kad vartojate Zofenopril / Hydrochlorothiazide Ingen Pharma. Tai padės jam geriau kontroliuoti Jūsų kraujospūdį ir širdies ritmą operacijos metu.</w:t>
      </w:r>
    </w:p>
    <w:p w14:paraId="169969E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6819BE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Būtinai pasakykite gydytojui, jeigu pastojote (arba manote, kad pastojote). Zofenopril / Hydrochlorothiazide Ingen Pharma nerekomenduojama vartoti ankstyvuoju nėštumo laikotarpiu ir jo negalima vartoti, jei nėštumas trunka ilgiau kaip tris mėnesius, nes vartojamas tuo laikotarpiu jis gali sukelti sunkius Jūsų vaiko pažeidimus (žr. skyrių ,,Nėštumas“).</w:t>
      </w:r>
    </w:p>
    <w:p w14:paraId="054637CC"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71D748E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Vaikams ir paaugliams</w:t>
      </w:r>
    </w:p>
    <w:p w14:paraId="6B149DC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vaisto neduokite jaunesniems negu 18 metų vaikams ir paaugliams, nes nėra žinoma, ar jo vartoti yra saugu.</w:t>
      </w:r>
    </w:p>
    <w:p w14:paraId="10F6EA9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B9254FB"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Kiti vaistai ir Zofenopril / Hydrochlorothiazide Ingen Pharma</w:t>
      </w:r>
    </w:p>
    <w:p w14:paraId="67D30EE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6EEA495"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Jeigu vartojate ar neseniai vartojote kitų vaistų arba dėl to nesate tikri, apie tai pasakykite</w:t>
      </w:r>
    </w:p>
    <w:p w14:paraId="2C2CAF9D"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gydytojui arba vaistininkui.</w:t>
      </w:r>
    </w:p>
    <w:p w14:paraId="4959D873"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Ypač svarbu pasakyti gydytojui, jeigu Jūs vartojate:</w:t>
      </w:r>
    </w:p>
    <w:p w14:paraId="16D19962" w14:textId="77777777" w:rsidR="00ED57CD" w:rsidRPr="00ED57CD" w:rsidRDefault="00ED57CD" w:rsidP="00ED57CD">
      <w:pPr>
        <w:numPr>
          <w:ilvl w:val="0"/>
          <w:numId w:val="7"/>
        </w:numPr>
        <w:tabs>
          <w:tab w:val="left" w:pos="567"/>
        </w:tabs>
        <w:autoSpaceDE w:val="0"/>
        <w:autoSpaceDN w:val="0"/>
        <w:adjustRightInd w:val="0"/>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vaistų, kurie didina kalio kiekį kraujyje (pvz.: trimetoprimo, kalio papildų, tokių kalį sulaikančių diuretikų kaip spironolaktono, triamtereno, amilorido), druskų pakaitalų, kurių sudėtyje yra kalio;</w:t>
      </w:r>
    </w:p>
    <w:p w14:paraId="01F603C5" w14:textId="77777777" w:rsidR="00ED57CD" w:rsidRPr="00ED57CD" w:rsidRDefault="00ED57CD" w:rsidP="00ED57CD">
      <w:pPr>
        <w:numPr>
          <w:ilvl w:val="0"/>
          <w:numId w:val="7"/>
        </w:numPr>
        <w:tabs>
          <w:tab w:val="left" w:pos="567"/>
        </w:tabs>
        <w:autoSpaceDE w:val="0"/>
        <w:autoSpaceDN w:val="0"/>
        <w:adjustRightInd w:val="0"/>
        <w:spacing w:after="0" w:line="240" w:lineRule="auto"/>
        <w:ind w:left="567" w:hanging="567"/>
        <w:contextualSpacing/>
        <w:rPr>
          <w:rFonts w:ascii="Times New Roman" w:eastAsia="SimSun" w:hAnsi="Times New Roman"/>
        </w:rPr>
      </w:pPr>
      <w:r w:rsidRPr="00ED57CD">
        <w:rPr>
          <w:rFonts w:ascii="Times New Roman" w:eastAsia="SimSun" w:hAnsi="Times New Roman"/>
        </w:rPr>
        <w:t>kitų vaistų, turinčių įtakos kraujo sudėčiai (adrenokortikotropinio hormono, vartojamo stimuliuoti kitų hormonų susidarymą organizme, švirkščiamojo amfotericino, karbenoksolono, vidurius paleidžiančių vaistų);</w:t>
      </w:r>
    </w:p>
    <w:p w14:paraId="55FB54C3"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ličio (vaisto nuotaikos sutrikimams gydyti);</w:t>
      </w:r>
    </w:p>
    <w:p w14:paraId="25EF9F86"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anestetikų;</w:t>
      </w:r>
    </w:p>
    <w:p w14:paraId="74C7AA9F"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narkotikų (pvz., morfino);</w:t>
      </w:r>
    </w:p>
    <w:p w14:paraId="2AE998E3"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vaistų nuo psichikos ligų (šizofrenijai ir panašioms ligoms gydyti);</w:t>
      </w:r>
    </w:p>
    <w:p w14:paraId="5E9B1182"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triciklių antidepresantų, pvz.: amitriptilino, klomipramino;</w:t>
      </w:r>
    </w:p>
    <w:p w14:paraId="7DFB8848"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kitokių kraujospūdį mažinančių ir kraujagysles plečiančių vaistų (įskaitant beta adrenoblokatorius, alfa adrenoblokatorius ir diuretikus, pvz.: hidrochlorotiazido, furozemido, torazemido);</w:t>
      </w:r>
    </w:p>
    <w:p w14:paraId="35A82D1D"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iCs/>
          <w:lang w:eastAsia="zh-CN"/>
        </w:rPr>
        <w:t xml:space="preserve">Jūsų gydytojui gali tekti pakeisti jūsų dozę ir (arba) imtis kitų atsargumo priemonių, jeigu vartojate angiotenzino II receptorių blokatorių (ARB) arba aliskireno </w:t>
      </w:r>
      <w:r w:rsidRPr="00ED57CD">
        <w:rPr>
          <w:rFonts w:ascii="Times New Roman" w:eastAsia="SimSun" w:hAnsi="Times New Roman"/>
          <w:lang w:eastAsia="zh-CN"/>
        </w:rPr>
        <w:t>(taip pat žiūrėkite informaciją, pateiktą poskyriuose „Zofenopril / Hydrochlorothiazide Ingen Pharma vartoti negalima“ ir „Įspėjimai ir atsargumo priemonės“);</w:t>
      </w:r>
    </w:p>
    <w:p w14:paraId="0FD78E3A"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nitroglicerino ir kitų nitratų, vartojamų esant krūtinės skausmui (krūtinės angina);</w:t>
      </w:r>
    </w:p>
    <w:p w14:paraId="5B77EEA2"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skrandžio rūgštingumą mažinančių vaistų, įskaitant cimetidiną (vartojamų esant rėmeniui ir skrandžio opai);</w:t>
      </w:r>
    </w:p>
    <w:p w14:paraId="230A9319" w14:textId="77777777" w:rsidR="00ED57CD" w:rsidRPr="00ED57CD" w:rsidRDefault="00ED57CD" w:rsidP="00ED57CD">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ciklosporino (vaisto vartojamo po organų transplantacijos) ir kitų imunitetą silpninančių vaistų (slopinančių organizmo apsaugines funkcijas);</w:t>
      </w:r>
    </w:p>
    <w:p w14:paraId="67B9DC2E"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vaistų podagrai gydyti (pvz.: probenecido, sulfinpirazono ir alopurinolio);</w:t>
      </w:r>
    </w:p>
    <w:p w14:paraId="6040B018"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insulino arba geriamųjų vaistų nuo cukrinio diabeto;</w:t>
      </w:r>
    </w:p>
    <w:p w14:paraId="2CB06B53"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kortikosteroidų (stipriai veikiančių nuo uždegimo vaistų);</w:t>
      </w:r>
    </w:p>
    <w:p w14:paraId="07122A7E"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prokainamido (vaisto širdies ritmo sutrikimui gydyti);</w:t>
      </w:r>
    </w:p>
    <w:p w14:paraId="5EF4E75B"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nesteroidinių vaistų nuo uždegimo (pvz., aspirino arba ibuprofeno);</w:t>
      </w:r>
    </w:p>
    <w:p w14:paraId="745C881D"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simpatomimetinių vaistų (veikiančių nervų sistemą, įskaitant kai kuriuos astmai arba šienligei gydyti, ir kraujospūdį didinančių aminų, pvz., adrenalino);</w:t>
      </w:r>
    </w:p>
    <w:p w14:paraId="1CDEBC9E"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kalcio druskų;</w:t>
      </w:r>
    </w:p>
    <w:p w14:paraId="27F6CB72"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rusmenės glikozidų (padedančių širdies veiklai);</w:t>
      </w:r>
    </w:p>
    <w:p w14:paraId="41E7AA48"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kolestiramino ir kolestipolio dervų (vartojamų cholesterolio kiekiui sumažinti);</w:t>
      </w:r>
    </w:p>
    <w:p w14:paraId="6F7C6C23"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vaistų, atpalaiduojančių raumenis (pvz., tubokurarino);</w:t>
      </w:r>
    </w:p>
    <w:p w14:paraId="134D6EB5" w14:textId="77777777" w:rsidR="00ED57CD" w:rsidRPr="00ED57CD" w:rsidRDefault="00ED57CD" w:rsidP="00ED57CD">
      <w:pPr>
        <w:numPr>
          <w:ilvl w:val="0"/>
          <w:numId w:val="7"/>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amantadino (priešvirusinio vaisto).</w:t>
      </w:r>
    </w:p>
    <w:p w14:paraId="1C9CD02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6E92235"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Zofenopril / Hydrochlorothiazide Ingen Pharma vartojimas su maistu, gėrimais ir alkoholiu</w:t>
      </w:r>
    </w:p>
    <w:p w14:paraId="78D2292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Zofenopril / Hydrochlorothiazide Ingen Pharma galima vartoti su maistu arba nevalgius, bet geriausia tabletes užsigerti vandeniu.</w:t>
      </w:r>
    </w:p>
    <w:p w14:paraId="3181146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Norėdami lengviau tabletę nuryti, Jūs galite perlaužti tabletę į dvi dalis ir nuryti vieną pusę po kitos.</w:t>
      </w:r>
    </w:p>
    <w:p w14:paraId="3FF8BAD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423A00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Alkoholis sustiprina Zofenopril / Hydrochlorothiazide Ingen Pharma kraujospūdį mažinantį (hipotenzinį) poveikį; pasiteiraukite gydytojo dėl nurodymų apie alkoholio vartojimą, kai gydotės šiuo vaistu.</w:t>
      </w:r>
    </w:p>
    <w:p w14:paraId="25BEAD3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F08092C"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Nėštumas, žindymo laikotarpis ir vaisingumas</w:t>
      </w:r>
    </w:p>
    <w:p w14:paraId="1254AFEF"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5EE1A39"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Nėštumas</w:t>
      </w:r>
    </w:p>
    <w:p w14:paraId="2A70D19A" w14:textId="77777777" w:rsidR="00ED57CD" w:rsidRPr="00ED57CD" w:rsidRDefault="00ED57CD" w:rsidP="00ED57CD">
      <w:pPr>
        <w:numPr>
          <w:ilvl w:val="12"/>
          <w:numId w:val="0"/>
        </w:numPr>
        <w:spacing w:after="0" w:line="240" w:lineRule="auto"/>
        <w:rPr>
          <w:rFonts w:ascii="Times New Roman" w:eastAsia="Times New Roman" w:hAnsi="Times New Roman"/>
          <w:snapToGrid w:val="0"/>
        </w:rPr>
      </w:pPr>
      <w:r w:rsidRPr="00ED57CD">
        <w:rPr>
          <w:rFonts w:ascii="Times New Roman" w:eastAsia="Times New Roman" w:hAnsi="Times New Roman"/>
          <w:snapToGrid w:val="0"/>
        </w:rPr>
        <w:t>Jeigu esate nėščia, manote, kad galbūt esate nėščia, arba planuojate pastoti, tai prieš vartodama šį vaistą, pasitarkite su gydytoju arba vaistininku.</w:t>
      </w:r>
    </w:p>
    <w:p w14:paraId="4525D31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Gydytojas Jums patars nutraukti Zofenopril / Hydrochlorothiazide Ingen Pharma vartojimą prieš pastojimą ar tuoj po to, kai Jūs suprasite, kad pastojote ir nurodys vartoti kitų vaistų vietoj Zofenopril / Hydrochlorothiazide Ingen Pharma.</w:t>
      </w:r>
    </w:p>
    <w:p w14:paraId="571F100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nepatariama vartoti ankstyvuoju nėštumo laikotarpiu ir jo negalima vartoti, jei nėštumas trunka ilgiau kaip tris mėnesius, nes vartojamas tuo laikotarpiu jis gali sukelti sunkius Jūsų vaiko organizmo pažeidimus.</w:t>
      </w:r>
    </w:p>
    <w:p w14:paraId="5DB61EF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ECE44A4"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Žindymas</w:t>
      </w:r>
    </w:p>
    <w:p w14:paraId="3A2C24C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Prieš pradėdama vartoti šį vaistą pasitarkite su gydytoju, jeigu žindote kūdikį arba ruošiatės žindyti. Zofenopril / Hydrochlorothiazide Ingen Pharma  nerekomenduojama vartoti žindyvėms ir Jūsų gydytojas gali paskirti Jums kitą vaistą, jei norite kūdikį žindyti, ypač naujagimį arba neišnešiotą naujagimį.</w:t>
      </w:r>
    </w:p>
    <w:p w14:paraId="4A8C31B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F5C65F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Vairavimas ir mechanizmų valdymas</w:t>
      </w:r>
    </w:p>
    <w:p w14:paraId="16C093D1"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Vairuojant arba valdant mechanizmus būtina prisiminti, kad vaistas gali sukelti svaigulį arba nuovargį. Jei taip atsitiktų, nevairuokite ir nevaldykite mechanizmų.</w:t>
      </w:r>
    </w:p>
    <w:p w14:paraId="74F37FB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C781BB9"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 xml:space="preserve">Zofenopril / Hydrochlorothiazide Ingen Pharma sudėtyje yra laktozės ir </w:t>
      </w:r>
      <w:r w:rsidRPr="00ED57CD">
        <w:rPr>
          <w:rFonts w:ascii="Times New Roman" w:eastAsia="SimSun" w:hAnsi="Times New Roman"/>
          <w:b/>
          <w:bCs/>
          <w:lang w:eastAsia="zh-CN"/>
        </w:rPr>
        <w:t>dažiklio saulėlydžio geltonojo (E110).</w:t>
      </w:r>
    </w:p>
    <w:p w14:paraId="66CC6C89"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vaisto sudėtyje yra laktozės. Jeigu gydytojas Jums yra sakęs, kad netoleruojate kokių nors angliavandenių, kreipkitės į jį prieš pradėdami vartoti šio vaisto.</w:t>
      </w:r>
    </w:p>
    <w:p w14:paraId="4B6CA5ED" w14:textId="77777777" w:rsidR="00ED57CD" w:rsidRPr="00ED57CD" w:rsidRDefault="00ED57CD" w:rsidP="00ED57CD">
      <w:pPr>
        <w:tabs>
          <w:tab w:val="left" w:pos="567"/>
        </w:tabs>
        <w:spacing w:after="0" w:line="240" w:lineRule="auto"/>
        <w:rPr>
          <w:rFonts w:ascii="Times New Roman" w:eastAsia="SimSun" w:hAnsi="Times New Roman"/>
          <w:bCs/>
          <w:lang w:eastAsia="zh-CN"/>
        </w:rPr>
      </w:pPr>
      <w:r w:rsidRPr="00ED57CD">
        <w:rPr>
          <w:rFonts w:ascii="Times New Roman" w:eastAsia="SimSun" w:hAnsi="Times New Roman"/>
          <w:bCs/>
          <w:lang w:eastAsia="zh-CN"/>
        </w:rPr>
        <w:t>Šio vaisto sudėtyje yra dažiklio saulėlydžio geltonojo (E110). Gali sukelti alerginių reakcijų.</w:t>
      </w:r>
    </w:p>
    <w:p w14:paraId="22264CFE"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2646239" w14:textId="77777777" w:rsidR="00ED57CD" w:rsidRPr="00ED57CD" w:rsidRDefault="00ED57CD" w:rsidP="00ED57CD">
      <w:pPr>
        <w:tabs>
          <w:tab w:val="left" w:pos="567"/>
        </w:tabs>
        <w:spacing w:after="0" w:line="240" w:lineRule="auto"/>
        <w:rPr>
          <w:rFonts w:ascii="Times New Roman" w:eastAsia="SimSun" w:hAnsi="Times New Roman"/>
          <w:lang w:eastAsia="zh-CN"/>
        </w:rPr>
      </w:pPr>
      <w:bookmarkStart w:id="61" w:name="_Toc129243141"/>
      <w:bookmarkStart w:id="62" w:name="_Toc129243266"/>
    </w:p>
    <w:p w14:paraId="5018F627"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3.</w:t>
      </w:r>
      <w:r w:rsidRPr="00ED57CD">
        <w:rPr>
          <w:rFonts w:ascii="Times New Roman" w:eastAsia="SimSun" w:hAnsi="Times New Roman"/>
          <w:b/>
          <w:lang w:eastAsia="zh-CN"/>
        </w:rPr>
        <w:tab/>
        <w:t xml:space="preserve">Kaip vartoti </w:t>
      </w:r>
      <w:bookmarkEnd w:id="61"/>
      <w:bookmarkEnd w:id="62"/>
      <w:r w:rsidRPr="00ED57CD">
        <w:rPr>
          <w:rFonts w:ascii="Times New Roman" w:eastAsia="SimSun" w:hAnsi="Times New Roman"/>
          <w:b/>
          <w:lang w:eastAsia="zh-CN"/>
        </w:rPr>
        <w:t>Zofenopril / Hydrochlorothiazide Ingen Pharma</w:t>
      </w:r>
    </w:p>
    <w:p w14:paraId="68A8210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507710B"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Visada vartokite šį vaistą tiksliai kaip nurodė gydytojas. Jeigu abejojate, kreipkitės į gydytoją arba vaistininką.</w:t>
      </w:r>
    </w:p>
    <w:p w14:paraId="59887DA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Rekomenduojama Zofenopril / Hydrochlorothiazide Ingen Pharma dozė yra viena tabletė per parą.</w:t>
      </w:r>
    </w:p>
    <w:p w14:paraId="644839A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galima vartoti valgio metu, prieš valgį arba po jo. Geriausia vartoti su pakankamu vandens kiekiu.</w:t>
      </w:r>
    </w:p>
    <w:p w14:paraId="41D9271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2BD929E"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Vartojimas vaikams ir paaugliams</w:t>
      </w:r>
    </w:p>
    <w:p w14:paraId="7DAE9B80"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vaisto nerekomenduojama vartoti vaikams ir paaugliams jaunesniems negu 18 metų.</w:t>
      </w:r>
    </w:p>
    <w:p w14:paraId="2E90711E" w14:textId="77777777" w:rsidR="00ED57CD" w:rsidRPr="00ED57CD" w:rsidRDefault="00ED57CD" w:rsidP="00ED57CD">
      <w:pPr>
        <w:tabs>
          <w:tab w:val="left" w:pos="567"/>
        </w:tabs>
        <w:spacing w:after="0" w:line="240" w:lineRule="auto"/>
        <w:rPr>
          <w:rFonts w:ascii="Times New Roman" w:eastAsia="SimSun" w:hAnsi="Times New Roman"/>
          <w:b/>
          <w:lang w:eastAsia="zh-CN"/>
        </w:rPr>
      </w:pPr>
    </w:p>
    <w:p w14:paraId="765049D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Jūs esate vyresnis negu 65 metų ir sutrikusi inkstų funkcija, Zofenopril / Hydrochlorothiazide Ingen Pharma gali Jums netikti (žr. taip pat 2 skyriuje „</w:t>
      </w:r>
      <w:r w:rsidRPr="00ED57CD">
        <w:rPr>
          <w:rFonts w:ascii="Times New Roman" w:eastAsia="SimSun" w:hAnsi="Times New Roman"/>
          <w:bCs/>
          <w:color w:val="000000"/>
          <w:lang w:eastAsia="zh-CN"/>
        </w:rPr>
        <w:t>Įspėjimai ir atsargumo priemonės</w:t>
      </w:r>
      <w:r w:rsidRPr="00ED57CD">
        <w:rPr>
          <w:rFonts w:ascii="Times New Roman" w:eastAsia="SimSun" w:hAnsi="Times New Roman"/>
          <w:lang w:eastAsia="zh-CN"/>
        </w:rPr>
        <w:t>“).</w:t>
      </w:r>
    </w:p>
    <w:p w14:paraId="012E857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0C21817" w14:textId="1DF2B9BE"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Ką daryti pavartojus per didelę Zofenopril / Hydrochlorothiazide Ingen Pharma dozę</w:t>
      </w:r>
    </w:p>
    <w:p w14:paraId="6123149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 Jūs (arba kas nors kitas) suvartojote daugiau tablečių negu reikia, nedelsiant pasitarkite su gydytoju arba kreipkitės į artimiausios ligoninės skubios pagalbos skyrių (jei įmanoma, nepamirškite pasiimti likusias tabletes ir dėžutę arba šį pakuotės lapelį).</w:t>
      </w:r>
    </w:p>
    <w:p w14:paraId="19DA530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Dažniausi perdozavimo simptomai ir požymiai yra sumažėjęs kraujospūdis ir apsvaigimas (hipotenzija), suretėjęs pulsas (bradikardija), kraujo sudėties (elektrolitų) pokyčiai ir inkstų funkcijos </w:t>
      </w:r>
      <w:r w:rsidRPr="00ED57CD">
        <w:rPr>
          <w:rFonts w:ascii="Times New Roman" w:eastAsia="SimSun" w:hAnsi="Times New Roman"/>
          <w:lang w:eastAsia="zh-CN"/>
        </w:rPr>
        <w:lastRenderedPageBreak/>
        <w:t>sutrikimas, pernelyg gausus šlapinimasis ir dėl to skysčių netekimas, pykinimas ir mieguistumas, raumenų spazmai, širdies ritmo sutrikimai (ypač tuomet, kai Jūs kartu vartojate širdies glikozidų esant širdies ritmo sutrikimams).</w:t>
      </w:r>
    </w:p>
    <w:p w14:paraId="67B1044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0CFDB02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Pamiršus pavartoti Zofenopril / Hydrochlorothiazide Ingen Pharma</w:t>
      </w:r>
    </w:p>
    <w:p w14:paraId="7B5B568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Pamiršus vartoti dozę, pavartoti kitą dozę, kai tik prisiminsite. Tačiau, jeigu netoli kitos dozės vartojimo laikas, praleiskite pamirštą dozę ir vartokite toliau vaisto nustatyta tvarka. Negalima vartoti dvigubos dozės norint kompensuoti praleistą tabletę.</w:t>
      </w:r>
    </w:p>
    <w:p w14:paraId="7A145AA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9E5B29E"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Nustojus vartoti Zofenopril / Hydrochlorothiazide Ingen Pharma</w:t>
      </w:r>
    </w:p>
    <w:p w14:paraId="7C025965"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Prieš nutraukdami Zofenopril / Hydrochlorothiazide Ingen Pharma vartojimą, visuomet pasitarkite su gydytoju.</w:t>
      </w:r>
    </w:p>
    <w:p w14:paraId="012C7D9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22DAD41D"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kiltų daugiau klausimų dėl šio vaisto vartojimo, kreipkitės į gydytoją arba vaistininką.</w:t>
      </w:r>
    </w:p>
    <w:p w14:paraId="4008103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063BFE1" w14:textId="77777777" w:rsidR="00ED57CD" w:rsidRPr="00ED57CD" w:rsidRDefault="00ED57CD" w:rsidP="00ED57CD">
      <w:pPr>
        <w:tabs>
          <w:tab w:val="left" w:pos="567"/>
        </w:tabs>
        <w:spacing w:after="0" w:line="240" w:lineRule="auto"/>
        <w:rPr>
          <w:rFonts w:ascii="Times New Roman" w:eastAsia="SimSun" w:hAnsi="Times New Roman"/>
          <w:lang w:eastAsia="zh-CN"/>
        </w:rPr>
      </w:pPr>
      <w:bookmarkStart w:id="63" w:name="_Toc129243142"/>
      <w:bookmarkStart w:id="64" w:name="_Toc129243267"/>
    </w:p>
    <w:p w14:paraId="5DC4D01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4.</w:t>
      </w:r>
      <w:r w:rsidRPr="00ED57CD">
        <w:rPr>
          <w:rFonts w:ascii="Times New Roman" w:eastAsia="SimSun" w:hAnsi="Times New Roman"/>
          <w:b/>
          <w:lang w:eastAsia="zh-CN"/>
        </w:rPr>
        <w:tab/>
        <w:t>Galimas šalutinis poveikis</w:t>
      </w:r>
      <w:bookmarkEnd w:id="63"/>
      <w:bookmarkEnd w:id="64"/>
    </w:p>
    <w:p w14:paraId="626FC26B"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7482685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Šis vaistas, kaip ir visi kiti, gali sukelti šalutinį poveikį, nors jis pasireiškia ne visiems žmonėms.</w:t>
      </w:r>
    </w:p>
    <w:p w14:paraId="49E90FBE"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Žemiau išvardyti šalutinio poveikio atvejai pastebėti zofenoprilio ir hidrochlorotiazido derinio klinikinių tyrimų metu:</w:t>
      </w:r>
    </w:p>
    <w:p w14:paraId="0D0DD2E7"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660AA74" w14:textId="56660F44"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Dažn</w:t>
      </w:r>
      <w:r w:rsidR="00B24ADD">
        <w:rPr>
          <w:rFonts w:ascii="Times New Roman" w:eastAsia="SimSun" w:hAnsi="Times New Roman"/>
          <w:b/>
          <w:lang w:eastAsia="zh-CN"/>
        </w:rPr>
        <w:t>i</w:t>
      </w:r>
      <w:r w:rsidRPr="00ED57CD">
        <w:rPr>
          <w:rFonts w:ascii="Times New Roman" w:eastAsia="SimSun" w:hAnsi="Times New Roman"/>
          <w:b/>
          <w:lang w:eastAsia="zh-CN"/>
        </w:rPr>
        <w:t xml:space="preserve"> šalutini</w:t>
      </w:r>
      <w:r w:rsidR="00B24ADD">
        <w:rPr>
          <w:rFonts w:ascii="Times New Roman" w:eastAsia="SimSun" w:hAnsi="Times New Roman"/>
          <w:b/>
          <w:lang w:eastAsia="zh-CN"/>
        </w:rPr>
        <w:t>o</w:t>
      </w:r>
      <w:r w:rsidRPr="00ED57CD">
        <w:rPr>
          <w:rFonts w:ascii="Times New Roman" w:eastAsia="SimSun" w:hAnsi="Times New Roman"/>
          <w:b/>
          <w:lang w:eastAsia="zh-CN"/>
        </w:rPr>
        <w:t xml:space="preserve"> poveiki</w:t>
      </w:r>
      <w:r w:rsidR="00B24ADD">
        <w:rPr>
          <w:rFonts w:ascii="Times New Roman" w:eastAsia="SimSun" w:hAnsi="Times New Roman"/>
          <w:b/>
          <w:lang w:eastAsia="zh-CN"/>
        </w:rPr>
        <w:t>o reiškiniai</w:t>
      </w:r>
      <w:r w:rsidRPr="00ED57CD">
        <w:rPr>
          <w:rFonts w:ascii="Times New Roman" w:eastAsia="SimSun" w:hAnsi="Times New Roman"/>
          <w:lang w:eastAsia="zh-CN"/>
        </w:rPr>
        <w:t xml:space="preserve"> </w:t>
      </w:r>
      <w:r w:rsidRPr="003600A3">
        <w:rPr>
          <w:rFonts w:ascii="Times New Roman" w:hAnsi="Times New Roman"/>
          <w:b/>
        </w:rPr>
        <w:t xml:space="preserve">(pasireiškia rečiau kaip 1 iš 10 </w:t>
      </w:r>
      <w:r w:rsidR="00B24ADD" w:rsidRPr="00324AD4">
        <w:rPr>
          <w:rFonts w:ascii="Times New Roman" w:eastAsia="SimSun" w:hAnsi="Times New Roman"/>
          <w:b/>
          <w:bCs/>
          <w:lang w:eastAsia="zh-CN"/>
        </w:rPr>
        <w:t>asmen</w:t>
      </w:r>
      <w:r w:rsidRPr="00324AD4">
        <w:rPr>
          <w:rFonts w:ascii="Times New Roman" w:eastAsia="SimSun" w:hAnsi="Times New Roman"/>
          <w:b/>
          <w:bCs/>
          <w:lang w:eastAsia="zh-CN"/>
        </w:rPr>
        <w:t>ų</w:t>
      </w:r>
      <w:r w:rsidRPr="003600A3">
        <w:rPr>
          <w:rFonts w:ascii="Times New Roman" w:hAnsi="Times New Roman"/>
          <w:b/>
        </w:rPr>
        <w:t>):</w:t>
      </w:r>
    </w:p>
    <w:p w14:paraId="2578095F"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svaigulys;</w:t>
      </w:r>
    </w:p>
    <w:p w14:paraId="090C4434"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galvos skausmas;</w:t>
      </w:r>
    </w:p>
    <w:p w14:paraId="36A12554" w14:textId="77777777" w:rsidR="00ED57CD" w:rsidRPr="00ED57CD" w:rsidRDefault="00ED57CD" w:rsidP="00ED57CD">
      <w:pPr>
        <w:numPr>
          <w:ilvl w:val="0"/>
          <w:numId w:val="7"/>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kosulys.</w:t>
      </w:r>
    </w:p>
    <w:p w14:paraId="5F21E852"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2DA85B4" w14:textId="709FB6C6"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Nedažn</w:t>
      </w:r>
      <w:r w:rsidR="00B24ADD">
        <w:rPr>
          <w:rFonts w:ascii="Times New Roman" w:eastAsia="SimSun" w:hAnsi="Times New Roman"/>
          <w:b/>
          <w:lang w:eastAsia="zh-CN"/>
        </w:rPr>
        <w:t>i</w:t>
      </w:r>
      <w:r w:rsidRPr="00ED57CD">
        <w:rPr>
          <w:rFonts w:ascii="Times New Roman" w:eastAsia="SimSun" w:hAnsi="Times New Roman"/>
          <w:b/>
          <w:lang w:eastAsia="zh-CN"/>
        </w:rPr>
        <w:t xml:space="preserve"> </w:t>
      </w:r>
      <w:r w:rsidR="00B24ADD" w:rsidRPr="00ED57CD">
        <w:rPr>
          <w:rFonts w:ascii="Times New Roman" w:eastAsia="SimSun" w:hAnsi="Times New Roman"/>
          <w:b/>
          <w:lang w:eastAsia="zh-CN"/>
        </w:rPr>
        <w:t>šalutini</w:t>
      </w:r>
      <w:r w:rsidR="00B24ADD">
        <w:rPr>
          <w:rFonts w:ascii="Times New Roman" w:eastAsia="SimSun" w:hAnsi="Times New Roman"/>
          <w:b/>
          <w:lang w:eastAsia="zh-CN"/>
        </w:rPr>
        <w:t>o</w:t>
      </w:r>
      <w:r w:rsidR="00B24ADD" w:rsidRPr="00ED57CD">
        <w:rPr>
          <w:rFonts w:ascii="Times New Roman" w:eastAsia="SimSun" w:hAnsi="Times New Roman"/>
          <w:b/>
          <w:lang w:eastAsia="zh-CN"/>
        </w:rPr>
        <w:t xml:space="preserve"> poveiki</w:t>
      </w:r>
      <w:r w:rsidR="00B24ADD">
        <w:rPr>
          <w:rFonts w:ascii="Times New Roman" w:eastAsia="SimSun" w:hAnsi="Times New Roman"/>
          <w:b/>
          <w:lang w:eastAsia="zh-CN"/>
        </w:rPr>
        <w:t>o reiškiniai</w:t>
      </w:r>
      <w:r w:rsidR="00B24ADD" w:rsidRPr="00ED57CD">
        <w:rPr>
          <w:rFonts w:ascii="Times New Roman" w:eastAsia="SimSun" w:hAnsi="Times New Roman"/>
          <w:lang w:eastAsia="zh-CN"/>
        </w:rPr>
        <w:t xml:space="preserve"> </w:t>
      </w:r>
      <w:r w:rsidRPr="00ED7880">
        <w:rPr>
          <w:rFonts w:ascii="Times New Roman" w:eastAsia="SimSun" w:hAnsi="Times New Roman"/>
          <w:b/>
          <w:lang w:eastAsia="zh-CN"/>
        </w:rPr>
        <w:t>(pasireiškia rečiau kaip 1 iš 100</w:t>
      </w:r>
      <w:r w:rsidRPr="00ED57CD">
        <w:rPr>
          <w:rFonts w:ascii="Times New Roman" w:eastAsia="SimSun" w:hAnsi="Times New Roman"/>
          <w:lang w:eastAsia="zh-CN"/>
        </w:rPr>
        <w:t xml:space="preserve"> </w:t>
      </w:r>
      <w:r w:rsidR="00B24ADD" w:rsidRPr="0056604F">
        <w:rPr>
          <w:rFonts w:ascii="Times New Roman" w:eastAsia="SimSun" w:hAnsi="Times New Roman"/>
          <w:b/>
          <w:bCs/>
          <w:lang w:eastAsia="zh-CN"/>
        </w:rPr>
        <w:t>asmenų</w:t>
      </w:r>
      <w:r w:rsidRPr="00ED57CD">
        <w:rPr>
          <w:rFonts w:ascii="Times New Roman" w:eastAsia="SimSun" w:hAnsi="Times New Roman"/>
          <w:lang w:eastAsia="zh-CN"/>
        </w:rPr>
        <w:t>):</w:t>
      </w:r>
    </w:p>
    <w:p w14:paraId="04482429"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infekcija;</w:t>
      </w:r>
    </w:p>
    <w:p w14:paraId="5E9FDD3C"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bronchitas;</w:t>
      </w:r>
    </w:p>
    <w:p w14:paraId="35F7244F"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ryklės skausmas;</w:t>
      </w:r>
    </w:p>
    <w:p w14:paraId="6538B88C"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padidėjęs cholesterolio ir (arba) kitų lipidų, gliukozės, kalio, šlapimo rūgšties, kreatinino ir kepenų fermentų kiekis kraujyje;</w:t>
      </w:r>
    </w:p>
    <w:p w14:paraId="4C0CC87F"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sumažėjęs kalio kiekis kraujyje;</w:t>
      </w:r>
    </w:p>
    <w:p w14:paraId="217490B9"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nemiga;</w:t>
      </w:r>
    </w:p>
    <w:p w14:paraId="0FE0C1DB"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mieguistumas, nuovargis, raumenų standumas (hipertonija);</w:t>
      </w:r>
    </w:p>
    <w:p w14:paraId="3C79AE53"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krūtinės angina, miokardo infarktas, prieširdžių virpėjimas, padidėjęs kraujospūdis;</w:t>
      </w:r>
    </w:p>
    <w:p w14:paraId="23216FBC"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pykinimas, virškinimo sutrikimas, gastritas, dantenų uždegimas, burnos džiūvimas, skrandžio skausmas;</w:t>
      </w:r>
    </w:p>
    <w:p w14:paraId="54C84102"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greitas tinimas, ypač lūpų, skruostų, akių vokų, liežuvio, gomurio, balso stygų su galimu staigiu kvėpavimo sutrikimu (angioneurozinė edema). Jeigu Jums pasireiškė kuris nors iš šių požymių, tai reiškia prasidėjusią sunkią alergiją Zofenopril / Hydrochlorothiazide Ingen Pharma. Jums gali prireikti skubios medicinos pagalbos arba gali tekti Jus paguldyti į ligoninę;</w:t>
      </w:r>
    </w:p>
    <w:p w14:paraId="2172CF08"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odos liga, pasireiškianti rausvomis pleiskanojančiomis dėmėmis (psoriazė), spuogai, sausa oda, niežulys, dilgėlinė;</w:t>
      </w:r>
    </w:p>
    <w:p w14:paraId="4C7D2F8F"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nugaros skausmas;</w:t>
      </w:r>
    </w:p>
    <w:p w14:paraId="79966FFD"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gausus šlapimo kiekis (poliurija);</w:t>
      </w:r>
    </w:p>
    <w:p w14:paraId="1B534475"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bendras silpnumas (astenija), gripui panašūs simptomai, periferiniai patinimai (dažniausiai apie kulkšnis);</w:t>
      </w:r>
    </w:p>
    <w:p w14:paraId="6476069B"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impotencija.</w:t>
      </w:r>
    </w:p>
    <w:p w14:paraId="1EE85ACD" w14:textId="10B14B4C" w:rsidR="00ED57CD" w:rsidRDefault="00ED57CD" w:rsidP="00ED57CD">
      <w:pPr>
        <w:tabs>
          <w:tab w:val="left" w:pos="567"/>
        </w:tabs>
        <w:spacing w:after="0" w:line="240" w:lineRule="auto"/>
        <w:rPr>
          <w:rFonts w:ascii="Times New Roman" w:eastAsia="SimSun" w:hAnsi="Times New Roman"/>
        </w:rPr>
      </w:pPr>
    </w:p>
    <w:p w14:paraId="3520EA2F" w14:textId="7E8389BF" w:rsidR="00B24ADD" w:rsidRDefault="00B24ADD" w:rsidP="00B24ADD">
      <w:pPr>
        <w:spacing w:after="0" w:line="240" w:lineRule="auto"/>
        <w:outlineLvl w:val="0"/>
        <w:rPr>
          <w:rFonts w:ascii="Times New Roman" w:hAnsi="Times New Roman"/>
          <w:b/>
          <w:bCs/>
        </w:rPr>
      </w:pPr>
      <w:r w:rsidRPr="008C1C16">
        <w:rPr>
          <w:rFonts w:ascii="Times New Roman" w:hAnsi="Times New Roman"/>
          <w:b/>
        </w:rPr>
        <w:t>Labai ret</w:t>
      </w:r>
      <w:r>
        <w:rPr>
          <w:rFonts w:ascii="Times New Roman" w:hAnsi="Times New Roman"/>
          <w:b/>
        </w:rPr>
        <w:t>i</w:t>
      </w:r>
      <w:r w:rsidRPr="008973A1">
        <w:rPr>
          <w:rFonts w:ascii="Times New Roman" w:eastAsia="Times New Roman" w:hAnsi="Times New Roman"/>
          <w:b/>
          <w:bCs/>
          <w:noProof/>
          <w:snapToGrid w:val="0"/>
        </w:rPr>
        <w:t xml:space="preserve"> šalutinio poveikio reiškiniai</w:t>
      </w:r>
      <w:r w:rsidRPr="008C1C16">
        <w:rPr>
          <w:rFonts w:ascii="Times New Roman" w:hAnsi="Times New Roman"/>
        </w:rPr>
        <w:t xml:space="preserve"> </w:t>
      </w:r>
      <w:r w:rsidRPr="0056604F">
        <w:rPr>
          <w:rFonts w:ascii="Times New Roman" w:hAnsi="Times New Roman"/>
          <w:b/>
          <w:bCs/>
        </w:rPr>
        <w:t>(gali pasireikšti rečiau kaip 1 iš 10 000 asmenų):</w:t>
      </w:r>
    </w:p>
    <w:p w14:paraId="15016850" w14:textId="1833E757" w:rsidR="00B24ADD" w:rsidRPr="004A79BF" w:rsidRDefault="00B24ADD" w:rsidP="00B24ADD">
      <w:pPr>
        <w:numPr>
          <w:ilvl w:val="0"/>
          <w:numId w:val="19"/>
        </w:numPr>
        <w:tabs>
          <w:tab w:val="left" w:pos="540"/>
        </w:tabs>
        <w:spacing w:after="0" w:line="240" w:lineRule="auto"/>
        <w:ind w:left="540" w:hanging="540"/>
        <w:outlineLvl w:val="0"/>
        <w:rPr>
          <w:rFonts w:ascii="Times New Roman" w:hAnsi="Times New Roman"/>
        </w:rPr>
      </w:pPr>
      <w:r>
        <w:rPr>
          <w:rFonts w:ascii="Times New Roman" w:hAnsi="Times New Roman"/>
        </w:rPr>
        <w:t>ū</w:t>
      </w:r>
      <w:r w:rsidRPr="004A79BF">
        <w:rPr>
          <w:rFonts w:ascii="Times New Roman" w:hAnsi="Times New Roman"/>
        </w:rPr>
        <w:t>minis kvėpavimo sutrikimas (pasireiškia stipriu dusuliu, karščiavimu, silpnumu ir sumišimu).</w:t>
      </w:r>
    </w:p>
    <w:p w14:paraId="7CA26C43" w14:textId="77777777" w:rsidR="00B24ADD" w:rsidRPr="00ED57CD" w:rsidRDefault="00B24ADD" w:rsidP="00ED57CD">
      <w:pPr>
        <w:tabs>
          <w:tab w:val="left" w:pos="567"/>
        </w:tabs>
        <w:spacing w:after="0" w:line="240" w:lineRule="auto"/>
        <w:rPr>
          <w:rFonts w:ascii="Times New Roman" w:eastAsia="SimSun" w:hAnsi="Times New Roman"/>
        </w:rPr>
      </w:pPr>
    </w:p>
    <w:p w14:paraId="6C9FC063" w14:textId="52B15416" w:rsidR="00E508E8" w:rsidRPr="00ED57CD" w:rsidRDefault="00ED7880" w:rsidP="00ED57CD">
      <w:pPr>
        <w:tabs>
          <w:tab w:val="left" w:pos="567"/>
        </w:tabs>
        <w:spacing w:after="0" w:line="240" w:lineRule="auto"/>
        <w:rPr>
          <w:rFonts w:ascii="Times New Roman" w:eastAsia="SimSun" w:hAnsi="Times New Roman"/>
          <w:b/>
        </w:rPr>
      </w:pPr>
      <w:r w:rsidRPr="00ED7880">
        <w:rPr>
          <w:rFonts w:ascii="Times New Roman" w:eastAsia="Times New Roman" w:hAnsi="Times New Roman"/>
          <w:b/>
          <w:bCs/>
          <w:noProof/>
          <w:snapToGrid w:val="0"/>
        </w:rPr>
        <w:t xml:space="preserve">Šalutinio poveikio reiškiniai, kurių dažnis nežinomas (negali būti apskaičiuotas pagal turimus duomenis): </w:t>
      </w:r>
    </w:p>
    <w:p w14:paraId="63DEA0BC" w14:textId="77777777" w:rsidR="00ED57CD" w:rsidRPr="003600A3" w:rsidRDefault="00ED57CD" w:rsidP="003600A3">
      <w:pPr>
        <w:numPr>
          <w:ilvl w:val="0"/>
          <w:numId w:val="19"/>
        </w:numPr>
        <w:tabs>
          <w:tab w:val="left" w:pos="540"/>
        </w:tabs>
        <w:spacing w:after="0" w:line="240" w:lineRule="auto"/>
        <w:ind w:left="540" w:hanging="540"/>
        <w:outlineLvl w:val="0"/>
        <w:rPr>
          <w:rFonts w:ascii="Times New Roman" w:hAnsi="Times New Roman"/>
        </w:rPr>
      </w:pPr>
      <w:r w:rsidRPr="003600A3">
        <w:rPr>
          <w:rFonts w:ascii="Times New Roman" w:hAnsi="Times New Roman"/>
        </w:rPr>
        <w:t>odos ir lūpos vėžys (nemelanominis odos vėžys);</w:t>
      </w:r>
    </w:p>
    <w:p w14:paraId="6EC9490D" w14:textId="77777777" w:rsidR="00ED57CD" w:rsidRDefault="00ED57CD" w:rsidP="00ED57CD">
      <w:pPr>
        <w:numPr>
          <w:ilvl w:val="0"/>
          <w:numId w:val="17"/>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lastRenderedPageBreak/>
        <w:t xml:space="preserve">susilpnėjęs regėjimas ar akių skausmas dėl padidėjusio akispūdžio (galimi skysčio susikaupimo akies kraujagysliniame dangale (tarp gyslainės ir skleros) arba ūminės uždarojo kampo glaukomos požymiai). </w:t>
      </w:r>
    </w:p>
    <w:p w14:paraId="327E4448" w14:textId="77777777" w:rsidR="00B93176" w:rsidRPr="00ED57CD" w:rsidRDefault="00B93176" w:rsidP="00645B88">
      <w:pPr>
        <w:tabs>
          <w:tab w:val="left" w:pos="567"/>
        </w:tabs>
        <w:spacing w:after="0" w:line="240" w:lineRule="auto"/>
        <w:ind w:left="567"/>
        <w:rPr>
          <w:rFonts w:ascii="Times New Roman" w:eastAsia="SimSun" w:hAnsi="Times New Roman"/>
        </w:rPr>
      </w:pPr>
    </w:p>
    <w:p w14:paraId="3B04621F" w14:textId="22761E17" w:rsidR="00ED57CD" w:rsidRPr="00D93E01" w:rsidRDefault="00B93176" w:rsidP="00D93E01">
      <w:pPr>
        <w:tabs>
          <w:tab w:val="left" w:pos="567"/>
        </w:tabs>
        <w:spacing w:after="0" w:line="240" w:lineRule="auto"/>
        <w:rPr>
          <w:rFonts w:ascii="Times New Roman" w:eastAsia="Times New Roman" w:hAnsi="Times New Roman"/>
          <w:b/>
          <w:bCs/>
          <w:noProof/>
          <w:snapToGrid w:val="0"/>
        </w:rPr>
      </w:pPr>
      <w:r w:rsidRPr="00D93E01">
        <w:rPr>
          <w:rFonts w:ascii="Times New Roman" w:eastAsia="Times New Roman" w:hAnsi="Times New Roman"/>
          <w:b/>
          <w:bCs/>
          <w:noProof/>
          <w:snapToGrid w:val="0"/>
        </w:rPr>
        <w:t>Retas šalutinis poveikis (gali pasireikšti rečiau kaip 1 iš 1000 asmenų):</w:t>
      </w:r>
    </w:p>
    <w:p w14:paraId="7594C434" w14:textId="76141D3E" w:rsidR="00B93176" w:rsidRPr="00D93E01" w:rsidRDefault="00B93176" w:rsidP="00D93E01">
      <w:pPr>
        <w:numPr>
          <w:ilvl w:val="0"/>
          <w:numId w:val="19"/>
        </w:numPr>
        <w:tabs>
          <w:tab w:val="left" w:pos="540"/>
        </w:tabs>
        <w:spacing w:after="0" w:line="240" w:lineRule="auto"/>
        <w:ind w:left="540" w:hanging="540"/>
        <w:outlineLvl w:val="0"/>
        <w:rPr>
          <w:rFonts w:ascii="Times New Roman" w:hAnsi="Times New Roman"/>
        </w:rPr>
      </w:pPr>
      <w:r w:rsidRPr="00D93E01">
        <w:rPr>
          <w:rFonts w:ascii="Times New Roman" w:hAnsi="Times New Roman"/>
        </w:rPr>
        <w:t>apalpimas (sinkopė)</w:t>
      </w:r>
      <w:r>
        <w:rPr>
          <w:rFonts w:ascii="Times New Roman" w:hAnsi="Times New Roman"/>
        </w:rPr>
        <w:t>;</w:t>
      </w:r>
    </w:p>
    <w:p w14:paraId="6737EF6E" w14:textId="5AF6AD0D" w:rsidR="00B93176" w:rsidRPr="00D93E01" w:rsidRDefault="00B93176" w:rsidP="00D93E01">
      <w:pPr>
        <w:numPr>
          <w:ilvl w:val="0"/>
          <w:numId w:val="19"/>
        </w:numPr>
        <w:tabs>
          <w:tab w:val="left" w:pos="540"/>
        </w:tabs>
        <w:spacing w:after="0" w:line="240" w:lineRule="auto"/>
        <w:ind w:left="540" w:hanging="540"/>
        <w:outlineLvl w:val="0"/>
        <w:rPr>
          <w:rFonts w:ascii="Times New Roman" w:hAnsi="Times New Roman"/>
        </w:rPr>
      </w:pPr>
      <w:r w:rsidRPr="00D93E01">
        <w:rPr>
          <w:rFonts w:ascii="Times New Roman" w:hAnsi="Times New Roman"/>
        </w:rPr>
        <w:t>stiprus širdies plakimas, kuris gali būti greitas arba nereguliarus (palpitacijos)</w:t>
      </w:r>
    </w:p>
    <w:p w14:paraId="67E94891" w14:textId="0A3D51CB" w:rsidR="00B93176" w:rsidRPr="00D93E01" w:rsidRDefault="00B93176" w:rsidP="00D93E01">
      <w:pPr>
        <w:numPr>
          <w:ilvl w:val="0"/>
          <w:numId w:val="19"/>
        </w:numPr>
        <w:tabs>
          <w:tab w:val="left" w:pos="540"/>
        </w:tabs>
        <w:spacing w:after="0" w:line="240" w:lineRule="auto"/>
        <w:ind w:left="540" w:hanging="540"/>
        <w:outlineLvl w:val="0"/>
        <w:rPr>
          <w:rFonts w:ascii="Times New Roman" w:hAnsi="Times New Roman"/>
        </w:rPr>
      </w:pPr>
      <w:r w:rsidRPr="00D93E01">
        <w:rPr>
          <w:rFonts w:ascii="Times New Roman" w:hAnsi="Times New Roman"/>
        </w:rPr>
        <w:t>žemas kraujospūdis</w:t>
      </w:r>
      <w:r>
        <w:rPr>
          <w:rFonts w:ascii="Times New Roman" w:hAnsi="Times New Roman"/>
        </w:rPr>
        <w:t>;</w:t>
      </w:r>
    </w:p>
    <w:p w14:paraId="7B91DB4F" w14:textId="2F3D4044" w:rsidR="00B93176" w:rsidRPr="00D93E01" w:rsidRDefault="00B93176" w:rsidP="00D93E01">
      <w:pPr>
        <w:numPr>
          <w:ilvl w:val="0"/>
          <w:numId w:val="19"/>
        </w:numPr>
        <w:tabs>
          <w:tab w:val="left" w:pos="540"/>
        </w:tabs>
        <w:spacing w:after="0" w:line="240" w:lineRule="auto"/>
        <w:ind w:left="540" w:hanging="540"/>
        <w:outlineLvl w:val="0"/>
        <w:rPr>
          <w:rFonts w:ascii="Times New Roman" w:hAnsi="Times New Roman"/>
        </w:rPr>
      </w:pPr>
      <w:r w:rsidRPr="00D93E01">
        <w:rPr>
          <w:rFonts w:ascii="Times New Roman" w:hAnsi="Times New Roman"/>
        </w:rPr>
        <w:t>dilgėlinė (urticaria)</w:t>
      </w:r>
    </w:p>
    <w:p w14:paraId="25975079" w14:textId="50250755" w:rsidR="00B93176" w:rsidRPr="00D93E01" w:rsidRDefault="00B93176" w:rsidP="00D93E01">
      <w:pPr>
        <w:numPr>
          <w:ilvl w:val="0"/>
          <w:numId w:val="19"/>
        </w:numPr>
        <w:tabs>
          <w:tab w:val="left" w:pos="540"/>
        </w:tabs>
        <w:spacing w:after="0" w:line="240" w:lineRule="auto"/>
        <w:ind w:left="540" w:hanging="540"/>
        <w:outlineLvl w:val="0"/>
        <w:rPr>
          <w:rFonts w:ascii="Times New Roman" w:hAnsi="Times New Roman"/>
        </w:rPr>
      </w:pPr>
      <w:r w:rsidRPr="00D93E01">
        <w:rPr>
          <w:rFonts w:ascii="Times New Roman" w:hAnsi="Times New Roman"/>
        </w:rPr>
        <w:t>niežulys</w:t>
      </w:r>
      <w:r>
        <w:rPr>
          <w:rFonts w:ascii="Times New Roman" w:hAnsi="Times New Roman"/>
        </w:rPr>
        <w:t>;</w:t>
      </w:r>
    </w:p>
    <w:p w14:paraId="4F71401C" w14:textId="408343C9" w:rsidR="00B93176" w:rsidRDefault="00B93176" w:rsidP="00B93176">
      <w:pPr>
        <w:numPr>
          <w:ilvl w:val="0"/>
          <w:numId w:val="19"/>
        </w:numPr>
        <w:tabs>
          <w:tab w:val="left" w:pos="540"/>
        </w:tabs>
        <w:spacing w:after="0" w:line="240" w:lineRule="auto"/>
        <w:ind w:left="540" w:hanging="540"/>
        <w:outlineLvl w:val="0"/>
        <w:rPr>
          <w:rFonts w:ascii="Times New Roman" w:hAnsi="Times New Roman"/>
        </w:rPr>
      </w:pPr>
      <w:r w:rsidRPr="00D93E01">
        <w:rPr>
          <w:rFonts w:ascii="Times New Roman" w:hAnsi="Times New Roman"/>
        </w:rPr>
        <w:t>padidėjęs kalio kiekis kraujyje</w:t>
      </w:r>
      <w:r>
        <w:rPr>
          <w:rFonts w:ascii="Times New Roman" w:hAnsi="Times New Roman"/>
        </w:rPr>
        <w:t>.</w:t>
      </w:r>
    </w:p>
    <w:p w14:paraId="1B6BF061" w14:textId="77777777" w:rsidR="00B93176" w:rsidRPr="00D93E01" w:rsidRDefault="00B93176" w:rsidP="00D93E01">
      <w:pPr>
        <w:tabs>
          <w:tab w:val="left" w:pos="540"/>
        </w:tabs>
        <w:spacing w:after="0" w:line="240" w:lineRule="auto"/>
        <w:outlineLvl w:val="0"/>
        <w:rPr>
          <w:rFonts w:ascii="Times New Roman" w:hAnsi="Times New Roman"/>
        </w:rPr>
      </w:pPr>
    </w:p>
    <w:p w14:paraId="32351668" w14:textId="77777777" w:rsidR="00ED57CD" w:rsidRPr="00ED57CD" w:rsidRDefault="00ED57CD" w:rsidP="00ED57CD">
      <w:pPr>
        <w:spacing w:after="0" w:line="240" w:lineRule="auto"/>
        <w:rPr>
          <w:rFonts w:ascii="Times New Roman" w:eastAsia="SimSun" w:hAnsi="Times New Roman"/>
        </w:rPr>
      </w:pPr>
      <w:r w:rsidRPr="00ED57CD">
        <w:rPr>
          <w:rFonts w:ascii="Times New Roman" w:eastAsia="SimSun" w:hAnsi="Times New Roman"/>
        </w:rPr>
        <w:t xml:space="preserve">Žemiau išvardyti poveikio atvejai, kurių nebuvo </w:t>
      </w:r>
      <w:r w:rsidRPr="00ED57CD">
        <w:rPr>
          <w:rFonts w:ascii="Times New Roman" w:eastAsia="SimSun" w:hAnsi="Times New Roman"/>
          <w:lang w:eastAsia="zh-CN"/>
        </w:rPr>
        <w:t xml:space="preserve">zofenoprilio ir hidrochlorotiazido derinio </w:t>
      </w:r>
      <w:r w:rsidRPr="00ED57CD">
        <w:rPr>
          <w:rFonts w:ascii="Times New Roman" w:eastAsia="SimSun" w:hAnsi="Times New Roman"/>
        </w:rPr>
        <w:t xml:space="preserve">klinikinių tyrimų metu, bet apie juos pranešta vartojant </w:t>
      </w:r>
      <w:r w:rsidRPr="00ED57CD">
        <w:rPr>
          <w:rFonts w:ascii="Times New Roman" w:eastAsia="SimSun" w:hAnsi="Times New Roman"/>
          <w:b/>
        </w:rPr>
        <w:t>zofenoprilio kalcio druskos ir (arba) kitų AKF inhibitorių</w:t>
      </w:r>
      <w:r w:rsidRPr="00ED57CD">
        <w:rPr>
          <w:rFonts w:ascii="Times New Roman" w:eastAsia="SimSun" w:hAnsi="Times New Roman"/>
        </w:rPr>
        <w:t>; reiškia, jie gali pasireikšti vartojant Zofenopril / Hydrochlorothiazide Ingen Pharma:</w:t>
      </w:r>
    </w:p>
    <w:p w14:paraId="39A950C6"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nuovargis gydymo pradžioje arba padidinus vaisto dozę - staigus kraujospūdžio sumažėjimas su svaiguliu, sutrikusiu regėjimu ir apalpimu; kraujospūdžio sumažėjimas atsistojus;</w:t>
      </w:r>
    </w:p>
    <w:p w14:paraId="2F8C903A"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krūtinės skausmas, raumenų skausmas ir (arba) mėšlungis;</w:t>
      </w:r>
    </w:p>
    <w:p w14:paraId="3E85C1CF"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sąmonės pritemimas, staigus svaigulys, staigus regėjimo sutrikimas arba silpnumas ir (arba) prisilietimo pojūčio sutrikimas vienoje kūno pusėje (praeinantis galvos smegenų išemijos priepuolis arba insultas);</w:t>
      </w:r>
    </w:p>
    <w:p w14:paraId="2C68F9A4"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sumažėjusi inkstų funkcija, paros šlapimo kiekio pokyčiai, baltymas šlapime (proteinurija);</w:t>
      </w:r>
    </w:p>
    <w:p w14:paraId="523DE171"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vėmimas, viduriavimas, vidurių užkietėjimas;</w:t>
      </w:r>
    </w:p>
    <w:p w14:paraId="2AFE963A"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alerginės odos reakcijos: pleiskanojimas, paraudimas, pūslės odoje ir odos atšokimas (toksinė epidermio nekrolizė), psoriazės (ligos, kurioms būdingos pleiskanojančios rausvos dėmės) simptomų pablogėjimas, nuplikimas;</w:t>
      </w:r>
    </w:p>
    <w:p w14:paraId="03D5F150"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padidėjęs prakaitavimas;</w:t>
      </w:r>
    </w:p>
    <w:p w14:paraId="41972D0E"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nuotaikos svyravimai, depresija, miego sutrikimai;</w:t>
      </w:r>
    </w:p>
    <w:p w14:paraId="5FA84541"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pakitęs odos jautrumas – deginimo, dilgčiojimo ar badymo pojūtis (parestezija);</w:t>
      </w:r>
    </w:p>
    <w:p w14:paraId="5575C047" w14:textId="77777777" w:rsidR="00ED57CD" w:rsidRPr="00ED57CD" w:rsidRDefault="00ED57CD" w:rsidP="00ED57CD">
      <w:pPr>
        <w:numPr>
          <w:ilvl w:val="0"/>
          <w:numId w:val="15"/>
        </w:numPr>
        <w:spacing w:after="0" w:line="240" w:lineRule="auto"/>
        <w:ind w:left="567" w:hanging="567"/>
        <w:contextualSpacing/>
        <w:rPr>
          <w:rFonts w:ascii="Times New Roman" w:eastAsia="SimSun" w:hAnsi="Times New Roman"/>
        </w:rPr>
      </w:pPr>
      <w:r w:rsidRPr="00ED57CD">
        <w:rPr>
          <w:rFonts w:ascii="Times New Roman" w:eastAsia="SimSun" w:hAnsi="Times New Roman"/>
        </w:rPr>
        <w:t>pusiausvyros sutrikimas, suglumimas, spengimas ausyse, skonio sutrikimas, neaiškus matymas;</w:t>
      </w:r>
    </w:p>
    <w:p w14:paraId="215E52B0"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pasunkėjęs kvėpavimas, kvėpavimo takų susiaurėjimas (bronchų spazmas), sinusitas, sloga arba užsikimšusi nosis (rinitas), liežuvio gleivinės uždegimas (glositas);</w:t>
      </w:r>
    </w:p>
    <w:p w14:paraId="3A96FD2F"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odos pageltimas (gelta), kepenų arba kasos uždegimas (hepatitas, pankreatitas), žarnų nepraeinamumas (</w:t>
      </w:r>
      <w:r w:rsidRPr="00ED57CD">
        <w:rPr>
          <w:rFonts w:ascii="Times New Roman" w:eastAsia="SimSun" w:hAnsi="Times New Roman"/>
          <w:i/>
          <w:lang w:eastAsia="zh-CN"/>
        </w:rPr>
        <w:t>ileus</w:t>
      </w:r>
      <w:r w:rsidRPr="00ED57CD">
        <w:rPr>
          <w:rFonts w:ascii="Times New Roman" w:eastAsia="SimSun" w:hAnsi="Times New Roman"/>
          <w:lang w:eastAsia="zh-CN"/>
        </w:rPr>
        <w:t>);</w:t>
      </w:r>
    </w:p>
    <w:p w14:paraId="4D7BC658"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b/>
          <w:lang w:eastAsia="zh-CN"/>
        </w:rPr>
      </w:pPr>
      <w:r w:rsidRPr="00ED57CD">
        <w:rPr>
          <w:rFonts w:ascii="Times New Roman" w:eastAsia="SimSun" w:hAnsi="Times New Roman"/>
          <w:lang w:eastAsia="zh-CN"/>
        </w:rPr>
        <w:t xml:space="preserve">kraujo tyrimų pokyčiai: eritrocitų, leukocitų, trombocitų skaičiaus sumažėjimas ar visų kraujo ląstelių kiekio sumažėjimas (pancitopenija). </w:t>
      </w:r>
      <w:r w:rsidRPr="00ED57CD">
        <w:rPr>
          <w:rFonts w:ascii="Times New Roman" w:eastAsia="SimSun" w:hAnsi="Times New Roman"/>
          <w:b/>
          <w:lang w:eastAsia="zh-CN"/>
        </w:rPr>
        <w:t>Jei lengvai atsiranda mėlynių ar staiga prasideda gerklės skausmas arba karščiavimas, nedelsiant kreipkitės į gydytoją;</w:t>
      </w:r>
    </w:p>
    <w:p w14:paraId="207508BE"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padidėjęs bilirubino, šlapalo kiekis kraujyje;</w:t>
      </w:r>
    </w:p>
    <w:p w14:paraId="44DD34A5" w14:textId="77777777" w:rsidR="00ED57CD" w:rsidRPr="00ED57CD" w:rsidRDefault="00ED57CD" w:rsidP="00ED57CD">
      <w:pPr>
        <w:numPr>
          <w:ilvl w:val="0"/>
          <w:numId w:val="14"/>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mažakraujystė dėl eritrocitų irimo (hemolizinė anemija), atsirandanti tuomet, kai Jums nepakanka fermento gliukozės-6-fosfatdehidrogenazės.</w:t>
      </w:r>
    </w:p>
    <w:p w14:paraId="75396CB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70B9878"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Žemiau išvardyti šalutinio poveikio atvejai, kurių nebuvo zofenoprilio ir hidrochlorotiazido derinio  klinikinių tyrimų metu, bet jie pastebėti vartojant </w:t>
      </w:r>
      <w:r w:rsidRPr="00ED57CD">
        <w:rPr>
          <w:rFonts w:ascii="Times New Roman" w:eastAsia="SimSun" w:hAnsi="Times New Roman"/>
          <w:b/>
          <w:lang w:eastAsia="zh-CN"/>
        </w:rPr>
        <w:t>hidrochlorotiazido</w:t>
      </w:r>
      <w:r w:rsidRPr="00ED57CD">
        <w:rPr>
          <w:rFonts w:ascii="Times New Roman" w:eastAsia="SimSun" w:hAnsi="Times New Roman"/>
          <w:lang w:eastAsia="zh-CN"/>
        </w:rPr>
        <w:t>; tai reiškia, kad jie galimi vartojant Zofenopril / Hydrochlorothiazide Ingen Pharma:</w:t>
      </w:r>
    </w:p>
    <w:p w14:paraId="52E5093C"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leukocitų susidarymo kaulų čiulpuose sutrikimas (kaulų čiulpų nepakankamumas);</w:t>
      </w:r>
    </w:p>
    <w:p w14:paraId="37A0343D"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karščiavimas, viso kūno alerginės reakcijos (anafilaksinė reakcija);</w:t>
      </w:r>
    </w:p>
    <w:p w14:paraId="1800E227"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skysčių kiekio organizme pokyčiai (dehidracija) arba kraujo biocheminės sudėties (elektrolitų) pokyčiai, podagra, cukrinis diabetas, metabolinė alkalozė;</w:t>
      </w:r>
    </w:p>
    <w:p w14:paraId="74F0AB69"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apatija, nervingumas, neramumas;</w:t>
      </w:r>
    </w:p>
    <w:p w14:paraId="4FECD2A8"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traukuliai, sąmonės pritemimas, koma, parezė;</w:t>
      </w:r>
    </w:p>
    <w:p w14:paraId="4B5A4615"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matomi daiktai geltonos spalvos (ksantopsija), trumparegystės (miopijos) pablogėjimas, sumažėjęs ašarų susidarymas;</w:t>
      </w:r>
    </w:p>
    <w:p w14:paraId="613F5F4E"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galvos sukimasis (</w:t>
      </w:r>
      <w:r w:rsidRPr="00ED57CD">
        <w:rPr>
          <w:rFonts w:ascii="Times New Roman" w:eastAsia="SimSun" w:hAnsi="Times New Roman"/>
          <w:i/>
        </w:rPr>
        <w:t>vertigo</w:t>
      </w:r>
      <w:r w:rsidRPr="00ED57CD">
        <w:rPr>
          <w:rFonts w:ascii="Times New Roman" w:eastAsia="SimSun" w:hAnsi="Times New Roman"/>
        </w:rPr>
        <w:t>);</w:t>
      </w:r>
    </w:p>
    <w:p w14:paraId="57381EB5"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širdies ritmo sutrikimai (aritmijos), EKG pokyčiai;</w:t>
      </w:r>
    </w:p>
    <w:p w14:paraId="1EFEEAC2"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kraujo krešulių venose susidarymas (trombozė) ir embolija, kraujotakos sutrikimas (šokas);</w:t>
      </w:r>
    </w:p>
    <w:p w14:paraId="3480E89F"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kvėpavimo sutrikimas, plaučių uždegimas, fibrozinio jungiamojo audinio plaučiuose susidarymas (plaučių intersticinė liga), skysčių sankaupa plaučiuose (plaučių edema);</w:t>
      </w:r>
    </w:p>
    <w:p w14:paraId="5068F4ED"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lastRenderedPageBreak/>
        <w:t>troškulys, apetito stoka (anoreksija), žarnyno judrumo sutrikimas (paralyžinis žarnų nepraeinamumas), pernelyg gausus dujų susidarymas žarnyne, seilių liaukų uždegimas (sialoadenitas), padidėjęs amilazės (kasos fermento) kiekis kraujyje, tulžies pūslės uždegimas (cholecistitas);</w:t>
      </w:r>
    </w:p>
    <w:p w14:paraId="658907C7"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smulkūs raudoni šlakeliai (dėmelės) ant odos (</w:t>
      </w:r>
      <w:r w:rsidRPr="00ED57CD">
        <w:rPr>
          <w:rFonts w:ascii="Times New Roman" w:eastAsia="SimSun" w:hAnsi="Times New Roman"/>
          <w:i/>
        </w:rPr>
        <w:t>purpura</w:t>
      </w:r>
      <w:r w:rsidRPr="00ED57CD">
        <w:rPr>
          <w:rFonts w:ascii="Times New Roman" w:eastAsia="SimSun" w:hAnsi="Times New Roman"/>
        </w:rPr>
        <w:t>), padidėjęs odos jautrumas saulės šviesai, išbėrimas (ypač veido srityje) ir (arba) lopiniuotas paraudimas, sukeliantis randėjimą (odos raudonoji vilkligė), kraujagyslių uždegimas, sukeliantis audinių žuvimą (nekrozinis vaskulitas);</w:t>
      </w:r>
    </w:p>
    <w:p w14:paraId="54FC5BC5" w14:textId="77777777" w:rsidR="00ED57CD" w:rsidRPr="00ED57CD" w:rsidRDefault="00ED57CD" w:rsidP="00ED57CD">
      <w:pPr>
        <w:numPr>
          <w:ilvl w:val="0"/>
          <w:numId w:val="16"/>
        </w:numPr>
        <w:spacing w:after="0" w:line="240" w:lineRule="auto"/>
        <w:ind w:left="567" w:hanging="567"/>
        <w:contextualSpacing/>
        <w:rPr>
          <w:rFonts w:ascii="Times New Roman" w:eastAsia="SimSun" w:hAnsi="Times New Roman"/>
        </w:rPr>
      </w:pPr>
      <w:r w:rsidRPr="00ED57CD">
        <w:rPr>
          <w:rFonts w:ascii="Times New Roman" w:eastAsia="SimSun" w:hAnsi="Times New Roman"/>
        </w:rPr>
        <w:t>ūminis inkstų nepakankamumas (su sumažėjusiu šlapimo išsiskyrimu ir skysčių bei medžiagų apykaitos produktų sankaupa audiniuose), inkstų jungiamojo audinio uždegimas (intersticinis nefritas), padidėjęs cukraus kiekis šlapime.</w:t>
      </w:r>
    </w:p>
    <w:p w14:paraId="705985C8"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56E351B" w14:textId="77777777" w:rsidR="00ED57CD" w:rsidRPr="00ED57CD" w:rsidRDefault="00ED57CD" w:rsidP="00ED57CD">
      <w:pPr>
        <w:tabs>
          <w:tab w:val="left" w:pos="567"/>
        </w:tabs>
        <w:spacing w:after="0" w:line="240" w:lineRule="auto"/>
        <w:rPr>
          <w:rFonts w:ascii="Times New Roman" w:eastAsia="Times New Roman" w:hAnsi="Times New Roman"/>
          <w:b/>
          <w:snapToGrid w:val="0"/>
        </w:rPr>
      </w:pPr>
      <w:r w:rsidRPr="00ED57CD">
        <w:rPr>
          <w:rFonts w:ascii="Times New Roman" w:eastAsia="Times New Roman" w:hAnsi="Times New Roman"/>
          <w:b/>
          <w:snapToGrid w:val="0"/>
        </w:rPr>
        <w:t>Pranešimas apie šalutinį poveikį</w:t>
      </w:r>
    </w:p>
    <w:p w14:paraId="5FF81291" w14:textId="7E658BBA" w:rsidR="00ED57CD" w:rsidRPr="00ED57CD" w:rsidRDefault="00ED57CD" w:rsidP="00ED57CD">
      <w:pPr>
        <w:tabs>
          <w:tab w:val="left" w:pos="567"/>
        </w:tabs>
        <w:spacing w:after="0" w:line="240" w:lineRule="auto"/>
        <w:ind w:right="-449"/>
        <w:rPr>
          <w:rFonts w:ascii="Times New Roman" w:eastAsia="Times New Roman" w:hAnsi="Times New Roman"/>
          <w:snapToGrid w:val="0"/>
        </w:rPr>
      </w:pPr>
      <w:r w:rsidRPr="00ED57CD">
        <w:rPr>
          <w:rFonts w:ascii="Times New Roman" w:eastAsia="Times New Roman" w:hAnsi="Times New Roman"/>
          <w:snapToGrid w:val="0"/>
        </w:rPr>
        <w:t>Jeigu pasireiškė šalutinis poveikis, įskaitant šiame lapelyje nenurodytą, pasakykite gydytojui arba vaistininkui.</w:t>
      </w:r>
      <w:r w:rsidR="00B93176">
        <w:rPr>
          <w:rFonts w:ascii="Times New Roman" w:eastAsia="Times New Roman" w:hAnsi="Times New Roman"/>
          <w:snapToGrid w:val="0"/>
        </w:rPr>
        <w:t xml:space="preserve"> </w:t>
      </w:r>
      <w:r w:rsidR="00B93176" w:rsidRPr="00D93E01">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B93176" w:rsidRPr="00D93E01">
        <w:rPr>
          <w:rFonts w:ascii="Times New Roman" w:hAnsi="Times New Roman"/>
          <w:color w:val="0000EE"/>
          <w:u w:val="single"/>
          <w:lang w:eastAsia="lt-LT"/>
        </w:rPr>
        <w:t>https://vvkt.lrv.lt/lt/</w:t>
      </w:r>
      <w:r w:rsidR="00B93176" w:rsidRPr="00D93E01">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ED57CD">
        <w:rPr>
          <w:rFonts w:ascii="Times New Roman" w:eastAsia="Times New Roman" w:hAnsi="Times New Roman"/>
          <w:snapToGrid w:val="0"/>
        </w:rPr>
        <w:t>.</w:t>
      </w:r>
    </w:p>
    <w:p w14:paraId="4AED22A3" w14:textId="77777777" w:rsidR="00ED57CD" w:rsidRPr="00ED57CD" w:rsidRDefault="00ED57CD" w:rsidP="00ED57CD">
      <w:pPr>
        <w:tabs>
          <w:tab w:val="left" w:pos="567"/>
        </w:tabs>
        <w:spacing w:after="0" w:line="240" w:lineRule="auto"/>
        <w:ind w:right="-449"/>
        <w:rPr>
          <w:rFonts w:ascii="Times New Roman" w:eastAsia="Times New Roman" w:hAnsi="Times New Roman"/>
          <w:snapToGrid w:val="0"/>
        </w:rPr>
      </w:pPr>
    </w:p>
    <w:p w14:paraId="06569884"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4325B680" w14:textId="77777777" w:rsidR="00ED57CD" w:rsidRPr="00ED57CD" w:rsidRDefault="00ED57CD" w:rsidP="00ED57CD">
      <w:pPr>
        <w:tabs>
          <w:tab w:val="left" w:pos="567"/>
        </w:tabs>
        <w:spacing w:after="0" w:line="240" w:lineRule="auto"/>
        <w:rPr>
          <w:rFonts w:ascii="Times New Roman" w:eastAsia="SimSun" w:hAnsi="Times New Roman"/>
          <w:b/>
          <w:lang w:eastAsia="zh-CN"/>
        </w:rPr>
      </w:pPr>
      <w:bookmarkStart w:id="65" w:name="_Toc129243143"/>
      <w:bookmarkStart w:id="66" w:name="_Toc129243268"/>
      <w:r w:rsidRPr="00ED57CD">
        <w:rPr>
          <w:rFonts w:ascii="Times New Roman" w:eastAsia="SimSun" w:hAnsi="Times New Roman"/>
          <w:b/>
          <w:lang w:eastAsia="zh-CN"/>
        </w:rPr>
        <w:t>5.</w:t>
      </w:r>
      <w:r w:rsidRPr="00ED57CD">
        <w:rPr>
          <w:rFonts w:ascii="Times New Roman" w:eastAsia="SimSun" w:hAnsi="Times New Roman"/>
          <w:b/>
          <w:lang w:eastAsia="zh-CN"/>
        </w:rPr>
        <w:tab/>
        <w:t xml:space="preserve">Kaip laikyti </w:t>
      </w:r>
      <w:bookmarkEnd w:id="65"/>
      <w:bookmarkEnd w:id="66"/>
      <w:r w:rsidRPr="00ED57CD">
        <w:rPr>
          <w:rFonts w:ascii="Times New Roman" w:eastAsia="SimSun" w:hAnsi="Times New Roman"/>
          <w:b/>
          <w:lang w:eastAsia="zh-CN"/>
        </w:rPr>
        <w:t>Zofenopril / Hydrochlorothiazide Ingen Pharma</w:t>
      </w:r>
    </w:p>
    <w:p w14:paraId="18D72F5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23F99C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Šį vaistą laikykite vaikams nepastebimoje ir nepasiekiamoje vietoje.</w:t>
      </w:r>
    </w:p>
    <w:p w14:paraId="2CFA8510" w14:textId="77777777" w:rsidR="00ED57CD" w:rsidRPr="00ED57CD" w:rsidRDefault="00ED57CD" w:rsidP="00ED57CD">
      <w:pPr>
        <w:spacing w:after="0" w:line="240" w:lineRule="auto"/>
        <w:rPr>
          <w:rFonts w:ascii="Times New Roman" w:eastAsia="SimSun" w:hAnsi="Times New Roman"/>
        </w:rPr>
      </w:pPr>
      <w:r w:rsidRPr="00ED57CD">
        <w:rPr>
          <w:rFonts w:ascii="Times New Roman" w:eastAsia="SimSun" w:hAnsi="Times New Roman"/>
        </w:rPr>
        <w:t>Šiam vaistui specialių laikymo sąlygų nereikia.</w:t>
      </w:r>
    </w:p>
    <w:p w14:paraId="21CF8BA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Ant dėžutės arba lizdinės plokštelės po „</w:t>
      </w:r>
      <w:r w:rsidRPr="00ED57CD">
        <w:rPr>
          <w:rFonts w:ascii="Times New Roman" w:eastAsia="SimSun" w:hAnsi="Times New Roman"/>
          <w:highlight w:val="lightGray"/>
          <w:lang w:eastAsia="zh-CN"/>
        </w:rPr>
        <w:t>Tinka iki</w:t>
      </w:r>
      <w:r w:rsidRPr="00ED57CD">
        <w:rPr>
          <w:rFonts w:ascii="Times New Roman" w:eastAsia="SimSun" w:hAnsi="Times New Roman"/>
          <w:lang w:eastAsia="zh-CN"/>
        </w:rPr>
        <w:t>/EXP“ nurodytam tinkamumo laikui pasibaigus, šio vaisto vartoti negalima.</w:t>
      </w:r>
      <w:r w:rsidRPr="00ED57CD">
        <w:rPr>
          <w:rFonts w:ascii="Times New Roman" w:hAnsi="Times New Roman"/>
        </w:rPr>
        <w:t xml:space="preserve"> </w:t>
      </w:r>
      <w:r w:rsidRPr="00ED57CD">
        <w:rPr>
          <w:rFonts w:ascii="Times New Roman" w:eastAsia="SimSun" w:hAnsi="Times New Roman"/>
          <w:lang w:eastAsia="zh-CN"/>
        </w:rPr>
        <w:t>Vaistas tinkamas vartoti iki paskutinės nurodyto mėnesio dienos.</w:t>
      </w:r>
    </w:p>
    <w:p w14:paraId="322C9101"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zh-CN"/>
        </w:rPr>
      </w:pPr>
    </w:p>
    <w:p w14:paraId="72C3B451"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Vaistų negalima išmesti į kanalizaciją arba su buitinėmis atliekomis. Kaip išmesti nereikalingus vaistus, klauskite vaistininko. Šios priemonės padės apsaugoti aplinką.</w:t>
      </w:r>
    </w:p>
    <w:p w14:paraId="58E98946"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2443A65"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E80E0BF" w14:textId="77777777" w:rsidR="00ED57CD" w:rsidRPr="00ED57CD" w:rsidRDefault="00ED57CD" w:rsidP="00ED57CD">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6.</w:t>
      </w:r>
      <w:r w:rsidRPr="00ED57CD">
        <w:rPr>
          <w:rFonts w:ascii="Times New Roman" w:eastAsia="SimSun" w:hAnsi="Times New Roman"/>
          <w:b/>
          <w:bCs/>
          <w:color w:val="000000"/>
          <w:lang w:eastAsia="zh-CN"/>
        </w:rPr>
        <w:tab/>
        <w:t>Pakuotės turinys ir kita informacija</w:t>
      </w:r>
    </w:p>
    <w:p w14:paraId="113AF819"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E4CA276"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Zofenopril / Hydrochlorothiazide Ingen Pharma sudėtis</w:t>
      </w:r>
    </w:p>
    <w:p w14:paraId="7D01585D"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Veikliosios medžiagos yra zofenoprilio kalcio druska ir hidrochlorotiazidas.</w:t>
      </w:r>
      <w:r w:rsidRPr="00ED57CD">
        <w:rPr>
          <w:rFonts w:ascii="Times New Roman" w:hAnsi="Times New Roman"/>
        </w:rPr>
        <w:t xml:space="preserve"> </w:t>
      </w:r>
      <w:r w:rsidRPr="00ED57CD">
        <w:rPr>
          <w:rFonts w:ascii="Times New Roman" w:eastAsia="SimSun" w:hAnsi="Times New Roman"/>
          <w:lang w:eastAsia="zh-CN"/>
        </w:rPr>
        <w:t>Kiekvienoje plėvele dengtoje tabletėje yra 30 mg zofenoprilio kalcio druskos ir 12,5 mg hidrochlorotiazido.</w:t>
      </w:r>
    </w:p>
    <w:p w14:paraId="37A7DD46"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Pagalbinės medžiagos tabletės šerdyje: mikrokristalinė celiuliozė, laktozė monohidratas, pregelifikuotas kukurūzų krakmolas, kroskarmeliozės natrio druska,</w:t>
      </w:r>
      <w:r w:rsidRPr="00ED57CD" w:rsidDel="00316375">
        <w:rPr>
          <w:rFonts w:ascii="Times New Roman" w:eastAsia="SimSun" w:hAnsi="Times New Roman"/>
          <w:lang w:eastAsia="zh-CN"/>
        </w:rPr>
        <w:t xml:space="preserve"> </w:t>
      </w:r>
      <w:r w:rsidRPr="00ED57CD">
        <w:rPr>
          <w:rFonts w:ascii="Times New Roman" w:eastAsia="SimSun" w:hAnsi="Times New Roman"/>
          <w:lang w:eastAsia="zh-CN"/>
        </w:rPr>
        <w:t>koloidinis bevandenis silicio dioksidas, magnio stearatas; tabletės plėvelėje – polivinilo alkoholis, titano dioksidas (E171), makrogolis 4000, talkas, saulėlydžio geltonasis FCF (E110), raudonasis geležies oksidas (E172).</w:t>
      </w:r>
    </w:p>
    <w:p w14:paraId="3DE09913" w14:textId="77777777" w:rsidR="00ED57CD" w:rsidRPr="00ED57CD" w:rsidRDefault="00ED57CD" w:rsidP="00ED57CD">
      <w:pPr>
        <w:tabs>
          <w:tab w:val="left" w:pos="567"/>
        </w:tabs>
        <w:spacing w:after="0" w:line="240" w:lineRule="auto"/>
        <w:ind w:left="567" w:hanging="567"/>
        <w:rPr>
          <w:rFonts w:ascii="Times New Roman" w:eastAsia="SimSun" w:hAnsi="Times New Roman"/>
          <w:lang w:eastAsia="zh-CN"/>
        </w:rPr>
      </w:pPr>
    </w:p>
    <w:p w14:paraId="6C5D5527"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Zofenopril / Hydrochlorothiazide Ingen Pharma išvaizda ir kiekis pakuotėje</w:t>
      </w:r>
    </w:p>
    <w:p w14:paraId="53989E8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30 mg / 12,5 mg plėvele dengtos tabletės yra šviesiai raudonos, apvalios, 9 mm skersmens tabletės su laužimo vagele vienoje pusėje. Laužimo vagelė skirta tik tabletei perlaužti, kad būtų lengviau nuryti, bet ne jai padalyti į lygias dozes.</w:t>
      </w:r>
    </w:p>
    <w:p w14:paraId="2107318F" w14:textId="77777777" w:rsidR="00ED57CD" w:rsidRPr="00ED57CD" w:rsidRDefault="00ED57CD" w:rsidP="00ED57CD">
      <w:pPr>
        <w:tabs>
          <w:tab w:val="left" w:pos="567"/>
        </w:tabs>
        <w:spacing w:after="0" w:line="240" w:lineRule="auto"/>
        <w:rPr>
          <w:rFonts w:ascii="Times New Roman" w:eastAsia="SimSun" w:hAnsi="Times New Roman"/>
          <w:highlight w:val="yellow"/>
          <w:lang w:eastAsia="zh-CN"/>
        </w:rPr>
      </w:pPr>
    </w:p>
    <w:p w14:paraId="2C05067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Pakuotėje yra 28 plėvele dengtos tabletės, supakuotos į PVC/PVDC-aliuminio lizdines plokšteles. </w:t>
      </w:r>
    </w:p>
    <w:p w14:paraId="57D653C1"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5458005C"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Registruotojas ir gamintojas</w:t>
      </w:r>
    </w:p>
    <w:p w14:paraId="4F129CD1"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Registruotojas</w:t>
      </w:r>
    </w:p>
    <w:p w14:paraId="1816DE23"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SIA Ingen Pharma</w:t>
      </w:r>
    </w:p>
    <w:p w14:paraId="4054A0E2"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K. Ulmaņa gatve 119</w:t>
      </w:r>
    </w:p>
    <w:p w14:paraId="09ACD279"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LV-2167 Mārupe, Rīga</w:t>
      </w:r>
    </w:p>
    <w:p w14:paraId="461333AA" w14:textId="77777777"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Latvija</w:t>
      </w:r>
    </w:p>
    <w:p w14:paraId="69B1D413"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6621DC81" w14:textId="77777777" w:rsidR="00ED57CD" w:rsidRPr="00ED57CD" w:rsidRDefault="00ED57CD" w:rsidP="00ED57CD">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Gamintojas</w:t>
      </w:r>
    </w:p>
    <w:p w14:paraId="3C152784"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Bluepharma-Indústria Farmaceutica, S.A.</w:t>
      </w:r>
    </w:p>
    <w:p w14:paraId="1299C6F3"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 Martinho do Bispo</w:t>
      </w:r>
    </w:p>
    <w:p w14:paraId="30722382"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Coimbra, 3045-016</w:t>
      </w:r>
    </w:p>
    <w:p w14:paraId="25C8F3CA" w14:textId="77777777" w:rsidR="00ED57CD" w:rsidRPr="00ED57CD" w:rsidRDefault="00ED57CD" w:rsidP="00ED57CD">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Portugalija</w:t>
      </w:r>
    </w:p>
    <w:p w14:paraId="293D63C0"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33288EA6" w14:textId="4A37CD4F" w:rsidR="00ED57CD" w:rsidRPr="00ED57CD" w:rsidRDefault="00ED57CD" w:rsidP="00ED57CD">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 xml:space="preserve">Šis pakuotės lapelis paskutinį kartą peržiūrėtas </w:t>
      </w:r>
      <w:r w:rsidR="00480AFA">
        <w:rPr>
          <w:rFonts w:ascii="Times New Roman" w:eastAsia="SimSun" w:hAnsi="Times New Roman"/>
          <w:b/>
          <w:lang w:eastAsia="zh-CN"/>
        </w:rPr>
        <w:t xml:space="preserve"> </w:t>
      </w:r>
      <w:r w:rsidR="00645B88">
        <w:rPr>
          <w:rFonts w:ascii="Times New Roman" w:eastAsia="SimSun" w:hAnsi="Times New Roman"/>
          <w:b/>
          <w:lang w:eastAsia="zh-CN"/>
        </w:rPr>
        <w:t>2024-12-13</w:t>
      </w:r>
      <w:r w:rsidR="00480AFA">
        <w:rPr>
          <w:rFonts w:ascii="Times New Roman" w:eastAsia="SimSun" w:hAnsi="Times New Roman"/>
          <w:b/>
          <w:lang w:eastAsia="zh-CN"/>
        </w:rPr>
        <w:t>.</w:t>
      </w:r>
    </w:p>
    <w:p w14:paraId="35F53E3D" w14:textId="77777777" w:rsidR="00ED57CD" w:rsidRPr="00ED57CD" w:rsidRDefault="00ED57CD" w:rsidP="00ED57CD">
      <w:pPr>
        <w:tabs>
          <w:tab w:val="left" w:pos="567"/>
        </w:tabs>
        <w:spacing w:after="0" w:line="240" w:lineRule="auto"/>
        <w:rPr>
          <w:rFonts w:ascii="Times New Roman" w:eastAsia="SimSun" w:hAnsi="Times New Roman"/>
          <w:lang w:eastAsia="zh-CN"/>
        </w:rPr>
      </w:pPr>
    </w:p>
    <w:p w14:paraId="1C616C06" w14:textId="09AFD5CE" w:rsidR="00ED57CD" w:rsidRPr="00ED57CD" w:rsidRDefault="00ED57CD" w:rsidP="00ED57CD">
      <w:pPr>
        <w:tabs>
          <w:tab w:val="left" w:pos="0"/>
          <w:tab w:val="left" w:pos="709"/>
        </w:tabs>
        <w:spacing w:after="0" w:line="240" w:lineRule="auto"/>
        <w:rPr>
          <w:rFonts w:ascii="Times New Roman" w:hAnsi="Times New Roman"/>
        </w:rPr>
      </w:pPr>
      <w:r w:rsidRPr="00ED57CD">
        <w:rPr>
          <w:rFonts w:ascii="Times New Roman" w:eastAsia="SimSun" w:hAnsi="Times New Roman"/>
          <w:lang w:eastAsia="zh-CN"/>
        </w:rPr>
        <w:t xml:space="preserve">Išsami informacija apie šį vaistą pateikiama Valstybinės vaistų kontrolės tarnybos prie Lietuvos Respublikos  sveikatos apsaugos ministerijos tinklalapyje </w:t>
      </w:r>
      <w:r w:rsidR="00B93176" w:rsidRPr="00D93E01">
        <w:rPr>
          <w:rFonts w:ascii="Times New Roman" w:hAnsi="Times New Roman"/>
          <w:color w:val="0000EE"/>
          <w:u w:val="single"/>
          <w:lang w:eastAsia="lt-LT"/>
        </w:rPr>
        <w:t>https://vvkt.lrv.lt/lt</w:t>
      </w:r>
      <w:r w:rsidRPr="00B93176">
        <w:rPr>
          <w:rFonts w:ascii="Times New Roman" w:eastAsia="SimSun" w:hAnsi="Times New Roman"/>
          <w:color w:val="0000FF"/>
          <w:u w:val="single"/>
          <w:lang w:eastAsia="zh-CN"/>
        </w:rPr>
        <w:t>.</w:t>
      </w:r>
    </w:p>
    <w:p w14:paraId="6079EF0E" w14:textId="77777777" w:rsidR="00ED57CD" w:rsidRPr="00ED57CD" w:rsidRDefault="00ED57CD" w:rsidP="00ED57CD">
      <w:pPr>
        <w:spacing w:after="0"/>
      </w:pPr>
    </w:p>
    <w:p w14:paraId="1EC6D642" w14:textId="77777777" w:rsidR="00867275" w:rsidRDefault="00867275"/>
    <w:sectPr w:rsidR="00867275" w:rsidSect="003335C0">
      <w:headerReference w:type="default" r:id="rId11"/>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DD0F5" w14:textId="77777777" w:rsidR="000165C2" w:rsidRDefault="000165C2">
      <w:pPr>
        <w:spacing w:after="0" w:line="240" w:lineRule="auto"/>
      </w:pPr>
      <w:r>
        <w:separator/>
      </w:r>
    </w:p>
  </w:endnote>
  <w:endnote w:type="continuationSeparator" w:id="0">
    <w:p w14:paraId="5CA58AC4" w14:textId="77777777" w:rsidR="000165C2" w:rsidRDefault="000165C2">
      <w:pPr>
        <w:spacing w:after="0" w:line="240" w:lineRule="auto"/>
      </w:pPr>
      <w:r>
        <w:continuationSeparator/>
      </w:r>
    </w:p>
  </w:endnote>
  <w:endnote w:type="continuationNotice" w:id="1">
    <w:p w14:paraId="28660A4A" w14:textId="77777777" w:rsidR="000165C2" w:rsidRDefault="00016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08EB7" w14:textId="7B9F65E7" w:rsidR="003335C0" w:rsidRPr="00E21AEA" w:rsidRDefault="003335C0">
    <w:pPr>
      <w:pStyle w:val="Porat"/>
      <w:tabs>
        <w:tab w:val="right" w:pos="8931"/>
      </w:tabs>
      <w:ind w:right="96"/>
      <w:jc w:val="center"/>
      <w:rPr>
        <w:rFonts w:ascii="Times New Roman" w:hAnsi="Times New Roman"/>
        <w:sz w:val="20"/>
      </w:rPr>
    </w:pPr>
    <w:r>
      <w:rPr>
        <w:szCs w:val="24"/>
      </w:rPr>
      <w:fldChar w:fldCharType="begin"/>
    </w:r>
    <w:r>
      <w:rPr>
        <w:szCs w:val="24"/>
      </w:rPr>
      <w:instrText xml:space="preserve"> EQ </w:instrText>
    </w:r>
    <w:r>
      <w:rPr>
        <w:szCs w:val="24"/>
      </w:rPr>
      <w:fldChar w:fldCharType="end"/>
    </w:r>
    <w:r w:rsidRPr="00E21AEA">
      <w:rPr>
        <w:rStyle w:val="Puslapionumeris"/>
        <w:rFonts w:ascii="Times New Roman" w:hAnsi="Times New Roman"/>
        <w:sz w:val="20"/>
      </w:rPr>
      <w:fldChar w:fldCharType="begin"/>
    </w:r>
    <w:r w:rsidRPr="00E21AEA">
      <w:rPr>
        <w:rStyle w:val="Puslapionumeris"/>
        <w:rFonts w:ascii="Times New Roman" w:hAnsi="Times New Roman"/>
        <w:sz w:val="20"/>
      </w:rPr>
      <w:instrText xml:space="preserve">PAGE  </w:instrText>
    </w:r>
    <w:r w:rsidRPr="00E21AEA">
      <w:rPr>
        <w:rStyle w:val="Puslapionumeris"/>
        <w:rFonts w:ascii="Times New Roman" w:hAnsi="Times New Roman"/>
        <w:sz w:val="20"/>
      </w:rPr>
      <w:fldChar w:fldCharType="separate"/>
    </w:r>
    <w:r w:rsidR="00C60C5E">
      <w:rPr>
        <w:rStyle w:val="Puslapionumeris"/>
        <w:rFonts w:ascii="Times New Roman" w:hAnsi="Times New Roman"/>
        <w:sz w:val="20"/>
      </w:rPr>
      <w:t>2</w:t>
    </w:r>
    <w:r w:rsidRPr="00E21AEA">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F86F1" w14:textId="576E51E4" w:rsidR="003335C0" w:rsidRPr="001D094C" w:rsidRDefault="003335C0">
    <w:pPr>
      <w:pStyle w:val="Porat"/>
      <w:tabs>
        <w:tab w:val="right" w:pos="8931"/>
      </w:tabs>
      <w:ind w:right="96"/>
      <w:jc w:val="center"/>
      <w:rPr>
        <w:rFonts w:ascii="Times New Roman" w:hAnsi="Times New Roman"/>
        <w:sz w:val="20"/>
      </w:rPr>
    </w:pPr>
    <w:r w:rsidRPr="001D094C">
      <w:rPr>
        <w:rFonts w:ascii="Times New Roman" w:hAnsi="Times New Roman"/>
        <w:sz w:val="20"/>
      </w:rPr>
      <w:fldChar w:fldCharType="begin"/>
    </w:r>
    <w:r w:rsidRPr="001D094C">
      <w:rPr>
        <w:rFonts w:ascii="Times New Roman" w:hAnsi="Times New Roman"/>
        <w:sz w:val="20"/>
      </w:rPr>
      <w:instrText xml:space="preserve"> EQ </w:instrText>
    </w:r>
    <w:r w:rsidRPr="001D094C">
      <w:rPr>
        <w:rFonts w:ascii="Times New Roman" w:hAnsi="Times New Roman"/>
        <w:sz w:val="20"/>
      </w:rPr>
      <w:fldChar w:fldCharType="end"/>
    </w:r>
    <w:r w:rsidRPr="001D094C">
      <w:rPr>
        <w:rStyle w:val="Puslapionumeris"/>
        <w:rFonts w:ascii="Times New Roman" w:hAnsi="Times New Roman"/>
        <w:sz w:val="20"/>
      </w:rPr>
      <w:fldChar w:fldCharType="begin"/>
    </w:r>
    <w:r w:rsidRPr="001D094C">
      <w:rPr>
        <w:rStyle w:val="Puslapionumeris"/>
        <w:rFonts w:ascii="Times New Roman" w:hAnsi="Times New Roman"/>
        <w:sz w:val="20"/>
      </w:rPr>
      <w:instrText xml:space="preserve">PAGE  </w:instrText>
    </w:r>
    <w:r w:rsidRPr="001D094C">
      <w:rPr>
        <w:rStyle w:val="Puslapionumeris"/>
        <w:rFonts w:ascii="Times New Roman" w:hAnsi="Times New Roman"/>
        <w:sz w:val="20"/>
      </w:rPr>
      <w:fldChar w:fldCharType="separate"/>
    </w:r>
    <w:r w:rsidR="00C60C5E">
      <w:rPr>
        <w:rStyle w:val="Puslapionumeris"/>
        <w:rFonts w:ascii="Times New Roman" w:hAnsi="Times New Roman"/>
        <w:sz w:val="20"/>
      </w:rPr>
      <w:t>1</w:t>
    </w:r>
    <w:r w:rsidRPr="001D094C">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211EB" w14:textId="77777777" w:rsidR="000165C2" w:rsidRDefault="000165C2">
      <w:pPr>
        <w:spacing w:after="0" w:line="240" w:lineRule="auto"/>
      </w:pPr>
      <w:r>
        <w:separator/>
      </w:r>
    </w:p>
  </w:footnote>
  <w:footnote w:type="continuationSeparator" w:id="0">
    <w:p w14:paraId="28B785F1" w14:textId="77777777" w:rsidR="000165C2" w:rsidRDefault="000165C2">
      <w:pPr>
        <w:spacing w:after="0" w:line="240" w:lineRule="auto"/>
      </w:pPr>
      <w:r>
        <w:continuationSeparator/>
      </w:r>
    </w:p>
  </w:footnote>
  <w:footnote w:type="continuationNotice" w:id="1">
    <w:p w14:paraId="6E50F997" w14:textId="77777777" w:rsidR="000165C2" w:rsidRDefault="000165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4F2F4" w14:textId="77777777" w:rsidR="003335C0" w:rsidRDefault="003335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CB56DE"/>
    <w:multiLevelType w:val="hybridMultilevel"/>
    <w:tmpl w:val="1406AC12"/>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5B3C0A"/>
    <w:multiLevelType w:val="hybridMultilevel"/>
    <w:tmpl w:val="1680805C"/>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3A3F61"/>
    <w:multiLevelType w:val="hybridMultilevel"/>
    <w:tmpl w:val="F99A0DF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B2F33"/>
    <w:multiLevelType w:val="hybridMultilevel"/>
    <w:tmpl w:val="F8161F48"/>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30A32"/>
    <w:multiLevelType w:val="multilevel"/>
    <w:tmpl w:val="9196A7AA"/>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4C43DB1"/>
    <w:multiLevelType w:val="hybridMultilevel"/>
    <w:tmpl w:val="1C7880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F12615"/>
    <w:multiLevelType w:val="hybridMultilevel"/>
    <w:tmpl w:val="6E4CDC1A"/>
    <w:lvl w:ilvl="0" w:tplc="44F60F98">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B63E3"/>
    <w:multiLevelType w:val="hybridMultilevel"/>
    <w:tmpl w:val="E272CB54"/>
    <w:lvl w:ilvl="0" w:tplc="C00C44AC">
      <w:numFmt w:val="bullet"/>
      <w:lvlText w:val="-"/>
      <w:lvlJc w:val="left"/>
      <w:pPr>
        <w:tabs>
          <w:tab w:val="num" w:pos="945"/>
        </w:tabs>
        <w:ind w:left="945" w:hanging="585"/>
      </w:pPr>
      <w:rPr>
        <w:rFonts w:ascii="Times New Roman" w:eastAsia="SimSu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740CB"/>
    <w:multiLevelType w:val="hybridMultilevel"/>
    <w:tmpl w:val="6DA6F9F0"/>
    <w:lvl w:ilvl="0" w:tplc="E0884DD6">
      <w:numFmt w:val="bullet"/>
      <w:lvlText w:val="-"/>
      <w:lvlJc w:val="left"/>
      <w:pPr>
        <w:ind w:left="720" w:hanging="360"/>
      </w:pPr>
      <w:rPr>
        <w:rFonts w:ascii="Times New Roman" w:hAnsi="Times New Roman" w:hint="default"/>
      </w:rPr>
    </w:lvl>
    <w:lvl w:ilvl="1" w:tplc="E6E232E0">
      <w:start w:val="2"/>
      <w:numFmt w:val="bullet"/>
      <w:pStyle w:val="BT-EMEASMCA"/>
      <w:lvlText w:val="-"/>
      <w:lvlJc w:val="left"/>
      <w:pPr>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5673EE"/>
    <w:multiLevelType w:val="hybridMultilevel"/>
    <w:tmpl w:val="AA54E716"/>
    <w:lvl w:ilvl="0" w:tplc="C00C44AC">
      <w:numFmt w:val="bullet"/>
      <w:lvlText w:val="-"/>
      <w:lvlJc w:val="left"/>
      <w:pPr>
        <w:tabs>
          <w:tab w:val="num" w:pos="945"/>
        </w:tabs>
        <w:ind w:left="945" w:hanging="585"/>
      </w:pPr>
      <w:rPr>
        <w:rFonts w:ascii="Times New Roman" w:eastAsia="SimSu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825DA5"/>
    <w:multiLevelType w:val="hybridMultilevel"/>
    <w:tmpl w:val="BE020DFE"/>
    <w:lvl w:ilvl="0" w:tplc="0410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96C1CC7"/>
    <w:multiLevelType w:val="hybridMultilevel"/>
    <w:tmpl w:val="6AE42884"/>
    <w:lvl w:ilvl="0" w:tplc="E0884DD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3755C7"/>
    <w:multiLevelType w:val="multilevel"/>
    <w:tmpl w:val="E4504D60"/>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2B657A"/>
    <w:multiLevelType w:val="hybridMultilevel"/>
    <w:tmpl w:val="E53AA5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96FB4"/>
    <w:multiLevelType w:val="hybridMultilevel"/>
    <w:tmpl w:val="2598A8EA"/>
    <w:lvl w:ilvl="0" w:tplc="E0884DD6">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rPr>
          <w:rFonts w:ascii="Symbol" w:hAnsi="Symbol" w:hint="default"/>
        </w:rPr>
      </w:lvl>
    </w:lvlOverride>
  </w:num>
  <w:num w:numId="2">
    <w:abstractNumId w:val="6"/>
  </w:num>
  <w:num w:numId="3">
    <w:abstractNumId w:val="11"/>
  </w:num>
  <w:num w:numId="4">
    <w:abstractNumId w:val="16"/>
  </w:num>
  <w:num w:numId="5">
    <w:abstractNumId w:val="13"/>
  </w:num>
  <w:num w:numId="6">
    <w:abstractNumId w:val="2"/>
  </w:num>
  <w:num w:numId="7">
    <w:abstractNumId w:val="1"/>
  </w:num>
  <w:num w:numId="8">
    <w:abstractNumId w:val="3"/>
  </w:num>
  <w:num w:numId="9">
    <w:abstractNumId w:val="18"/>
  </w:num>
  <w:num w:numId="10">
    <w:abstractNumId w:val="8"/>
  </w:num>
  <w:num w:numId="11">
    <w:abstractNumId w:val="9"/>
  </w:num>
  <w:num w:numId="12">
    <w:abstractNumId w:val="12"/>
  </w:num>
  <w:num w:numId="13">
    <w:abstractNumId w:val="4"/>
  </w:num>
  <w:num w:numId="14">
    <w:abstractNumId w:val="10"/>
  </w:num>
  <w:num w:numId="15">
    <w:abstractNumId w:val="17"/>
  </w:num>
  <w:num w:numId="16">
    <w:abstractNumId w:val="7"/>
  </w:num>
  <w:num w:numId="17">
    <w:abstractNumId w:val="14"/>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CD"/>
    <w:rsid w:val="000165C2"/>
    <w:rsid w:val="00074ABA"/>
    <w:rsid w:val="00077F41"/>
    <w:rsid w:val="00121913"/>
    <w:rsid w:val="001309F0"/>
    <w:rsid w:val="0013158C"/>
    <w:rsid w:val="00206C1A"/>
    <w:rsid w:val="0028460A"/>
    <w:rsid w:val="00313279"/>
    <w:rsid w:val="00324AD4"/>
    <w:rsid w:val="003335C0"/>
    <w:rsid w:val="00350061"/>
    <w:rsid w:val="003600A3"/>
    <w:rsid w:val="003A1ADB"/>
    <w:rsid w:val="003B7A51"/>
    <w:rsid w:val="0043360E"/>
    <w:rsid w:val="00480AFA"/>
    <w:rsid w:val="005333D8"/>
    <w:rsid w:val="00593429"/>
    <w:rsid w:val="005F2B9C"/>
    <w:rsid w:val="00645B88"/>
    <w:rsid w:val="0071191D"/>
    <w:rsid w:val="00772B4F"/>
    <w:rsid w:val="007A37BC"/>
    <w:rsid w:val="00867275"/>
    <w:rsid w:val="00891579"/>
    <w:rsid w:val="008A6F7A"/>
    <w:rsid w:val="009C6319"/>
    <w:rsid w:val="00A37BA5"/>
    <w:rsid w:val="00A452F1"/>
    <w:rsid w:val="00B24ADD"/>
    <w:rsid w:val="00B35667"/>
    <w:rsid w:val="00B804A8"/>
    <w:rsid w:val="00B93176"/>
    <w:rsid w:val="00C60C5E"/>
    <w:rsid w:val="00C95946"/>
    <w:rsid w:val="00C963FC"/>
    <w:rsid w:val="00C97115"/>
    <w:rsid w:val="00C97689"/>
    <w:rsid w:val="00CC7078"/>
    <w:rsid w:val="00CE1B1D"/>
    <w:rsid w:val="00D93E01"/>
    <w:rsid w:val="00DB283E"/>
    <w:rsid w:val="00DC231D"/>
    <w:rsid w:val="00DC4FDE"/>
    <w:rsid w:val="00E10024"/>
    <w:rsid w:val="00E41F84"/>
    <w:rsid w:val="00E508E8"/>
    <w:rsid w:val="00E844A4"/>
    <w:rsid w:val="00ED57CD"/>
    <w:rsid w:val="00ED7880"/>
    <w:rsid w:val="00F511F7"/>
    <w:rsid w:val="00FB39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4075C"/>
  <w15:chartTrackingRefBased/>
  <w15:docId w15:val="{4E82327A-D756-44C2-8A50-CABF9AA8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ED57CD"/>
    <w:pPr>
      <w:tabs>
        <w:tab w:val="left" w:pos="567"/>
      </w:tabs>
      <w:spacing w:before="240" w:after="120" w:line="260" w:lineRule="exact"/>
      <w:ind w:left="357" w:hanging="357"/>
      <w:outlineLvl w:val="0"/>
    </w:pPr>
    <w:rPr>
      <w:rFonts w:ascii="Times New Roman" w:eastAsia="Times New Roman" w:hAnsi="Times New Roman"/>
      <w:b/>
      <w:caps/>
      <w:sz w:val="26"/>
      <w:szCs w:val="20"/>
      <w:lang w:val="x-none"/>
    </w:rPr>
  </w:style>
  <w:style w:type="paragraph" w:styleId="Antrat2">
    <w:name w:val="heading 2"/>
    <w:basedOn w:val="prastasis"/>
    <w:next w:val="prastasis"/>
    <w:link w:val="Antrat2Diagrama"/>
    <w:uiPriority w:val="99"/>
    <w:qFormat/>
    <w:rsid w:val="00ED57CD"/>
    <w:pPr>
      <w:keepNext/>
      <w:tabs>
        <w:tab w:val="left" w:pos="567"/>
      </w:tabs>
      <w:spacing w:before="240" w:after="60" w:line="260" w:lineRule="exact"/>
      <w:outlineLvl w:val="1"/>
    </w:pPr>
    <w:rPr>
      <w:rFonts w:ascii="Helvetica" w:eastAsia="SimSun" w:hAnsi="Helvetica"/>
      <w:b/>
      <w:i/>
      <w:sz w:val="24"/>
      <w:szCs w:val="20"/>
      <w:lang w:val="en-GB"/>
    </w:rPr>
  </w:style>
  <w:style w:type="paragraph" w:styleId="Antrat3">
    <w:name w:val="heading 3"/>
    <w:basedOn w:val="prastasis"/>
    <w:next w:val="prastasis"/>
    <w:link w:val="Antrat3Diagrama"/>
    <w:uiPriority w:val="99"/>
    <w:qFormat/>
    <w:rsid w:val="00ED57CD"/>
    <w:pPr>
      <w:keepNext/>
      <w:keepLines/>
      <w:tabs>
        <w:tab w:val="left" w:pos="567"/>
      </w:tabs>
      <w:spacing w:before="120" w:after="80" w:line="260" w:lineRule="exact"/>
      <w:outlineLvl w:val="2"/>
    </w:pPr>
    <w:rPr>
      <w:rFonts w:ascii="Cambria" w:eastAsia="SimSun" w:hAnsi="Cambria"/>
      <w:b/>
      <w:bCs/>
      <w:sz w:val="26"/>
      <w:szCs w:val="26"/>
      <w:lang w:val="en-GB" w:eastAsia="zh-CN"/>
    </w:rPr>
  </w:style>
  <w:style w:type="paragraph" w:styleId="Antrat4">
    <w:name w:val="heading 4"/>
    <w:basedOn w:val="prastasis"/>
    <w:next w:val="prastasis"/>
    <w:link w:val="Antrat4Diagrama"/>
    <w:uiPriority w:val="99"/>
    <w:qFormat/>
    <w:rsid w:val="00ED57CD"/>
    <w:pPr>
      <w:keepNext/>
      <w:tabs>
        <w:tab w:val="left" w:pos="567"/>
      </w:tabs>
      <w:spacing w:after="0" w:line="260" w:lineRule="exact"/>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uiPriority w:val="99"/>
    <w:qFormat/>
    <w:rsid w:val="00ED57CD"/>
    <w:pPr>
      <w:keepNext/>
      <w:tabs>
        <w:tab w:val="left" w:pos="567"/>
      </w:tabs>
      <w:spacing w:after="0" w:line="260" w:lineRule="exact"/>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uiPriority w:val="99"/>
    <w:qFormat/>
    <w:rsid w:val="00ED57CD"/>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en-GB"/>
    </w:rPr>
  </w:style>
  <w:style w:type="paragraph" w:styleId="Antrat7">
    <w:name w:val="heading 7"/>
    <w:basedOn w:val="prastasis"/>
    <w:next w:val="prastasis"/>
    <w:link w:val="Antrat7Diagrama"/>
    <w:uiPriority w:val="99"/>
    <w:qFormat/>
    <w:rsid w:val="00ED57CD"/>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uiPriority w:val="99"/>
    <w:qFormat/>
    <w:rsid w:val="00ED57CD"/>
    <w:pPr>
      <w:keepNext/>
      <w:tabs>
        <w:tab w:val="left" w:pos="567"/>
      </w:tabs>
      <w:spacing w:after="0" w:line="260" w:lineRule="exact"/>
      <w:ind w:left="567" w:hanging="567"/>
      <w:jc w:val="both"/>
      <w:outlineLvl w:val="7"/>
    </w:pPr>
    <w:rPr>
      <w:rFonts w:ascii="Times New Roman" w:eastAsia="Times New Roman" w:hAnsi="Times New Roman"/>
      <w:b/>
      <w:i/>
      <w:szCs w:val="20"/>
      <w:lang w:val="en-GB"/>
    </w:rPr>
  </w:style>
  <w:style w:type="paragraph" w:styleId="Antrat9">
    <w:name w:val="heading 9"/>
    <w:basedOn w:val="prastasis"/>
    <w:next w:val="prastasis"/>
    <w:link w:val="Antrat9Diagrama"/>
    <w:uiPriority w:val="99"/>
    <w:qFormat/>
    <w:rsid w:val="00ED57CD"/>
    <w:pPr>
      <w:keepNext/>
      <w:tabs>
        <w:tab w:val="left" w:pos="567"/>
      </w:tabs>
      <w:spacing w:after="0" w:line="260" w:lineRule="exact"/>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ED57CD"/>
    <w:rPr>
      <w:rFonts w:ascii="Times New Roman" w:eastAsia="Times New Roman" w:hAnsi="Times New Roman" w:cs="Times New Roman"/>
      <w:b/>
      <w:caps/>
      <w:sz w:val="26"/>
      <w:szCs w:val="20"/>
      <w:lang w:val="x-none"/>
    </w:rPr>
  </w:style>
  <w:style w:type="character" w:customStyle="1" w:styleId="Antrat2Diagrama">
    <w:name w:val="Antraštė 2 Diagrama"/>
    <w:link w:val="Antrat2"/>
    <w:uiPriority w:val="99"/>
    <w:rsid w:val="00ED57CD"/>
    <w:rPr>
      <w:rFonts w:ascii="Helvetica" w:eastAsia="SimSun" w:hAnsi="Helvetica" w:cs="Times New Roman"/>
      <w:b/>
      <w:i/>
      <w:sz w:val="24"/>
      <w:szCs w:val="20"/>
      <w:lang w:val="en-GB"/>
    </w:rPr>
  </w:style>
  <w:style w:type="character" w:customStyle="1" w:styleId="Antrat3Diagrama">
    <w:name w:val="Antraštė 3 Diagrama"/>
    <w:link w:val="Antrat3"/>
    <w:uiPriority w:val="99"/>
    <w:rsid w:val="00ED57CD"/>
    <w:rPr>
      <w:rFonts w:ascii="Cambria" w:eastAsia="SimSun" w:hAnsi="Cambria" w:cs="Times New Roman"/>
      <w:b/>
      <w:bCs/>
      <w:sz w:val="26"/>
      <w:szCs w:val="26"/>
      <w:lang w:val="en-GB" w:eastAsia="zh-CN"/>
    </w:rPr>
  </w:style>
  <w:style w:type="character" w:customStyle="1" w:styleId="Antrat4Diagrama">
    <w:name w:val="Antraštė 4 Diagrama"/>
    <w:link w:val="Antrat4"/>
    <w:uiPriority w:val="99"/>
    <w:rsid w:val="00ED57CD"/>
    <w:rPr>
      <w:rFonts w:ascii="Times New Roman" w:eastAsia="Times New Roman" w:hAnsi="Times New Roman" w:cs="Times New Roman"/>
      <w:b/>
      <w:noProof/>
      <w:szCs w:val="20"/>
      <w:lang w:val="en-GB"/>
    </w:rPr>
  </w:style>
  <w:style w:type="character" w:customStyle="1" w:styleId="Antrat5Diagrama">
    <w:name w:val="Antraštė 5 Diagrama"/>
    <w:link w:val="Antrat5"/>
    <w:uiPriority w:val="99"/>
    <w:rsid w:val="00ED57CD"/>
    <w:rPr>
      <w:rFonts w:ascii="Times New Roman" w:eastAsia="Times New Roman" w:hAnsi="Times New Roman" w:cs="Times New Roman"/>
      <w:noProof/>
      <w:szCs w:val="20"/>
      <w:lang w:val="en-GB"/>
    </w:rPr>
  </w:style>
  <w:style w:type="character" w:customStyle="1" w:styleId="Antrat6Diagrama">
    <w:name w:val="Antraštė 6 Diagrama"/>
    <w:link w:val="Antrat6"/>
    <w:uiPriority w:val="99"/>
    <w:rsid w:val="00ED57CD"/>
    <w:rPr>
      <w:rFonts w:ascii="Times New Roman" w:eastAsia="Times New Roman" w:hAnsi="Times New Roman" w:cs="Times New Roman"/>
      <w:i/>
      <w:szCs w:val="20"/>
      <w:lang w:val="en-GB"/>
    </w:rPr>
  </w:style>
  <w:style w:type="character" w:customStyle="1" w:styleId="Antrat7Diagrama">
    <w:name w:val="Antraštė 7 Diagrama"/>
    <w:link w:val="Antrat7"/>
    <w:uiPriority w:val="99"/>
    <w:rsid w:val="00ED57CD"/>
    <w:rPr>
      <w:rFonts w:ascii="Times New Roman" w:eastAsia="Times New Roman" w:hAnsi="Times New Roman" w:cs="Times New Roman"/>
      <w:i/>
      <w:szCs w:val="20"/>
      <w:lang w:val="en-GB"/>
    </w:rPr>
  </w:style>
  <w:style w:type="character" w:customStyle="1" w:styleId="Antrat8Diagrama">
    <w:name w:val="Antraštė 8 Diagrama"/>
    <w:link w:val="Antrat8"/>
    <w:uiPriority w:val="99"/>
    <w:rsid w:val="00ED57CD"/>
    <w:rPr>
      <w:rFonts w:ascii="Times New Roman" w:eastAsia="Times New Roman" w:hAnsi="Times New Roman" w:cs="Times New Roman"/>
      <w:b/>
      <w:i/>
      <w:szCs w:val="20"/>
      <w:lang w:val="en-GB"/>
    </w:rPr>
  </w:style>
  <w:style w:type="character" w:customStyle="1" w:styleId="Antrat9Diagrama">
    <w:name w:val="Antraštė 9 Diagrama"/>
    <w:link w:val="Antrat9"/>
    <w:uiPriority w:val="99"/>
    <w:rsid w:val="00ED57CD"/>
    <w:rPr>
      <w:rFonts w:ascii="Times New Roman" w:eastAsia="Times New Roman" w:hAnsi="Times New Roman" w:cs="Times New Roman"/>
      <w:b/>
      <w:i/>
      <w:szCs w:val="20"/>
      <w:lang w:val="en-GB"/>
    </w:rPr>
  </w:style>
  <w:style w:type="numbering" w:customStyle="1" w:styleId="NoList1">
    <w:name w:val="No List1"/>
    <w:next w:val="Sraonra"/>
    <w:uiPriority w:val="99"/>
    <w:semiHidden/>
    <w:unhideWhenUsed/>
    <w:rsid w:val="00ED57CD"/>
  </w:style>
  <w:style w:type="numbering" w:customStyle="1" w:styleId="NoList11">
    <w:name w:val="No List11"/>
    <w:next w:val="Sraonra"/>
    <w:uiPriority w:val="99"/>
    <w:semiHidden/>
    <w:unhideWhenUsed/>
    <w:rsid w:val="00ED57CD"/>
  </w:style>
  <w:style w:type="paragraph" w:styleId="Porat">
    <w:name w:val="footer"/>
    <w:basedOn w:val="prastasis"/>
    <w:link w:val="PoratDiagrama"/>
    <w:uiPriority w:val="99"/>
    <w:rsid w:val="00ED57CD"/>
    <w:pPr>
      <w:tabs>
        <w:tab w:val="left" w:pos="567"/>
        <w:tab w:val="center" w:pos="4536"/>
        <w:tab w:val="right" w:pos="8306"/>
      </w:tabs>
      <w:spacing w:after="0" w:line="260" w:lineRule="exact"/>
    </w:pPr>
    <w:rPr>
      <w:rFonts w:ascii="Arial" w:eastAsia="SimSun" w:hAnsi="Arial"/>
      <w:noProof/>
      <w:sz w:val="16"/>
      <w:szCs w:val="20"/>
      <w:lang w:eastAsia="zh-CN"/>
    </w:rPr>
  </w:style>
  <w:style w:type="character" w:customStyle="1" w:styleId="PoratDiagrama">
    <w:name w:val="Poraštė Diagrama"/>
    <w:link w:val="Porat"/>
    <w:uiPriority w:val="99"/>
    <w:rsid w:val="00ED57CD"/>
    <w:rPr>
      <w:rFonts w:ascii="Arial" w:eastAsia="SimSun" w:hAnsi="Arial" w:cs="Times New Roman"/>
      <w:noProof/>
      <w:sz w:val="16"/>
      <w:szCs w:val="20"/>
      <w:lang w:eastAsia="zh-CN"/>
    </w:rPr>
  </w:style>
  <w:style w:type="character" w:styleId="Puslapionumeris">
    <w:name w:val="page number"/>
    <w:uiPriority w:val="99"/>
    <w:rsid w:val="00ED57CD"/>
    <w:rPr>
      <w:rFonts w:cs="Times New Roman"/>
    </w:rPr>
  </w:style>
  <w:style w:type="character" w:styleId="Hipersaitas">
    <w:name w:val="Hyperlink"/>
    <w:uiPriority w:val="99"/>
    <w:rsid w:val="00ED57CD"/>
    <w:rPr>
      <w:rFonts w:cs="Times New Roman"/>
      <w:color w:val="0000FF"/>
      <w:u w:val="single"/>
    </w:rPr>
  </w:style>
  <w:style w:type="paragraph" w:styleId="Debesliotekstas">
    <w:name w:val="Balloon Text"/>
    <w:basedOn w:val="prastasis"/>
    <w:link w:val="DebesliotekstasDiagrama"/>
    <w:uiPriority w:val="99"/>
    <w:rsid w:val="00ED57CD"/>
    <w:pPr>
      <w:tabs>
        <w:tab w:val="left" w:pos="567"/>
      </w:tabs>
      <w:spacing w:after="0" w:line="240" w:lineRule="auto"/>
    </w:pPr>
    <w:rPr>
      <w:rFonts w:ascii="Tahoma" w:eastAsia="SimSun" w:hAnsi="Tahoma" w:cs="Tahoma"/>
      <w:sz w:val="16"/>
      <w:szCs w:val="16"/>
      <w:lang w:val="en-GB" w:eastAsia="zh-CN"/>
    </w:rPr>
  </w:style>
  <w:style w:type="character" w:customStyle="1" w:styleId="DebesliotekstasDiagrama">
    <w:name w:val="Debesėlio tekstas Diagrama"/>
    <w:link w:val="Debesliotekstas"/>
    <w:uiPriority w:val="99"/>
    <w:rsid w:val="00ED57CD"/>
    <w:rPr>
      <w:rFonts w:ascii="Tahoma" w:eastAsia="SimSun" w:hAnsi="Tahoma" w:cs="Tahoma"/>
      <w:sz w:val="16"/>
      <w:szCs w:val="16"/>
      <w:lang w:val="en-GB" w:eastAsia="zh-CN"/>
    </w:rPr>
  </w:style>
  <w:style w:type="paragraph" w:styleId="Komentarotekstas">
    <w:name w:val="annotation text"/>
    <w:basedOn w:val="prastasis"/>
    <w:link w:val="KomentarotekstasDiagrama"/>
    <w:uiPriority w:val="99"/>
    <w:rsid w:val="00ED57CD"/>
    <w:pPr>
      <w:tabs>
        <w:tab w:val="left" w:pos="567"/>
      </w:tabs>
      <w:spacing w:after="0" w:line="260" w:lineRule="exact"/>
    </w:pPr>
    <w:rPr>
      <w:rFonts w:ascii="Times New Roman" w:eastAsia="SimSun" w:hAnsi="Times New Roman"/>
      <w:sz w:val="20"/>
      <w:szCs w:val="20"/>
      <w:lang w:val="en-GB" w:eastAsia="x-none"/>
    </w:rPr>
  </w:style>
  <w:style w:type="character" w:customStyle="1" w:styleId="KomentarotekstasDiagrama">
    <w:name w:val="Komentaro tekstas Diagrama"/>
    <w:link w:val="Komentarotekstas"/>
    <w:uiPriority w:val="99"/>
    <w:rsid w:val="00ED57CD"/>
    <w:rPr>
      <w:rFonts w:ascii="Times New Roman" w:eastAsia="SimSun" w:hAnsi="Times New Roman" w:cs="Times New Roman"/>
      <w:sz w:val="20"/>
      <w:szCs w:val="20"/>
      <w:lang w:val="en-GB" w:eastAsia="x-none"/>
    </w:rPr>
  </w:style>
  <w:style w:type="paragraph" w:styleId="Komentarotema">
    <w:name w:val="annotation subject"/>
    <w:basedOn w:val="Komentarotekstas"/>
    <w:next w:val="Komentarotekstas"/>
    <w:link w:val="KomentarotemaDiagrama"/>
    <w:uiPriority w:val="99"/>
    <w:rsid w:val="00ED57CD"/>
    <w:rPr>
      <w:b/>
      <w:bCs/>
    </w:rPr>
  </w:style>
  <w:style w:type="character" w:customStyle="1" w:styleId="KomentarotemaDiagrama">
    <w:name w:val="Komentaro tema Diagrama"/>
    <w:link w:val="Komentarotema"/>
    <w:uiPriority w:val="99"/>
    <w:rsid w:val="00ED57CD"/>
    <w:rPr>
      <w:rFonts w:ascii="Times New Roman" w:eastAsia="SimSun" w:hAnsi="Times New Roman" w:cs="Times New Roman"/>
      <w:b/>
      <w:bCs/>
      <w:sz w:val="20"/>
      <w:szCs w:val="20"/>
      <w:lang w:val="en-GB" w:eastAsia="x-none"/>
    </w:rPr>
  </w:style>
  <w:style w:type="paragraph" w:styleId="Antrats">
    <w:name w:val="header"/>
    <w:basedOn w:val="prastasis"/>
    <w:link w:val="AntratsDiagrama"/>
    <w:uiPriority w:val="99"/>
    <w:rsid w:val="00ED57CD"/>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ED57CD"/>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semiHidden/>
    <w:rsid w:val="00ED57CD"/>
    <w:pPr>
      <w:shd w:val="clear" w:color="auto" w:fill="000080"/>
      <w:tabs>
        <w:tab w:val="left" w:pos="567"/>
      </w:tabs>
      <w:spacing w:after="0" w:line="260" w:lineRule="exact"/>
    </w:pPr>
    <w:rPr>
      <w:rFonts w:ascii="Times New Roman" w:eastAsia="SimSun" w:hAnsi="Times New Roman"/>
      <w:sz w:val="2"/>
      <w:szCs w:val="20"/>
      <w:lang w:val="en-GB" w:eastAsia="zh-CN"/>
    </w:rPr>
  </w:style>
  <w:style w:type="character" w:customStyle="1" w:styleId="DokumentostruktraDiagrama">
    <w:name w:val="Dokumento struktūra Diagrama"/>
    <w:link w:val="Dokumentostruktra"/>
    <w:uiPriority w:val="99"/>
    <w:semiHidden/>
    <w:rsid w:val="00ED57CD"/>
    <w:rPr>
      <w:rFonts w:ascii="Times New Roman" w:eastAsia="SimSun" w:hAnsi="Times New Roman" w:cs="Times New Roman"/>
      <w:sz w:val="2"/>
      <w:szCs w:val="20"/>
      <w:shd w:val="clear" w:color="auto" w:fill="000080"/>
      <w:lang w:val="en-GB" w:eastAsia="zh-CN"/>
    </w:rPr>
  </w:style>
  <w:style w:type="paragraph" w:styleId="Pagrindiniotekstotrauka">
    <w:name w:val="Body Text Indent"/>
    <w:basedOn w:val="prastasis"/>
    <w:link w:val="PagrindiniotekstotraukaDiagrama"/>
    <w:uiPriority w:val="99"/>
    <w:rsid w:val="00ED57CD"/>
    <w:pPr>
      <w:autoSpaceDE w:val="0"/>
      <w:autoSpaceDN w:val="0"/>
      <w:adjustRightInd w:val="0"/>
      <w:spacing w:after="0" w:line="240" w:lineRule="auto"/>
      <w:ind w:left="720"/>
      <w:jc w:val="both"/>
    </w:pPr>
    <w:rPr>
      <w:rFonts w:ascii="Times New Roman" w:eastAsia="Times New Roman" w:hAnsi="Times New Roman"/>
      <w:lang w:val="en-GB" w:eastAsia="en-GB"/>
    </w:rPr>
  </w:style>
  <w:style w:type="character" w:customStyle="1" w:styleId="PagrindiniotekstotraukaDiagrama">
    <w:name w:val="Pagrindinio teksto įtrauka Diagrama"/>
    <w:link w:val="Pagrindiniotekstotrauka"/>
    <w:uiPriority w:val="99"/>
    <w:rsid w:val="00ED57CD"/>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rsid w:val="00ED57CD"/>
    <w:pPr>
      <w:autoSpaceDE w:val="0"/>
      <w:autoSpaceDN w:val="0"/>
      <w:adjustRightInd w:val="0"/>
      <w:spacing w:after="0" w:line="240" w:lineRule="auto"/>
      <w:jc w:val="both"/>
    </w:pPr>
    <w:rPr>
      <w:rFonts w:ascii="Times New Roman" w:eastAsia="Times New Roman" w:hAnsi="Times New Roman"/>
      <w:color w:val="0000FF"/>
      <w:lang w:val="en-GB" w:eastAsia="en-GB"/>
    </w:rPr>
  </w:style>
  <w:style w:type="character" w:customStyle="1" w:styleId="Pagrindinistekstas3Diagrama">
    <w:name w:val="Pagrindinis tekstas 3 Diagrama"/>
    <w:link w:val="Pagrindinistekstas3"/>
    <w:uiPriority w:val="99"/>
    <w:rsid w:val="00ED57CD"/>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D57C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en-GB"/>
    </w:rPr>
  </w:style>
  <w:style w:type="character" w:customStyle="1" w:styleId="Pagrindiniotekstotrauka2Diagrama">
    <w:name w:val="Pagrindinio teksto įtrauka 2 Diagrama"/>
    <w:link w:val="Pagrindiniotekstotrauka2"/>
    <w:uiPriority w:val="99"/>
    <w:rsid w:val="00ED57CD"/>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uiPriority w:val="99"/>
    <w:rsid w:val="00ED57CD"/>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uiPriority w:val="99"/>
    <w:rsid w:val="00ED57CD"/>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uiPriority w:val="99"/>
    <w:rsid w:val="00ED57C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en-GB"/>
    </w:rPr>
  </w:style>
  <w:style w:type="character" w:customStyle="1" w:styleId="Pagrindinistekstas2Diagrama">
    <w:name w:val="Pagrindinis tekstas 2 Diagrama"/>
    <w:link w:val="Pagrindinistekstas2"/>
    <w:uiPriority w:val="99"/>
    <w:rsid w:val="00ED57CD"/>
    <w:rPr>
      <w:rFonts w:ascii="Times New Roman" w:eastAsia="Times New Roman" w:hAnsi="Times New Roman" w:cs="Times New Roman"/>
      <w:b/>
      <w:bCs/>
      <w:color w:val="0000FF"/>
      <w:u w:val="single"/>
      <w:lang w:val="en-GB"/>
    </w:rPr>
  </w:style>
  <w:style w:type="paragraph" w:customStyle="1" w:styleId="AHeader1">
    <w:name w:val="AHeader 1"/>
    <w:basedOn w:val="prastasis"/>
    <w:uiPriority w:val="99"/>
    <w:rsid w:val="00ED57CD"/>
    <w:pPr>
      <w:numPr>
        <w:numId w:val="2"/>
      </w:numPr>
      <w:spacing w:after="120" w:line="240" w:lineRule="auto"/>
    </w:pPr>
    <w:rPr>
      <w:rFonts w:ascii="Arial" w:eastAsia="SimSun" w:hAnsi="Arial" w:cs="Arial"/>
      <w:b/>
      <w:bCs/>
      <w:sz w:val="24"/>
      <w:szCs w:val="20"/>
      <w:lang w:val="en-GB"/>
    </w:rPr>
  </w:style>
  <w:style w:type="paragraph" w:customStyle="1" w:styleId="AHeader2">
    <w:name w:val="AHeader 2"/>
    <w:basedOn w:val="AHeader1"/>
    <w:uiPriority w:val="99"/>
    <w:rsid w:val="00ED57CD"/>
    <w:pPr>
      <w:numPr>
        <w:ilvl w:val="1"/>
      </w:numPr>
    </w:pPr>
    <w:rPr>
      <w:sz w:val="22"/>
    </w:rPr>
  </w:style>
  <w:style w:type="paragraph" w:customStyle="1" w:styleId="AHeader3">
    <w:name w:val="AHeader 3"/>
    <w:basedOn w:val="AHeader2"/>
    <w:uiPriority w:val="99"/>
    <w:rsid w:val="00ED57CD"/>
    <w:pPr>
      <w:numPr>
        <w:ilvl w:val="2"/>
      </w:numPr>
    </w:pPr>
  </w:style>
  <w:style w:type="paragraph" w:customStyle="1" w:styleId="AHeader2abc">
    <w:name w:val="AHeader 2 abc"/>
    <w:basedOn w:val="AHeader3"/>
    <w:uiPriority w:val="99"/>
    <w:rsid w:val="00ED57CD"/>
    <w:pPr>
      <w:numPr>
        <w:ilvl w:val="3"/>
      </w:numPr>
      <w:jc w:val="both"/>
    </w:pPr>
    <w:rPr>
      <w:b w:val="0"/>
      <w:bCs w:val="0"/>
    </w:rPr>
  </w:style>
  <w:style w:type="paragraph" w:customStyle="1" w:styleId="AHeader3abc">
    <w:name w:val="AHeader 3 abc"/>
    <w:basedOn w:val="AHeader2abc"/>
    <w:uiPriority w:val="99"/>
    <w:rsid w:val="00ED57CD"/>
    <w:pPr>
      <w:numPr>
        <w:ilvl w:val="4"/>
      </w:numPr>
    </w:pPr>
  </w:style>
  <w:style w:type="paragraph" w:styleId="Pagrindiniotekstotrauka3">
    <w:name w:val="Body Text Indent 3"/>
    <w:basedOn w:val="prastasis"/>
    <w:link w:val="Pagrindiniotekstotrauka3Diagrama"/>
    <w:uiPriority w:val="99"/>
    <w:rsid w:val="00ED57CD"/>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 w:val="21"/>
      <w:szCs w:val="21"/>
      <w:lang w:val="en-GB"/>
    </w:rPr>
  </w:style>
  <w:style w:type="character" w:customStyle="1" w:styleId="Pagrindiniotekstotrauka3Diagrama">
    <w:name w:val="Pagrindinio teksto įtrauka 3 Diagrama"/>
    <w:link w:val="Pagrindiniotekstotrauka3"/>
    <w:uiPriority w:val="99"/>
    <w:rsid w:val="00ED57CD"/>
    <w:rPr>
      <w:rFonts w:ascii="Times New Roman" w:eastAsia="Times New Roman" w:hAnsi="Times New Roman" w:cs="Times New Roman"/>
      <w:sz w:val="21"/>
      <w:szCs w:val="21"/>
      <w:lang w:val="en-GB"/>
    </w:rPr>
  </w:style>
  <w:style w:type="paragraph" w:customStyle="1" w:styleId="BodytextAgency">
    <w:name w:val="Body text (Agency)"/>
    <w:basedOn w:val="prastasis"/>
    <w:link w:val="BodytextAgencyChar"/>
    <w:uiPriority w:val="99"/>
    <w:rsid w:val="00ED57CD"/>
    <w:pPr>
      <w:spacing w:after="140" w:line="280" w:lineRule="atLeast"/>
    </w:pPr>
    <w:rPr>
      <w:rFonts w:ascii="Verdana" w:eastAsia="SimSun" w:hAnsi="Verdana" w:cs="Verdana"/>
      <w:sz w:val="18"/>
      <w:szCs w:val="18"/>
      <w:lang w:val="en-GB" w:eastAsia="en-GB"/>
    </w:rPr>
  </w:style>
  <w:style w:type="character" w:customStyle="1" w:styleId="BodytextAgencyChar">
    <w:name w:val="Body text (Agency) Char"/>
    <w:link w:val="BodytextAgency"/>
    <w:uiPriority w:val="99"/>
    <w:locked/>
    <w:rsid w:val="00ED57CD"/>
    <w:rPr>
      <w:rFonts w:ascii="Verdana" w:eastAsia="SimSun" w:hAnsi="Verdana" w:cs="Verdana"/>
      <w:sz w:val="18"/>
      <w:szCs w:val="18"/>
      <w:lang w:val="en-GB" w:eastAsia="en-GB"/>
    </w:rPr>
  </w:style>
  <w:style w:type="paragraph" w:customStyle="1" w:styleId="NormalAgency">
    <w:name w:val="Normal (Agency)"/>
    <w:link w:val="NormalAgencyChar"/>
    <w:uiPriority w:val="99"/>
    <w:rsid w:val="00ED57CD"/>
    <w:rPr>
      <w:rFonts w:ascii="Verdana" w:eastAsia="SimSun" w:hAnsi="Verdana" w:cs="Verdana"/>
      <w:sz w:val="18"/>
      <w:szCs w:val="18"/>
      <w:lang w:val="en-GB" w:eastAsia="en-GB"/>
    </w:rPr>
  </w:style>
  <w:style w:type="character" w:customStyle="1" w:styleId="NormalAgencyChar">
    <w:name w:val="Normal (Agency) Char"/>
    <w:link w:val="NormalAgency"/>
    <w:uiPriority w:val="99"/>
    <w:locked/>
    <w:rsid w:val="00ED57CD"/>
    <w:rPr>
      <w:rFonts w:ascii="Verdana" w:eastAsia="SimSun" w:hAnsi="Verdana" w:cs="Verdana"/>
      <w:sz w:val="18"/>
      <w:szCs w:val="18"/>
      <w:lang w:val="en-GB" w:eastAsia="en-GB"/>
    </w:rPr>
  </w:style>
  <w:style w:type="paragraph" w:styleId="Paprastasistekstas">
    <w:name w:val="Plain Text"/>
    <w:basedOn w:val="prastasis"/>
    <w:link w:val="PaprastasistekstasDiagrama"/>
    <w:uiPriority w:val="99"/>
    <w:rsid w:val="00ED57CD"/>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ED57CD"/>
    <w:rPr>
      <w:rFonts w:ascii="Courier New" w:eastAsia="SimSun" w:hAnsi="Courier New" w:cs="Times New Roman"/>
      <w:sz w:val="20"/>
      <w:szCs w:val="20"/>
    </w:rPr>
  </w:style>
  <w:style w:type="paragraph" w:styleId="Pavadinimas">
    <w:name w:val="Title"/>
    <w:basedOn w:val="prastasis"/>
    <w:link w:val="PavadinimasDiagrama"/>
    <w:uiPriority w:val="99"/>
    <w:qFormat/>
    <w:rsid w:val="00ED57CD"/>
    <w:pPr>
      <w:spacing w:after="0" w:line="240" w:lineRule="auto"/>
      <w:jc w:val="center"/>
    </w:pPr>
    <w:rPr>
      <w:rFonts w:ascii="Cambria" w:eastAsia="SimSun" w:hAnsi="Cambria"/>
      <w:b/>
      <w:bCs/>
      <w:kern w:val="28"/>
      <w:sz w:val="32"/>
      <w:szCs w:val="32"/>
      <w:lang w:val="en-GB" w:eastAsia="zh-CN"/>
    </w:rPr>
  </w:style>
  <w:style w:type="character" w:customStyle="1" w:styleId="PavadinimasDiagrama">
    <w:name w:val="Pavadinimas Diagrama"/>
    <w:link w:val="Pavadinimas"/>
    <w:uiPriority w:val="99"/>
    <w:rsid w:val="00ED57CD"/>
    <w:rPr>
      <w:rFonts w:ascii="Cambria" w:eastAsia="SimSun" w:hAnsi="Cambria" w:cs="Times New Roman"/>
      <w:b/>
      <w:bCs/>
      <w:kern w:val="28"/>
      <w:sz w:val="32"/>
      <w:szCs w:val="32"/>
      <w:lang w:val="en-GB" w:eastAsia="zh-CN"/>
    </w:rPr>
  </w:style>
  <w:style w:type="paragraph" w:styleId="Dokumentoinaostekstas">
    <w:name w:val="endnote text"/>
    <w:basedOn w:val="prastasis"/>
    <w:link w:val="DokumentoinaostekstasDiagrama"/>
    <w:uiPriority w:val="99"/>
    <w:semiHidden/>
    <w:rsid w:val="00ED57CD"/>
    <w:pPr>
      <w:tabs>
        <w:tab w:val="left" w:pos="567"/>
      </w:tabs>
      <w:spacing w:after="0" w:line="240" w:lineRule="auto"/>
    </w:pPr>
    <w:rPr>
      <w:rFonts w:ascii="Times New Roman" w:eastAsia="SimSun" w:hAnsi="Times New Roman"/>
      <w:sz w:val="20"/>
      <w:szCs w:val="20"/>
      <w:lang w:val="en-GB" w:eastAsia="zh-CN"/>
    </w:rPr>
  </w:style>
  <w:style w:type="character" w:customStyle="1" w:styleId="DokumentoinaostekstasDiagrama">
    <w:name w:val="Dokumento išnašos tekstas Diagrama"/>
    <w:link w:val="Dokumentoinaostekstas"/>
    <w:uiPriority w:val="99"/>
    <w:semiHidden/>
    <w:rsid w:val="00ED57CD"/>
    <w:rPr>
      <w:rFonts w:ascii="Times New Roman" w:eastAsia="SimSun" w:hAnsi="Times New Roman" w:cs="Times New Roman"/>
      <w:sz w:val="20"/>
      <w:szCs w:val="20"/>
      <w:lang w:val="en-GB" w:eastAsia="zh-CN"/>
    </w:rPr>
  </w:style>
  <w:style w:type="paragraph" w:customStyle="1" w:styleId="BTEMEASMCA">
    <w:name w:val="BT EMEA_SMCA"/>
    <w:basedOn w:val="prastasis"/>
    <w:link w:val="BTEMEASMCAChar"/>
    <w:autoRedefine/>
    <w:uiPriority w:val="99"/>
    <w:rsid w:val="00ED57CD"/>
    <w:pPr>
      <w:spacing w:after="0" w:line="240" w:lineRule="auto"/>
    </w:pPr>
    <w:rPr>
      <w:rFonts w:ascii="Times New Roman" w:eastAsia="SimSun" w:hAnsi="Times New Roman"/>
      <w:noProof/>
    </w:rPr>
  </w:style>
  <w:style w:type="character" w:customStyle="1" w:styleId="BTEMEASMCAChar">
    <w:name w:val="BT EMEA_SMCA Char"/>
    <w:link w:val="BTEMEASMCA"/>
    <w:uiPriority w:val="99"/>
    <w:locked/>
    <w:rsid w:val="00ED57CD"/>
    <w:rPr>
      <w:rFonts w:ascii="Times New Roman" w:eastAsia="SimSun" w:hAnsi="Times New Roman" w:cs="Times New Roman"/>
      <w:noProof/>
    </w:rPr>
  </w:style>
  <w:style w:type="paragraph" w:customStyle="1" w:styleId="Sraopastraipa1">
    <w:name w:val="Sąrašo pastraipa1"/>
    <w:basedOn w:val="prastasis"/>
    <w:qFormat/>
    <w:rsid w:val="00ED57CD"/>
    <w:pPr>
      <w:spacing w:after="200" w:line="276" w:lineRule="auto"/>
      <w:ind w:left="720"/>
      <w:contextualSpacing/>
    </w:pPr>
    <w:rPr>
      <w:rFonts w:eastAsia="SimSun"/>
    </w:rPr>
  </w:style>
  <w:style w:type="paragraph" w:customStyle="1" w:styleId="BT-EMEASMCA">
    <w:name w:val="BT- EMEA_SMCA"/>
    <w:basedOn w:val="prastasis"/>
    <w:uiPriority w:val="99"/>
    <w:rsid w:val="00ED57CD"/>
    <w:pPr>
      <w:numPr>
        <w:ilvl w:val="1"/>
        <w:numId w:val="14"/>
      </w:numPr>
      <w:spacing w:after="200" w:line="276" w:lineRule="auto"/>
    </w:pPr>
    <w:rPr>
      <w:rFonts w:eastAsia="SimSun"/>
    </w:rPr>
  </w:style>
  <w:style w:type="paragraph" w:customStyle="1" w:styleId="EMEAEnBodyText">
    <w:name w:val="EMEA En Body Text"/>
    <w:basedOn w:val="prastasis"/>
    <w:uiPriority w:val="99"/>
    <w:rsid w:val="00ED57CD"/>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ED57CD"/>
    <w:rPr>
      <w:rFonts w:ascii="Courier New" w:hAnsi="Courier New"/>
      <w:vanish/>
      <w:color w:val="800080"/>
      <w:sz w:val="24"/>
      <w:vertAlign w:val="subscript"/>
    </w:rPr>
  </w:style>
  <w:style w:type="character" w:customStyle="1" w:styleId="tw4winError">
    <w:name w:val="tw4winError"/>
    <w:uiPriority w:val="99"/>
    <w:rsid w:val="00ED57CD"/>
    <w:rPr>
      <w:rFonts w:ascii="Courier New" w:hAnsi="Courier New"/>
      <w:color w:val="00FF00"/>
      <w:sz w:val="40"/>
    </w:rPr>
  </w:style>
  <w:style w:type="character" w:customStyle="1" w:styleId="tw4winTerm">
    <w:name w:val="tw4winTerm"/>
    <w:uiPriority w:val="99"/>
    <w:rsid w:val="00ED57CD"/>
    <w:rPr>
      <w:color w:val="0000FF"/>
    </w:rPr>
  </w:style>
  <w:style w:type="character" w:customStyle="1" w:styleId="tw4winPopup">
    <w:name w:val="tw4winPopup"/>
    <w:uiPriority w:val="99"/>
    <w:rsid w:val="00ED57CD"/>
    <w:rPr>
      <w:rFonts w:ascii="Courier New" w:hAnsi="Courier New"/>
      <w:noProof/>
      <w:color w:val="008000"/>
    </w:rPr>
  </w:style>
  <w:style w:type="character" w:customStyle="1" w:styleId="tw4winJump">
    <w:name w:val="tw4winJump"/>
    <w:uiPriority w:val="99"/>
    <w:rsid w:val="00ED57CD"/>
    <w:rPr>
      <w:rFonts w:ascii="Courier New" w:hAnsi="Courier New"/>
      <w:noProof/>
      <w:color w:val="008080"/>
    </w:rPr>
  </w:style>
  <w:style w:type="character" w:customStyle="1" w:styleId="tw4winExternal">
    <w:name w:val="tw4winExternal"/>
    <w:uiPriority w:val="99"/>
    <w:rsid w:val="00ED57CD"/>
    <w:rPr>
      <w:rFonts w:ascii="Courier New" w:hAnsi="Courier New"/>
      <w:noProof/>
      <w:color w:val="808080"/>
    </w:rPr>
  </w:style>
  <w:style w:type="character" w:customStyle="1" w:styleId="tw4winInternal">
    <w:name w:val="tw4winInternal"/>
    <w:uiPriority w:val="99"/>
    <w:rsid w:val="00ED57CD"/>
    <w:rPr>
      <w:rFonts w:ascii="Courier New" w:hAnsi="Courier New"/>
      <w:noProof/>
      <w:color w:val="FF0000"/>
    </w:rPr>
  </w:style>
  <w:style w:type="character" w:customStyle="1" w:styleId="DONOTTRANSLATE">
    <w:name w:val="DO_NOT_TRANSLATE"/>
    <w:uiPriority w:val="99"/>
    <w:rsid w:val="00ED57CD"/>
    <w:rPr>
      <w:rFonts w:ascii="Courier New" w:hAnsi="Courier New"/>
      <w:noProof/>
      <w:color w:val="800000"/>
    </w:rPr>
  </w:style>
  <w:style w:type="character" w:styleId="Komentaronuoroda">
    <w:name w:val="annotation reference"/>
    <w:uiPriority w:val="99"/>
    <w:rsid w:val="00ED57CD"/>
    <w:rPr>
      <w:rFonts w:cs="Times New Roman"/>
      <w:sz w:val="16"/>
      <w:szCs w:val="16"/>
    </w:rPr>
  </w:style>
  <w:style w:type="character" w:styleId="Perirtashipersaitas">
    <w:name w:val="FollowedHyperlink"/>
    <w:uiPriority w:val="99"/>
    <w:rsid w:val="00ED57CD"/>
    <w:rPr>
      <w:rFonts w:cs="Times New Roman"/>
      <w:color w:val="800080"/>
      <w:u w:val="single"/>
    </w:rPr>
  </w:style>
  <w:style w:type="character" w:styleId="Grietas">
    <w:name w:val="Strong"/>
    <w:uiPriority w:val="99"/>
    <w:qFormat/>
    <w:rsid w:val="00ED57CD"/>
    <w:rPr>
      <w:rFonts w:cs="Times New Roman"/>
      <w:b/>
      <w:bCs/>
    </w:rPr>
  </w:style>
  <w:style w:type="paragraph" w:customStyle="1" w:styleId="TableheadingrowsAgency">
    <w:name w:val="Table heading rows (Agency)"/>
    <w:basedOn w:val="BodytextAgency"/>
    <w:uiPriority w:val="99"/>
    <w:rsid w:val="00ED57CD"/>
    <w:pPr>
      <w:keepNext/>
    </w:pPr>
    <w:rPr>
      <w:b/>
    </w:rPr>
  </w:style>
  <w:style w:type="paragraph" w:customStyle="1" w:styleId="TabletextrowsAgency">
    <w:name w:val="Table text rows (Agency)"/>
    <w:basedOn w:val="prastasis"/>
    <w:uiPriority w:val="99"/>
    <w:rsid w:val="00ED57CD"/>
    <w:pPr>
      <w:spacing w:after="0" w:line="280" w:lineRule="exact"/>
    </w:pPr>
    <w:rPr>
      <w:rFonts w:ascii="Verdana" w:eastAsia="SimSun" w:hAnsi="Verdana" w:cs="Verdana"/>
      <w:sz w:val="18"/>
      <w:szCs w:val="18"/>
      <w:lang w:val="en-GB" w:eastAsia="zh-CN"/>
    </w:rPr>
  </w:style>
  <w:style w:type="paragraph" w:customStyle="1" w:styleId="Default">
    <w:name w:val="Default"/>
    <w:uiPriority w:val="99"/>
    <w:rsid w:val="00ED57CD"/>
    <w:pPr>
      <w:autoSpaceDE w:val="0"/>
      <w:autoSpaceDN w:val="0"/>
      <w:adjustRightInd w:val="0"/>
    </w:pPr>
    <w:rPr>
      <w:rFonts w:ascii="Times New Roman" w:eastAsia="SimSun" w:hAnsi="Times New Roman"/>
      <w:color w:val="000000"/>
      <w:sz w:val="24"/>
      <w:szCs w:val="24"/>
      <w:lang w:val="en-US" w:eastAsia="zh-CN"/>
    </w:rPr>
  </w:style>
  <w:style w:type="table" w:customStyle="1" w:styleId="TablegridAgencyblack">
    <w:name w:val="Table grid (Agency) black"/>
    <w:uiPriority w:val="99"/>
    <w:semiHidden/>
    <w:rsid w:val="00ED57C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uiPriority w:val="39"/>
    <w:rsid w:val="00ED57C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71"/>
    <w:unhideWhenUsed/>
    <w:rsid w:val="00ED57CD"/>
    <w:rPr>
      <w:sz w:val="22"/>
      <w:szCs w:val="22"/>
      <w:lang w:eastAsia="en-US"/>
    </w:rPr>
  </w:style>
  <w:style w:type="character" w:customStyle="1" w:styleId="UnresolvedMention1">
    <w:name w:val="Unresolved Mention1"/>
    <w:uiPriority w:val="99"/>
    <w:semiHidden/>
    <w:unhideWhenUsed/>
    <w:rsid w:val="00ED57CD"/>
    <w:rPr>
      <w:color w:val="605E5C"/>
      <w:shd w:val="clear" w:color="auto" w:fill="E1DFDD"/>
    </w:rPr>
  </w:style>
  <w:style w:type="character" w:customStyle="1" w:styleId="UnresolvedMention2">
    <w:name w:val="Unresolved Mention2"/>
    <w:uiPriority w:val="99"/>
    <w:semiHidden/>
    <w:unhideWhenUsed/>
    <w:rsid w:val="00772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2286CC-C0B5-4A9E-810B-687C2600DFF6}">
  <ds:schemaRef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4d7806da-b044-477b-9760-524c3e86dd23"/>
    <ds:schemaRef ds:uri="8c54d1d4-8a50-4b16-b050-2289fc7c4d80"/>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6A45FBC-D45E-48F1-91D0-BDEE16D41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39B451-9304-422D-8DBD-52B72AA525DF}">
  <ds:schemaRefs>
    <ds:schemaRef ds:uri="http://schemas.microsoft.com/sharepoint/v3/contenttype/forms"/>
  </ds:schemaRefs>
</ds:datastoreItem>
</file>

<file path=customXml/itemProps4.xml><?xml version="1.0" encoding="utf-8"?>
<ds:datastoreItem xmlns:ds="http://schemas.openxmlformats.org/officeDocument/2006/customXml" ds:itemID="{51DA1E80-826A-40AC-81C4-FBF0DD0E5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54510</Words>
  <Characters>31072</Characters>
  <Application>Microsoft Office Word</Application>
  <DocSecurity>4</DocSecurity>
  <Lines>258</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2</cp:revision>
  <cp:lastPrinted>2024-12-13T08:42:00Z</cp:lastPrinted>
  <dcterms:created xsi:type="dcterms:W3CDTF">2025-03-24T11:30:00Z</dcterms:created>
  <dcterms:modified xsi:type="dcterms:W3CDTF">2025-03-24T11:30:00Z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MediaServiceImageTags">
    <vt:lpwstr/>
  </property>
</Properties>
</file>