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D63E1" w14:textId="23EF01A3" w:rsidR="000C5E69" w:rsidRPr="00DC7C28" w:rsidRDefault="000C5E69" w:rsidP="000C5E69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DC7C28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DC7C28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DC7C28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14:paraId="537D843B" w14:textId="77777777" w:rsidR="000C5E69" w:rsidRPr="00DC7C28" w:rsidRDefault="000C5E69" w:rsidP="000C5E6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146AEF1" w14:textId="51CA9E0E" w:rsidR="000C5E69" w:rsidRPr="00DC7C28" w:rsidRDefault="000C5E69" w:rsidP="000C5E69">
      <w:pPr>
        <w:spacing w:line="240" w:lineRule="auto"/>
        <w:jc w:val="center"/>
        <w:rPr>
          <w:b/>
          <w:szCs w:val="22"/>
          <w:lang w:val="lt-LT"/>
        </w:rPr>
      </w:pPr>
      <w:proofErr w:type="spellStart"/>
      <w:r w:rsidRPr="00DC7C28">
        <w:rPr>
          <w:b/>
          <w:szCs w:val="22"/>
          <w:lang w:val="lt-LT"/>
        </w:rPr>
        <w:t>Mintilat</w:t>
      </w:r>
      <w:proofErr w:type="spellEnd"/>
      <w:r w:rsidRPr="00DC7C28">
        <w:rPr>
          <w:b/>
          <w:szCs w:val="22"/>
          <w:lang w:val="lt-LT"/>
        </w:rPr>
        <w:t xml:space="preserve"> 61,1 mg</w:t>
      </w:r>
      <w:r w:rsidR="00860358">
        <w:rPr>
          <w:b/>
          <w:szCs w:val="22"/>
          <w:lang w:val="lt-LT"/>
        </w:rPr>
        <w:t>/g</w:t>
      </w:r>
      <w:r w:rsidRPr="00DC7C28">
        <w:rPr>
          <w:b/>
          <w:szCs w:val="22"/>
          <w:lang w:val="lt-LT"/>
        </w:rPr>
        <w:t xml:space="preserve"> tepalas</w:t>
      </w:r>
    </w:p>
    <w:p w14:paraId="5FB20F6B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DC7C28">
        <w:rPr>
          <w:szCs w:val="22"/>
          <w:lang w:val="lt-LT"/>
        </w:rPr>
        <w:t>Metilsalicilatas</w:t>
      </w:r>
    </w:p>
    <w:p w14:paraId="4D065ABB" w14:textId="77777777" w:rsidR="000C5E69" w:rsidRPr="00DC7C28" w:rsidRDefault="000C5E69" w:rsidP="000C5E69">
      <w:pPr>
        <w:tabs>
          <w:tab w:val="clear" w:pos="567"/>
        </w:tabs>
        <w:suppressAutoHyphens/>
        <w:spacing w:line="240" w:lineRule="auto"/>
        <w:ind w:left="142" w:hanging="142"/>
        <w:rPr>
          <w:b/>
          <w:szCs w:val="22"/>
          <w:lang w:val="lt-LT"/>
        </w:rPr>
      </w:pPr>
    </w:p>
    <w:p w14:paraId="07D39021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C7C28"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14:paraId="5A4CED7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Visada vartokite šį vaistą tiksliai kaip aprašyta šiame lapelyje arba kaip nurodė gydytojas arba vaistininkas.</w:t>
      </w:r>
    </w:p>
    <w:p w14:paraId="543E15BD" w14:textId="77777777" w:rsidR="000C5E69" w:rsidRPr="00DC7C28" w:rsidRDefault="000C5E69" w:rsidP="000C5E69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Neišmeskite šio lapelio, nes vėl gali prireikti jį perskaityti. </w:t>
      </w:r>
    </w:p>
    <w:p w14:paraId="6CD4E001" w14:textId="77777777" w:rsidR="000C5E69" w:rsidRPr="00DC7C28" w:rsidRDefault="000C5E69" w:rsidP="000C5E69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>Jeigu norite sužinoti daugiau arba pasitarti, kreipkitės į vaistininką.</w:t>
      </w:r>
    </w:p>
    <w:p w14:paraId="3DA2793B" w14:textId="77777777" w:rsidR="000C5E69" w:rsidRPr="00DC7C28" w:rsidRDefault="000C5E69" w:rsidP="000C5E69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1D119172" w14:textId="77777777" w:rsidR="000C5E69" w:rsidRPr="00DC7C28" w:rsidRDefault="000C5E69" w:rsidP="000C5E69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>Jeigu per savaitę laiko Jūsų savijauta nepagerėjo arba net pablogėjo, kreipkitės į gydytoją.</w:t>
      </w:r>
    </w:p>
    <w:p w14:paraId="4605810E" w14:textId="77777777" w:rsidR="000C5E69" w:rsidRPr="00DC7C28" w:rsidRDefault="000C5E69" w:rsidP="000C5E69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34CA3B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703F1298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</w:p>
    <w:p w14:paraId="3EB95744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1.</w:t>
      </w:r>
      <w:r w:rsidRPr="00DC7C28">
        <w:rPr>
          <w:szCs w:val="22"/>
          <w:lang w:val="lt-LT"/>
        </w:rPr>
        <w:tab/>
        <w:t xml:space="preserve">Kas yra Mintilat ir kam jis vartojamas </w:t>
      </w:r>
    </w:p>
    <w:p w14:paraId="6755A3E4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2.</w:t>
      </w:r>
      <w:r w:rsidRPr="00DC7C28">
        <w:rPr>
          <w:szCs w:val="22"/>
          <w:lang w:val="lt-LT"/>
        </w:rPr>
        <w:tab/>
        <w:t>Kas žinotina prieš vartojant Mintilat</w:t>
      </w:r>
    </w:p>
    <w:p w14:paraId="5B7D5A03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3.</w:t>
      </w:r>
      <w:r w:rsidRPr="00DC7C28">
        <w:rPr>
          <w:szCs w:val="22"/>
          <w:lang w:val="lt-LT"/>
        </w:rPr>
        <w:tab/>
        <w:t>Kaip vartoti Mintilat</w:t>
      </w:r>
    </w:p>
    <w:p w14:paraId="72F30C6A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4.</w:t>
      </w:r>
      <w:r w:rsidRPr="00DC7C28">
        <w:rPr>
          <w:szCs w:val="22"/>
          <w:lang w:val="lt-LT"/>
        </w:rPr>
        <w:tab/>
        <w:t xml:space="preserve">Galimas šalutinis poveikis </w:t>
      </w:r>
    </w:p>
    <w:p w14:paraId="71302ADA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5.</w:t>
      </w:r>
      <w:r w:rsidRPr="00DC7C28">
        <w:rPr>
          <w:szCs w:val="22"/>
          <w:lang w:val="lt-LT"/>
        </w:rPr>
        <w:tab/>
        <w:t>Kaip laikyti Mintilat</w:t>
      </w:r>
    </w:p>
    <w:p w14:paraId="5FE8E035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>6.</w:t>
      </w:r>
      <w:r w:rsidRPr="00DC7C28">
        <w:rPr>
          <w:szCs w:val="22"/>
          <w:lang w:val="lt-LT"/>
        </w:rPr>
        <w:tab/>
        <w:t>Pakuotės turinys ir kita informacija</w:t>
      </w:r>
    </w:p>
    <w:p w14:paraId="03EE4A91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AF531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C12D4CC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1.</w:t>
      </w:r>
      <w:r w:rsidRPr="00DC7C28">
        <w:rPr>
          <w:rFonts w:ascii="Times New Roman" w:hAnsi="Times New Roman"/>
          <w:sz w:val="22"/>
          <w:szCs w:val="22"/>
          <w:lang w:val="lt-LT"/>
        </w:rPr>
        <w:tab/>
        <w:t>Kas yra Mintilat ir kam jis vartojamas</w:t>
      </w:r>
    </w:p>
    <w:p w14:paraId="097A683C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</w:p>
    <w:p w14:paraId="37FD7C45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proofErr w:type="spellStart"/>
      <w:r w:rsidRPr="00DC7C28">
        <w:rPr>
          <w:szCs w:val="22"/>
          <w:lang w:val="lt-LT"/>
        </w:rPr>
        <w:t>Mintilat</w:t>
      </w:r>
      <w:proofErr w:type="spellEnd"/>
      <w:r w:rsidRPr="00DC7C28">
        <w:rPr>
          <w:szCs w:val="22"/>
          <w:lang w:val="lt-LT"/>
        </w:rPr>
        <w:t xml:space="preserve"> </w:t>
      </w:r>
      <w:r w:rsidRPr="00DC7C28">
        <w:rPr>
          <w:bCs/>
          <w:szCs w:val="22"/>
          <w:lang w:val="lt-LT"/>
        </w:rPr>
        <w:t>sudėtyje yra</w:t>
      </w:r>
      <w:r w:rsidRPr="00DC7C28">
        <w:rPr>
          <w:szCs w:val="22"/>
          <w:lang w:val="lt-LT"/>
        </w:rPr>
        <w:t xml:space="preserve"> </w:t>
      </w:r>
      <w:proofErr w:type="spellStart"/>
      <w:r w:rsidRPr="00DC7C28">
        <w:rPr>
          <w:szCs w:val="22"/>
          <w:lang w:val="lt-LT"/>
        </w:rPr>
        <w:t>metilsalicilato</w:t>
      </w:r>
      <w:proofErr w:type="spellEnd"/>
      <w:r w:rsidRPr="00DC7C28">
        <w:rPr>
          <w:szCs w:val="22"/>
          <w:lang w:val="lt-LT"/>
        </w:rPr>
        <w:t>. Mintilat vartojamas lokal</w:t>
      </w:r>
      <w:r>
        <w:rPr>
          <w:szCs w:val="22"/>
          <w:lang w:val="lt-LT"/>
        </w:rPr>
        <w:t>iam</w:t>
      </w:r>
      <w:r w:rsidRPr="00DC7C28">
        <w:rPr>
          <w:szCs w:val="22"/>
          <w:lang w:val="lt-LT"/>
        </w:rPr>
        <w:t xml:space="preserve"> raumenų skausmo, atsiradusio dėl traumos (sumušimo, patempimo)</w:t>
      </w:r>
      <w:r>
        <w:rPr>
          <w:szCs w:val="22"/>
          <w:lang w:val="lt-LT"/>
        </w:rPr>
        <w:t>,</w:t>
      </w:r>
      <w:r w:rsidRPr="00DC7C28">
        <w:rPr>
          <w:szCs w:val="22"/>
          <w:lang w:val="lt-LT"/>
        </w:rPr>
        <w:t xml:space="preserve"> malšinimui.</w:t>
      </w:r>
    </w:p>
    <w:p w14:paraId="12953EEE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7C28">
        <w:rPr>
          <w:noProof/>
          <w:szCs w:val="22"/>
          <w:lang w:val="lt-LT"/>
        </w:rPr>
        <w:t>Jeigu per savaitę laiko Jūsų savijauta nepagerėjo arba net pablogėjo, kreipkitės į gydytoją.</w:t>
      </w:r>
    </w:p>
    <w:p w14:paraId="029BFE77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7DD214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6F1219C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2.</w:t>
      </w:r>
      <w:r w:rsidRPr="00DC7C28">
        <w:rPr>
          <w:rFonts w:ascii="Times New Roman" w:hAnsi="Times New Roman"/>
          <w:sz w:val="22"/>
          <w:szCs w:val="22"/>
          <w:lang w:val="lt-LT"/>
        </w:rPr>
        <w:tab/>
        <w:t>Kas žinotina prieš vartojant Mintilat</w:t>
      </w:r>
    </w:p>
    <w:p w14:paraId="5BA32E1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2B3E8F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Mintilat vartoti negalima:</w:t>
      </w:r>
    </w:p>
    <w:p w14:paraId="7C0BBB81" w14:textId="77777777" w:rsidR="000C5E69" w:rsidRPr="00DC7C28" w:rsidRDefault="000C5E69" w:rsidP="000C5E69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jeigu yra alergija </w:t>
      </w:r>
      <w:proofErr w:type="spellStart"/>
      <w:r w:rsidRPr="00DC7C28">
        <w:rPr>
          <w:szCs w:val="22"/>
          <w:lang w:val="lt-LT"/>
        </w:rPr>
        <w:t>metilsalicilatui</w:t>
      </w:r>
      <w:proofErr w:type="spellEnd"/>
      <w:r w:rsidRPr="00DC7C28">
        <w:rPr>
          <w:szCs w:val="22"/>
          <w:lang w:val="lt-LT"/>
        </w:rPr>
        <w:t xml:space="preserve"> arba bet kuriai pagalbinei šio vaisto medžiagai (jos išvardytos 6 skyriuje);</w:t>
      </w:r>
    </w:p>
    <w:p w14:paraId="69252F9C" w14:textId="77777777" w:rsidR="000C5E69" w:rsidRPr="00DC7C28" w:rsidRDefault="000C5E69" w:rsidP="000C5E69">
      <w:pPr>
        <w:numPr>
          <w:ilvl w:val="0"/>
          <w:numId w:val="8"/>
        </w:numPr>
        <w:spacing w:line="240" w:lineRule="auto"/>
        <w:ind w:left="567" w:hanging="567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jeigu esate gydomi </w:t>
      </w:r>
      <w:proofErr w:type="spellStart"/>
      <w:r w:rsidRPr="00DC7C28">
        <w:rPr>
          <w:szCs w:val="22"/>
          <w:lang w:val="lt-LT"/>
        </w:rPr>
        <w:t>varfarinu</w:t>
      </w:r>
      <w:proofErr w:type="spellEnd"/>
      <w:r w:rsidRPr="00DC7C28">
        <w:rPr>
          <w:szCs w:val="22"/>
          <w:lang w:val="lt-LT"/>
        </w:rPr>
        <w:t>.</w:t>
      </w:r>
    </w:p>
    <w:p w14:paraId="52A0554D" w14:textId="77777777" w:rsidR="000C5E69" w:rsidRPr="00DC7C28" w:rsidRDefault="000C5E69" w:rsidP="000C5E69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</w:p>
    <w:p w14:paraId="6BF55ECF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3F43245C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7C28">
        <w:rPr>
          <w:szCs w:val="22"/>
          <w:lang w:val="lt-LT"/>
        </w:rPr>
        <w:t>Pasitarkite su gydytoju arba vaistininku, prieš pradėdami vartoti Mintilat.</w:t>
      </w:r>
    </w:p>
    <w:p w14:paraId="0DD6AC53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F9DA9E4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b/>
          <w:szCs w:val="22"/>
          <w:lang w:val="lt-LT"/>
        </w:rPr>
        <w:t xml:space="preserve">Šio vaisto sudėtyje yra kamparo ir </w:t>
      </w:r>
      <w:proofErr w:type="spellStart"/>
      <w:r w:rsidRPr="00DC7C28">
        <w:rPr>
          <w:b/>
          <w:szCs w:val="22"/>
          <w:lang w:val="lt-LT"/>
        </w:rPr>
        <w:t>levomentolio</w:t>
      </w:r>
      <w:proofErr w:type="spellEnd"/>
    </w:p>
    <w:p w14:paraId="5E8B8371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Šio vaisto negalima vartoti kitiems tikslams nei jis yra skirtas. Gauta pranešimų apie intoksikaciją, sukeltą netinkamai pavartojus (išgėrus) panašių vaistų, kurių sudėtyje yra kamparo ir </w:t>
      </w:r>
      <w:proofErr w:type="spellStart"/>
      <w:r w:rsidRPr="00DC7C28">
        <w:rPr>
          <w:szCs w:val="22"/>
          <w:lang w:val="lt-LT"/>
        </w:rPr>
        <w:t>levomentolio</w:t>
      </w:r>
      <w:proofErr w:type="spellEnd"/>
      <w:r w:rsidRPr="00DC7C28">
        <w:rPr>
          <w:szCs w:val="22"/>
          <w:lang w:val="lt-LT"/>
        </w:rPr>
        <w:t>.</w:t>
      </w:r>
    </w:p>
    <w:p w14:paraId="293E6A62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</w:p>
    <w:p w14:paraId="5A83ED65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Mintilat skirtas vartoti tik ant odos. Nevartokite per burną.</w:t>
      </w:r>
    </w:p>
    <w:p w14:paraId="12371396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</w:p>
    <w:p w14:paraId="65F71770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Šio vaisto nerekomenduojama tepti ant jautrios odos (dėl plonesnės odos ir didesnės veikliosios medžiagos skvarbos sisteminė absorbcija būna didesnė) ir (arba) žaizdotos odos (pasireiškia sisteminė absorbcija) bei didelių odos plotų.</w:t>
      </w:r>
    </w:p>
    <w:p w14:paraId="534B1B7F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</w:p>
    <w:p w14:paraId="036AC1FD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Mintilat absorbciją didina karštis ir (arba) fizinis krūvis.</w:t>
      </w:r>
    </w:p>
    <w:p w14:paraId="31A0BB23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7E37F857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Kiti vaistai ir Mintilat</w:t>
      </w:r>
    </w:p>
    <w:p w14:paraId="443F1E83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448259A3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</w:p>
    <w:p w14:paraId="57B59815" w14:textId="77777777" w:rsidR="000C5E69" w:rsidRPr="00DC7C28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Lokalaus poveikio vaistų, kurių sudėtyje yra </w:t>
      </w:r>
      <w:proofErr w:type="spellStart"/>
      <w:r w:rsidRPr="00DC7C28">
        <w:rPr>
          <w:szCs w:val="22"/>
          <w:lang w:val="lt-LT"/>
        </w:rPr>
        <w:t>metilsalicilato</w:t>
      </w:r>
      <w:proofErr w:type="spellEnd"/>
      <w:r w:rsidRPr="00DC7C28">
        <w:rPr>
          <w:szCs w:val="22"/>
          <w:lang w:val="lt-LT"/>
        </w:rPr>
        <w:t>, negalima vartoti pacientams, kurie vartoja varfarino, kadangi stiprėja jo poveikis ir pakinta kraujo krešėjimą atspind</w:t>
      </w:r>
      <w:r>
        <w:rPr>
          <w:szCs w:val="22"/>
          <w:lang w:val="lt-LT"/>
        </w:rPr>
        <w:t>int</w:t>
      </w:r>
      <w:r w:rsidRPr="00DC7C28">
        <w:rPr>
          <w:szCs w:val="22"/>
          <w:lang w:val="lt-LT"/>
        </w:rPr>
        <w:t>ys laboratoriniai rodmenys.</w:t>
      </w:r>
    </w:p>
    <w:p w14:paraId="6C983D9C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7807DAA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Mintilat vartojimas su maistu ir gėrimais</w:t>
      </w:r>
    </w:p>
    <w:p w14:paraId="07619D21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Duomenys neaktualūs.</w:t>
      </w:r>
    </w:p>
    <w:p w14:paraId="46D5C19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16FDBED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0B54DD6E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51BF7FA1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9025F2" w14:textId="77777777" w:rsidR="000C5E69" w:rsidRPr="00DC7C28" w:rsidRDefault="000C5E69" w:rsidP="000C5E69">
      <w:pPr>
        <w:spacing w:line="240" w:lineRule="auto"/>
        <w:rPr>
          <w:color w:val="0D0D0D"/>
          <w:szCs w:val="22"/>
          <w:lang w:val="lt-LT"/>
        </w:rPr>
      </w:pPr>
      <w:r w:rsidRPr="00DC7C28">
        <w:rPr>
          <w:color w:val="0D0D0D"/>
          <w:szCs w:val="22"/>
          <w:lang w:val="lt-LT"/>
        </w:rPr>
        <w:t xml:space="preserve">Duomenų apie </w:t>
      </w:r>
      <w:proofErr w:type="spellStart"/>
      <w:r w:rsidRPr="00DC7C28">
        <w:rPr>
          <w:color w:val="0D0D0D"/>
          <w:szCs w:val="22"/>
          <w:lang w:val="lt-LT"/>
        </w:rPr>
        <w:t>metilsalicilato</w:t>
      </w:r>
      <w:proofErr w:type="spellEnd"/>
      <w:r w:rsidRPr="00DC7C28">
        <w:rPr>
          <w:color w:val="0D0D0D"/>
          <w:szCs w:val="22"/>
          <w:lang w:val="lt-LT"/>
        </w:rPr>
        <w:t xml:space="preserve"> vartojimą lokaliai nėštumo ar žindymo laikotarpiu nėra.</w:t>
      </w:r>
    </w:p>
    <w:p w14:paraId="470C8251" w14:textId="77777777" w:rsidR="000C5E69" w:rsidRPr="00C04C85" w:rsidRDefault="000C5E69" w:rsidP="000C5E69">
      <w:pPr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Pirmojo ir antrojo nėštumo trimestrų metu vaistinio preparato Mintilat tepalo vartojimas turi būti apribotas, todėl pasitarkite dėl vartojimo su gydytoju. Trečiąjį nėštumo trimestrą šio vaisto vartoti draudžiama</w:t>
      </w:r>
      <w:r>
        <w:rPr>
          <w:szCs w:val="22"/>
          <w:lang w:val="lt-LT"/>
        </w:rPr>
        <w:t>.</w:t>
      </w:r>
    </w:p>
    <w:p w14:paraId="45F02941" w14:textId="77777777" w:rsidR="000C5E69" w:rsidRPr="00236973" w:rsidRDefault="000C5E69" w:rsidP="000C5E69">
      <w:pPr>
        <w:spacing w:line="240" w:lineRule="auto"/>
        <w:rPr>
          <w:color w:val="0D0D0D"/>
          <w:szCs w:val="22"/>
          <w:lang w:val="lt-LT"/>
        </w:rPr>
      </w:pPr>
    </w:p>
    <w:p w14:paraId="296B7590" w14:textId="77777777" w:rsidR="000C5E69" w:rsidRPr="003F7105" w:rsidRDefault="000C5E69" w:rsidP="000C5E69">
      <w:pPr>
        <w:spacing w:line="240" w:lineRule="auto"/>
        <w:rPr>
          <w:color w:val="0D0D0D"/>
          <w:szCs w:val="22"/>
          <w:lang w:val="lt-LT"/>
        </w:rPr>
      </w:pPr>
      <w:r w:rsidRPr="00236973">
        <w:rPr>
          <w:color w:val="0D0D0D"/>
          <w:szCs w:val="22"/>
          <w:lang w:val="lt-LT"/>
        </w:rPr>
        <w:t xml:space="preserve">Duomenų, patvirtinančių, kad po </w:t>
      </w:r>
      <w:r w:rsidRPr="00236973">
        <w:rPr>
          <w:szCs w:val="22"/>
          <w:lang w:val="lt-LT"/>
        </w:rPr>
        <w:t>Mintilat</w:t>
      </w:r>
      <w:r w:rsidRPr="004457A9">
        <w:rPr>
          <w:color w:val="0D0D0D"/>
          <w:szCs w:val="22"/>
          <w:lang w:val="lt-LT"/>
        </w:rPr>
        <w:t xml:space="preserve"> pavartojimo motinos piene </w:t>
      </w:r>
      <w:r w:rsidRPr="003F7105">
        <w:rPr>
          <w:color w:val="0D0D0D"/>
          <w:szCs w:val="22"/>
          <w:lang w:val="lt-LT"/>
        </w:rPr>
        <w:t>atsiranda vaisto sudedamųjų medžiagų, nėra. Dėl šios priežasties reikia atsižvelgti į šių medžiagų buvimo motinos piene galimybę ir žindymo metu vaisto vartoti tik prižiūrint medikams.</w:t>
      </w:r>
    </w:p>
    <w:p w14:paraId="1A89CBB7" w14:textId="77777777" w:rsidR="000C5E69" w:rsidRPr="003F7105" w:rsidRDefault="000C5E69" w:rsidP="000C5E69">
      <w:pPr>
        <w:spacing w:line="240" w:lineRule="auto"/>
        <w:rPr>
          <w:color w:val="0D0D0D"/>
          <w:szCs w:val="22"/>
          <w:lang w:val="lt-LT"/>
        </w:rPr>
      </w:pPr>
    </w:p>
    <w:p w14:paraId="3358DA03" w14:textId="77777777" w:rsidR="000C5E69" w:rsidRPr="003F7105" w:rsidRDefault="000C5E69" w:rsidP="000C5E69">
      <w:pPr>
        <w:spacing w:line="240" w:lineRule="auto"/>
        <w:rPr>
          <w:color w:val="0D0D0D"/>
          <w:szCs w:val="22"/>
          <w:lang w:val="lt-LT"/>
        </w:rPr>
      </w:pPr>
      <w:r w:rsidRPr="003F7105">
        <w:rPr>
          <w:szCs w:val="22"/>
          <w:lang w:val="lt-LT"/>
        </w:rPr>
        <w:t>Mintilat žindymo laikotarpiu vartoti nerekomenduojama</w:t>
      </w:r>
      <w:r w:rsidRPr="003F7105">
        <w:rPr>
          <w:color w:val="0D0D0D"/>
          <w:szCs w:val="22"/>
          <w:lang w:val="lt-LT"/>
        </w:rPr>
        <w:t>.</w:t>
      </w:r>
    </w:p>
    <w:p w14:paraId="72B07735" w14:textId="77777777" w:rsidR="000C5E69" w:rsidRPr="002646FC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6DA2F73" w14:textId="77777777" w:rsidR="000C5E69" w:rsidRPr="005A75A3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5A75A3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2B5B5114" w14:textId="77777777" w:rsidR="000C5E69" w:rsidRPr="00D80BD0" w:rsidRDefault="000C5E69" w:rsidP="000C5E69">
      <w:pPr>
        <w:spacing w:line="240" w:lineRule="auto"/>
        <w:rPr>
          <w:szCs w:val="22"/>
          <w:lang w:val="lt-LT"/>
        </w:rPr>
      </w:pPr>
      <w:r w:rsidRPr="00D80BD0">
        <w:rPr>
          <w:szCs w:val="22"/>
          <w:lang w:val="lt-LT"/>
        </w:rPr>
        <w:t>Mintilat</w:t>
      </w:r>
      <w:r w:rsidRPr="00D80BD0">
        <w:rPr>
          <w:color w:val="0D0D0D"/>
          <w:szCs w:val="22"/>
          <w:lang w:val="lt-LT"/>
        </w:rPr>
        <w:t xml:space="preserve"> </w:t>
      </w:r>
      <w:r w:rsidRPr="00D80BD0">
        <w:rPr>
          <w:szCs w:val="22"/>
          <w:lang w:val="lt-LT"/>
        </w:rPr>
        <w:t>gebėjimą vairuoti ir valdyti mechanizmus keičiančio poveikio nenustatyta.</w:t>
      </w:r>
    </w:p>
    <w:p w14:paraId="6942414F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DD053C2" w14:textId="77777777" w:rsidR="000C5E69" w:rsidRPr="00E84AEB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3D5DF5">
        <w:rPr>
          <w:b/>
          <w:szCs w:val="22"/>
          <w:lang w:val="lt-LT"/>
        </w:rPr>
        <w:t>Mintilat sudėtyje yra vilnų riebalų (lanolino)</w:t>
      </w:r>
      <w:r w:rsidRPr="00E84AEB">
        <w:rPr>
          <w:b/>
          <w:szCs w:val="22"/>
          <w:lang w:val="lt-LT"/>
        </w:rPr>
        <w:t>.</w:t>
      </w:r>
    </w:p>
    <w:p w14:paraId="2C2A0E12" w14:textId="51E3F970" w:rsidR="000C5E69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84AEB">
        <w:rPr>
          <w:szCs w:val="22"/>
          <w:lang w:val="lt-LT"/>
        </w:rPr>
        <w:t xml:space="preserve">Gali sukelti </w:t>
      </w:r>
      <w:r w:rsidR="005B74FC">
        <w:rPr>
          <w:szCs w:val="22"/>
          <w:lang w:val="lt-LT"/>
        </w:rPr>
        <w:t>vietin</w:t>
      </w:r>
      <w:r w:rsidR="005B74FC" w:rsidRPr="00E84AEB">
        <w:rPr>
          <w:szCs w:val="22"/>
          <w:lang w:val="lt-LT"/>
        </w:rPr>
        <w:t xml:space="preserve">ių </w:t>
      </w:r>
      <w:r w:rsidRPr="00E84AEB">
        <w:rPr>
          <w:szCs w:val="22"/>
          <w:lang w:val="lt-LT"/>
        </w:rPr>
        <w:t>odos reakcijų (pvz., kontaktinį dermatitą).</w:t>
      </w:r>
    </w:p>
    <w:p w14:paraId="70EDA364" w14:textId="77777777" w:rsidR="005B74FC" w:rsidRPr="00E84AEB" w:rsidRDefault="005B74FC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6AA526" w14:textId="77777777" w:rsidR="000C5E69" w:rsidRPr="00A8680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C7C28">
        <w:rPr>
          <w:b/>
          <w:szCs w:val="22"/>
          <w:lang w:val="lt-LT"/>
        </w:rPr>
        <w:t>Mintilat</w:t>
      </w:r>
      <w:proofErr w:type="spellEnd"/>
      <w:r w:rsidRPr="00DC7C28">
        <w:rPr>
          <w:b/>
          <w:szCs w:val="22"/>
          <w:lang w:val="lt-LT"/>
        </w:rPr>
        <w:t xml:space="preserve"> </w:t>
      </w:r>
      <w:proofErr w:type="spellStart"/>
      <w:r w:rsidRPr="00DC7C28">
        <w:rPr>
          <w:b/>
          <w:szCs w:val="22"/>
          <w:lang w:val="lt-LT"/>
        </w:rPr>
        <w:t>talpyklės</w:t>
      </w:r>
      <w:proofErr w:type="spellEnd"/>
      <w:r w:rsidRPr="00DC7C28">
        <w:rPr>
          <w:b/>
          <w:szCs w:val="22"/>
          <w:lang w:val="lt-LT"/>
        </w:rPr>
        <w:t xml:space="preserve"> sudėtyje yra lateksinės gumos.</w:t>
      </w:r>
    </w:p>
    <w:p w14:paraId="6A4E901F" w14:textId="77777777" w:rsidR="000C5E69" w:rsidRPr="007F3E0D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F3E0D">
        <w:rPr>
          <w:szCs w:val="22"/>
          <w:lang w:val="lt-LT"/>
        </w:rPr>
        <w:t>Gali sukelti sunkių alerginių reakcijų.</w:t>
      </w:r>
    </w:p>
    <w:p w14:paraId="62FBF5FD" w14:textId="77777777" w:rsidR="000C5E69" w:rsidRPr="00C04C8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18C6FE" w14:textId="77777777" w:rsidR="000C5E69" w:rsidRPr="0023697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C97078C" w14:textId="77777777" w:rsidR="000C5E69" w:rsidRPr="004457A9" w:rsidRDefault="000C5E69" w:rsidP="000C5E69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36973">
        <w:rPr>
          <w:rFonts w:ascii="Times New Roman" w:hAnsi="Times New Roman"/>
          <w:sz w:val="22"/>
          <w:szCs w:val="22"/>
          <w:lang w:val="lt-LT"/>
        </w:rPr>
        <w:t>3.</w:t>
      </w:r>
      <w:r w:rsidRPr="00236973">
        <w:rPr>
          <w:rFonts w:ascii="Times New Roman" w:hAnsi="Times New Roman"/>
          <w:sz w:val="22"/>
          <w:szCs w:val="22"/>
          <w:lang w:val="lt-LT"/>
        </w:rPr>
        <w:tab/>
        <w:t>Kaip vartoti Mintilat</w:t>
      </w:r>
    </w:p>
    <w:p w14:paraId="19093059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0907970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F7105">
        <w:rPr>
          <w:szCs w:val="22"/>
          <w:lang w:val="lt-LT"/>
        </w:rPr>
        <w:t xml:space="preserve">Visada vartokite šį vaistą tiksliai kaip nurodė gydytojas arba vaistininkas. Jeigu abejojate, kreipkitės į </w:t>
      </w:r>
      <w:r w:rsidRPr="002646FC">
        <w:rPr>
          <w:szCs w:val="22"/>
          <w:lang w:val="lt-LT"/>
        </w:rPr>
        <w:t xml:space="preserve">gydytoją </w:t>
      </w:r>
      <w:r w:rsidRPr="005A75A3">
        <w:rPr>
          <w:szCs w:val="22"/>
          <w:lang w:val="lt-LT"/>
        </w:rPr>
        <w:t xml:space="preserve">arba </w:t>
      </w:r>
      <w:r w:rsidRPr="00AB2A91">
        <w:rPr>
          <w:szCs w:val="22"/>
          <w:lang w:val="lt-LT"/>
        </w:rPr>
        <w:t>vaistininką</w:t>
      </w:r>
      <w:r w:rsidRPr="00D80BD0">
        <w:rPr>
          <w:szCs w:val="22"/>
          <w:lang w:val="lt-LT"/>
        </w:rPr>
        <w:t>.</w:t>
      </w:r>
    </w:p>
    <w:p w14:paraId="118F6C85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42F1F3" w14:textId="31E51BA6" w:rsidR="000C5E69" w:rsidRPr="00E84AEB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84AEB">
        <w:rPr>
          <w:szCs w:val="22"/>
          <w:lang w:val="lt-LT"/>
        </w:rPr>
        <w:t>Išspauskite maždaug 4 - 8 </w:t>
      </w:r>
      <w:r w:rsidRPr="00EB374F">
        <w:rPr>
          <w:szCs w:val="22"/>
          <w:lang w:val="lt-LT"/>
        </w:rPr>
        <w:t xml:space="preserve">cm (tai </w:t>
      </w:r>
      <w:r w:rsidRPr="00E84AEB">
        <w:rPr>
          <w:szCs w:val="22"/>
          <w:lang w:val="lt-LT"/>
        </w:rPr>
        <w:t>atitinka 1</w:t>
      </w:r>
      <w:r w:rsidRPr="00E84AEB">
        <w:rPr>
          <w:szCs w:val="22"/>
          <w:lang w:val="lt-LT"/>
        </w:rPr>
        <w:noBreakHyphen/>
        <w:t>2 g)</w:t>
      </w:r>
      <w:r w:rsidRPr="00EB374F">
        <w:rPr>
          <w:szCs w:val="22"/>
          <w:lang w:val="lt-LT"/>
        </w:rPr>
        <w:t xml:space="preserve"> Mintilat tepalo </w:t>
      </w:r>
      <w:r w:rsidRPr="00E84AEB">
        <w:rPr>
          <w:szCs w:val="22"/>
          <w:lang w:val="lt-LT"/>
        </w:rPr>
        <w:t>pažeistai sričiai padengti, tepkite iki 4 kartų per parą.</w:t>
      </w:r>
    </w:p>
    <w:p w14:paraId="1148C3A2" w14:textId="77777777" w:rsidR="000C5E69" w:rsidRPr="0023697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F85D4DA" w14:textId="77777777" w:rsidR="000C5E69" w:rsidRPr="004457A9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4457A9">
        <w:rPr>
          <w:szCs w:val="22"/>
          <w:lang w:val="lt-LT"/>
        </w:rPr>
        <w:t>Gydymas negali trukti ilgiau kaip 1 savaitę.</w:t>
      </w:r>
    </w:p>
    <w:p w14:paraId="3C436F1C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20A5CB1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F7105">
        <w:rPr>
          <w:szCs w:val="22"/>
          <w:lang w:val="lt-LT"/>
        </w:rPr>
        <w:t>Mintilat vartojamas ant odos.</w:t>
      </w:r>
    </w:p>
    <w:p w14:paraId="6292ABC5" w14:textId="77777777" w:rsidR="000C5E69" w:rsidRPr="00761ADA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61ADA">
        <w:rPr>
          <w:szCs w:val="22"/>
          <w:lang w:val="lt-LT"/>
        </w:rPr>
        <w:t>Negalima uždengti pateptos vietos odos tvarsčiais, pleistrais ar bet kokia kitokia tvarstomąja medžiaga.</w:t>
      </w:r>
    </w:p>
    <w:p w14:paraId="2FD48A9F" w14:textId="77777777" w:rsidR="000C5E69" w:rsidRPr="002646FC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7D6CF61" w14:textId="77777777" w:rsidR="000C5E69" w:rsidRPr="0063211A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63211A">
        <w:rPr>
          <w:b/>
          <w:bCs/>
          <w:szCs w:val="22"/>
          <w:lang w:val="lt-LT"/>
        </w:rPr>
        <w:t xml:space="preserve">Vartojimas vaikams ir paaugliams </w:t>
      </w:r>
    </w:p>
    <w:p w14:paraId="56DE7901" w14:textId="77777777" w:rsidR="000C5E69" w:rsidRPr="00C04C8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AB2A91">
        <w:rPr>
          <w:szCs w:val="22"/>
          <w:lang w:val="lt-LT"/>
        </w:rPr>
        <w:t xml:space="preserve">Duomenų apie Mintilat </w:t>
      </w:r>
      <w:r w:rsidRPr="00D80BD0">
        <w:rPr>
          <w:szCs w:val="22"/>
          <w:lang w:val="lt-LT"/>
        </w:rPr>
        <w:t>saugumą ir veiksmingumą jaunesniems kaip 18 metų vaikams nėra</w:t>
      </w:r>
      <w:r>
        <w:rPr>
          <w:szCs w:val="22"/>
          <w:lang w:val="lt-LT"/>
        </w:rPr>
        <w:t>.</w:t>
      </w:r>
    </w:p>
    <w:p w14:paraId="2FD5011E" w14:textId="77777777" w:rsidR="000C5E69" w:rsidRPr="0023697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98A901" w14:textId="77777777" w:rsidR="000C5E69" w:rsidRPr="003F7105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36973">
        <w:rPr>
          <w:rFonts w:ascii="Times New Roman" w:hAnsi="Times New Roman"/>
          <w:sz w:val="22"/>
          <w:szCs w:val="22"/>
          <w:lang w:val="lt-LT"/>
        </w:rPr>
        <w:t>Ką daryti pavartojus per didelę Mintilat</w:t>
      </w:r>
      <w:r w:rsidRPr="004457A9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10983B52" w14:textId="77777777" w:rsidR="000C5E69" w:rsidRPr="00761ADA" w:rsidRDefault="000C5E69" w:rsidP="000C5E69">
      <w:pPr>
        <w:spacing w:line="240" w:lineRule="auto"/>
        <w:rPr>
          <w:szCs w:val="22"/>
          <w:lang w:val="lt-LT"/>
        </w:rPr>
      </w:pPr>
      <w:r w:rsidRPr="003F7105">
        <w:rPr>
          <w:szCs w:val="22"/>
          <w:lang w:val="lt-LT"/>
        </w:rPr>
        <w:t>Perdozavimas gali pasireikšti tik tuo atveju, kai pavartojamas didelis tepalo kiekis (daug didesnis nei yra tūbelėje), jei yra situacija, kai šio vaisto vartoti negalima, ir (arba) vaisto netyčia išgeriam</w:t>
      </w:r>
      <w:r w:rsidRPr="00761ADA">
        <w:rPr>
          <w:szCs w:val="22"/>
          <w:lang w:val="lt-LT"/>
        </w:rPr>
        <w:t>a, todėl perdozavimo simptomų atsiradimas nėra tikėtinas.</w:t>
      </w:r>
    </w:p>
    <w:p w14:paraId="3B2875DB" w14:textId="77777777" w:rsidR="000C5E69" w:rsidRPr="002646FC" w:rsidRDefault="000C5E69" w:rsidP="000C5E69">
      <w:pPr>
        <w:spacing w:line="240" w:lineRule="auto"/>
        <w:rPr>
          <w:szCs w:val="22"/>
          <w:lang w:val="lt-LT"/>
        </w:rPr>
      </w:pPr>
    </w:p>
    <w:p w14:paraId="1A3E2DD3" w14:textId="77777777" w:rsidR="000C5E69" w:rsidRPr="00C04C8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646FC">
        <w:rPr>
          <w:szCs w:val="22"/>
          <w:lang w:val="lt-LT"/>
        </w:rPr>
        <w:t xml:space="preserve">Jei vaikas atsitiktinai praryja Mintilat </w:t>
      </w:r>
      <w:r w:rsidRPr="005A75A3">
        <w:rPr>
          <w:szCs w:val="22"/>
          <w:lang w:val="lt-LT"/>
        </w:rPr>
        <w:t>svarbu nedelsiant pasikonsultuoti su gydytoju, kuris galėtų suteikti būtin</w:t>
      </w:r>
      <w:r>
        <w:rPr>
          <w:szCs w:val="22"/>
          <w:lang w:val="lt-LT"/>
        </w:rPr>
        <w:t>ą</w:t>
      </w:r>
      <w:r w:rsidRPr="00C04C85">
        <w:rPr>
          <w:szCs w:val="22"/>
          <w:lang w:val="lt-LT"/>
        </w:rPr>
        <w:t xml:space="preserve"> gydymą. Nebandyti sukelti v</w:t>
      </w:r>
      <w:r>
        <w:rPr>
          <w:szCs w:val="22"/>
          <w:lang w:val="lt-LT"/>
        </w:rPr>
        <w:t>ė</w:t>
      </w:r>
      <w:r w:rsidRPr="00C04C85">
        <w:rPr>
          <w:szCs w:val="22"/>
          <w:lang w:val="lt-LT"/>
        </w:rPr>
        <w:t>mimo.</w:t>
      </w:r>
    </w:p>
    <w:p w14:paraId="5E70B445" w14:textId="77777777" w:rsidR="000C5E69" w:rsidRPr="0023697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C092E2" w14:textId="77777777" w:rsidR="000C5E69" w:rsidRPr="003F7105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36973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r w:rsidRPr="004457A9">
        <w:rPr>
          <w:rFonts w:ascii="Times New Roman" w:hAnsi="Times New Roman"/>
          <w:sz w:val="22"/>
          <w:szCs w:val="22"/>
          <w:lang w:val="lt-LT"/>
        </w:rPr>
        <w:t>Mintilat</w:t>
      </w:r>
    </w:p>
    <w:p w14:paraId="0ACFBD73" w14:textId="77777777" w:rsidR="000C5E69" w:rsidRPr="003F7105" w:rsidRDefault="000C5E69" w:rsidP="000C5E69">
      <w:pPr>
        <w:spacing w:line="240" w:lineRule="auto"/>
        <w:rPr>
          <w:szCs w:val="22"/>
          <w:lang w:val="lt-LT"/>
        </w:rPr>
      </w:pPr>
      <w:r w:rsidRPr="003F7105">
        <w:rPr>
          <w:szCs w:val="22"/>
          <w:lang w:val="lt-LT"/>
        </w:rPr>
        <w:t>Pamiršus pavartoti vieną ar daugiau Mintilat dozių, gydymą reikia tęsti.</w:t>
      </w:r>
    </w:p>
    <w:p w14:paraId="5EA393FB" w14:textId="77777777" w:rsidR="000C5E69" w:rsidRPr="00761ADA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70EEA8" w14:textId="77777777" w:rsidR="000C5E69" w:rsidRPr="005A75A3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646FC">
        <w:rPr>
          <w:rFonts w:ascii="Times New Roman" w:hAnsi="Times New Roman"/>
          <w:sz w:val="22"/>
          <w:szCs w:val="22"/>
          <w:lang w:val="lt-LT"/>
        </w:rPr>
        <w:t>Nustojus vartoti Mintilat</w:t>
      </w:r>
    </w:p>
    <w:p w14:paraId="3B808124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80BD0">
        <w:rPr>
          <w:szCs w:val="22"/>
          <w:lang w:val="lt-LT"/>
        </w:rPr>
        <w:t>Specialių su gydymo nutraukimu susijusių atsargumo priemonių nėra.</w:t>
      </w:r>
    </w:p>
    <w:p w14:paraId="4BE72150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7CF5CEBA" w14:textId="77777777" w:rsidR="000C5E69" w:rsidRPr="00DA5C67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3D5DF5">
        <w:rPr>
          <w:szCs w:val="22"/>
          <w:lang w:val="lt-LT"/>
        </w:rPr>
        <w:t xml:space="preserve">Jeigu kiltų daugiau klausimų dėl šio </w:t>
      </w:r>
      <w:r w:rsidRPr="00E84AEB">
        <w:rPr>
          <w:szCs w:val="22"/>
          <w:lang w:val="lt-LT"/>
        </w:rPr>
        <w:t xml:space="preserve">vaisto vartojimo, kreipkitės į gydytoją arba </w:t>
      </w:r>
      <w:r w:rsidRPr="00515E42">
        <w:rPr>
          <w:szCs w:val="22"/>
          <w:lang w:val="lt-LT"/>
        </w:rPr>
        <w:t>vaistininką</w:t>
      </w:r>
      <w:r w:rsidRPr="00DA5C67">
        <w:rPr>
          <w:szCs w:val="22"/>
          <w:lang w:val="lt-LT"/>
        </w:rPr>
        <w:t>.</w:t>
      </w:r>
    </w:p>
    <w:p w14:paraId="7D08BF83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A7EDDD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5D1910" w14:textId="77777777" w:rsidR="000C5E69" w:rsidRPr="00DC7C28" w:rsidRDefault="000C5E69" w:rsidP="000C5E69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4.</w:t>
      </w:r>
      <w:r w:rsidRPr="00DC7C28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4A977C97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937769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C7C28">
        <w:rPr>
          <w:szCs w:val="22"/>
          <w:lang w:val="lt-LT"/>
        </w:rPr>
        <w:t>Šis vaistas, kaip ir visi kiti, gali sukelti šalutinį poveikį, nors jis pasireiškia ne visiems žmonėms.</w:t>
      </w:r>
    </w:p>
    <w:p w14:paraId="2458C6B8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7CCC56EF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DC7C28">
        <w:rPr>
          <w:szCs w:val="22"/>
          <w:lang w:val="lt-LT"/>
        </w:rPr>
        <w:t>Gali pasireikšti toliau paminėti šalutiniai poveikiai.</w:t>
      </w:r>
    </w:p>
    <w:p w14:paraId="463003B6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B0B44BE" w14:textId="77777777" w:rsidR="000C5E69" w:rsidRPr="00C04C8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u w:val="single"/>
          <w:lang w:val="lt-LT"/>
        </w:rPr>
      </w:pPr>
      <w:r w:rsidRPr="00DC7C28">
        <w:rPr>
          <w:bCs/>
          <w:szCs w:val="22"/>
          <w:u w:val="single"/>
          <w:lang w:val="lt-LT"/>
        </w:rPr>
        <w:t>Odos ir po</w:t>
      </w:r>
      <w:r>
        <w:rPr>
          <w:bCs/>
          <w:szCs w:val="22"/>
          <w:u w:val="single"/>
          <w:lang w:val="lt-LT"/>
        </w:rPr>
        <w:t>o</w:t>
      </w:r>
      <w:r w:rsidRPr="00C04C85">
        <w:rPr>
          <w:bCs/>
          <w:szCs w:val="22"/>
          <w:u w:val="single"/>
          <w:lang w:val="lt-LT"/>
        </w:rPr>
        <w:t>dinio audinio sutrikimai</w:t>
      </w:r>
    </w:p>
    <w:p w14:paraId="3A590EE1" w14:textId="77777777" w:rsidR="000C5E69" w:rsidRPr="00236973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szCs w:val="22"/>
          <w:lang w:val="lt-LT"/>
        </w:rPr>
      </w:pPr>
      <w:r w:rsidRPr="00236973">
        <w:rPr>
          <w:i/>
          <w:szCs w:val="22"/>
          <w:lang w:val="lt-LT"/>
        </w:rPr>
        <w:t>Dažnis nežinomas (negali būti apskaičiuotas pagal turimus duomenis)</w:t>
      </w:r>
    </w:p>
    <w:p w14:paraId="059CB01F" w14:textId="77777777" w:rsidR="000C5E69" w:rsidRPr="004457A9" w:rsidRDefault="000C5E69" w:rsidP="000C5E6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4457A9">
        <w:rPr>
          <w:szCs w:val="22"/>
          <w:lang w:val="lt-LT"/>
        </w:rPr>
        <w:t>išbėrimas;</w:t>
      </w:r>
    </w:p>
    <w:p w14:paraId="671D5BB1" w14:textId="77777777" w:rsidR="000C5E69" w:rsidRPr="003F7105" w:rsidRDefault="000C5E69" w:rsidP="000C5E6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proofErr w:type="spellStart"/>
      <w:r w:rsidRPr="003F7105">
        <w:rPr>
          <w:szCs w:val="22"/>
          <w:lang w:val="lt-LT"/>
        </w:rPr>
        <w:t>eritema</w:t>
      </w:r>
      <w:proofErr w:type="spellEnd"/>
      <w:r w:rsidRPr="003F7105">
        <w:rPr>
          <w:szCs w:val="22"/>
          <w:lang w:val="lt-LT"/>
        </w:rPr>
        <w:t>;</w:t>
      </w:r>
    </w:p>
    <w:p w14:paraId="6C538B9C" w14:textId="77777777" w:rsidR="000C5E69" w:rsidRPr="003F7105" w:rsidRDefault="000C5E69" w:rsidP="000C5E69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3F7105">
        <w:rPr>
          <w:szCs w:val="22"/>
          <w:lang w:val="lt-LT"/>
        </w:rPr>
        <w:t>niežėjimas.</w:t>
      </w:r>
    </w:p>
    <w:p w14:paraId="5C1FD89B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CC592BE" w14:textId="77777777" w:rsidR="000C5E69" w:rsidRPr="00761ADA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szCs w:val="22"/>
          <w:u w:val="single"/>
          <w:lang w:val="lt-LT"/>
        </w:rPr>
      </w:pPr>
      <w:r w:rsidRPr="00761ADA">
        <w:rPr>
          <w:bCs/>
          <w:szCs w:val="22"/>
          <w:u w:val="single"/>
          <w:lang w:val="lt-LT"/>
        </w:rPr>
        <w:t>Bendrieji sutrikimai ir vartojimo vietos pažeidimai</w:t>
      </w:r>
    </w:p>
    <w:p w14:paraId="529B5418" w14:textId="77777777" w:rsidR="000C5E69" w:rsidRPr="002646FC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i/>
          <w:szCs w:val="22"/>
          <w:lang w:val="lt-LT"/>
        </w:rPr>
      </w:pPr>
      <w:r w:rsidRPr="002646FC">
        <w:rPr>
          <w:bCs/>
          <w:i/>
          <w:szCs w:val="22"/>
          <w:lang w:val="lt-LT"/>
        </w:rPr>
        <w:t>Dažnis nežinomas (negali būti apskaičiuotas pagal turimus duomenis)</w:t>
      </w:r>
    </w:p>
    <w:p w14:paraId="2BF60B17" w14:textId="48021C35" w:rsidR="000C5E69" w:rsidRPr="005A75A3" w:rsidRDefault="000C5E69" w:rsidP="000C5E6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5A75A3">
        <w:rPr>
          <w:szCs w:val="22"/>
          <w:lang w:val="lt-LT"/>
        </w:rPr>
        <w:t>deginimo pojūtis</w:t>
      </w:r>
      <w:r w:rsidR="00CD16C5">
        <w:rPr>
          <w:szCs w:val="22"/>
          <w:lang w:val="lt-LT"/>
        </w:rPr>
        <w:t>;</w:t>
      </w:r>
    </w:p>
    <w:p w14:paraId="19143A30" w14:textId="77777777" w:rsidR="000C5E69" w:rsidRPr="00D80BD0" w:rsidRDefault="000C5E69" w:rsidP="000C5E6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9" w:hanging="567"/>
        <w:rPr>
          <w:szCs w:val="22"/>
          <w:lang w:val="lt-LT"/>
        </w:rPr>
      </w:pPr>
      <w:r w:rsidRPr="00D80BD0">
        <w:rPr>
          <w:szCs w:val="22"/>
          <w:lang w:val="lt-LT"/>
        </w:rPr>
        <w:t>gėlimas;</w:t>
      </w:r>
    </w:p>
    <w:p w14:paraId="38090C32" w14:textId="6FCD0907" w:rsidR="000C5E69" w:rsidRPr="003F353C" w:rsidRDefault="000C5E69" w:rsidP="000C5E6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9" w:hanging="567"/>
        <w:rPr>
          <w:bCs/>
          <w:szCs w:val="22"/>
          <w:u w:val="single"/>
          <w:lang w:val="lt-LT"/>
        </w:rPr>
      </w:pPr>
      <w:r w:rsidRPr="00D80BD0">
        <w:rPr>
          <w:szCs w:val="22"/>
          <w:lang w:val="lt-LT"/>
        </w:rPr>
        <w:t>skausmas</w:t>
      </w:r>
      <w:r w:rsidR="0031382A">
        <w:rPr>
          <w:szCs w:val="22"/>
          <w:lang w:val="lt-LT"/>
        </w:rPr>
        <w:t>;</w:t>
      </w:r>
    </w:p>
    <w:p w14:paraId="637EF837" w14:textId="77777777" w:rsidR="0031382A" w:rsidRPr="00D86058" w:rsidRDefault="0031382A" w:rsidP="0031382A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9" w:hanging="567"/>
        <w:rPr>
          <w:bCs/>
          <w:szCs w:val="22"/>
          <w:u w:val="single"/>
          <w:lang w:val="lt-LT"/>
        </w:rPr>
      </w:pPr>
      <w:r>
        <w:rPr>
          <w:szCs w:val="22"/>
          <w:lang w:val="lt-LT"/>
        </w:rPr>
        <w:t>nudegimai poveikio vietoje.</w:t>
      </w:r>
    </w:p>
    <w:p w14:paraId="4E259BF3" w14:textId="77777777" w:rsidR="000C5E69" w:rsidRPr="00E84AEB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3DCA58D" w14:textId="77777777" w:rsidR="000C5E69" w:rsidRPr="00E84AEB" w:rsidRDefault="000C5E69" w:rsidP="000C5E69">
      <w:pPr>
        <w:spacing w:line="240" w:lineRule="auto"/>
        <w:rPr>
          <w:b/>
          <w:szCs w:val="22"/>
          <w:lang w:val="lt-LT"/>
        </w:rPr>
      </w:pPr>
      <w:r w:rsidRPr="00E84AEB">
        <w:rPr>
          <w:b/>
          <w:szCs w:val="22"/>
          <w:lang w:val="lt-LT"/>
        </w:rPr>
        <w:t>Pranešimas apie šalutinį poveikį</w:t>
      </w:r>
    </w:p>
    <w:p w14:paraId="12C7D7C2" w14:textId="77777777" w:rsidR="000C5E69" w:rsidRPr="007F3E0D" w:rsidRDefault="000C5E69" w:rsidP="000C5E69">
      <w:pPr>
        <w:spacing w:line="240" w:lineRule="auto"/>
        <w:rPr>
          <w:szCs w:val="22"/>
          <w:lang w:val="lt-LT"/>
        </w:rPr>
      </w:pPr>
      <w:r w:rsidRPr="00515E42">
        <w:rPr>
          <w:szCs w:val="22"/>
          <w:lang w:val="lt-LT"/>
        </w:rPr>
        <w:t xml:space="preserve">Jeigu pasireiškė šalutinis poveikis, įskaitant šiame lapelyje nenurodytą, pasakykite gydytojui arba vaistininkui. Apie šalutinį poveikį taip pat galite </w:t>
      </w:r>
      <w:r w:rsidRPr="00DC7C28">
        <w:rPr>
          <w:szCs w:val="22"/>
          <w:lang w:val="lt-LT"/>
        </w:rPr>
        <w:t xml:space="preserve">pranešti Valstybinei vaistų kontrolės tarnybai prie Lietuvos Respublikos sveikatos apsaugos ministerijos nemokamu telefonu 8 800 73568 arba užpildyti interneto svetainėje </w:t>
      </w:r>
      <w:hyperlink r:id="rId8" w:history="1">
        <w:r w:rsidRPr="00A86803">
          <w:rPr>
            <w:rStyle w:val="Hyperlink"/>
            <w:szCs w:val="22"/>
            <w:lang w:val="lt-LT"/>
          </w:rPr>
          <w:t>www.vvkt.lt</w:t>
        </w:r>
      </w:hyperlink>
      <w:r w:rsidRPr="00A86803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</w:t>
      </w:r>
      <w:r w:rsidRPr="007F3E0D">
        <w:rPr>
          <w:szCs w:val="22"/>
          <w:lang w:val="lt-LT"/>
        </w:rPr>
        <w:t xml:space="preserve">A, LT-09120 Vilnius), nemokamu fakso numeriu 8 800 20131, el. paštu </w:t>
      </w:r>
      <w:hyperlink r:id="rId9" w:history="1">
        <w:r w:rsidRPr="00A86803">
          <w:rPr>
            <w:rStyle w:val="Hyperlink"/>
            <w:szCs w:val="22"/>
            <w:lang w:val="lt-LT"/>
          </w:rPr>
          <w:t>NepageidaujamaR@vvkt.lt</w:t>
        </w:r>
      </w:hyperlink>
      <w:r w:rsidRPr="00A86803">
        <w:rPr>
          <w:szCs w:val="22"/>
          <w:lang w:val="lt-LT"/>
        </w:rPr>
        <w:t>, taip pat per Valstybinės vaistų kontrolės tarnybos prie Lietuvos Respublikos sveikatos apsaugos ministerijos interne</w:t>
      </w:r>
      <w:r w:rsidRPr="007F3E0D">
        <w:rPr>
          <w:szCs w:val="22"/>
          <w:lang w:val="lt-LT"/>
        </w:rPr>
        <w:t xml:space="preserve">to svetainę (adresu </w:t>
      </w:r>
      <w:hyperlink r:id="rId10" w:history="1">
        <w:r w:rsidRPr="00A86803">
          <w:rPr>
            <w:rStyle w:val="Hyperlink"/>
            <w:szCs w:val="22"/>
            <w:lang w:val="lt-LT"/>
          </w:rPr>
          <w:t>http://www.vvkt.lt</w:t>
        </w:r>
      </w:hyperlink>
      <w:r w:rsidRPr="00A86803">
        <w:rPr>
          <w:szCs w:val="22"/>
          <w:lang w:val="lt-LT"/>
        </w:rPr>
        <w:t xml:space="preserve">). Pranešdami apie šalutinį poveikį galite mums padėti gauti daugiau informacijos apie </w:t>
      </w:r>
      <w:r w:rsidRPr="007F3E0D">
        <w:rPr>
          <w:szCs w:val="22"/>
          <w:lang w:val="lt-LT"/>
        </w:rPr>
        <w:t>šio vaisto saugumą.</w:t>
      </w:r>
    </w:p>
    <w:p w14:paraId="17ACF689" w14:textId="77777777" w:rsidR="000C5E69" w:rsidRPr="00C04C85" w:rsidRDefault="000C5E69" w:rsidP="000C5E69">
      <w:pPr>
        <w:spacing w:line="240" w:lineRule="auto"/>
        <w:ind w:right="-449"/>
        <w:rPr>
          <w:szCs w:val="22"/>
          <w:lang w:val="lt-LT"/>
        </w:rPr>
      </w:pPr>
    </w:p>
    <w:p w14:paraId="617A9D11" w14:textId="77777777" w:rsidR="000C5E69" w:rsidRPr="00236973" w:rsidRDefault="000C5E69" w:rsidP="000C5E69">
      <w:pPr>
        <w:spacing w:line="240" w:lineRule="auto"/>
        <w:ind w:right="-449"/>
        <w:rPr>
          <w:szCs w:val="22"/>
          <w:lang w:val="lt-LT"/>
        </w:rPr>
      </w:pPr>
    </w:p>
    <w:p w14:paraId="37E870F7" w14:textId="77777777" w:rsidR="000C5E69" w:rsidRPr="003F7105" w:rsidRDefault="000C5E69" w:rsidP="000C5E69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36973">
        <w:rPr>
          <w:rFonts w:ascii="Times New Roman" w:hAnsi="Times New Roman"/>
          <w:sz w:val="22"/>
          <w:szCs w:val="22"/>
          <w:lang w:val="lt-LT"/>
        </w:rPr>
        <w:t>5.</w:t>
      </w:r>
      <w:r w:rsidRPr="00236973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Pr="004457A9">
        <w:rPr>
          <w:rFonts w:ascii="Times New Roman" w:hAnsi="Times New Roman"/>
          <w:sz w:val="22"/>
          <w:szCs w:val="22"/>
          <w:lang w:val="lt-LT"/>
        </w:rPr>
        <w:t>Mintilat</w:t>
      </w:r>
    </w:p>
    <w:p w14:paraId="6B427AC3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6C6C2B" w14:textId="77777777" w:rsidR="000C5E69" w:rsidRPr="003F7105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F7105">
        <w:rPr>
          <w:szCs w:val="22"/>
          <w:lang w:val="lt-LT"/>
        </w:rPr>
        <w:t>Šį vaistą laikykite vaikams nepastebimoje ir nepasiekiamoje vietoje.</w:t>
      </w:r>
    </w:p>
    <w:p w14:paraId="0A7EAC07" w14:textId="77777777" w:rsidR="000C5E69" w:rsidRPr="00761ADA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9A4C81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646FC">
        <w:rPr>
          <w:szCs w:val="22"/>
          <w:lang w:val="lt-LT"/>
        </w:rPr>
        <w:t>Ant dėžutės ir tūbelės po „Tinka iki“ nurodytam tinkamumo laikui pasibaigus, šio vaisto vartoti neg</w:t>
      </w:r>
      <w:r w:rsidRPr="005A75A3">
        <w:rPr>
          <w:szCs w:val="22"/>
          <w:lang w:val="lt-LT"/>
        </w:rPr>
        <w:t xml:space="preserve">alima. </w:t>
      </w:r>
      <w:r w:rsidRPr="00D80BD0">
        <w:rPr>
          <w:szCs w:val="22"/>
          <w:lang w:val="lt-LT"/>
        </w:rPr>
        <w:t>Vaistas tinkamas vartoti iki paskutinės nurodyto mėnesio dienos.</w:t>
      </w:r>
    </w:p>
    <w:p w14:paraId="1275C10A" w14:textId="77777777" w:rsidR="000C5E69" w:rsidRPr="00D80BD0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A7B5DBF" w14:textId="77777777" w:rsidR="000C5E69" w:rsidRPr="00E84AEB" w:rsidRDefault="000C5E69" w:rsidP="000C5E69">
      <w:pPr>
        <w:spacing w:line="240" w:lineRule="auto"/>
        <w:rPr>
          <w:color w:val="0D0D0D"/>
          <w:szCs w:val="22"/>
          <w:lang w:val="lt-LT"/>
        </w:rPr>
      </w:pPr>
      <w:r w:rsidRPr="003D5DF5">
        <w:rPr>
          <w:color w:val="0D0D0D"/>
          <w:szCs w:val="22"/>
          <w:lang w:val="lt-LT"/>
        </w:rPr>
        <w:t>Šio vais</w:t>
      </w:r>
      <w:r w:rsidRPr="00E84AEB">
        <w:rPr>
          <w:color w:val="0D0D0D"/>
          <w:szCs w:val="22"/>
          <w:lang w:val="lt-LT"/>
        </w:rPr>
        <w:t>to laikymui specialių temperatūros sąlygų nereikalaujama.</w:t>
      </w:r>
    </w:p>
    <w:p w14:paraId="79C83C4E" w14:textId="3D62809A" w:rsidR="000C5E69" w:rsidRPr="00E84AEB" w:rsidRDefault="000C5E69" w:rsidP="000C5E69">
      <w:pPr>
        <w:spacing w:line="240" w:lineRule="auto"/>
        <w:rPr>
          <w:color w:val="0D0D0D"/>
          <w:szCs w:val="22"/>
          <w:lang w:val="lt-LT"/>
        </w:rPr>
      </w:pPr>
      <w:r w:rsidRPr="00E84AEB">
        <w:rPr>
          <w:color w:val="0D0D0D"/>
          <w:szCs w:val="22"/>
          <w:lang w:val="lt-LT"/>
        </w:rPr>
        <w:t xml:space="preserve">Pirmą kartą atidarius tūbelę laikyti sandarią, kad </w:t>
      </w:r>
      <w:r w:rsidR="00CD16C5">
        <w:rPr>
          <w:color w:val="0D0D0D"/>
          <w:szCs w:val="22"/>
          <w:lang w:val="lt-LT"/>
        </w:rPr>
        <w:t>vais</w:t>
      </w:r>
      <w:r w:rsidRPr="00E84AEB">
        <w:rPr>
          <w:color w:val="0D0D0D"/>
          <w:szCs w:val="22"/>
          <w:lang w:val="lt-LT"/>
        </w:rPr>
        <w:t>tas būtų apsaugotas nuo drėgmės.</w:t>
      </w:r>
    </w:p>
    <w:p w14:paraId="11BE66F6" w14:textId="77777777" w:rsidR="000C5E69" w:rsidRPr="00DA5C67" w:rsidRDefault="000C5E69" w:rsidP="000C5E69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80B120" w14:textId="77777777" w:rsidR="000C5E69" w:rsidRPr="00DC7C28" w:rsidRDefault="000C5E69" w:rsidP="000C5E69">
      <w:pPr>
        <w:tabs>
          <w:tab w:val="clear" w:pos="567"/>
          <w:tab w:val="left" w:pos="1620"/>
        </w:tabs>
        <w:spacing w:line="240" w:lineRule="auto"/>
        <w:rPr>
          <w:szCs w:val="22"/>
          <w:lang w:val="lt-LT"/>
        </w:rPr>
      </w:pPr>
      <w:r w:rsidRPr="00DC7C28">
        <w:rPr>
          <w:szCs w:val="22"/>
          <w:lang w:val="lt-LT"/>
        </w:rPr>
        <w:t>Po pirmojo atidarymo galima vartoti 6 mėnesius.</w:t>
      </w:r>
    </w:p>
    <w:p w14:paraId="7417F695" w14:textId="77777777" w:rsidR="000C5E69" w:rsidRPr="00DC7C28" w:rsidRDefault="000C5E69" w:rsidP="000C5E69">
      <w:pPr>
        <w:tabs>
          <w:tab w:val="clear" w:pos="567"/>
          <w:tab w:val="left" w:pos="1620"/>
        </w:tabs>
        <w:spacing w:line="240" w:lineRule="auto"/>
        <w:rPr>
          <w:szCs w:val="22"/>
          <w:lang w:val="lt-LT"/>
        </w:rPr>
      </w:pPr>
    </w:p>
    <w:p w14:paraId="565BA9CA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DC7C28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58D875F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8F0AF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A3D20A" w14:textId="77777777" w:rsidR="000C5E69" w:rsidRPr="00DC7C28" w:rsidRDefault="000C5E69" w:rsidP="000C5E69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6.</w:t>
      </w:r>
      <w:r w:rsidRPr="00DC7C28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DC7C28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2BD814F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16659A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 xml:space="preserve">Mintilat sudėtis </w:t>
      </w:r>
    </w:p>
    <w:p w14:paraId="65449DBC" w14:textId="77777777" w:rsidR="000C5E69" w:rsidRPr="00DC7C28" w:rsidRDefault="000C5E69" w:rsidP="000C5E69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Veiklioji medžiaga yra metilsalicilatas. Kiekviename grame tepalo yra 61,1 mg </w:t>
      </w:r>
      <w:proofErr w:type="spellStart"/>
      <w:r w:rsidRPr="00DC7C28">
        <w:rPr>
          <w:szCs w:val="22"/>
          <w:lang w:val="lt-LT"/>
        </w:rPr>
        <w:t>metilsalicilato</w:t>
      </w:r>
      <w:proofErr w:type="spellEnd"/>
      <w:r w:rsidRPr="00DC7C28">
        <w:rPr>
          <w:szCs w:val="22"/>
          <w:lang w:val="lt-LT"/>
        </w:rPr>
        <w:t>.</w:t>
      </w:r>
    </w:p>
    <w:p w14:paraId="14642F82" w14:textId="77777777" w:rsidR="000C5E69" w:rsidRPr="00DC7C28" w:rsidRDefault="000C5E69" w:rsidP="000C5E69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DC7C28">
        <w:rPr>
          <w:szCs w:val="22"/>
          <w:lang w:val="lt-LT"/>
        </w:rPr>
        <w:t xml:space="preserve">Pagalbinės medžiagos yra minkštasis baltas parafinas, vilnų riebalai, </w:t>
      </w:r>
      <w:proofErr w:type="spellStart"/>
      <w:r w:rsidRPr="00DC7C28">
        <w:rPr>
          <w:szCs w:val="22"/>
          <w:lang w:val="lt-LT"/>
        </w:rPr>
        <w:t>levomentolis</w:t>
      </w:r>
      <w:proofErr w:type="spellEnd"/>
      <w:r w:rsidRPr="00DC7C28">
        <w:rPr>
          <w:szCs w:val="22"/>
          <w:lang w:val="lt-LT"/>
        </w:rPr>
        <w:t xml:space="preserve">, </w:t>
      </w:r>
      <w:proofErr w:type="spellStart"/>
      <w:r w:rsidRPr="00DC7C28">
        <w:rPr>
          <w:szCs w:val="22"/>
          <w:lang w:val="lt-LT"/>
        </w:rPr>
        <w:t>raceminis</w:t>
      </w:r>
      <w:proofErr w:type="spellEnd"/>
      <w:r w:rsidRPr="00DC7C28">
        <w:rPr>
          <w:szCs w:val="22"/>
          <w:lang w:val="lt-LT"/>
        </w:rPr>
        <w:t xml:space="preserve"> kamparas ir terpentino eterinis aliejus.</w:t>
      </w:r>
    </w:p>
    <w:p w14:paraId="627F4B84" w14:textId="77777777" w:rsidR="000C5E69" w:rsidRPr="00DC7C28" w:rsidRDefault="000C5E69" w:rsidP="000C5E69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80F71F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Mintilat išvaizda ir kiekis pakuotėje</w:t>
      </w:r>
    </w:p>
    <w:p w14:paraId="169536E2" w14:textId="26DBEB41" w:rsidR="000C5E69" w:rsidRPr="00DC7C28" w:rsidRDefault="00CD16C5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D5DF5">
        <w:rPr>
          <w:szCs w:val="22"/>
          <w:lang w:val="lt-LT"/>
        </w:rPr>
        <w:t>Šviesiai geltonas, būdingo kvapo homogeniškas tepalas</w:t>
      </w:r>
      <w:r w:rsidRPr="00DC7C28" w:rsidDel="00CD16C5">
        <w:rPr>
          <w:szCs w:val="22"/>
          <w:lang w:val="lt-LT"/>
        </w:rPr>
        <w:t xml:space="preserve"> </w:t>
      </w:r>
      <w:r w:rsidR="000C5E69" w:rsidRPr="00DC7C28">
        <w:rPr>
          <w:szCs w:val="22"/>
          <w:lang w:val="lt-LT"/>
        </w:rPr>
        <w:t xml:space="preserve">tiekiamas aliuminio tūbelėje su vidiniu </w:t>
      </w:r>
      <w:proofErr w:type="spellStart"/>
      <w:r w:rsidR="000C5E69" w:rsidRPr="00DC7C28">
        <w:rPr>
          <w:szCs w:val="22"/>
          <w:lang w:val="lt-LT"/>
        </w:rPr>
        <w:t>epoksifenolio</w:t>
      </w:r>
      <w:proofErr w:type="spellEnd"/>
      <w:r w:rsidR="000C5E69" w:rsidRPr="00DC7C28">
        <w:rPr>
          <w:szCs w:val="22"/>
          <w:lang w:val="lt-LT"/>
        </w:rPr>
        <w:t xml:space="preserve"> lako sluoksniu ir baltu </w:t>
      </w:r>
      <w:proofErr w:type="spellStart"/>
      <w:r w:rsidR="000C5E69" w:rsidRPr="00DC7C28">
        <w:rPr>
          <w:szCs w:val="22"/>
          <w:lang w:val="lt-LT"/>
        </w:rPr>
        <w:t>pigmentuotu</w:t>
      </w:r>
      <w:proofErr w:type="spellEnd"/>
      <w:r w:rsidR="000C5E69" w:rsidRPr="00DC7C28">
        <w:rPr>
          <w:szCs w:val="22"/>
          <w:lang w:val="lt-LT"/>
        </w:rPr>
        <w:t xml:space="preserve"> didelio tankio polietileno ar polipropileno dangteliu. Tūbelės dangtelyje yra lateksinė sandarinimo tarpinė.</w:t>
      </w:r>
    </w:p>
    <w:p w14:paraId="75672EAD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7C28">
        <w:rPr>
          <w:szCs w:val="22"/>
          <w:lang w:val="lt-LT"/>
        </w:rPr>
        <w:t>Pakuotėje yra 20 g arba 50 g tepalo.</w:t>
      </w:r>
    </w:p>
    <w:p w14:paraId="127693FE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C7C28">
        <w:rPr>
          <w:szCs w:val="22"/>
          <w:lang w:val="lt-LT"/>
        </w:rPr>
        <w:t>Gali būti tiekiamos ne visų dydžių pakuotės.</w:t>
      </w:r>
    </w:p>
    <w:p w14:paraId="6A183589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CAC6CD" w14:textId="77777777" w:rsidR="000C5E69" w:rsidRPr="00DC7C28" w:rsidRDefault="000C5E69" w:rsidP="000C5E69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DC7C28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27396DE2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C5E69" w:rsidRPr="00DC7C28" w14:paraId="3201B8B1" w14:textId="77777777" w:rsidTr="005B74FC">
        <w:tc>
          <w:tcPr>
            <w:tcW w:w="5094" w:type="dxa"/>
            <w:shd w:val="clear" w:color="auto" w:fill="auto"/>
          </w:tcPr>
          <w:p w14:paraId="61392E8C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/>
                <w:szCs w:val="22"/>
                <w:lang w:val="lt-LT"/>
              </w:rPr>
            </w:pPr>
            <w:r w:rsidRPr="00DC7C28">
              <w:rPr>
                <w:i/>
                <w:szCs w:val="22"/>
                <w:lang w:val="lt-LT"/>
              </w:rPr>
              <w:t>Registruotojas</w:t>
            </w:r>
          </w:p>
          <w:p w14:paraId="69BB9A95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r w:rsidRPr="00DC7C28">
              <w:rPr>
                <w:szCs w:val="22"/>
                <w:lang w:val="lt-LT"/>
              </w:rPr>
              <w:t>SIA Ingen Pharma</w:t>
            </w:r>
          </w:p>
          <w:p w14:paraId="5D262B48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r w:rsidRPr="00DC7C28">
              <w:rPr>
                <w:szCs w:val="22"/>
                <w:lang w:val="lt-LT"/>
              </w:rPr>
              <w:t xml:space="preserve">K. </w:t>
            </w:r>
            <w:proofErr w:type="spellStart"/>
            <w:r w:rsidRPr="00DC7C28">
              <w:rPr>
                <w:szCs w:val="22"/>
                <w:lang w:val="lt-LT"/>
              </w:rPr>
              <w:t>Ulmaņa</w:t>
            </w:r>
            <w:proofErr w:type="spellEnd"/>
            <w:r w:rsidRPr="00DC7C28">
              <w:rPr>
                <w:szCs w:val="22"/>
                <w:lang w:val="lt-LT"/>
              </w:rPr>
              <w:t xml:space="preserve"> gatve 119</w:t>
            </w:r>
          </w:p>
          <w:p w14:paraId="1C574B3D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r w:rsidRPr="00DC7C28">
              <w:rPr>
                <w:szCs w:val="22"/>
                <w:lang w:val="lt-LT"/>
              </w:rPr>
              <w:t xml:space="preserve">LV-2167 </w:t>
            </w:r>
            <w:proofErr w:type="spellStart"/>
            <w:r w:rsidRPr="00DC7C28">
              <w:rPr>
                <w:szCs w:val="22"/>
                <w:lang w:val="lt-LT"/>
              </w:rPr>
              <w:t>Mārupe</w:t>
            </w:r>
            <w:proofErr w:type="spellEnd"/>
            <w:r w:rsidRPr="00DC7C28">
              <w:rPr>
                <w:szCs w:val="22"/>
                <w:lang w:val="lt-LT"/>
              </w:rPr>
              <w:t xml:space="preserve">, </w:t>
            </w:r>
            <w:proofErr w:type="spellStart"/>
            <w:r w:rsidRPr="00DC7C28">
              <w:rPr>
                <w:szCs w:val="22"/>
                <w:lang w:val="lt-LT"/>
              </w:rPr>
              <w:t>Rīga</w:t>
            </w:r>
            <w:proofErr w:type="spellEnd"/>
          </w:p>
          <w:p w14:paraId="5BEE3415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/>
                <w:szCs w:val="22"/>
                <w:lang w:val="lt-LT"/>
              </w:rPr>
            </w:pPr>
            <w:r w:rsidRPr="00DC7C28">
              <w:rPr>
                <w:szCs w:val="22"/>
                <w:lang w:val="lt-LT"/>
              </w:rPr>
              <w:t>Latvija</w:t>
            </w:r>
          </w:p>
        </w:tc>
        <w:tc>
          <w:tcPr>
            <w:tcW w:w="5094" w:type="dxa"/>
            <w:shd w:val="clear" w:color="auto" w:fill="auto"/>
          </w:tcPr>
          <w:p w14:paraId="5C50EA0F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/>
                <w:szCs w:val="22"/>
                <w:lang w:val="lt-LT"/>
              </w:rPr>
            </w:pPr>
            <w:r w:rsidRPr="00DC7C28">
              <w:rPr>
                <w:i/>
                <w:szCs w:val="22"/>
                <w:lang w:val="lt-LT"/>
              </w:rPr>
              <w:t>Gamintojas</w:t>
            </w:r>
          </w:p>
          <w:p w14:paraId="273038E3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proofErr w:type="spellStart"/>
            <w:r w:rsidRPr="00DC7C28">
              <w:rPr>
                <w:szCs w:val="22"/>
                <w:lang w:val="lt-LT"/>
              </w:rPr>
              <w:t>Laboratórios</w:t>
            </w:r>
            <w:proofErr w:type="spellEnd"/>
            <w:r w:rsidRPr="00DC7C28">
              <w:rPr>
                <w:szCs w:val="22"/>
                <w:lang w:val="lt-LT"/>
              </w:rPr>
              <w:t xml:space="preserve"> Basi - </w:t>
            </w:r>
            <w:proofErr w:type="spellStart"/>
            <w:r w:rsidRPr="00DC7C28">
              <w:rPr>
                <w:szCs w:val="22"/>
                <w:lang w:val="lt-LT"/>
              </w:rPr>
              <w:t>Indústria</w:t>
            </w:r>
            <w:proofErr w:type="spellEnd"/>
            <w:r w:rsidRPr="00DC7C28">
              <w:rPr>
                <w:szCs w:val="22"/>
                <w:lang w:val="lt-LT"/>
              </w:rPr>
              <w:t xml:space="preserve"> </w:t>
            </w:r>
            <w:proofErr w:type="spellStart"/>
            <w:r w:rsidRPr="00DC7C28">
              <w:rPr>
                <w:szCs w:val="22"/>
                <w:lang w:val="lt-LT"/>
              </w:rPr>
              <w:t>Farmacêutica</w:t>
            </w:r>
            <w:proofErr w:type="spellEnd"/>
            <w:r w:rsidRPr="00DC7C28">
              <w:rPr>
                <w:szCs w:val="22"/>
                <w:lang w:val="lt-LT"/>
              </w:rPr>
              <w:t>, S.A.</w:t>
            </w:r>
          </w:p>
          <w:p w14:paraId="0003247A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proofErr w:type="spellStart"/>
            <w:r w:rsidRPr="00DC7C28">
              <w:rPr>
                <w:szCs w:val="22"/>
                <w:lang w:val="lt-LT"/>
              </w:rPr>
              <w:t>Parque</w:t>
            </w:r>
            <w:proofErr w:type="spellEnd"/>
            <w:r w:rsidRPr="00DC7C28">
              <w:rPr>
                <w:szCs w:val="22"/>
                <w:lang w:val="lt-LT"/>
              </w:rPr>
              <w:t xml:space="preserve"> </w:t>
            </w:r>
            <w:proofErr w:type="spellStart"/>
            <w:r w:rsidRPr="00DC7C28">
              <w:rPr>
                <w:szCs w:val="22"/>
                <w:lang w:val="lt-LT"/>
              </w:rPr>
              <w:t>Industrial</w:t>
            </w:r>
            <w:proofErr w:type="spellEnd"/>
            <w:r w:rsidRPr="00DC7C28">
              <w:rPr>
                <w:szCs w:val="22"/>
                <w:lang w:val="lt-LT"/>
              </w:rPr>
              <w:t xml:space="preserve"> Manuel </w:t>
            </w:r>
            <w:proofErr w:type="spellStart"/>
            <w:r w:rsidRPr="00DC7C28">
              <w:rPr>
                <w:szCs w:val="22"/>
                <w:lang w:val="lt-LT"/>
              </w:rPr>
              <w:t>Lourenço</w:t>
            </w:r>
            <w:proofErr w:type="spellEnd"/>
            <w:r w:rsidRPr="00DC7C28">
              <w:rPr>
                <w:szCs w:val="22"/>
                <w:lang w:val="lt-LT"/>
              </w:rPr>
              <w:t xml:space="preserve"> </w:t>
            </w:r>
            <w:proofErr w:type="spellStart"/>
            <w:r w:rsidRPr="00DC7C28">
              <w:rPr>
                <w:szCs w:val="22"/>
                <w:lang w:val="lt-LT"/>
              </w:rPr>
              <w:t>Ferreira</w:t>
            </w:r>
            <w:proofErr w:type="spellEnd"/>
          </w:p>
          <w:p w14:paraId="139AFECA" w14:textId="21CAF2DF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lt-LT"/>
              </w:rPr>
            </w:pPr>
            <w:proofErr w:type="spellStart"/>
            <w:r w:rsidRPr="00DC7C28">
              <w:rPr>
                <w:szCs w:val="22"/>
                <w:lang w:val="lt-LT"/>
              </w:rPr>
              <w:t>Lotes</w:t>
            </w:r>
            <w:proofErr w:type="spellEnd"/>
            <w:r w:rsidR="00272856">
              <w:rPr>
                <w:szCs w:val="22"/>
                <w:lang w:val="lt-LT"/>
              </w:rPr>
              <w:t xml:space="preserve"> 8,</w:t>
            </w:r>
            <w:r w:rsidRPr="00DC7C28">
              <w:rPr>
                <w:szCs w:val="22"/>
                <w:lang w:val="lt-LT"/>
              </w:rPr>
              <w:t xml:space="preserve"> 15 e 16 3450-232 </w:t>
            </w:r>
            <w:proofErr w:type="spellStart"/>
            <w:r w:rsidRPr="00DC7C28">
              <w:rPr>
                <w:szCs w:val="22"/>
                <w:lang w:val="lt-LT"/>
              </w:rPr>
              <w:t>Mortágua</w:t>
            </w:r>
            <w:proofErr w:type="spellEnd"/>
          </w:p>
          <w:p w14:paraId="3C2D5424" w14:textId="77777777" w:rsidR="000C5E69" w:rsidRPr="00DC7C28" w:rsidRDefault="000C5E69" w:rsidP="005B74F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i/>
                <w:szCs w:val="22"/>
                <w:lang w:val="lt-LT"/>
              </w:rPr>
            </w:pPr>
            <w:r w:rsidRPr="00DC7C28">
              <w:rPr>
                <w:szCs w:val="22"/>
                <w:lang w:val="lt-LT"/>
              </w:rPr>
              <w:t>Portugalija</w:t>
            </w:r>
          </w:p>
        </w:tc>
      </w:tr>
    </w:tbl>
    <w:p w14:paraId="071724BD" w14:textId="77777777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1DE9103F" w14:textId="27187DB6" w:rsidR="000C5E69" w:rsidRPr="00DC7C28" w:rsidRDefault="000C5E69" w:rsidP="000C5E6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C7C28">
        <w:rPr>
          <w:b/>
          <w:szCs w:val="22"/>
          <w:lang w:val="lt-LT"/>
        </w:rPr>
        <w:t>Šis pakuotės lapelis paskutinį kartą peržiūrėtas</w:t>
      </w:r>
      <w:r w:rsidR="00E90BF0">
        <w:rPr>
          <w:b/>
          <w:szCs w:val="22"/>
          <w:lang w:val="lt-LT"/>
        </w:rPr>
        <w:t xml:space="preserve"> 2021-06-17</w:t>
      </w:r>
      <w:r w:rsidR="00C9198D">
        <w:rPr>
          <w:b/>
          <w:szCs w:val="22"/>
          <w:lang w:val="lt-LT"/>
        </w:rPr>
        <w:t>.</w:t>
      </w:r>
    </w:p>
    <w:p w14:paraId="11211376" w14:textId="77777777" w:rsidR="000C5E69" w:rsidRPr="00DC7C28" w:rsidRDefault="000C5E69" w:rsidP="000C5E6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3CF44FCA" w14:textId="1C659F70" w:rsidR="000C5E69" w:rsidRPr="00A86803" w:rsidRDefault="000C5E69" w:rsidP="000C5E69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C7C28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C7C28">
        <w:rPr>
          <w:i/>
          <w:szCs w:val="22"/>
          <w:lang w:val="lt-LT"/>
        </w:rPr>
        <w:t xml:space="preserve"> </w:t>
      </w:r>
      <w:hyperlink r:id="rId11" w:history="1">
        <w:r w:rsidRPr="00A86803">
          <w:rPr>
            <w:rStyle w:val="Hyperlink"/>
            <w:rFonts w:eastAsia="SimSun"/>
            <w:szCs w:val="22"/>
            <w:lang w:val="lt-LT"/>
          </w:rPr>
          <w:t>http://www.vvkt.lt/</w:t>
        </w:r>
      </w:hyperlink>
      <w:r w:rsidRPr="00A86803">
        <w:rPr>
          <w:szCs w:val="22"/>
          <w:lang w:val="lt-LT"/>
        </w:rPr>
        <w:t>.</w:t>
      </w:r>
    </w:p>
    <w:p w14:paraId="43F43B82" w14:textId="77777777" w:rsidR="006D75EB" w:rsidRPr="00FE508E" w:rsidRDefault="006D75EB">
      <w:pPr>
        <w:rPr>
          <w:lang w:val="lt-LT"/>
        </w:rPr>
      </w:pPr>
    </w:p>
    <w:sectPr w:rsidR="006D75EB" w:rsidRPr="00FE508E" w:rsidSect="005B74F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BA7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0203"/>
    <w:multiLevelType w:val="hybridMultilevel"/>
    <w:tmpl w:val="B20A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0222"/>
    <w:multiLevelType w:val="hybridMultilevel"/>
    <w:tmpl w:val="216C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22DA"/>
    <w:multiLevelType w:val="hybridMultilevel"/>
    <w:tmpl w:val="72A2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E44E5"/>
    <w:multiLevelType w:val="hybridMultilevel"/>
    <w:tmpl w:val="2C18E538"/>
    <w:lvl w:ilvl="0" w:tplc="010C7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164D7"/>
    <w:multiLevelType w:val="hybridMultilevel"/>
    <w:tmpl w:val="02CC8ADE"/>
    <w:lvl w:ilvl="0" w:tplc="158E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575C1"/>
    <w:multiLevelType w:val="hybridMultilevel"/>
    <w:tmpl w:val="75ACC5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69"/>
    <w:rsid w:val="000A3663"/>
    <w:rsid w:val="000C5E69"/>
    <w:rsid w:val="000C61F7"/>
    <w:rsid w:val="000C7C1B"/>
    <w:rsid w:val="000F7B4E"/>
    <w:rsid w:val="00113E28"/>
    <w:rsid w:val="001156E0"/>
    <w:rsid w:val="002003AA"/>
    <w:rsid w:val="00220E87"/>
    <w:rsid w:val="00272856"/>
    <w:rsid w:val="002F2ED3"/>
    <w:rsid w:val="0031382A"/>
    <w:rsid w:val="00322177"/>
    <w:rsid w:val="003F353C"/>
    <w:rsid w:val="005B74FC"/>
    <w:rsid w:val="005F35C8"/>
    <w:rsid w:val="005F4270"/>
    <w:rsid w:val="0063211A"/>
    <w:rsid w:val="0068608C"/>
    <w:rsid w:val="006C3465"/>
    <w:rsid w:val="006D75EB"/>
    <w:rsid w:val="0070145D"/>
    <w:rsid w:val="007328BD"/>
    <w:rsid w:val="00860358"/>
    <w:rsid w:val="00962CAC"/>
    <w:rsid w:val="00991005"/>
    <w:rsid w:val="00992484"/>
    <w:rsid w:val="009D5A36"/>
    <w:rsid w:val="00A27250"/>
    <w:rsid w:val="00A37B88"/>
    <w:rsid w:val="00A67EAD"/>
    <w:rsid w:val="00AB0F06"/>
    <w:rsid w:val="00AF797D"/>
    <w:rsid w:val="00C9198D"/>
    <w:rsid w:val="00CC5261"/>
    <w:rsid w:val="00CD16C5"/>
    <w:rsid w:val="00D36F72"/>
    <w:rsid w:val="00D7295B"/>
    <w:rsid w:val="00DA0FFA"/>
    <w:rsid w:val="00E643FD"/>
    <w:rsid w:val="00E81EBF"/>
    <w:rsid w:val="00E90BF0"/>
    <w:rsid w:val="00F56800"/>
    <w:rsid w:val="00FA03D6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3CE5"/>
  <w15:chartTrackingRefBased/>
  <w15:docId w15:val="{164AFC71-971D-4BD7-BB22-5FBAE7E7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E6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5E69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5E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5E6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5E69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5E69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5E69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5E69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5E69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0C5E69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C5E69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C5E6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0C5E69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0C5E69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9"/>
    <w:rsid w:val="000C5E69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0C5E69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0C5E69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0C5E69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0C5E69"/>
    <w:rPr>
      <w:rFonts w:ascii="Times New Roman" w:eastAsia="SimSun" w:hAnsi="Times New Roman" w:cs="Times New Roman"/>
      <w:b/>
      <w:i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C5E69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C5E69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0C5E69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0C5E69"/>
    <w:rPr>
      <w:rFonts w:cs="Times New Roman"/>
    </w:rPr>
  </w:style>
  <w:style w:type="character" w:styleId="Hyperlink">
    <w:name w:val="Hyperlink"/>
    <w:uiPriority w:val="99"/>
    <w:rsid w:val="000C5E69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0C5E69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0C5E69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0C5E69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0C5E6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C5E69"/>
    <w:rPr>
      <w:color w:val="0000FF"/>
    </w:rPr>
  </w:style>
  <w:style w:type="character" w:customStyle="1" w:styleId="tw4winPopup">
    <w:name w:val="tw4winPopup"/>
    <w:uiPriority w:val="99"/>
    <w:rsid w:val="000C5E6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C5E6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C5E6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C5E6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C5E6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0C5E69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E69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0C5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E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5E6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C5E69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EMEAEnBodyText">
    <w:name w:val="EMEA En Body Text"/>
    <w:basedOn w:val="Normal"/>
    <w:uiPriority w:val="99"/>
    <w:rsid w:val="000C5E69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0C5E69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uiPriority w:val="99"/>
    <w:rsid w:val="000C5E69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0C5E69"/>
    <w:rPr>
      <w:rFonts w:ascii="Times New Roman" w:eastAsia="SimSun" w:hAnsi="Times New Roman" w:cs="Times New Roman"/>
      <w:szCs w:val="20"/>
      <w:lang w:val="en-GB" w:eastAsia="zh-CN"/>
    </w:rPr>
  </w:style>
  <w:style w:type="paragraph" w:styleId="DocumentMap">
    <w:name w:val="Document Map"/>
    <w:basedOn w:val="Normal"/>
    <w:link w:val="DocumentMapChar"/>
    <w:uiPriority w:val="99"/>
    <w:rsid w:val="000C5E69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C5E69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0C5E6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C5E69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0C5E6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C5E69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0C5E6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C5E69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BodyText">
    <w:name w:val="Body Text"/>
    <w:basedOn w:val="Normal"/>
    <w:link w:val="BodyTextChar"/>
    <w:uiPriority w:val="99"/>
    <w:rsid w:val="000C5E69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rsid w:val="000C5E69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0C5E6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C5E69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Normal"/>
    <w:uiPriority w:val="99"/>
    <w:rsid w:val="000C5E69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0C5E69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0C5E69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0C5E69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0C5E69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0C5E6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5E69"/>
    <w:rPr>
      <w:rFonts w:ascii="Times New Roman" w:eastAsia="SimSun" w:hAnsi="Times New Roman" w:cs="Times New Roman"/>
      <w:szCs w:val="21"/>
      <w:lang w:val="en-GB"/>
    </w:rPr>
  </w:style>
  <w:style w:type="character" w:styleId="FollowedHyperlink">
    <w:name w:val="FollowedHyperlink"/>
    <w:uiPriority w:val="99"/>
    <w:rsid w:val="000C5E69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0C5E69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0C5E69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0C5E69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0C5E69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0C5E69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lainText">
    <w:name w:val="Plain Text"/>
    <w:basedOn w:val="Normal"/>
    <w:link w:val="PlainTextChar"/>
    <w:uiPriority w:val="99"/>
    <w:rsid w:val="000C5E69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5E69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0C5E6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uiPriority w:val="99"/>
    <w:qFormat/>
    <w:rsid w:val="000C5E69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basedOn w:val="DefaultParagraphFont"/>
    <w:link w:val="Title"/>
    <w:uiPriority w:val="99"/>
    <w:rsid w:val="000C5E69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rsid w:val="000C5E69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5E69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0C5E69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0C5E69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0C5E69"/>
    <w:rPr>
      <w:snapToGrid w:val="0"/>
      <w:lang w:val="en-GB" w:eastAsia="en-US" w:bidi="ar-SA"/>
    </w:rPr>
  </w:style>
  <w:style w:type="table" w:styleId="TableGrid">
    <w:name w:val="Table Grid"/>
    <w:basedOn w:val="TableNormal"/>
    <w:uiPriority w:val="59"/>
    <w:rsid w:val="000C5E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484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vkt.l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FC284-CF18-49B5-9F08-67D273971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75EBA-1414-4794-B972-1EF1A21D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5CFCB-88A4-41B2-9207-77D31A6657C5}">
  <ds:schemaRefs>
    <ds:schemaRef ds:uri="http://schemas.microsoft.com/office/infopath/2007/PartnerControls"/>
    <ds:schemaRef ds:uri="http://www.w3.org/XML/1998/namespace"/>
    <ds:schemaRef ds:uri="4d7806da-b044-477b-9760-524c3e86dd23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5358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 Augūnaitė</dc:creator>
  <cp:keywords/>
  <dc:description/>
  <cp:lastModifiedBy>Birutė Valkauskaitė</cp:lastModifiedBy>
  <cp:revision>2</cp:revision>
  <cp:lastPrinted>2021-04-19T11:57:00Z</cp:lastPrinted>
  <dcterms:created xsi:type="dcterms:W3CDTF">2021-12-09T09:18:00Z</dcterms:created>
  <dcterms:modified xsi:type="dcterms:W3CDTF">2021-12-09T09:18:00Z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