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526" w:rsidRDefault="00FF2526" w:rsidP="00FF2526">
      <w:pPr>
        <w:jc w:val="center"/>
        <w:outlineLvl w:val="0"/>
        <w:rPr>
          <w:b/>
          <w:bCs/>
          <w:i/>
          <w:iCs/>
          <w:szCs w:val="22"/>
          <w:lang w:val="lt-LT"/>
        </w:rPr>
      </w:pPr>
      <w:r>
        <w:rPr>
          <w:b/>
          <w:szCs w:val="22"/>
          <w:lang w:val="lt-LT"/>
        </w:rPr>
        <w:t>Pakuotės lapelis: informacija pacientui</w:t>
      </w:r>
    </w:p>
    <w:p w:rsidR="00FF2526" w:rsidRDefault="00FF2526" w:rsidP="00FF2526">
      <w:pPr>
        <w:numPr>
          <w:ilvl w:val="12"/>
          <w:numId w:val="0"/>
        </w:numPr>
        <w:shd w:val="clear" w:color="auto" w:fill="FFFFFF"/>
        <w:tabs>
          <w:tab w:val="clear" w:pos="567"/>
        </w:tabs>
        <w:spacing w:line="240" w:lineRule="auto"/>
        <w:jc w:val="center"/>
        <w:rPr>
          <w:szCs w:val="22"/>
          <w:lang w:val="lt-LT"/>
        </w:rPr>
      </w:pPr>
    </w:p>
    <w:p w:rsidR="00FF2526" w:rsidRDefault="00FF2526" w:rsidP="00FF2526">
      <w:pPr>
        <w:numPr>
          <w:ilvl w:val="12"/>
          <w:numId w:val="0"/>
        </w:numPr>
        <w:tabs>
          <w:tab w:val="clear" w:pos="567"/>
        </w:tabs>
        <w:spacing w:line="240" w:lineRule="auto"/>
        <w:jc w:val="center"/>
        <w:rPr>
          <w:b/>
          <w:noProof/>
          <w:szCs w:val="22"/>
          <w:lang w:val="lt-LT"/>
        </w:rPr>
      </w:pPr>
      <w:r>
        <w:rPr>
          <w:b/>
          <w:noProof/>
          <w:szCs w:val="22"/>
          <w:lang w:val="lt-LT"/>
        </w:rPr>
        <w:t xml:space="preserve">Trebexen 100 mg/g gelis </w:t>
      </w:r>
    </w:p>
    <w:p w:rsidR="00FF2526" w:rsidRDefault="00FF2526" w:rsidP="00FF2526">
      <w:pPr>
        <w:numPr>
          <w:ilvl w:val="12"/>
          <w:numId w:val="0"/>
        </w:numPr>
        <w:tabs>
          <w:tab w:val="clear" w:pos="567"/>
        </w:tabs>
        <w:spacing w:line="240" w:lineRule="auto"/>
        <w:jc w:val="center"/>
        <w:rPr>
          <w:szCs w:val="22"/>
          <w:lang w:val="lt-LT"/>
        </w:rPr>
      </w:pPr>
      <w:r>
        <w:rPr>
          <w:noProof/>
          <w:szCs w:val="22"/>
          <w:lang w:val="lt-LT"/>
        </w:rPr>
        <w:t>naproksenas</w:t>
      </w:r>
    </w:p>
    <w:p w:rsidR="00FF2526" w:rsidRDefault="00FF2526" w:rsidP="00FF2526">
      <w:pPr>
        <w:tabs>
          <w:tab w:val="clear" w:pos="567"/>
        </w:tabs>
        <w:spacing w:line="240" w:lineRule="auto"/>
        <w:ind w:right="-2"/>
        <w:rPr>
          <w:szCs w:val="22"/>
          <w:lang w:val="lt-LT"/>
        </w:rPr>
      </w:pPr>
    </w:p>
    <w:p w:rsidR="00FF2526" w:rsidRDefault="00FF2526" w:rsidP="00FF2526">
      <w:pPr>
        <w:numPr>
          <w:ilvl w:val="12"/>
          <w:numId w:val="0"/>
        </w:numPr>
        <w:tabs>
          <w:tab w:val="clear" w:pos="567"/>
        </w:tabs>
        <w:spacing w:line="240" w:lineRule="auto"/>
        <w:ind w:right="-2"/>
        <w:rPr>
          <w:b/>
          <w:szCs w:val="22"/>
          <w:lang w:val="lt-LT"/>
        </w:rPr>
      </w:pPr>
      <w:r>
        <w:rPr>
          <w:b/>
          <w:noProof/>
          <w:szCs w:val="22"/>
          <w:lang w:val="lt-LT"/>
        </w:rPr>
        <w:t>Atidžiai perskaitykite visą šį lapelį, prieš pradėdami vartoti šį vaistą, nes jame pateikiama Jums svarbi informacija.</w:t>
      </w:r>
    </w:p>
    <w:p w:rsidR="00FF2526" w:rsidRDefault="00FF2526" w:rsidP="00FF2526">
      <w:pPr>
        <w:numPr>
          <w:ilvl w:val="12"/>
          <w:numId w:val="0"/>
        </w:numPr>
        <w:tabs>
          <w:tab w:val="clear" w:pos="567"/>
        </w:tabs>
        <w:spacing w:line="240" w:lineRule="auto"/>
        <w:rPr>
          <w:szCs w:val="22"/>
          <w:lang w:val="lt-LT"/>
        </w:rPr>
      </w:pPr>
      <w:r>
        <w:rPr>
          <w:noProof/>
          <w:szCs w:val="22"/>
          <w:lang w:val="lt-LT"/>
        </w:rPr>
        <w:t>Visada vartokite šį vaistą tiksliai kaip aprašyta šiame lapelyje arba kaip nurodė gydytojas arba vaistininkas.</w:t>
      </w:r>
    </w:p>
    <w:p w:rsidR="00FF2526" w:rsidRDefault="00FF2526" w:rsidP="00FF2526">
      <w:pPr>
        <w:numPr>
          <w:ilvl w:val="0"/>
          <w:numId w:val="1"/>
        </w:numPr>
        <w:spacing w:line="240" w:lineRule="auto"/>
        <w:ind w:left="567" w:hanging="567"/>
        <w:rPr>
          <w:szCs w:val="22"/>
          <w:lang w:val="lt-LT"/>
        </w:rPr>
      </w:pPr>
      <w:r>
        <w:rPr>
          <w:noProof/>
          <w:szCs w:val="22"/>
          <w:lang w:val="lt-LT"/>
        </w:rPr>
        <w:t>Neišmeskite šio lapelio, nes vėl gali prireikti jį perskaityti.</w:t>
      </w:r>
      <w:r>
        <w:rPr>
          <w:szCs w:val="22"/>
          <w:lang w:val="lt-LT"/>
        </w:rPr>
        <w:t xml:space="preserve"> </w:t>
      </w:r>
    </w:p>
    <w:p w:rsidR="00FF2526" w:rsidRDefault="00FF2526" w:rsidP="00FF2526">
      <w:pPr>
        <w:numPr>
          <w:ilvl w:val="0"/>
          <w:numId w:val="1"/>
        </w:numPr>
        <w:spacing w:line="240" w:lineRule="auto"/>
        <w:ind w:left="567" w:hanging="567"/>
        <w:rPr>
          <w:szCs w:val="22"/>
          <w:lang w:val="lt-LT"/>
        </w:rPr>
      </w:pPr>
      <w:r>
        <w:rPr>
          <w:noProof/>
          <w:szCs w:val="22"/>
          <w:lang w:val="lt-LT"/>
        </w:rPr>
        <w:t>Jeigu norite sužinoti daugiau arba pasitarti, kreipkitės į vaistininką.</w:t>
      </w:r>
    </w:p>
    <w:p w:rsidR="00FF2526" w:rsidRDefault="00FF2526" w:rsidP="00FF2526">
      <w:pPr>
        <w:numPr>
          <w:ilvl w:val="0"/>
          <w:numId w:val="1"/>
        </w:numPr>
        <w:spacing w:line="240" w:lineRule="auto"/>
        <w:ind w:left="567" w:hanging="567"/>
        <w:rPr>
          <w:szCs w:val="22"/>
          <w:lang w:val="lt-LT"/>
        </w:rPr>
      </w:pPr>
      <w:r>
        <w:rPr>
          <w:noProof/>
          <w:szCs w:val="22"/>
          <w:lang w:val="lt-LT"/>
        </w:rPr>
        <w:t>Jeigu pasireiškė šalutinis poveikis (net jeigu jis šiame lapelyje nenurodytas), kreipkitės į gydytoją arba vaistininką. Žr. 4 skyrių.</w:t>
      </w:r>
    </w:p>
    <w:p w:rsidR="00FF2526" w:rsidRDefault="00FF2526" w:rsidP="00FF2526">
      <w:pPr>
        <w:numPr>
          <w:ilvl w:val="0"/>
          <w:numId w:val="1"/>
        </w:numPr>
        <w:spacing w:line="240" w:lineRule="auto"/>
        <w:ind w:left="567" w:hanging="567"/>
        <w:rPr>
          <w:szCs w:val="22"/>
          <w:lang w:val="lt-LT"/>
        </w:rPr>
      </w:pPr>
      <w:r>
        <w:rPr>
          <w:noProof/>
          <w:szCs w:val="22"/>
          <w:lang w:val="lt-LT"/>
        </w:rPr>
        <w:t>Jeigu per 7 dienas Jūsų savijauta nepagerėjo arba net pablogėjo, kreipkitės į gydytoją.</w:t>
      </w:r>
    </w:p>
    <w:p w:rsidR="00FF2526" w:rsidRDefault="00FF2526" w:rsidP="00FF2526">
      <w:pPr>
        <w:tabs>
          <w:tab w:val="clear" w:pos="567"/>
        </w:tabs>
        <w:spacing w:line="240" w:lineRule="auto"/>
        <w:ind w:right="-2"/>
        <w:rPr>
          <w:szCs w:val="22"/>
          <w:lang w:val="lt-LT"/>
        </w:rPr>
      </w:pPr>
    </w:p>
    <w:p w:rsidR="00FF2526" w:rsidRDefault="00FF2526" w:rsidP="00FF2526">
      <w:pPr>
        <w:pStyle w:val="Antrat4"/>
        <w:rPr>
          <w:rFonts w:ascii="Times New Roman" w:hAnsi="Times New Roman"/>
          <w:sz w:val="22"/>
          <w:szCs w:val="22"/>
          <w:lang w:val="lt-LT"/>
        </w:rPr>
      </w:pPr>
      <w:r>
        <w:rPr>
          <w:rFonts w:ascii="Times New Roman" w:hAnsi="Times New Roman"/>
          <w:sz w:val="22"/>
          <w:szCs w:val="22"/>
          <w:lang w:val="lt-LT"/>
        </w:rPr>
        <w:t>Apie ką rašoma šiame lapelyje?</w:t>
      </w:r>
    </w:p>
    <w:p w:rsidR="00FF2526" w:rsidRDefault="00FF2526" w:rsidP="00FF2526">
      <w:pPr>
        <w:numPr>
          <w:ilvl w:val="12"/>
          <w:numId w:val="0"/>
        </w:numPr>
        <w:tabs>
          <w:tab w:val="clear" w:pos="567"/>
        </w:tabs>
        <w:spacing w:line="240" w:lineRule="auto"/>
        <w:ind w:left="284" w:right="-2"/>
        <w:rPr>
          <w:szCs w:val="22"/>
          <w:lang w:val="lt-LT"/>
        </w:rPr>
      </w:pPr>
    </w:p>
    <w:p w:rsidR="00FF2526" w:rsidRDefault="00FF2526" w:rsidP="00FF2526">
      <w:pPr>
        <w:numPr>
          <w:ilvl w:val="12"/>
          <w:numId w:val="0"/>
        </w:numPr>
        <w:tabs>
          <w:tab w:val="clear" w:pos="567"/>
        </w:tabs>
        <w:spacing w:line="240" w:lineRule="auto"/>
        <w:ind w:left="284" w:right="-2"/>
        <w:rPr>
          <w:szCs w:val="22"/>
          <w:lang w:val="lt-LT"/>
        </w:rPr>
      </w:pPr>
      <w:r>
        <w:rPr>
          <w:szCs w:val="22"/>
          <w:lang w:val="lt-LT"/>
        </w:rPr>
        <w:t>1.</w:t>
      </w:r>
      <w:r>
        <w:rPr>
          <w:szCs w:val="22"/>
          <w:lang w:val="lt-LT"/>
        </w:rPr>
        <w:tab/>
        <w:t xml:space="preserve">Kas yra Trebexen ir kam jis vartojamas </w:t>
      </w:r>
    </w:p>
    <w:p w:rsidR="00FF2526" w:rsidRDefault="00FF2526" w:rsidP="00FF2526">
      <w:pPr>
        <w:numPr>
          <w:ilvl w:val="12"/>
          <w:numId w:val="0"/>
        </w:numPr>
        <w:tabs>
          <w:tab w:val="clear" w:pos="567"/>
        </w:tabs>
        <w:spacing w:line="240" w:lineRule="auto"/>
        <w:ind w:left="284" w:right="-2"/>
        <w:rPr>
          <w:szCs w:val="22"/>
          <w:lang w:val="lt-LT"/>
        </w:rPr>
      </w:pPr>
      <w:r>
        <w:rPr>
          <w:szCs w:val="22"/>
          <w:lang w:val="lt-LT"/>
        </w:rPr>
        <w:t>2.</w:t>
      </w:r>
      <w:r>
        <w:rPr>
          <w:szCs w:val="22"/>
          <w:lang w:val="lt-LT"/>
        </w:rPr>
        <w:tab/>
      </w:r>
      <w:r>
        <w:rPr>
          <w:noProof/>
          <w:szCs w:val="22"/>
          <w:lang w:val="lt-LT"/>
        </w:rPr>
        <w:t xml:space="preserve">Kas žinotina prieš vartojant </w:t>
      </w:r>
      <w:r>
        <w:rPr>
          <w:szCs w:val="22"/>
          <w:lang w:val="lt-LT"/>
        </w:rPr>
        <w:t xml:space="preserve">Trebexen </w:t>
      </w:r>
    </w:p>
    <w:p w:rsidR="00FF2526" w:rsidRDefault="00FF2526" w:rsidP="00FF2526">
      <w:pPr>
        <w:numPr>
          <w:ilvl w:val="12"/>
          <w:numId w:val="0"/>
        </w:numPr>
        <w:tabs>
          <w:tab w:val="clear" w:pos="567"/>
        </w:tabs>
        <w:spacing w:line="240" w:lineRule="auto"/>
        <w:ind w:left="284" w:right="-2"/>
        <w:rPr>
          <w:szCs w:val="22"/>
          <w:lang w:val="lt-LT"/>
        </w:rPr>
      </w:pPr>
      <w:r>
        <w:rPr>
          <w:szCs w:val="22"/>
          <w:lang w:val="lt-LT"/>
        </w:rPr>
        <w:t>3.</w:t>
      </w:r>
      <w:r>
        <w:rPr>
          <w:szCs w:val="22"/>
          <w:lang w:val="lt-LT"/>
        </w:rPr>
        <w:tab/>
      </w:r>
      <w:r>
        <w:rPr>
          <w:noProof/>
          <w:szCs w:val="22"/>
          <w:lang w:val="lt-LT"/>
        </w:rPr>
        <w:t xml:space="preserve">Kaip vartoti </w:t>
      </w:r>
      <w:r>
        <w:rPr>
          <w:szCs w:val="22"/>
          <w:lang w:val="lt-LT"/>
        </w:rPr>
        <w:t xml:space="preserve">Trebexen </w:t>
      </w:r>
    </w:p>
    <w:p w:rsidR="00FF2526" w:rsidRDefault="00FF2526" w:rsidP="00FF2526">
      <w:pPr>
        <w:numPr>
          <w:ilvl w:val="12"/>
          <w:numId w:val="0"/>
        </w:numPr>
        <w:tabs>
          <w:tab w:val="clear" w:pos="567"/>
        </w:tabs>
        <w:spacing w:line="240" w:lineRule="auto"/>
        <w:ind w:left="284" w:right="-2"/>
        <w:rPr>
          <w:szCs w:val="22"/>
          <w:lang w:val="lt-LT"/>
        </w:rPr>
      </w:pPr>
      <w:r>
        <w:rPr>
          <w:szCs w:val="22"/>
          <w:lang w:val="lt-LT"/>
        </w:rPr>
        <w:t>4.</w:t>
      </w:r>
      <w:r>
        <w:rPr>
          <w:szCs w:val="22"/>
          <w:lang w:val="lt-LT"/>
        </w:rPr>
        <w:tab/>
        <w:t xml:space="preserve">Galimas šalutinis poveikis </w:t>
      </w:r>
    </w:p>
    <w:p w:rsidR="00FF2526" w:rsidRDefault="00FF2526" w:rsidP="00FF2526">
      <w:pPr>
        <w:numPr>
          <w:ilvl w:val="12"/>
          <w:numId w:val="0"/>
        </w:numPr>
        <w:tabs>
          <w:tab w:val="clear" w:pos="567"/>
          <w:tab w:val="left" w:pos="709"/>
        </w:tabs>
        <w:spacing w:line="240" w:lineRule="auto"/>
        <w:ind w:left="284" w:right="-2"/>
        <w:rPr>
          <w:szCs w:val="22"/>
          <w:lang w:val="lt-LT"/>
        </w:rPr>
      </w:pPr>
      <w:r>
        <w:rPr>
          <w:szCs w:val="22"/>
          <w:lang w:val="lt-LT"/>
        </w:rPr>
        <w:t>5.</w:t>
      </w:r>
      <w:r>
        <w:rPr>
          <w:szCs w:val="22"/>
          <w:lang w:val="lt-LT"/>
        </w:rPr>
        <w:tab/>
      </w:r>
      <w:r>
        <w:rPr>
          <w:szCs w:val="22"/>
          <w:lang w:val="lt-LT"/>
        </w:rPr>
        <w:tab/>
        <w:t xml:space="preserve">Kaip laikyti Trebexen </w:t>
      </w:r>
    </w:p>
    <w:p w:rsidR="00FF2526" w:rsidRDefault="00FF2526" w:rsidP="00FF2526">
      <w:pPr>
        <w:numPr>
          <w:ilvl w:val="12"/>
          <w:numId w:val="0"/>
        </w:numPr>
        <w:tabs>
          <w:tab w:val="clear" w:pos="567"/>
        </w:tabs>
        <w:spacing w:line="240" w:lineRule="auto"/>
        <w:ind w:left="284" w:right="-2"/>
        <w:rPr>
          <w:szCs w:val="22"/>
          <w:lang w:val="lt-LT"/>
        </w:rPr>
      </w:pPr>
      <w:r>
        <w:rPr>
          <w:szCs w:val="22"/>
          <w:lang w:val="lt-LT"/>
        </w:rPr>
        <w:t>6.</w:t>
      </w:r>
      <w:r>
        <w:rPr>
          <w:szCs w:val="22"/>
          <w:lang w:val="lt-LT"/>
        </w:rPr>
        <w:tab/>
      </w:r>
      <w:r>
        <w:rPr>
          <w:noProof/>
          <w:szCs w:val="22"/>
          <w:lang w:val="lt-LT"/>
        </w:rPr>
        <w:t>Pakuotės turinys ir kita informacija</w:t>
      </w:r>
    </w:p>
    <w:p w:rsidR="00FF2526" w:rsidRDefault="00FF2526" w:rsidP="00FF2526">
      <w:pPr>
        <w:numPr>
          <w:ilvl w:val="12"/>
          <w:numId w:val="0"/>
        </w:numPr>
        <w:tabs>
          <w:tab w:val="clear" w:pos="567"/>
        </w:tabs>
        <w:spacing w:line="240" w:lineRule="auto"/>
        <w:ind w:right="-2"/>
        <w:rPr>
          <w:szCs w:val="22"/>
          <w:lang w:val="lt-LT"/>
        </w:rPr>
      </w:pPr>
    </w:p>
    <w:p w:rsidR="00FF2526" w:rsidRDefault="00FF2526" w:rsidP="00FF2526">
      <w:pPr>
        <w:numPr>
          <w:ilvl w:val="12"/>
          <w:numId w:val="0"/>
        </w:numPr>
        <w:tabs>
          <w:tab w:val="clear" w:pos="567"/>
        </w:tabs>
        <w:spacing w:line="240" w:lineRule="auto"/>
        <w:ind w:right="-2"/>
        <w:rPr>
          <w:szCs w:val="22"/>
          <w:lang w:val="lt-LT"/>
        </w:rPr>
      </w:pPr>
    </w:p>
    <w:p w:rsidR="00FF2526" w:rsidRDefault="00FF2526" w:rsidP="00FF2526">
      <w:pPr>
        <w:pStyle w:val="Antrat4"/>
        <w:rPr>
          <w:rFonts w:ascii="Times New Roman" w:hAnsi="Times New Roman"/>
          <w:sz w:val="22"/>
          <w:szCs w:val="22"/>
          <w:lang w:val="lt-LT"/>
        </w:rPr>
      </w:pPr>
      <w:r>
        <w:rPr>
          <w:rFonts w:ascii="Times New Roman" w:hAnsi="Times New Roman"/>
          <w:sz w:val="22"/>
          <w:szCs w:val="22"/>
          <w:lang w:val="lt-LT"/>
        </w:rPr>
        <w:t>1.</w:t>
      </w:r>
      <w:r>
        <w:rPr>
          <w:rFonts w:ascii="Times New Roman" w:hAnsi="Times New Roman"/>
          <w:sz w:val="22"/>
          <w:szCs w:val="22"/>
          <w:lang w:val="lt-LT"/>
        </w:rPr>
        <w:tab/>
        <w:t>Kas yra Trebexen ir kam jis vartojamas</w:t>
      </w:r>
    </w:p>
    <w:p w:rsidR="00FF2526" w:rsidRDefault="00FF2526" w:rsidP="00FF2526">
      <w:pPr>
        <w:numPr>
          <w:ilvl w:val="12"/>
          <w:numId w:val="0"/>
        </w:numPr>
        <w:tabs>
          <w:tab w:val="clear" w:pos="567"/>
        </w:tabs>
        <w:spacing w:line="240" w:lineRule="auto"/>
        <w:ind w:right="-2"/>
        <w:rPr>
          <w:noProof/>
          <w:szCs w:val="22"/>
          <w:lang w:val="lt-LT"/>
        </w:rPr>
      </w:pPr>
    </w:p>
    <w:p w:rsidR="00FF2526" w:rsidRDefault="00FF2526" w:rsidP="00FF2526">
      <w:pPr>
        <w:spacing w:line="240" w:lineRule="auto"/>
        <w:rPr>
          <w:szCs w:val="22"/>
          <w:lang w:val="lt-LT"/>
        </w:rPr>
      </w:pPr>
      <w:r>
        <w:rPr>
          <w:szCs w:val="22"/>
          <w:lang w:val="lt-LT"/>
        </w:rPr>
        <w:t xml:space="preserve">Trebexen yra gelio formos vaistas. Vaisto sudėtyje yra 100 mg/g veikliosios medžiagos, naprokseno, kuris priskiriamas nesteroidiniams vaistams nuo uždegimo (NVNU). </w:t>
      </w:r>
    </w:p>
    <w:p w:rsidR="00FF2526" w:rsidRDefault="00FF2526" w:rsidP="00FF2526">
      <w:pPr>
        <w:spacing w:line="240" w:lineRule="auto"/>
        <w:rPr>
          <w:szCs w:val="22"/>
          <w:lang w:val="lt-LT"/>
        </w:rPr>
      </w:pPr>
      <w:r>
        <w:rPr>
          <w:szCs w:val="22"/>
          <w:lang w:val="lt-LT"/>
        </w:rPr>
        <w:t>Šis vaistas yra skausmą ir uždegimą mažinantis gelis, vartojamas vietiškai ant odos.</w:t>
      </w:r>
    </w:p>
    <w:p w:rsidR="00FF2526" w:rsidRDefault="00FF2526" w:rsidP="00FF2526">
      <w:pPr>
        <w:spacing w:line="240" w:lineRule="auto"/>
        <w:rPr>
          <w:szCs w:val="22"/>
          <w:lang w:val="lt-LT"/>
        </w:rPr>
      </w:pPr>
      <w:r>
        <w:rPr>
          <w:szCs w:val="22"/>
          <w:lang w:val="lt-LT"/>
        </w:rPr>
        <w:t xml:space="preserve">Pavartojus vaisto mažinamas skausmas ir patinimas ir pašalinama fizinė negalia. </w:t>
      </w:r>
    </w:p>
    <w:p w:rsidR="00FF2526" w:rsidRDefault="00FF2526" w:rsidP="00FF2526">
      <w:pPr>
        <w:spacing w:line="240" w:lineRule="auto"/>
        <w:rPr>
          <w:szCs w:val="22"/>
          <w:lang w:val="lt-LT"/>
        </w:rPr>
      </w:pPr>
    </w:p>
    <w:p w:rsidR="00FF2526" w:rsidRDefault="00FF2526" w:rsidP="00FF2526">
      <w:pPr>
        <w:rPr>
          <w:szCs w:val="22"/>
          <w:lang w:val="lt-LT"/>
        </w:rPr>
      </w:pPr>
      <w:r>
        <w:rPr>
          <w:szCs w:val="22"/>
          <w:lang w:val="lt-LT"/>
        </w:rPr>
        <w:t xml:space="preserve">Trebexen yra vartojamas vietiniam sausgyslių ir raiščių sužalojimo sukelto ūminio skausmo malšinimui.  </w:t>
      </w:r>
    </w:p>
    <w:p w:rsidR="00FF2526" w:rsidRDefault="00FF2526" w:rsidP="00FF2526">
      <w:pPr>
        <w:rPr>
          <w:szCs w:val="22"/>
          <w:lang w:val="lt-LT"/>
        </w:rPr>
      </w:pPr>
      <w:r>
        <w:rPr>
          <w:szCs w:val="22"/>
          <w:lang w:val="lt-LT"/>
        </w:rPr>
        <w:t>Vaistas skirtas trumpalaikiam vartojimui.</w:t>
      </w:r>
    </w:p>
    <w:p w:rsidR="00FF2526" w:rsidRDefault="00FF2526" w:rsidP="00FF2526">
      <w:pPr>
        <w:rPr>
          <w:szCs w:val="22"/>
          <w:lang w:val="lt-LT"/>
        </w:rPr>
      </w:pPr>
    </w:p>
    <w:p w:rsidR="00FF2526" w:rsidRDefault="00FF2526" w:rsidP="00FF2526">
      <w:pPr>
        <w:numPr>
          <w:ilvl w:val="12"/>
          <w:numId w:val="0"/>
        </w:numPr>
        <w:tabs>
          <w:tab w:val="clear" w:pos="567"/>
        </w:tabs>
        <w:spacing w:line="240" w:lineRule="auto"/>
        <w:ind w:right="-2"/>
        <w:rPr>
          <w:szCs w:val="22"/>
          <w:lang w:val="lt-LT"/>
        </w:rPr>
      </w:pPr>
    </w:p>
    <w:p w:rsidR="00FF2526" w:rsidRDefault="00FF2526" w:rsidP="00FF2526">
      <w:pPr>
        <w:pStyle w:val="Antrat4"/>
        <w:rPr>
          <w:rFonts w:ascii="Times New Roman" w:hAnsi="Times New Roman"/>
          <w:sz w:val="22"/>
          <w:szCs w:val="22"/>
          <w:lang w:val="lt-LT"/>
        </w:rPr>
      </w:pPr>
      <w:r>
        <w:rPr>
          <w:rFonts w:ascii="Times New Roman" w:hAnsi="Times New Roman"/>
          <w:sz w:val="22"/>
          <w:szCs w:val="22"/>
          <w:lang w:val="lt-LT"/>
        </w:rPr>
        <w:t>2.</w:t>
      </w:r>
      <w:r>
        <w:rPr>
          <w:rFonts w:ascii="Times New Roman" w:hAnsi="Times New Roman"/>
          <w:sz w:val="22"/>
          <w:szCs w:val="22"/>
          <w:lang w:val="lt-LT"/>
        </w:rPr>
        <w:tab/>
        <w:t xml:space="preserve">Kas žinotina prieš vartojant Trebexen </w:t>
      </w:r>
      <w:r>
        <w:rPr>
          <w:rFonts w:ascii="Times New Roman" w:hAnsi="Times New Roman"/>
          <w:bCs w:val="0"/>
          <w:sz w:val="22"/>
          <w:szCs w:val="22"/>
          <w:lang w:val="lt-LT"/>
        </w:rPr>
        <w:t xml:space="preserve"> </w:t>
      </w:r>
    </w:p>
    <w:p w:rsidR="00FF2526" w:rsidRDefault="00FF2526" w:rsidP="00FF2526">
      <w:pPr>
        <w:numPr>
          <w:ilvl w:val="12"/>
          <w:numId w:val="0"/>
        </w:numPr>
        <w:tabs>
          <w:tab w:val="clear" w:pos="567"/>
        </w:tabs>
        <w:spacing w:line="240" w:lineRule="auto"/>
        <w:ind w:right="-2"/>
        <w:rPr>
          <w:szCs w:val="22"/>
          <w:lang w:val="lt-LT"/>
        </w:rPr>
      </w:pPr>
    </w:p>
    <w:p w:rsidR="00FF2526" w:rsidRDefault="00FF2526" w:rsidP="00FF2526">
      <w:pPr>
        <w:pStyle w:val="Antrat4"/>
        <w:rPr>
          <w:rFonts w:ascii="Times New Roman" w:hAnsi="Times New Roman"/>
          <w:sz w:val="22"/>
          <w:szCs w:val="22"/>
          <w:lang w:val="lt-LT"/>
        </w:rPr>
      </w:pPr>
      <w:r>
        <w:rPr>
          <w:rFonts w:ascii="Times New Roman" w:hAnsi="Times New Roman"/>
          <w:sz w:val="22"/>
          <w:szCs w:val="22"/>
          <w:lang w:val="lt-LT"/>
        </w:rPr>
        <w:t>Trbexen vartoti negalima:</w:t>
      </w:r>
    </w:p>
    <w:p w:rsidR="00FF2526" w:rsidRDefault="00FF2526" w:rsidP="00FF2526">
      <w:pPr>
        <w:numPr>
          <w:ilvl w:val="12"/>
          <w:numId w:val="0"/>
        </w:numPr>
        <w:spacing w:line="240" w:lineRule="auto"/>
        <w:ind w:left="567" w:hanging="567"/>
        <w:rPr>
          <w:noProof/>
          <w:szCs w:val="22"/>
          <w:lang w:val="lt-LT"/>
        </w:rPr>
      </w:pPr>
      <w:r>
        <w:rPr>
          <w:szCs w:val="22"/>
          <w:lang w:val="lt-LT"/>
        </w:rPr>
        <w:t>-</w:t>
      </w:r>
      <w:r>
        <w:rPr>
          <w:szCs w:val="22"/>
          <w:lang w:val="lt-LT"/>
        </w:rPr>
        <w:tab/>
      </w:r>
      <w:r>
        <w:rPr>
          <w:noProof/>
          <w:szCs w:val="22"/>
          <w:lang w:val="lt-LT"/>
        </w:rPr>
        <w:t>jeigu yra alergija naproksenui arba bet kuriai pagalbinei šio vaisto medžiagai (jos išvardytos 6 skyriuje);</w:t>
      </w:r>
    </w:p>
    <w:p w:rsidR="00FF2526" w:rsidRDefault="00FF2526" w:rsidP="00FF2526">
      <w:pPr>
        <w:numPr>
          <w:ilvl w:val="12"/>
          <w:numId w:val="0"/>
        </w:numPr>
        <w:spacing w:line="240" w:lineRule="auto"/>
        <w:ind w:left="567" w:hanging="567"/>
        <w:rPr>
          <w:noProof/>
          <w:szCs w:val="22"/>
          <w:lang w:val="lt-LT"/>
        </w:rPr>
      </w:pPr>
      <w:r>
        <w:rPr>
          <w:noProof/>
          <w:szCs w:val="22"/>
          <w:lang w:val="lt-LT"/>
        </w:rPr>
        <w:t>-</w:t>
      </w:r>
      <w:r>
        <w:rPr>
          <w:noProof/>
          <w:szCs w:val="22"/>
          <w:lang w:val="lt-LT"/>
        </w:rPr>
        <w:tab/>
        <w:t>jeigu yra alergija kitiems nesteroidiniams vaistams nuo uždegimo  ar acetilsalicilo rūgščiai,</w:t>
      </w:r>
    </w:p>
    <w:p w:rsidR="00FF2526" w:rsidRDefault="00FF2526" w:rsidP="00FF2526">
      <w:pPr>
        <w:numPr>
          <w:ilvl w:val="12"/>
          <w:numId w:val="0"/>
        </w:numPr>
        <w:spacing w:line="240" w:lineRule="auto"/>
        <w:ind w:left="567" w:hanging="567"/>
        <w:rPr>
          <w:noProof/>
          <w:szCs w:val="22"/>
          <w:lang w:val="lt-LT"/>
        </w:rPr>
      </w:pPr>
      <w:r>
        <w:rPr>
          <w:noProof/>
          <w:szCs w:val="22"/>
          <w:lang w:val="lt-LT"/>
        </w:rPr>
        <w:t>-</w:t>
      </w:r>
      <w:r>
        <w:rPr>
          <w:noProof/>
          <w:szCs w:val="22"/>
          <w:lang w:val="lt-LT"/>
        </w:rPr>
        <w:tab/>
        <w:t xml:space="preserve">paskutinio nėštumo trimestro metu. </w:t>
      </w:r>
    </w:p>
    <w:p w:rsidR="00FF2526" w:rsidRDefault="00FF2526" w:rsidP="00FF2526">
      <w:pPr>
        <w:numPr>
          <w:ilvl w:val="12"/>
          <w:numId w:val="0"/>
        </w:numPr>
        <w:spacing w:line="240" w:lineRule="auto"/>
        <w:ind w:left="567" w:hanging="567"/>
        <w:rPr>
          <w:noProof/>
          <w:szCs w:val="22"/>
          <w:lang w:val="lt-LT"/>
        </w:rPr>
      </w:pPr>
    </w:p>
    <w:p w:rsidR="00FF2526" w:rsidRDefault="00FF2526" w:rsidP="00FF2526">
      <w:pPr>
        <w:pStyle w:val="Antrat4"/>
        <w:rPr>
          <w:noProof/>
          <w:szCs w:val="22"/>
          <w:lang w:val="lt-LT"/>
        </w:rPr>
      </w:pPr>
      <w:r>
        <w:rPr>
          <w:rFonts w:ascii="Times New Roman" w:hAnsi="Times New Roman"/>
          <w:sz w:val="22"/>
          <w:szCs w:val="22"/>
          <w:lang w:val="lt-LT"/>
        </w:rPr>
        <w:t xml:space="preserve">Įspėjimai ir atsargumo priemonės </w:t>
      </w:r>
    </w:p>
    <w:p w:rsidR="00FF2526" w:rsidRDefault="00FF2526" w:rsidP="00FF2526">
      <w:pPr>
        <w:numPr>
          <w:ilvl w:val="12"/>
          <w:numId w:val="0"/>
        </w:numPr>
        <w:tabs>
          <w:tab w:val="clear" w:pos="567"/>
        </w:tabs>
        <w:spacing w:line="240" w:lineRule="auto"/>
        <w:ind w:right="-2"/>
        <w:rPr>
          <w:noProof/>
          <w:szCs w:val="22"/>
          <w:lang w:val="lt-LT"/>
        </w:rPr>
      </w:pPr>
      <w:r>
        <w:rPr>
          <w:noProof/>
          <w:szCs w:val="22"/>
          <w:lang w:val="lt-LT"/>
        </w:rPr>
        <w:t>Pasitarkite su gydytoju arba vaistininku, prieš pradėdami vartoti Trebexen:</w:t>
      </w:r>
    </w:p>
    <w:p w:rsidR="00FF2526" w:rsidRDefault="00FF2526" w:rsidP="00FF2526">
      <w:pPr>
        <w:numPr>
          <w:ilvl w:val="0"/>
          <w:numId w:val="1"/>
        </w:numPr>
        <w:tabs>
          <w:tab w:val="clear" w:pos="567"/>
        </w:tabs>
        <w:spacing w:line="240" w:lineRule="auto"/>
        <w:ind w:right="-2"/>
        <w:rPr>
          <w:szCs w:val="22"/>
          <w:lang w:val="lt-LT"/>
        </w:rPr>
      </w:pPr>
      <w:r>
        <w:rPr>
          <w:szCs w:val="22"/>
          <w:lang w:val="lt-LT"/>
        </w:rPr>
        <w:t>jei praeityje buvo alerginių reakcijų (išbėrimo, paraudimo, niežulio) atvejų kitų nesteroidinių vaistų nuo uždegimo grupės vartojimo metu;</w:t>
      </w:r>
    </w:p>
    <w:p w:rsidR="00FF2526" w:rsidRDefault="00FF2526" w:rsidP="00FF2526">
      <w:pPr>
        <w:numPr>
          <w:ilvl w:val="0"/>
          <w:numId w:val="1"/>
        </w:numPr>
        <w:tabs>
          <w:tab w:val="clear" w:pos="567"/>
        </w:tabs>
        <w:spacing w:line="240" w:lineRule="auto"/>
        <w:ind w:right="-2"/>
        <w:rPr>
          <w:szCs w:val="22"/>
          <w:lang w:val="lt-LT"/>
        </w:rPr>
      </w:pPr>
      <w:r>
        <w:rPr>
          <w:szCs w:val="22"/>
          <w:lang w:val="lt-LT"/>
        </w:rPr>
        <w:t>vaistu veikiant ilgą laiką didelius odos plotus, nes yra tikimybė pasireikšti sisteminėms nepageidaujamoms reakcijoms.</w:t>
      </w:r>
    </w:p>
    <w:p w:rsidR="00FF2526" w:rsidRDefault="00FF2526" w:rsidP="00FF2526">
      <w:pPr>
        <w:tabs>
          <w:tab w:val="clear" w:pos="567"/>
        </w:tabs>
        <w:spacing w:line="240" w:lineRule="auto"/>
        <w:ind w:left="360" w:right="-2"/>
        <w:rPr>
          <w:szCs w:val="22"/>
          <w:lang w:val="lt-LT"/>
        </w:rPr>
      </w:pPr>
    </w:p>
    <w:p w:rsidR="00FF2526" w:rsidRDefault="00FF2526" w:rsidP="00FF2526">
      <w:pPr>
        <w:tabs>
          <w:tab w:val="clear" w:pos="567"/>
        </w:tabs>
        <w:spacing w:line="240" w:lineRule="auto"/>
        <w:ind w:right="-2"/>
        <w:rPr>
          <w:szCs w:val="22"/>
          <w:lang w:val="lt-LT"/>
        </w:rPr>
      </w:pPr>
      <w:r>
        <w:rPr>
          <w:szCs w:val="22"/>
          <w:lang w:val="lt-LT"/>
        </w:rPr>
        <w:t>Jeigu pasireiškė bet kuri iš aukščiau išvardytų reakcijų, nutraukite vaisto vartojimą.</w:t>
      </w:r>
    </w:p>
    <w:p w:rsidR="00FF2526" w:rsidRDefault="00FF2526" w:rsidP="00FF2526">
      <w:pPr>
        <w:tabs>
          <w:tab w:val="clear" w:pos="567"/>
        </w:tabs>
        <w:spacing w:line="240" w:lineRule="auto"/>
        <w:ind w:right="-2"/>
        <w:rPr>
          <w:szCs w:val="22"/>
          <w:lang w:val="lt-LT"/>
        </w:rPr>
      </w:pPr>
    </w:p>
    <w:p w:rsidR="00FF2526" w:rsidRDefault="00FF2526" w:rsidP="00FF2526">
      <w:pPr>
        <w:tabs>
          <w:tab w:val="clear" w:pos="567"/>
        </w:tabs>
        <w:spacing w:line="240" w:lineRule="auto"/>
        <w:ind w:right="-2"/>
        <w:rPr>
          <w:b/>
          <w:szCs w:val="22"/>
          <w:lang w:val="lt-LT"/>
        </w:rPr>
      </w:pPr>
      <w:r>
        <w:rPr>
          <w:b/>
          <w:szCs w:val="22"/>
          <w:lang w:val="lt-LT"/>
        </w:rPr>
        <w:t>Vaisto vartoti negalima:</w:t>
      </w:r>
    </w:p>
    <w:p w:rsidR="00FF2526" w:rsidRDefault="00FF2526" w:rsidP="00FF2526">
      <w:pPr>
        <w:rPr>
          <w:szCs w:val="22"/>
          <w:lang w:val="lt-LT"/>
        </w:rPr>
      </w:pPr>
      <w:r>
        <w:rPr>
          <w:szCs w:val="22"/>
          <w:lang w:val="lt-LT"/>
        </w:rPr>
        <w:t>-</w:t>
      </w:r>
      <w:r>
        <w:rPr>
          <w:szCs w:val="22"/>
          <w:lang w:val="lt-LT"/>
        </w:rPr>
        <w:tab/>
        <w:t>ant akių ir gleivinių; jei gelis pateko į akis ar ant gleivinės gausiai nuplaukite vandeniu tam, kad pašalintumėte gelį.</w:t>
      </w:r>
    </w:p>
    <w:p w:rsidR="00FF2526" w:rsidRDefault="00FF2526" w:rsidP="00FF2526">
      <w:pPr>
        <w:rPr>
          <w:szCs w:val="22"/>
          <w:lang w:val="lt-LT"/>
        </w:rPr>
      </w:pPr>
      <w:r>
        <w:rPr>
          <w:szCs w:val="22"/>
          <w:lang w:val="lt-LT"/>
        </w:rPr>
        <w:lastRenderedPageBreak/>
        <w:t xml:space="preserve">- </w:t>
      </w:r>
      <w:r>
        <w:rPr>
          <w:szCs w:val="22"/>
          <w:lang w:val="lt-LT"/>
        </w:rPr>
        <w:tab/>
        <w:t>po tvarsčiais (bintu, pleistrais);</w:t>
      </w:r>
    </w:p>
    <w:p w:rsidR="00FF2526" w:rsidRDefault="00FF2526" w:rsidP="00FF2526">
      <w:pPr>
        <w:rPr>
          <w:szCs w:val="22"/>
          <w:lang w:val="lt-LT"/>
        </w:rPr>
      </w:pPr>
      <w:r>
        <w:rPr>
          <w:szCs w:val="22"/>
          <w:lang w:val="lt-LT"/>
        </w:rPr>
        <w:t>-</w:t>
      </w:r>
      <w:r>
        <w:rPr>
          <w:szCs w:val="22"/>
          <w:lang w:val="lt-LT"/>
        </w:rPr>
        <w:tab/>
        <w:t>ant pažeistos odos, atvirų žaizdų ar odos uždegimo vietų;</w:t>
      </w:r>
    </w:p>
    <w:p w:rsidR="00FF2526" w:rsidRDefault="00FF2526" w:rsidP="00FF2526">
      <w:pPr>
        <w:rPr>
          <w:szCs w:val="22"/>
          <w:lang w:val="lt-LT"/>
        </w:rPr>
      </w:pPr>
      <w:r>
        <w:rPr>
          <w:szCs w:val="22"/>
          <w:lang w:val="lt-LT"/>
        </w:rPr>
        <w:t xml:space="preserve">- </w:t>
      </w:r>
      <w:r>
        <w:rPr>
          <w:szCs w:val="22"/>
          <w:lang w:val="lt-LT"/>
        </w:rPr>
        <w:tab/>
        <w:t xml:space="preserve">vaisto negalima nuryti.  </w:t>
      </w:r>
    </w:p>
    <w:p w:rsidR="00FF2526" w:rsidRDefault="00FF2526" w:rsidP="00FF2526">
      <w:pPr>
        <w:tabs>
          <w:tab w:val="clear" w:pos="567"/>
        </w:tabs>
        <w:spacing w:line="240" w:lineRule="auto"/>
        <w:ind w:right="-2"/>
        <w:rPr>
          <w:b/>
          <w:szCs w:val="22"/>
          <w:lang w:val="lt-LT"/>
        </w:rPr>
      </w:pPr>
    </w:p>
    <w:p w:rsidR="00FF2526" w:rsidRDefault="00FF2526" w:rsidP="00FF2526">
      <w:pPr>
        <w:rPr>
          <w:szCs w:val="22"/>
          <w:lang w:val="lt-LT"/>
        </w:rPr>
      </w:pPr>
      <w:r>
        <w:rPr>
          <w:szCs w:val="22"/>
          <w:lang w:val="lt-LT"/>
        </w:rPr>
        <w:t>Gydymo metu ir 2 savaites po gydymo turi būti vengiama tiesioginių saulės spindulių (įskaitant soliariumą).</w:t>
      </w:r>
    </w:p>
    <w:p w:rsidR="00FF2526" w:rsidRDefault="00FF2526" w:rsidP="00FF2526">
      <w:pPr>
        <w:rPr>
          <w:szCs w:val="22"/>
          <w:lang w:val="lt-LT"/>
        </w:rPr>
      </w:pPr>
    </w:p>
    <w:p w:rsidR="00FF2526" w:rsidRDefault="00FF2526" w:rsidP="00FF2526">
      <w:pPr>
        <w:rPr>
          <w:szCs w:val="22"/>
          <w:lang w:val="lt-LT"/>
        </w:rPr>
      </w:pPr>
      <w:r>
        <w:rPr>
          <w:szCs w:val="22"/>
          <w:lang w:val="lt-LT"/>
        </w:rPr>
        <w:t xml:space="preserve">Kadangi yra naprokseno patekimo į sisteminę kraujotaką tikimybė, šį vaistą turi atsargiai vartoti pacientai, kuriems yra kepenų ar inkstų nepakankamumas, virškinimo trakto opaligė ar hemoraginė diatezė. </w:t>
      </w:r>
    </w:p>
    <w:p w:rsidR="00FF2526" w:rsidRDefault="00FF2526" w:rsidP="00FF2526">
      <w:pPr>
        <w:tabs>
          <w:tab w:val="clear" w:pos="567"/>
        </w:tabs>
        <w:spacing w:line="240" w:lineRule="auto"/>
        <w:ind w:right="-2"/>
        <w:rPr>
          <w:szCs w:val="22"/>
          <w:lang w:val="lt-LT"/>
        </w:rPr>
      </w:pPr>
    </w:p>
    <w:p w:rsidR="00FF2526" w:rsidRDefault="00FF2526" w:rsidP="00FF2526">
      <w:pPr>
        <w:pStyle w:val="Antrat4"/>
        <w:rPr>
          <w:rFonts w:ascii="Times New Roman" w:hAnsi="Times New Roman"/>
          <w:sz w:val="22"/>
          <w:szCs w:val="22"/>
          <w:lang w:val="lt-LT"/>
        </w:rPr>
      </w:pPr>
      <w:r>
        <w:rPr>
          <w:rFonts w:ascii="Times New Roman" w:hAnsi="Times New Roman"/>
          <w:sz w:val="22"/>
          <w:szCs w:val="22"/>
          <w:lang w:val="lt-LT"/>
        </w:rPr>
        <w:t>Vartojimas vaikams ir paaugliams</w:t>
      </w:r>
    </w:p>
    <w:p w:rsidR="00FF2526" w:rsidRDefault="00FF2526" w:rsidP="00FF2526">
      <w:pPr>
        <w:numPr>
          <w:ilvl w:val="12"/>
          <w:numId w:val="0"/>
        </w:numPr>
        <w:tabs>
          <w:tab w:val="clear" w:pos="567"/>
        </w:tabs>
        <w:spacing w:line="240" w:lineRule="auto"/>
        <w:rPr>
          <w:szCs w:val="22"/>
          <w:lang w:val="lt-LT"/>
        </w:rPr>
      </w:pPr>
      <w:r>
        <w:rPr>
          <w:szCs w:val="22"/>
          <w:lang w:val="lt-LT"/>
        </w:rPr>
        <w:t>Trebexen negalima vartoti 18 metų ir jaunesniems vaikams.</w:t>
      </w:r>
    </w:p>
    <w:p w:rsidR="00FF2526" w:rsidRDefault="00FF2526" w:rsidP="00FF2526">
      <w:pPr>
        <w:numPr>
          <w:ilvl w:val="12"/>
          <w:numId w:val="0"/>
        </w:numPr>
        <w:tabs>
          <w:tab w:val="clear" w:pos="567"/>
        </w:tabs>
        <w:spacing w:line="240" w:lineRule="auto"/>
        <w:rPr>
          <w:b/>
          <w:szCs w:val="22"/>
          <w:lang w:val="lt-LT"/>
        </w:rPr>
      </w:pPr>
    </w:p>
    <w:p w:rsidR="00FF2526" w:rsidRDefault="00FF2526" w:rsidP="00FF2526">
      <w:pPr>
        <w:pStyle w:val="Antrat4"/>
        <w:rPr>
          <w:rFonts w:ascii="Times New Roman" w:hAnsi="Times New Roman"/>
          <w:sz w:val="22"/>
          <w:szCs w:val="22"/>
          <w:lang w:val="lt-LT"/>
        </w:rPr>
      </w:pPr>
      <w:r>
        <w:rPr>
          <w:rFonts w:ascii="Times New Roman" w:hAnsi="Times New Roman"/>
          <w:sz w:val="22"/>
          <w:szCs w:val="22"/>
          <w:lang w:val="lt-LT"/>
        </w:rPr>
        <w:t>Kiti vaistai ir Trebexen</w:t>
      </w:r>
    </w:p>
    <w:p w:rsidR="00FF2526" w:rsidRDefault="00FF2526" w:rsidP="00FF2526">
      <w:pPr>
        <w:numPr>
          <w:ilvl w:val="12"/>
          <w:numId w:val="0"/>
        </w:numPr>
        <w:tabs>
          <w:tab w:val="clear" w:pos="567"/>
        </w:tabs>
        <w:spacing w:line="240" w:lineRule="auto"/>
        <w:ind w:right="-2"/>
        <w:rPr>
          <w:noProof/>
          <w:szCs w:val="22"/>
          <w:lang w:val="lt-LT"/>
        </w:rPr>
      </w:pPr>
      <w:r>
        <w:rPr>
          <w:noProof/>
          <w:szCs w:val="22"/>
          <w:lang w:val="lt-LT"/>
        </w:rPr>
        <w:t>Jeigu vartojate ar neseniai vartojote kitų vaistų arba dėl to nesate tikri, apie tai pasakykite gydytojui arba vaistininkui.</w:t>
      </w:r>
    </w:p>
    <w:p w:rsidR="00FF2526" w:rsidRDefault="00FF2526" w:rsidP="00FF2526">
      <w:pPr>
        <w:pStyle w:val="Antrat4"/>
        <w:rPr>
          <w:rFonts w:ascii="Times New Roman" w:hAnsi="Times New Roman"/>
          <w:sz w:val="22"/>
          <w:szCs w:val="22"/>
          <w:lang w:val="lt-LT"/>
        </w:rPr>
      </w:pPr>
    </w:p>
    <w:p w:rsidR="00FF2526" w:rsidRDefault="00FF2526" w:rsidP="00FF2526">
      <w:pPr>
        <w:pStyle w:val="Antrat4"/>
        <w:rPr>
          <w:rFonts w:ascii="Times New Roman" w:hAnsi="Times New Roman"/>
          <w:sz w:val="22"/>
          <w:szCs w:val="22"/>
          <w:lang w:val="lt-LT"/>
        </w:rPr>
      </w:pPr>
      <w:r>
        <w:rPr>
          <w:rFonts w:ascii="Times New Roman" w:hAnsi="Times New Roman"/>
          <w:sz w:val="22"/>
          <w:szCs w:val="22"/>
          <w:lang w:val="lt-LT"/>
        </w:rPr>
        <w:t>Nėštumas</w:t>
      </w:r>
      <w:r>
        <w:rPr>
          <w:rFonts w:ascii="Times New Roman" w:hAnsi="Times New Roman"/>
          <w:bCs w:val="0"/>
          <w:noProof/>
          <w:sz w:val="22"/>
          <w:szCs w:val="22"/>
          <w:lang w:val="lt-LT"/>
        </w:rPr>
        <w:t>,</w:t>
      </w:r>
      <w:r>
        <w:rPr>
          <w:rFonts w:ascii="Times New Roman" w:hAnsi="Times New Roman"/>
          <w:sz w:val="22"/>
          <w:szCs w:val="22"/>
          <w:lang w:val="lt-LT"/>
        </w:rPr>
        <w:t xml:space="preserve"> žindymo laikotarpis ir vaisingumas</w:t>
      </w:r>
    </w:p>
    <w:p w:rsidR="00FF2526" w:rsidRDefault="00FF2526" w:rsidP="00FF2526">
      <w:pPr>
        <w:numPr>
          <w:ilvl w:val="12"/>
          <w:numId w:val="0"/>
        </w:numPr>
        <w:tabs>
          <w:tab w:val="clear" w:pos="567"/>
        </w:tabs>
        <w:spacing w:line="240" w:lineRule="auto"/>
        <w:rPr>
          <w:noProof/>
          <w:szCs w:val="22"/>
          <w:lang w:val="lt-LT"/>
        </w:rPr>
      </w:pPr>
      <w:r>
        <w:rPr>
          <w:noProof/>
          <w:szCs w:val="22"/>
          <w:lang w:val="lt-LT"/>
        </w:rPr>
        <w:t>Jeigu esate nėščia, žindote kūdikį, manote, kad galbūt esate nėščia, arba planuojate pastoti, tai prieš vartodama šį vaistą, pasitarkite su gydytoju.</w:t>
      </w:r>
    </w:p>
    <w:p w:rsidR="00FF2526" w:rsidRDefault="00FF2526" w:rsidP="00FF2526">
      <w:pPr>
        <w:rPr>
          <w:color w:val="0D0D0D"/>
          <w:szCs w:val="22"/>
          <w:lang w:val="lt-LT"/>
        </w:rPr>
      </w:pPr>
      <w:r>
        <w:rPr>
          <w:color w:val="0D0D0D"/>
          <w:szCs w:val="22"/>
          <w:lang w:val="lt-LT"/>
        </w:rPr>
        <w:t>Šio vaisto  negalima vartoti, nebent jį rekomenduoja ir prižiūri gydytojas. Šio vaisto  vartoti draudžiama paskutinio (III) nėštumo trimestro metu.</w:t>
      </w:r>
    </w:p>
    <w:p w:rsidR="00FF2526" w:rsidRDefault="00FF2526" w:rsidP="00FF2526">
      <w:pPr>
        <w:rPr>
          <w:szCs w:val="22"/>
          <w:lang w:val="lt-LT"/>
        </w:rPr>
      </w:pPr>
      <w:r>
        <w:rPr>
          <w:szCs w:val="22"/>
          <w:lang w:val="lt-LT"/>
        </w:rPr>
        <w:t xml:space="preserve">Vaisto žindymo laikotarpiu vartoti negalima, </w:t>
      </w:r>
      <w:r>
        <w:rPr>
          <w:color w:val="0D0D0D"/>
          <w:szCs w:val="22"/>
          <w:lang w:val="lt-LT"/>
        </w:rPr>
        <w:t>nebent tai rekomenduoja ir prižiūri gydytojas</w:t>
      </w:r>
      <w:r>
        <w:rPr>
          <w:szCs w:val="22"/>
          <w:lang w:val="lt-LT"/>
        </w:rPr>
        <w:t xml:space="preserve">. </w:t>
      </w:r>
    </w:p>
    <w:p w:rsidR="00FF2526" w:rsidRDefault="00FF2526" w:rsidP="00FF2526">
      <w:pPr>
        <w:numPr>
          <w:ilvl w:val="12"/>
          <w:numId w:val="0"/>
        </w:numPr>
        <w:tabs>
          <w:tab w:val="clear" w:pos="567"/>
        </w:tabs>
        <w:spacing w:line="240" w:lineRule="auto"/>
        <w:rPr>
          <w:szCs w:val="22"/>
          <w:lang w:val="lt-LT"/>
        </w:rPr>
      </w:pPr>
    </w:p>
    <w:p w:rsidR="00FF2526" w:rsidRDefault="00FF2526" w:rsidP="00FF2526">
      <w:pPr>
        <w:pStyle w:val="Antrat4"/>
        <w:rPr>
          <w:rFonts w:ascii="Times New Roman" w:hAnsi="Times New Roman"/>
          <w:sz w:val="22"/>
          <w:szCs w:val="22"/>
          <w:lang w:val="lt-LT"/>
        </w:rPr>
      </w:pPr>
      <w:r>
        <w:rPr>
          <w:rFonts w:ascii="Times New Roman" w:hAnsi="Times New Roman"/>
          <w:sz w:val="22"/>
          <w:szCs w:val="22"/>
          <w:lang w:val="lt-LT"/>
        </w:rPr>
        <w:t>Vairavimas ir mechanizmų valdymas</w:t>
      </w:r>
    </w:p>
    <w:p w:rsidR="00FF2526" w:rsidRDefault="00FF2526" w:rsidP="00FF2526">
      <w:pPr>
        <w:rPr>
          <w:szCs w:val="22"/>
          <w:lang w:val="lt-LT"/>
        </w:rPr>
      </w:pPr>
      <w:r>
        <w:rPr>
          <w:szCs w:val="22"/>
          <w:lang w:val="lt-LT"/>
        </w:rPr>
        <w:t xml:space="preserve">Nėra duomenų dėl nepageidaujamo poveikio gebėjimui vairuoti ir valdyti mechanizmus po vietinio naprokseno pavartojimo ant odos. </w:t>
      </w:r>
    </w:p>
    <w:p w:rsidR="00FF2526" w:rsidRDefault="00FF2526" w:rsidP="00FF2526">
      <w:pPr>
        <w:numPr>
          <w:ilvl w:val="12"/>
          <w:numId w:val="0"/>
        </w:numPr>
        <w:tabs>
          <w:tab w:val="clear" w:pos="567"/>
        </w:tabs>
        <w:spacing w:line="240" w:lineRule="auto"/>
        <w:ind w:right="-2"/>
        <w:rPr>
          <w:szCs w:val="22"/>
          <w:lang w:val="lt-LT"/>
        </w:rPr>
      </w:pPr>
    </w:p>
    <w:p w:rsidR="00FF2526" w:rsidRDefault="00FF2526" w:rsidP="00FF2526">
      <w:pPr>
        <w:numPr>
          <w:ilvl w:val="12"/>
          <w:numId w:val="0"/>
        </w:numPr>
        <w:tabs>
          <w:tab w:val="clear" w:pos="567"/>
        </w:tabs>
        <w:spacing w:line="240" w:lineRule="auto"/>
        <w:ind w:right="-2"/>
        <w:rPr>
          <w:b/>
          <w:szCs w:val="22"/>
          <w:lang w:val="lt-LT"/>
        </w:rPr>
      </w:pPr>
      <w:r>
        <w:rPr>
          <w:b/>
          <w:szCs w:val="22"/>
          <w:lang w:val="lt-LT"/>
        </w:rPr>
        <w:t>Trebexen sudėtyje yra etilo parahidroksibenzoato ir etanolio</w:t>
      </w:r>
    </w:p>
    <w:p w:rsidR="00FF2526" w:rsidRDefault="00FF2526" w:rsidP="00FF2526">
      <w:pPr>
        <w:numPr>
          <w:ilvl w:val="12"/>
          <w:numId w:val="0"/>
        </w:numPr>
        <w:tabs>
          <w:tab w:val="clear" w:pos="567"/>
        </w:tabs>
        <w:spacing w:line="240" w:lineRule="auto"/>
        <w:ind w:right="-2"/>
        <w:rPr>
          <w:b/>
          <w:szCs w:val="22"/>
          <w:lang w:val="lt-LT"/>
        </w:rPr>
      </w:pPr>
      <w:r>
        <w:rPr>
          <w:szCs w:val="22"/>
          <w:lang w:val="lt-LT"/>
        </w:rPr>
        <w:t>Šio vaisto sudėtyje yra etilo parahidroksibenzoato (E214), kuris gali sukelti alerginių reakcijų, kurios gali būti uždelstos.</w:t>
      </w:r>
    </w:p>
    <w:p w:rsidR="00FF2526" w:rsidRDefault="00FF2526" w:rsidP="00FF2526">
      <w:pPr>
        <w:numPr>
          <w:ilvl w:val="12"/>
          <w:numId w:val="0"/>
        </w:numPr>
        <w:tabs>
          <w:tab w:val="clear" w:pos="567"/>
        </w:tabs>
        <w:spacing w:line="240" w:lineRule="auto"/>
        <w:ind w:right="-2"/>
        <w:rPr>
          <w:szCs w:val="22"/>
          <w:lang w:val="lt-LT"/>
        </w:rPr>
      </w:pPr>
      <w:r>
        <w:rPr>
          <w:szCs w:val="22"/>
          <w:lang w:val="lt-LT"/>
        </w:rPr>
        <w:t>Kiekviename šio gelio grame yra 0,9 mg alkoholio (etanolio). Ant pažeistos odos plotų etanolis gali sukelti deginimo pojūtį.</w:t>
      </w:r>
    </w:p>
    <w:p w:rsidR="00FF2526" w:rsidRDefault="00FF2526" w:rsidP="00FF2526">
      <w:pPr>
        <w:numPr>
          <w:ilvl w:val="12"/>
          <w:numId w:val="0"/>
        </w:numPr>
        <w:tabs>
          <w:tab w:val="clear" w:pos="567"/>
        </w:tabs>
        <w:spacing w:line="240" w:lineRule="auto"/>
        <w:ind w:right="-2"/>
        <w:rPr>
          <w:szCs w:val="22"/>
          <w:lang w:val="lt-LT"/>
        </w:rPr>
      </w:pPr>
    </w:p>
    <w:p w:rsidR="00FF2526" w:rsidRDefault="00FF2526" w:rsidP="00FF2526">
      <w:pPr>
        <w:numPr>
          <w:ilvl w:val="12"/>
          <w:numId w:val="0"/>
        </w:numPr>
        <w:tabs>
          <w:tab w:val="clear" w:pos="567"/>
        </w:tabs>
        <w:spacing w:line="240" w:lineRule="auto"/>
        <w:ind w:right="-2"/>
        <w:rPr>
          <w:szCs w:val="22"/>
          <w:lang w:val="lt-LT"/>
        </w:rPr>
      </w:pPr>
    </w:p>
    <w:p w:rsidR="00FF2526" w:rsidRDefault="00FF2526" w:rsidP="00FF2526">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3.</w:t>
      </w:r>
      <w:r>
        <w:rPr>
          <w:rFonts w:ascii="Times New Roman" w:hAnsi="Times New Roman"/>
          <w:sz w:val="22"/>
          <w:szCs w:val="22"/>
          <w:lang w:val="lt-LT"/>
        </w:rPr>
        <w:tab/>
        <w:t>Kaip vartoti Trebexen</w:t>
      </w:r>
    </w:p>
    <w:p w:rsidR="00FF2526" w:rsidRDefault="00FF2526" w:rsidP="00FF2526">
      <w:pPr>
        <w:numPr>
          <w:ilvl w:val="12"/>
          <w:numId w:val="0"/>
        </w:numPr>
        <w:tabs>
          <w:tab w:val="clear" w:pos="567"/>
        </w:tabs>
        <w:spacing w:line="240" w:lineRule="auto"/>
        <w:ind w:right="-2"/>
        <w:rPr>
          <w:szCs w:val="22"/>
          <w:lang w:val="lt-LT"/>
        </w:rPr>
      </w:pPr>
    </w:p>
    <w:p w:rsidR="00FF2526" w:rsidRDefault="00FF2526" w:rsidP="00FF2526">
      <w:pPr>
        <w:numPr>
          <w:ilvl w:val="12"/>
          <w:numId w:val="0"/>
        </w:numPr>
        <w:tabs>
          <w:tab w:val="clear" w:pos="567"/>
        </w:tabs>
        <w:spacing w:line="240" w:lineRule="auto"/>
        <w:ind w:right="-2"/>
        <w:rPr>
          <w:szCs w:val="24"/>
          <w:lang w:val="lt-LT"/>
        </w:rPr>
      </w:pPr>
      <w:r>
        <w:rPr>
          <w:noProof/>
          <w:szCs w:val="24"/>
          <w:lang w:val="lt-LT"/>
        </w:rPr>
        <w:t>Visada vartokite šį vaistą tiksliai kaip aprašyta šiame lapelyje arba kaip nurodė gydytojas arba vaistininkas.</w:t>
      </w:r>
      <w:r>
        <w:rPr>
          <w:szCs w:val="24"/>
          <w:lang w:val="lt-LT"/>
        </w:rPr>
        <w:t xml:space="preserve"> </w:t>
      </w:r>
      <w:r>
        <w:rPr>
          <w:noProof/>
          <w:szCs w:val="24"/>
          <w:lang w:val="lt-LT"/>
        </w:rPr>
        <w:t xml:space="preserve">Jeigu abejojate, kreipkitės į gydytoją arba vaistininką. </w:t>
      </w:r>
      <w:r>
        <w:rPr>
          <w:szCs w:val="24"/>
          <w:lang w:val="lt-LT"/>
        </w:rPr>
        <w:t xml:space="preserve"> </w:t>
      </w:r>
    </w:p>
    <w:p w:rsidR="00FF2526" w:rsidRDefault="00FF2526" w:rsidP="00FF2526">
      <w:pPr>
        <w:numPr>
          <w:ilvl w:val="12"/>
          <w:numId w:val="0"/>
        </w:numPr>
        <w:tabs>
          <w:tab w:val="clear" w:pos="567"/>
          <w:tab w:val="left" w:pos="965"/>
        </w:tabs>
        <w:spacing w:line="240" w:lineRule="auto"/>
        <w:ind w:right="-2"/>
        <w:rPr>
          <w:szCs w:val="22"/>
          <w:lang w:val="lt-LT"/>
        </w:rPr>
      </w:pPr>
      <w:r>
        <w:rPr>
          <w:szCs w:val="22"/>
          <w:lang w:val="lt-LT"/>
        </w:rPr>
        <w:t>Jeigu gydytojas nenurodė kitaip, vaistą vartokite taip kaip nurodyta: vartokite vaisto kiekį pritaikytą prie pažeisto ploto ant odos (dažniausiai 4 cm ilgio gelio juostelė), paskirstykite gelį ant pažeistos vietos ir masažuokite švelniai iki visiškos absorbcijos. Vaistą reikia vartoti 2–6 kartus per parą kas kelias valandas.</w:t>
      </w:r>
    </w:p>
    <w:p w:rsidR="00FF2526" w:rsidRDefault="00FF2526" w:rsidP="00FF2526">
      <w:pPr>
        <w:numPr>
          <w:ilvl w:val="12"/>
          <w:numId w:val="0"/>
        </w:numPr>
        <w:tabs>
          <w:tab w:val="clear" w:pos="567"/>
        </w:tabs>
        <w:spacing w:line="240" w:lineRule="auto"/>
        <w:ind w:right="-2"/>
        <w:rPr>
          <w:bCs/>
          <w:iCs/>
          <w:szCs w:val="22"/>
          <w:lang w:val="lt-LT"/>
        </w:rPr>
      </w:pPr>
      <w:r>
        <w:rPr>
          <w:bCs/>
          <w:iCs/>
          <w:szCs w:val="22"/>
          <w:lang w:val="lt-LT"/>
        </w:rPr>
        <w:t>Po užtepimo reikia nusiplauti rankas, išskyrus atvejus, kai jos gydomos.</w:t>
      </w:r>
    </w:p>
    <w:p w:rsidR="00FF2526" w:rsidRDefault="00FF2526" w:rsidP="00FF2526">
      <w:pPr>
        <w:numPr>
          <w:ilvl w:val="12"/>
          <w:numId w:val="0"/>
        </w:numPr>
        <w:tabs>
          <w:tab w:val="clear" w:pos="567"/>
        </w:tabs>
        <w:spacing w:line="240" w:lineRule="auto"/>
        <w:ind w:right="-2"/>
        <w:rPr>
          <w:bCs/>
          <w:iCs/>
          <w:szCs w:val="22"/>
          <w:lang w:val="lt-LT"/>
        </w:rPr>
      </w:pPr>
    </w:p>
    <w:p w:rsidR="00FF2526" w:rsidRDefault="00FF2526" w:rsidP="00FF2526">
      <w:pPr>
        <w:numPr>
          <w:ilvl w:val="12"/>
          <w:numId w:val="0"/>
        </w:numPr>
        <w:tabs>
          <w:tab w:val="clear" w:pos="567"/>
        </w:tabs>
        <w:spacing w:line="240" w:lineRule="auto"/>
        <w:ind w:right="-2"/>
        <w:rPr>
          <w:bCs/>
          <w:iCs/>
          <w:szCs w:val="22"/>
          <w:lang w:val="lt-LT"/>
        </w:rPr>
      </w:pPr>
      <w:r>
        <w:rPr>
          <w:bCs/>
          <w:iCs/>
          <w:szCs w:val="22"/>
          <w:lang w:val="lt-LT"/>
        </w:rPr>
        <w:t>Nerekomenduojama vartoti Trebexen ilgiau nei vieną savaitę. Jei po vienos gydymo vaistu savaitės skausmas ir patinimas nesumažėja ar tampa rimtesnis, būtina kreiptis į gydytoją.</w:t>
      </w:r>
    </w:p>
    <w:p w:rsidR="00FF2526" w:rsidRDefault="00FF2526" w:rsidP="00FF2526">
      <w:pPr>
        <w:numPr>
          <w:ilvl w:val="12"/>
          <w:numId w:val="0"/>
        </w:numPr>
        <w:tabs>
          <w:tab w:val="clear" w:pos="567"/>
        </w:tabs>
        <w:spacing w:line="240" w:lineRule="auto"/>
        <w:ind w:right="-2"/>
        <w:rPr>
          <w:bCs/>
          <w:iCs/>
          <w:szCs w:val="22"/>
          <w:lang w:val="lt-LT"/>
        </w:rPr>
      </w:pPr>
    </w:p>
    <w:p w:rsidR="00FF2526" w:rsidRDefault="00FF2526" w:rsidP="00FF2526">
      <w:pPr>
        <w:numPr>
          <w:ilvl w:val="12"/>
          <w:numId w:val="0"/>
        </w:numPr>
        <w:tabs>
          <w:tab w:val="clear" w:pos="567"/>
        </w:tabs>
        <w:spacing w:line="240" w:lineRule="auto"/>
        <w:ind w:right="-2"/>
        <w:rPr>
          <w:bCs/>
          <w:iCs/>
          <w:szCs w:val="22"/>
          <w:lang w:val="lt-LT"/>
        </w:rPr>
      </w:pPr>
      <w:r>
        <w:rPr>
          <w:bCs/>
          <w:iCs/>
          <w:szCs w:val="22"/>
          <w:lang w:val="lt-LT"/>
        </w:rPr>
        <w:t>Jeigu oda paraustų ar sudirgtų, turite nutraukti vaisto vartojimą iki kol reakcija išnyks arba pasakykite gydytojui.</w:t>
      </w:r>
    </w:p>
    <w:p w:rsidR="00FF2526" w:rsidRDefault="00FF2526" w:rsidP="00FF2526">
      <w:pPr>
        <w:numPr>
          <w:ilvl w:val="12"/>
          <w:numId w:val="0"/>
        </w:numPr>
        <w:tabs>
          <w:tab w:val="clear" w:pos="567"/>
        </w:tabs>
        <w:spacing w:line="240" w:lineRule="auto"/>
        <w:ind w:right="-2"/>
        <w:rPr>
          <w:bCs/>
          <w:iCs/>
          <w:szCs w:val="22"/>
          <w:lang w:val="lt-LT"/>
        </w:rPr>
      </w:pPr>
    </w:p>
    <w:p w:rsidR="00FF2526" w:rsidRDefault="00FF2526" w:rsidP="00FF2526">
      <w:pPr>
        <w:numPr>
          <w:ilvl w:val="12"/>
          <w:numId w:val="0"/>
        </w:numPr>
        <w:tabs>
          <w:tab w:val="clear" w:pos="567"/>
        </w:tabs>
        <w:spacing w:line="240" w:lineRule="auto"/>
        <w:ind w:right="-2"/>
        <w:rPr>
          <w:bCs/>
          <w:iCs/>
          <w:szCs w:val="22"/>
          <w:lang w:val="lt-LT"/>
        </w:rPr>
      </w:pPr>
      <w:r>
        <w:rPr>
          <w:bCs/>
          <w:iCs/>
          <w:szCs w:val="22"/>
          <w:lang w:val="lt-LT"/>
        </w:rPr>
        <w:t xml:space="preserve">Jeigu kiltų daugiau klausimų apie vaisto vartojimą, kreipkitės į gydytoją arba vaistininką. </w:t>
      </w:r>
    </w:p>
    <w:p w:rsidR="00FF2526" w:rsidRDefault="00FF2526" w:rsidP="00FF2526">
      <w:pPr>
        <w:numPr>
          <w:ilvl w:val="12"/>
          <w:numId w:val="0"/>
        </w:numPr>
        <w:tabs>
          <w:tab w:val="clear" w:pos="567"/>
        </w:tabs>
        <w:spacing w:line="240" w:lineRule="auto"/>
        <w:ind w:right="-2"/>
        <w:rPr>
          <w:bCs/>
          <w:iCs/>
          <w:szCs w:val="22"/>
          <w:lang w:val="lt-LT"/>
        </w:rPr>
      </w:pPr>
    </w:p>
    <w:p w:rsidR="00FF2526" w:rsidRDefault="00FF2526" w:rsidP="00FF2526">
      <w:pPr>
        <w:pStyle w:val="Antrat4"/>
        <w:rPr>
          <w:rFonts w:ascii="Times New Roman" w:hAnsi="Times New Roman"/>
          <w:sz w:val="22"/>
          <w:lang w:val="lt-LT"/>
        </w:rPr>
      </w:pPr>
      <w:r>
        <w:rPr>
          <w:rFonts w:ascii="Times New Roman" w:hAnsi="Times New Roman"/>
          <w:sz w:val="22"/>
          <w:lang w:val="lt-LT"/>
        </w:rPr>
        <w:lastRenderedPageBreak/>
        <w:t>Ką daryti pavartojus per didelę Trebexen dozę?</w:t>
      </w:r>
    </w:p>
    <w:p w:rsidR="00FF2526" w:rsidRDefault="00FF2526" w:rsidP="00FF2526">
      <w:pPr>
        <w:rPr>
          <w:szCs w:val="22"/>
          <w:lang w:val="lt-LT"/>
        </w:rPr>
      </w:pPr>
      <w:r>
        <w:rPr>
          <w:szCs w:val="22"/>
          <w:lang w:val="lt-LT"/>
        </w:rPr>
        <w:t xml:space="preserve">Kadangi mažai naprokseno patenka į kraujagyslių sistemą, vietiškai vartojamo vaisto perdozavimo ar apsinuodijimo pavojaus nėra.  </w:t>
      </w:r>
    </w:p>
    <w:p w:rsidR="00FF2526" w:rsidRDefault="00FF2526" w:rsidP="00FF2526">
      <w:pPr>
        <w:rPr>
          <w:szCs w:val="22"/>
          <w:lang w:val="lt-LT"/>
        </w:rPr>
      </w:pPr>
      <w:r>
        <w:rPr>
          <w:szCs w:val="22"/>
          <w:lang w:val="lt-LT"/>
        </w:rPr>
        <w:t xml:space="preserve">Visgi netinkamas vartojimas ar atsitiktinis nurijimas gali sukelti sisteminį šalutinį poveikį. Tokiu atveju gydytojas turės panaudoti bendrąsias gydomąsias priemones, paprastai vartojamas gydyti apsinuodijimą nesteroidiniais vaistais nuo uždegimo. </w:t>
      </w:r>
    </w:p>
    <w:p w:rsidR="00FF2526" w:rsidRDefault="00FF2526" w:rsidP="00FF2526">
      <w:pPr>
        <w:rPr>
          <w:szCs w:val="22"/>
          <w:lang w:val="lt-LT"/>
        </w:rPr>
      </w:pPr>
      <w:r>
        <w:rPr>
          <w:szCs w:val="22"/>
          <w:lang w:val="lt-LT"/>
        </w:rPr>
        <w:t>Jeigu atsitiktinai nurijote vaisto, pasakykite apie tai gydytojui.</w:t>
      </w:r>
    </w:p>
    <w:p w:rsidR="00FF2526" w:rsidRDefault="00FF2526" w:rsidP="00FF2526">
      <w:pPr>
        <w:rPr>
          <w:szCs w:val="22"/>
          <w:lang w:val="lt-LT"/>
        </w:rPr>
      </w:pPr>
      <w:r>
        <w:rPr>
          <w:bCs/>
          <w:iCs/>
          <w:szCs w:val="22"/>
          <w:lang w:val="lt-LT"/>
        </w:rPr>
        <w:t>Jeigu kiltų daugiau klausimų apie vaisto vartojimą, kreipkitės į gydytoją arba vaistininką.</w:t>
      </w:r>
    </w:p>
    <w:p w:rsidR="00FF2526" w:rsidRDefault="00FF2526" w:rsidP="00FF2526">
      <w:pPr>
        <w:numPr>
          <w:ilvl w:val="12"/>
          <w:numId w:val="0"/>
        </w:numPr>
        <w:tabs>
          <w:tab w:val="clear" w:pos="567"/>
        </w:tabs>
        <w:spacing w:line="240" w:lineRule="auto"/>
        <w:ind w:right="-29"/>
        <w:rPr>
          <w:szCs w:val="22"/>
          <w:lang w:val="lt-LT"/>
        </w:rPr>
      </w:pPr>
    </w:p>
    <w:p w:rsidR="00FF2526" w:rsidRDefault="00FF2526" w:rsidP="00FF2526">
      <w:pPr>
        <w:numPr>
          <w:ilvl w:val="12"/>
          <w:numId w:val="0"/>
        </w:numPr>
        <w:tabs>
          <w:tab w:val="clear" w:pos="567"/>
        </w:tabs>
        <w:spacing w:line="240" w:lineRule="auto"/>
        <w:rPr>
          <w:szCs w:val="22"/>
          <w:lang w:val="lt-LT"/>
        </w:rPr>
      </w:pPr>
    </w:p>
    <w:p w:rsidR="00FF2526" w:rsidRDefault="00FF2526" w:rsidP="00FF2526">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4.</w:t>
      </w:r>
      <w:r>
        <w:rPr>
          <w:rFonts w:ascii="Times New Roman" w:hAnsi="Times New Roman"/>
          <w:sz w:val="22"/>
          <w:szCs w:val="22"/>
          <w:lang w:val="lt-LT"/>
        </w:rPr>
        <w:tab/>
        <w:t>Galimas šalutinis poveikis</w:t>
      </w:r>
    </w:p>
    <w:p w:rsidR="00FF2526" w:rsidRDefault="00FF2526" w:rsidP="00FF2526">
      <w:pPr>
        <w:numPr>
          <w:ilvl w:val="12"/>
          <w:numId w:val="0"/>
        </w:numPr>
        <w:tabs>
          <w:tab w:val="clear" w:pos="567"/>
        </w:tabs>
        <w:spacing w:line="240" w:lineRule="auto"/>
        <w:rPr>
          <w:szCs w:val="22"/>
          <w:lang w:val="lt-LT"/>
        </w:rPr>
      </w:pPr>
    </w:p>
    <w:p w:rsidR="00FF2526" w:rsidRDefault="00FF2526" w:rsidP="00FF2526">
      <w:pPr>
        <w:numPr>
          <w:ilvl w:val="12"/>
          <w:numId w:val="0"/>
        </w:numPr>
        <w:tabs>
          <w:tab w:val="clear" w:pos="567"/>
        </w:tabs>
        <w:spacing w:line="240" w:lineRule="auto"/>
        <w:ind w:right="-29"/>
        <w:rPr>
          <w:noProof/>
          <w:szCs w:val="22"/>
          <w:lang w:val="lt-LT"/>
        </w:rPr>
      </w:pPr>
      <w:r>
        <w:rPr>
          <w:noProof/>
          <w:szCs w:val="22"/>
          <w:lang w:val="lt-LT"/>
        </w:rPr>
        <w:t>Šis vaistas, kaip ir visi kiti, gali sukelti šalutinį poveikį, nors jis pasireiškia ne visiems žmonėms.</w:t>
      </w:r>
    </w:p>
    <w:p w:rsidR="00FF2526" w:rsidRDefault="00FF2526" w:rsidP="00FF2526">
      <w:pPr>
        <w:numPr>
          <w:ilvl w:val="12"/>
          <w:numId w:val="0"/>
        </w:numPr>
        <w:tabs>
          <w:tab w:val="clear" w:pos="567"/>
        </w:tabs>
        <w:spacing w:line="240" w:lineRule="auto"/>
        <w:ind w:right="-29"/>
        <w:rPr>
          <w:noProof/>
          <w:szCs w:val="22"/>
          <w:lang w:val="lt-LT"/>
        </w:rPr>
      </w:pPr>
      <w:r>
        <w:rPr>
          <w:noProof/>
          <w:szCs w:val="22"/>
          <w:lang w:val="lt-LT"/>
        </w:rPr>
        <w:t>Paprastai Trebexen yra labai gerai toleruojamas.</w:t>
      </w:r>
    </w:p>
    <w:p w:rsidR="00FF2526" w:rsidRDefault="00FF2526" w:rsidP="00FF2526">
      <w:pPr>
        <w:numPr>
          <w:ilvl w:val="12"/>
          <w:numId w:val="0"/>
        </w:numPr>
        <w:tabs>
          <w:tab w:val="clear" w:pos="567"/>
        </w:tabs>
        <w:spacing w:line="240" w:lineRule="auto"/>
        <w:ind w:right="-29"/>
        <w:rPr>
          <w:noProof/>
          <w:szCs w:val="22"/>
          <w:lang w:val="lt-LT"/>
        </w:rPr>
      </w:pPr>
    </w:p>
    <w:p w:rsidR="00FF2526" w:rsidRDefault="00FF2526" w:rsidP="00FF2526">
      <w:pPr>
        <w:numPr>
          <w:ilvl w:val="12"/>
          <w:numId w:val="0"/>
        </w:numPr>
        <w:tabs>
          <w:tab w:val="clear" w:pos="567"/>
        </w:tabs>
        <w:spacing w:line="240" w:lineRule="auto"/>
        <w:ind w:right="-29"/>
        <w:rPr>
          <w:color w:val="000000"/>
          <w:szCs w:val="22"/>
          <w:u w:val="single"/>
          <w:lang w:val="lt-LT" w:eastAsia="pl-PL"/>
        </w:rPr>
      </w:pPr>
      <w:r>
        <w:rPr>
          <w:color w:val="000000"/>
          <w:szCs w:val="22"/>
          <w:u w:val="single"/>
          <w:lang w:val="lt-LT" w:eastAsia="pl-PL"/>
        </w:rPr>
        <w:t>Odos ir poodinio audinio sutrikimai</w:t>
      </w:r>
    </w:p>
    <w:p w:rsidR="00FF2526" w:rsidRDefault="00FF2526" w:rsidP="00FF2526">
      <w:pPr>
        <w:numPr>
          <w:ilvl w:val="12"/>
          <w:numId w:val="0"/>
        </w:numPr>
        <w:tabs>
          <w:tab w:val="clear" w:pos="567"/>
        </w:tabs>
        <w:spacing w:line="240" w:lineRule="auto"/>
        <w:ind w:right="-29"/>
        <w:rPr>
          <w:lang w:val="lt-LT"/>
        </w:rPr>
      </w:pPr>
      <w:r>
        <w:rPr>
          <w:color w:val="000000"/>
          <w:szCs w:val="22"/>
          <w:lang w:val="lt-LT" w:eastAsia="pl-PL"/>
        </w:rPr>
        <w:t>Dažnis nežinomas (negali būti apskaičiuotas pagal turimus duomenis): gali pasireikšti v</w:t>
      </w:r>
      <w:r>
        <w:rPr>
          <w:lang w:val="lt-LT"/>
        </w:rPr>
        <w:t xml:space="preserve">ietinis odos sudirginimas (raudonė (eritema), išbėrimas, niežulys, pūslės), kuris praeina nutraukus gydymą. </w:t>
      </w:r>
    </w:p>
    <w:p w:rsidR="00FF2526" w:rsidRDefault="00FF2526" w:rsidP="00FF2526">
      <w:pPr>
        <w:numPr>
          <w:ilvl w:val="12"/>
          <w:numId w:val="0"/>
        </w:numPr>
        <w:tabs>
          <w:tab w:val="clear" w:pos="567"/>
        </w:tabs>
        <w:spacing w:line="240" w:lineRule="auto"/>
        <w:ind w:right="-29"/>
        <w:rPr>
          <w:lang w:val="lt-LT"/>
        </w:rPr>
      </w:pPr>
    </w:p>
    <w:p w:rsidR="00FF2526" w:rsidRDefault="00FF2526" w:rsidP="00FF2526">
      <w:pPr>
        <w:rPr>
          <w:szCs w:val="22"/>
          <w:lang w:val="lt-LT"/>
        </w:rPr>
      </w:pPr>
      <w:r>
        <w:rPr>
          <w:szCs w:val="22"/>
          <w:lang w:val="lt-LT"/>
        </w:rPr>
        <w:t xml:space="preserve">Gydant ilgą laiką didelius odos plotus gali pasireikšti sisteminis nepageidaujamas poveikis, pvz., mieguistumas, viduriavimas, pykinimas, galvos skausmas, padidėjusio jautrumo reakcijos (alergija). Jei pasireiškė bet kuris nepageidaujamas poveikis, pasakykite gydytojui. Jei atsirado kvėpavimo problemų ar odos pasikeitimų, nedelsdami nustokite vartoti vaistą, susisiekite su gydytoju ar apsilankykite artimiausioje ligoninėje. </w:t>
      </w:r>
    </w:p>
    <w:p w:rsidR="00FF2526" w:rsidRDefault="00FF2526" w:rsidP="00FF2526">
      <w:pPr>
        <w:numPr>
          <w:ilvl w:val="12"/>
          <w:numId w:val="0"/>
        </w:numPr>
        <w:tabs>
          <w:tab w:val="clear" w:pos="567"/>
        </w:tabs>
        <w:spacing w:line="240" w:lineRule="auto"/>
        <w:ind w:right="-29"/>
        <w:rPr>
          <w:lang w:val="lt-LT"/>
        </w:rPr>
      </w:pPr>
    </w:p>
    <w:p w:rsidR="00FF2526" w:rsidRDefault="00FF2526" w:rsidP="00FF2526">
      <w:pPr>
        <w:spacing w:line="240" w:lineRule="auto"/>
        <w:rPr>
          <w:b/>
          <w:szCs w:val="22"/>
          <w:lang w:val="lt-LT"/>
        </w:rPr>
      </w:pPr>
      <w:r>
        <w:rPr>
          <w:b/>
          <w:noProof/>
          <w:szCs w:val="22"/>
          <w:lang w:val="lt-LT"/>
        </w:rPr>
        <w:t>Pranešimas apie šalutinį poveikį</w:t>
      </w:r>
    </w:p>
    <w:p w:rsidR="00FF2526" w:rsidRDefault="00FF2526" w:rsidP="00FF2526">
      <w:pPr>
        <w:rPr>
          <w:noProof/>
          <w:szCs w:val="22"/>
          <w:lang w:val="lt-LT"/>
        </w:rPr>
      </w:pPr>
      <w:r>
        <w:rPr>
          <w:noProof/>
          <w:szCs w:val="22"/>
          <w:lang w:val="lt-LT"/>
        </w:rPr>
        <w:t>Jeigu pasireiškė šalutinis poveikis, įskaitant šiame lapelyje nenurodytą, pasakykite gydytojui vaistininkui</w:t>
      </w:r>
      <w:r>
        <w:rPr>
          <w:szCs w:val="22"/>
          <w:lang w:val="lt-LT"/>
        </w:rPr>
        <w:t>.</w:t>
      </w:r>
      <w:r>
        <w:rPr>
          <w:noProof/>
          <w:szCs w:val="22"/>
          <w:lang w:val="lt-LT"/>
        </w:rPr>
        <w:t xml:space="preserve"> Apie šalutinį poveikį taip pat galite pranešti Valstybinei vaistų kontrolės tarnybai prie Lietuvos Respublikos sveikatos apsaugos ministerijos nemokamu telefonu 8 800 73568 arba užpildyti interneto svetainėje </w:t>
      </w:r>
      <w:hyperlink r:id="rId5" w:history="1">
        <w:r>
          <w:rPr>
            <w:rStyle w:val="Hipersaitas"/>
            <w:noProof/>
            <w:szCs w:val="22"/>
            <w:lang w:val="lt-LT"/>
          </w:rPr>
          <w:t>www.vvkt.lt</w:t>
        </w:r>
      </w:hyperlink>
      <w:r>
        <w:rPr>
          <w:noProof/>
          <w:szCs w:val="22"/>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Pr>
            <w:rStyle w:val="Hipersaitas"/>
            <w:noProof/>
            <w:szCs w:val="22"/>
            <w:lang w:val="lt-LT"/>
          </w:rPr>
          <w:t>NepageidaujamaR@vvkt.lt</w:t>
        </w:r>
      </w:hyperlink>
      <w:r>
        <w:rPr>
          <w:noProof/>
          <w:szCs w:val="22"/>
          <w:lang w:val="lt-LT"/>
        </w:rPr>
        <w:t xml:space="preserve">, taip pat per Valstybinės vaistų kontrolės tarnybos prie Lietuvos Respublikos sveikatos apsaugos ministerijos interneto svetainę (adresu </w:t>
      </w:r>
      <w:hyperlink r:id="rId7" w:history="1">
        <w:r>
          <w:rPr>
            <w:rStyle w:val="Hipersaitas"/>
            <w:noProof/>
            <w:szCs w:val="22"/>
            <w:lang w:val="lt-LT"/>
          </w:rPr>
          <w:t>http://www.vvkt.lt</w:t>
        </w:r>
      </w:hyperlink>
      <w:r>
        <w:rPr>
          <w:noProof/>
          <w:szCs w:val="22"/>
          <w:lang w:val="lt-LT"/>
        </w:rPr>
        <w:t>). Pranešdami apie šalutinį poveikį galite mums padėti gauti daugiau informacijos apie šio vaisto saugumą.</w:t>
      </w:r>
    </w:p>
    <w:p w:rsidR="00FF2526" w:rsidRDefault="00FF2526" w:rsidP="00FF2526">
      <w:pPr>
        <w:ind w:right="-449"/>
        <w:rPr>
          <w:noProof/>
          <w:szCs w:val="22"/>
          <w:lang w:val="lt-LT"/>
        </w:rPr>
      </w:pPr>
    </w:p>
    <w:p w:rsidR="00FF2526" w:rsidRDefault="00FF2526" w:rsidP="00FF2526">
      <w:pPr>
        <w:ind w:right="-449"/>
        <w:rPr>
          <w:noProof/>
          <w:szCs w:val="22"/>
          <w:lang w:val="lt-LT"/>
        </w:rPr>
      </w:pPr>
    </w:p>
    <w:p w:rsidR="00FF2526" w:rsidRDefault="00FF2526" w:rsidP="00FF2526">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5.</w:t>
      </w:r>
      <w:r>
        <w:rPr>
          <w:rFonts w:ascii="Times New Roman" w:hAnsi="Times New Roman"/>
          <w:sz w:val="22"/>
          <w:szCs w:val="22"/>
          <w:lang w:val="lt-LT"/>
        </w:rPr>
        <w:tab/>
        <w:t>Kaip laikyti Trebexen</w:t>
      </w:r>
    </w:p>
    <w:p w:rsidR="00FF2526" w:rsidRDefault="00FF2526" w:rsidP="00FF2526">
      <w:pPr>
        <w:numPr>
          <w:ilvl w:val="12"/>
          <w:numId w:val="0"/>
        </w:numPr>
        <w:tabs>
          <w:tab w:val="clear" w:pos="567"/>
        </w:tabs>
        <w:spacing w:line="240" w:lineRule="auto"/>
        <w:ind w:right="-2"/>
        <w:rPr>
          <w:szCs w:val="22"/>
          <w:lang w:val="lt-LT"/>
        </w:rPr>
      </w:pPr>
    </w:p>
    <w:p w:rsidR="00FF2526" w:rsidRDefault="00FF2526" w:rsidP="00FF2526">
      <w:pPr>
        <w:numPr>
          <w:ilvl w:val="12"/>
          <w:numId w:val="0"/>
        </w:numPr>
        <w:tabs>
          <w:tab w:val="clear" w:pos="567"/>
        </w:tabs>
        <w:spacing w:line="240" w:lineRule="auto"/>
        <w:ind w:right="-2"/>
        <w:rPr>
          <w:noProof/>
          <w:szCs w:val="22"/>
          <w:lang w:val="lt-LT"/>
        </w:rPr>
      </w:pPr>
      <w:r>
        <w:rPr>
          <w:noProof/>
          <w:szCs w:val="22"/>
          <w:lang w:val="lt-LT"/>
        </w:rPr>
        <w:t>Šį vaistą laikykite vaikams nepastebimoje ir nepasiekiamoje vietoje.</w:t>
      </w:r>
    </w:p>
    <w:p w:rsidR="00FF2526" w:rsidRDefault="00FF2526" w:rsidP="00FF2526">
      <w:pPr>
        <w:numPr>
          <w:ilvl w:val="12"/>
          <w:numId w:val="0"/>
        </w:numPr>
        <w:tabs>
          <w:tab w:val="clear" w:pos="567"/>
        </w:tabs>
        <w:spacing w:line="240" w:lineRule="auto"/>
        <w:ind w:right="-2"/>
        <w:rPr>
          <w:noProof/>
          <w:szCs w:val="22"/>
          <w:lang w:val="lt-LT"/>
        </w:rPr>
      </w:pPr>
      <w:r>
        <w:rPr>
          <w:noProof/>
          <w:szCs w:val="22"/>
          <w:lang w:val="lt-LT"/>
        </w:rPr>
        <w:t>Negalima šaldyti ar užšaldyti.</w:t>
      </w:r>
    </w:p>
    <w:p w:rsidR="00FF2526" w:rsidRDefault="00FF2526" w:rsidP="00FF2526">
      <w:pPr>
        <w:numPr>
          <w:ilvl w:val="12"/>
          <w:numId w:val="0"/>
        </w:numPr>
        <w:tabs>
          <w:tab w:val="clear" w:pos="567"/>
        </w:tabs>
        <w:spacing w:line="240" w:lineRule="auto"/>
        <w:ind w:right="-2"/>
        <w:rPr>
          <w:noProof/>
          <w:szCs w:val="22"/>
          <w:lang w:val="lt-LT"/>
        </w:rPr>
      </w:pPr>
      <w:r>
        <w:rPr>
          <w:noProof/>
          <w:szCs w:val="22"/>
          <w:lang w:val="lt-LT"/>
        </w:rPr>
        <w:t>Ant dėžutės po „Tinka iki“ ir tūbelės po „EXP“ nurodytam tinkamumo laikui pasibaigus, šio vaisto vartoti negalima. Vaistas tinkamas vartoti iki paskutinės nurodyto mėnesio dienos.</w:t>
      </w:r>
    </w:p>
    <w:p w:rsidR="00FF2526" w:rsidRDefault="00FF2526" w:rsidP="00FF2526">
      <w:pPr>
        <w:numPr>
          <w:ilvl w:val="12"/>
          <w:numId w:val="0"/>
        </w:numPr>
        <w:tabs>
          <w:tab w:val="clear" w:pos="567"/>
        </w:tabs>
        <w:spacing w:line="240" w:lineRule="auto"/>
        <w:ind w:right="-2"/>
        <w:rPr>
          <w:noProof/>
          <w:szCs w:val="22"/>
          <w:lang w:val="lt-LT"/>
        </w:rPr>
      </w:pPr>
      <w:r>
        <w:rPr>
          <w:noProof/>
          <w:szCs w:val="22"/>
          <w:lang w:val="lt-LT"/>
        </w:rPr>
        <w:t xml:space="preserve">Pastebėjus kokių nors išvaizdos ar kvapo pokyčių, šio vaisto vartoti negalima. </w:t>
      </w:r>
    </w:p>
    <w:p w:rsidR="00FF2526" w:rsidRDefault="00FF2526" w:rsidP="00FF2526">
      <w:pPr>
        <w:numPr>
          <w:ilvl w:val="12"/>
          <w:numId w:val="0"/>
        </w:numPr>
        <w:tabs>
          <w:tab w:val="clear" w:pos="567"/>
        </w:tabs>
        <w:spacing w:line="240" w:lineRule="auto"/>
        <w:ind w:right="-2"/>
        <w:rPr>
          <w:noProof/>
          <w:szCs w:val="22"/>
          <w:lang w:val="lt-LT"/>
        </w:rPr>
      </w:pPr>
      <w:r>
        <w:rPr>
          <w:noProof/>
          <w:szCs w:val="22"/>
          <w:lang w:val="lt-LT"/>
        </w:rPr>
        <w:t xml:space="preserve">Po pirmojo atidarymo: suvartoti per 6 mėnesius. </w:t>
      </w:r>
    </w:p>
    <w:p w:rsidR="00FF2526" w:rsidRDefault="00FF2526" w:rsidP="00FF2526">
      <w:pPr>
        <w:numPr>
          <w:ilvl w:val="12"/>
          <w:numId w:val="0"/>
        </w:numPr>
        <w:tabs>
          <w:tab w:val="clear" w:pos="567"/>
        </w:tabs>
        <w:spacing w:line="240" w:lineRule="auto"/>
        <w:ind w:right="-2"/>
        <w:rPr>
          <w:noProof/>
          <w:szCs w:val="22"/>
          <w:lang w:val="lt-LT"/>
        </w:rPr>
      </w:pPr>
      <w:r>
        <w:rPr>
          <w:noProof/>
          <w:szCs w:val="22"/>
          <w:lang w:val="lt-LT"/>
        </w:rPr>
        <w:t>Vaistų negalima išmesti į kanalizaciją arba su buitinėmis atliekomis. Kaip išmesti nereikalingus vaistus, klauskite vaistininko. Šios priemonės padės apsaugoti aplinką.</w:t>
      </w:r>
    </w:p>
    <w:p w:rsidR="00FF2526" w:rsidRDefault="00FF2526" w:rsidP="00FF2526">
      <w:pPr>
        <w:numPr>
          <w:ilvl w:val="12"/>
          <w:numId w:val="0"/>
        </w:numPr>
        <w:tabs>
          <w:tab w:val="clear" w:pos="567"/>
        </w:tabs>
        <w:spacing w:line="240" w:lineRule="auto"/>
        <w:ind w:right="-2"/>
        <w:rPr>
          <w:noProof/>
          <w:szCs w:val="22"/>
          <w:lang w:val="lt-LT"/>
        </w:rPr>
      </w:pPr>
    </w:p>
    <w:p w:rsidR="00FF2526" w:rsidRDefault="00FF2526" w:rsidP="00FF2526">
      <w:pPr>
        <w:numPr>
          <w:ilvl w:val="12"/>
          <w:numId w:val="0"/>
        </w:numPr>
        <w:tabs>
          <w:tab w:val="clear" w:pos="567"/>
        </w:tabs>
        <w:spacing w:line="240" w:lineRule="auto"/>
        <w:ind w:right="-2"/>
        <w:rPr>
          <w:noProof/>
          <w:szCs w:val="22"/>
          <w:lang w:val="lt-LT"/>
        </w:rPr>
      </w:pPr>
    </w:p>
    <w:p w:rsidR="00FF2526" w:rsidRDefault="00FF2526" w:rsidP="00FF2526">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6.</w:t>
      </w:r>
      <w:r>
        <w:rPr>
          <w:rFonts w:ascii="Times New Roman" w:hAnsi="Times New Roman"/>
          <w:b w:val="0"/>
          <w:sz w:val="22"/>
          <w:szCs w:val="22"/>
          <w:lang w:val="lt-LT"/>
        </w:rPr>
        <w:tab/>
      </w:r>
      <w:r>
        <w:rPr>
          <w:rFonts w:ascii="Times New Roman" w:hAnsi="Times New Roman"/>
          <w:sz w:val="22"/>
          <w:szCs w:val="22"/>
          <w:lang w:val="lt-LT"/>
        </w:rPr>
        <w:t>Pakuotės turinys ir kita informacija</w:t>
      </w:r>
    </w:p>
    <w:p w:rsidR="00FF2526" w:rsidRDefault="00FF2526" w:rsidP="00FF2526">
      <w:pPr>
        <w:pStyle w:val="Antrat4"/>
        <w:rPr>
          <w:rFonts w:ascii="Times New Roman" w:hAnsi="Times New Roman"/>
          <w:sz w:val="22"/>
          <w:szCs w:val="22"/>
          <w:lang w:val="lt-LT"/>
        </w:rPr>
      </w:pPr>
    </w:p>
    <w:p w:rsidR="00FF2526" w:rsidRDefault="00FF2526" w:rsidP="00FF2526">
      <w:pPr>
        <w:pStyle w:val="Antrat4"/>
        <w:rPr>
          <w:rFonts w:ascii="Times New Roman" w:hAnsi="Times New Roman"/>
          <w:sz w:val="22"/>
          <w:szCs w:val="22"/>
          <w:lang w:val="lt-LT"/>
        </w:rPr>
      </w:pPr>
      <w:r>
        <w:rPr>
          <w:rFonts w:ascii="Times New Roman" w:hAnsi="Times New Roman"/>
          <w:sz w:val="22"/>
          <w:szCs w:val="22"/>
          <w:lang w:val="lt-LT"/>
        </w:rPr>
        <w:t xml:space="preserve">Trebexen sudėtis </w:t>
      </w:r>
    </w:p>
    <w:p w:rsidR="00FF2526" w:rsidRDefault="00FF2526" w:rsidP="00FF2526">
      <w:pPr>
        <w:numPr>
          <w:ilvl w:val="0"/>
          <w:numId w:val="2"/>
        </w:numPr>
        <w:tabs>
          <w:tab w:val="clear" w:pos="567"/>
        </w:tabs>
        <w:spacing w:line="240" w:lineRule="auto"/>
        <w:ind w:left="567" w:right="-2" w:hanging="567"/>
        <w:rPr>
          <w:szCs w:val="22"/>
          <w:lang w:val="lt-LT"/>
        </w:rPr>
      </w:pPr>
      <w:r>
        <w:rPr>
          <w:noProof/>
          <w:szCs w:val="22"/>
          <w:lang w:val="lt-LT"/>
        </w:rPr>
        <w:t xml:space="preserve">Veiklioji medžiaga yra naproksenas. </w:t>
      </w:r>
    </w:p>
    <w:p w:rsidR="00FF2526" w:rsidRDefault="00FF2526" w:rsidP="00FF2526">
      <w:pPr>
        <w:numPr>
          <w:ilvl w:val="0"/>
          <w:numId w:val="2"/>
        </w:numPr>
        <w:tabs>
          <w:tab w:val="clear" w:pos="567"/>
        </w:tabs>
        <w:spacing w:line="240" w:lineRule="auto"/>
        <w:ind w:left="567" w:right="-2" w:hanging="567"/>
        <w:rPr>
          <w:szCs w:val="22"/>
          <w:lang w:val="lt-LT"/>
        </w:rPr>
      </w:pPr>
      <w:r>
        <w:rPr>
          <w:noProof/>
          <w:szCs w:val="22"/>
          <w:lang w:val="lt-LT"/>
        </w:rPr>
        <w:t>Pagalbinės medžiagos yra chloralio hidratas, levomentolis, etanolis (96 %), etilo parahidroksibenzoatas (E214), natrio hidroksidas, karbomerai, išgrynintas vanduo.</w:t>
      </w:r>
    </w:p>
    <w:p w:rsidR="00FF2526" w:rsidRDefault="00FF2526" w:rsidP="00FF2526">
      <w:pPr>
        <w:numPr>
          <w:ilvl w:val="12"/>
          <w:numId w:val="0"/>
        </w:numPr>
        <w:tabs>
          <w:tab w:val="clear" w:pos="567"/>
        </w:tabs>
        <w:spacing w:line="240" w:lineRule="auto"/>
        <w:ind w:right="-2"/>
        <w:rPr>
          <w:szCs w:val="22"/>
          <w:lang w:val="lt-LT"/>
        </w:rPr>
      </w:pPr>
    </w:p>
    <w:p w:rsidR="00FF2526" w:rsidRDefault="00FF2526" w:rsidP="00FF2526">
      <w:pPr>
        <w:pStyle w:val="Antrat4"/>
        <w:rPr>
          <w:szCs w:val="22"/>
          <w:lang w:val="lt-LT"/>
        </w:rPr>
      </w:pPr>
      <w:r>
        <w:rPr>
          <w:rFonts w:ascii="Times New Roman" w:hAnsi="Times New Roman"/>
          <w:sz w:val="22"/>
          <w:szCs w:val="22"/>
          <w:lang w:val="lt-LT"/>
        </w:rPr>
        <w:t>Trebexen išvaizda ir kiekis pakuotėje</w:t>
      </w:r>
    </w:p>
    <w:p w:rsidR="00FF2526" w:rsidRDefault="00FF2526" w:rsidP="00FF2526">
      <w:pPr>
        <w:rPr>
          <w:szCs w:val="22"/>
          <w:lang w:val="lt-LT"/>
        </w:rPr>
      </w:pPr>
      <w:r>
        <w:rPr>
          <w:szCs w:val="22"/>
          <w:lang w:val="lt-LT"/>
        </w:rPr>
        <w:t>Trebexen yra baltos vienalytės gelio konsistencijos masės vaistas, be jokių kietųjų dalelių, mentoliui būdingo kvapo.</w:t>
      </w:r>
    </w:p>
    <w:p w:rsidR="00FF2526" w:rsidRDefault="00FF2526" w:rsidP="00FF2526">
      <w:pPr>
        <w:numPr>
          <w:ilvl w:val="12"/>
          <w:numId w:val="0"/>
        </w:numPr>
        <w:tabs>
          <w:tab w:val="clear" w:pos="567"/>
        </w:tabs>
        <w:spacing w:line="240" w:lineRule="auto"/>
        <w:ind w:right="-2"/>
        <w:rPr>
          <w:szCs w:val="22"/>
          <w:lang w:val="lt-LT"/>
        </w:rPr>
      </w:pPr>
    </w:p>
    <w:p w:rsidR="00FF2526" w:rsidRDefault="00FF2526" w:rsidP="00FF2526">
      <w:pPr>
        <w:numPr>
          <w:ilvl w:val="12"/>
          <w:numId w:val="0"/>
        </w:numPr>
        <w:tabs>
          <w:tab w:val="clear" w:pos="567"/>
        </w:tabs>
        <w:spacing w:line="240" w:lineRule="auto"/>
        <w:ind w:right="-2"/>
        <w:rPr>
          <w:szCs w:val="22"/>
          <w:lang w:val="lt-LT"/>
        </w:rPr>
      </w:pPr>
      <w:r>
        <w:rPr>
          <w:szCs w:val="22"/>
          <w:lang w:val="lt-LT"/>
        </w:rPr>
        <w:t xml:space="preserve">Pakuotė: kartono dėžutė, kurioje yra 55 g arba 100 g aliuminio tūbelė. </w:t>
      </w:r>
    </w:p>
    <w:p w:rsidR="00FF2526" w:rsidRDefault="00FF2526" w:rsidP="00FF2526">
      <w:pPr>
        <w:numPr>
          <w:ilvl w:val="12"/>
          <w:numId w:val="0"/>
        </w:numPr>
        <w:tabs>
          <w:tab w:val="clear" w:pos="567"/>
        </w:tabs>
        <w:spacing w:line="240" w:lineRule="auto"/>
        <w:ind w:right="-2"/>
        <w:rPr>
          <w:szCs w:val="22"/>
          <w:lang w:val="lt-LT"/>
        </w:rPr>
      </w:pPr>
      <w:r>
        <w:rPr>
          <w:szCs w:val="22"/>
          <w:lang w:val="lt-LT"/>
        </w:rPr>
        <w:t>Gali būti tiekiamos ne visų dydžių pakuotės</w:t>
      </w:r>
    </w:p>
    <w:p w:rsidR="00FF2526" w:rsidRDefault="00FF2526" w:rsidP="00FF2526">
      <w:pPr>
        <w:numPr>
          <w:ilvl w:val="12"/>
          <w:numId w:val="0"/>
        </w:numPr>
        <w:tabs>
          <w:tab w:val="clear" w:pos="567"/>
        </w:tabs>
        <w:spacing w:line="240" w:lineRule="auto"/>
        <w:ind w:right="-2"/>
        <w:rPr>
          <w:szCs w:val="22"/>
          <w:lang w:val="lt-LT"/>
        </w:rPr>
      </w:pPr>
    </w:p>
    <w:p w:rsidR="00FF2526" w:rsidRDefault="00FF2526" w:rsidP="00FF2526">
      <w:pPr>
        <w:pStyle w:val="Antrat4"/>
        <w:rPr>
          <w:rFonts w:ascii="Times New Roman" w:hAnsi="Times New Roman"/>
          <w:sz w:val="22"/>
          <w:szCs w:val="22"/>
          <w:lang w:val="lt-LT"/>
        </w:rPr>
      </w:pPr>
      <w:r>
        <w:rPr>
          <w:rFonts w:ascii="Times New Roman" w:hAnsi="Times New Roman"/>
          <w:sz w:val="22"/>
          <w:szCs w:val="22"/>
          <w:lang w:val="lt-LT"/>
        </w:rPr>
        <w:t xml:space="preserve">Registruotojas </w:t>
      </w:r>
    </w:p>
    <w:p w:rsidR="00FF2526" w:rsidRDefault="00FF2526" w:rsidP="00FF2526">
      <w:pPr>
        <w:tabs>
          <w:tab w:val="clear" w:pos="567"/>
        </w:tabs>
        <w:spacing w:line="240" w:lineRule="auto"/>
        <w:rPr>
          <w:bCs/>
          <w:szCs w:val="22"/>
        </w:rPr>
      </w:pPr>
      <w:r w:rsidRPr="00556D26">
        <w:rPr>
          <w:bCs/>
          <w:szCs w:val="22"/>
          <w:lang w:val="en-US"/>
        </w:rPr>
        <w:t xml:space="preserve">STADA </w:t>
      </w:r>
      <w:r w:rsidRPr="00556D26">
        <w:rPr>
          <w:bCs/>
          <w:szCs w:val="22"/>
        </w:rPr>
        <w:t>Arzneimittel AG</w:t>
      </w:r>
    </w:p>
    <w:p w:rsidR="00FF2526" w:rsidRDefault="00FF2526" w:rsidP="00FF2526">
      <w:pPr>
        <w:tabs>
          <w:tab w:val="clear" w:pos="567"/>
        </w:tabs>
        <w:spacing w:line="240" w:lineRule="auto"/>
        <w:rPr>
          <w:bCs/>
        </w:rPr>
      </w:pPr>
      <w:r w:rsidRPr="00556D26">
        <w:rPr>
          <w:bCs/>
        </w:rPr>
        <w:t>Stadastrasse 2-18</w:t>
      </w:r>
    </w:p>
    <w:p w:rsidR="00FF2526" w:rsidRPr="00556D26" w:rsidRDefault="00FF2526" w:rsidP="00FF2526">
      <w:pPr>
        <w:tabs>
          <w:tab w:val="clear" w:pos="567"/>
        </w:tabs>
        <w:spacing w:line="240" w:lineRule="auto"/>
        <w:rPr>
          <w:bCs/>
        </w:rPr>
      </w:pPr>
      <w:r w:rsidRPr="00556D26">
        <w:rPr>
          <w:bCs/>
        </w:rPr>
        <w:t>61118 Bad Vilbel</w:t>
      </w:r>
    </w:p>
    <w:p w:rsidR="00FF2526" w:rsidRPr="003753DB" w:rsidRDefault="00FF2526" w:rsidP="00FF2526">
      <w:pPr>
        <w:rPr>
          <w:bCs/>
          <w:lang w:val="pl-PL"/>
        </w:rPr>
      </w:pPr>
      <w:r w:rsidRPr="003753DB">
        <w:rPr>
          <w:bCs/>
          <w:lang w:val="pl-PL"/>
        </w:rPr>
        <w:t>Vokietija</w:t>
      </w:r>
    </w:p>
    <w:p w:rsidR="00FF2526" w:rsidRDefault="00FF2526" w:rsidP="00FF2526">
      <w:pPr>
        <w:pStyle w:val="Antrat4"/>
        <w:rPr>
          <w:rFonts w:ascii="Times New Roman" w:hAnsi="Times New Roman"/>
          <w:sz w:val="22"/>
          <w:szCs w:val="22"/>
          <w:lang w:val="lt-LT"/>
        </w:rPr>
      </w:pPr>
    </w:p>
    <w:p w:rsidR="00FF2526" w:rsidRDefault="00FF2526" w:rsidP="00FF2526">
      <w:pPr>
        <w:pStyle w:val="Antrat4"/>
        <w:rPr>
          <w:rFonts w:ascii="Times New Roman" w:hAnsi="Times New Roman"/>
          <w:sz w:val="22"/>
          <w:szCs w:val="22"/>
          <w:lang w:val="lt-LT"/>
        </w:rPr>
      </w:pPr>
      <w:r>
        <w:rPr>
          <w:rFonts w:ascii="Times New Roman" w:hAnsi="Times New Roman"/>
          <w:sz w:val="22"/>
          <w:szCs w:val="22"/>
          <w:lang w:val="lt-LT"/>
        </w:rPr>
        <w:t>Gamintojas</w:t>
      </w:r>
    </w:p>
    <w:p w:rsidR="00FF2526" w:rsidRPr="003753DB" w:rsidRDefault="00FF2526" w:rsidP="00FF2526">
      <w:pPr>
        <w:rPr>
          <w:szCs w:val="22"/>
          <w:lang w:val="pl-PL"/>
        </w:rPr>
      </w:pPr>
      <w:r w:rsidRPr="003753DB">
        <w:rPr>
          <w:szCs w:val="22"/>
          <w:lang w:val="pl-PL"/>
        </w:rPr>
        <w:t>EMO-FARM Sp. z o.o.</w:t>
      </w:r>
    </w:p>
    <w:p w:rsidR="00FF2526" w:rsidRPr="003753DB" w:rsidRDefault="00FF2526" w:rsidP="00FF2526">
      <w:pPr>
        <w:rPr>
          <w:szCs w:val="22"/>
          <w:lang w:val="pl-PL"/>
        </w:rPr>
      </w:pPr>
      <w:r w:rsidRPr="003753DB">
        <w:rPr>
          <w:szCs w:val="22"/>
          <w:lang w:val="pl-PL"/>
        </w:rPr>
        <w:t>ul. Łódzka 52</w:t>
      </w:r>
    </w:p>
    <w:p w:rsidR="00FF2526" w:rsidRPr="003753DB" w:rsidRDefault="00FF2526" w:rsidP="00FF2526">
      <w:pPr>
        <w:rPr>
          <w:color w:val="000000"/>
          <w:szCs w:val="22"/>
          <w:lang w:val="pl-PL"/>
        </w:rPr>
      </w:pPr>
      <w:r w:rsidRPr="003753DB">
        <w:rPr>
          <w:szCs w:val="22"/>
          <w:lang w:val="pl-PL"/>
        </w:rPr>
        <w:t>95-054 Ksawerów</w:t>
      </w:r>
      <w:r w:rsidRPr="003753DB">
        <w:rPr>
          <w:szCs w:val="22"/>
          <w:lang w:val="pl-PL"/>
        </w:rPr>
        <w:br/>
        <w:t>Lenkija</w:t>
      </w:r>
    </w:p>
    <w:p w:rsidR="00FF2526" w:rsidRDefault="00FF2526" w:rsidP="00FF2526">
      <w:pPr>
        <w:numPr>
          <w:ilvl w:val="12"/>
          <w:numId w:val="0"/>
        </w:numPr>
        <w:ind w:right="-2"/>
        <w:rPr>
          <w:szCs w:val="22"/>
          <w:lang w:val="lt-LT"/>
        </w:rPr>
      </w:pPr>
    </w:p>
    <w:p w:rsidR="00FF2526" w:rsidRDefault="00FF2526" w:rsidP="00FF2526">
      <w:pPr>
        <w:numPr>
          <w:ilvl w:val="12"/>
          <w:numId w:val="0"/>
        </w:numPr>
        <w:ind w:right="-2"/>
        <w:rPr>
          <w:szCs w:val="22"/>
          <w:lang w:val="lt-LT"/>
        </w:rPr>
      </w:pPr>
      <w:r>
        <w:rPr>
          <w:b/>
          <w:szCs w:val="22"/>
          <w:lang w:val="lt-LT"/>
        </w:rPr>
        <w:t>Šis vaistas EEE valstybėse narėse registruotas tokiais pavadinimais</w:t>
      </w:r>
      <w:r>
        <w:rPr>
          <w:szCs w:val="22"/>
          <w:lang w:val="lt-LT"/>
        </w:rPr>
        <w:t>:</w:t>
      </w:r>
    </w:p>
    <w:p w:rsidR="00FF2526" w:rsidRDefault="00FF2526" w:rsidP="00FF2526">
      <w:pPr>
        <w:tabs>
          <w:tab w:val="clear" w:pos="567"/>
          <w:tab w:val="left" w:pos="993"/>
        </w:tabs>
        <w:ind w:left="993" w:hanging="993"/>
        <w:rPr>
          <w:szCs w:val="22"/>
          <w:lang w:val="lt-LT"/>
        </w:rPr>
      </w:pPr>
      <w:r>
        <w:rPr>
          <w:szCs w:val="22"/>
          <w:lang w:val="lt-LT"/>
        </w:rPr>
        <w:t>Rumunija</w:t>
      </w:r>
      <w:r>
        <w:rPr>
          <w:szCs w:val="22"/>
          <w:lang w:val="lt-LT"/>
        </w:rPr>
        <w:tab/>
      </w:r>
      <w:r w:rsidRPr="003B0223">
        <w:rPr>
          <w:szCs w:val="22"/>
          <w:lang w:val="lt-LT"/>
        </w:rPr>
        <w:t xml:space="preserve">Mobilat </w:t>
      </w:r>
      <w:r>
        <w:rPr>
          <w:szCs w:val="22"/>
          <w:lang w:val="lt-LT"/>
        </w:rPr>
        <w:t>Pro  100 mg/g gel</w:t>
      </w:r>
    </w:p>
    <w:p w:rsidR="00FF2526" w:rsidRDefault="00FF2526" w:rsidP="00FF2526">
      <w:pPr>
        <w:ind w:left="567" w:hanging="567"/>
        <w:rPr>
          <w:szCs w:val="22"/>
          <w:lang w:val="lt-LT"/>
        </w:rPr>
      </w:pPr>
    </w:p>
    <w:p w:rsidR="00FF2526" w:rsidRDefault="00FF2526" w:rsidP="00FF2526">
      <w:pPr>
        <w:numPr>
          <w:ilvl w:val="12"/>
          <w:numId w:val="0"/>
        </w:numPr>
        <w:tabs>
          <w:tab w:val="clear" w:pos="567"/>
        </w:tabs>
        <w:spacing w:line="240" w:lineRule="auto"/>
        <w:ind w:right="-2"/>
        <w:rPr>
          <w:b/>
          <w:szCs w:val="22"/>
          <w:lang w:val="lt-LT"/>
        </w:rPr>
      </w:pPr>
      <w:r>
        <w:rPr>
          <w:b/>
          <w:szCs w:val="22"/>
          <w:lang w:val="lt-LT"/>
        </w:rPr>
        <w:t>Šis pakuotės lapelis paskutinį kartą peržiūrėtas 2023-05-11.</w:t>
      </w:r>
    </w:p>
    <w:p w:rsidR="00FF2526" w:rsidRPr="00C22D72" w:rsidRDefault="00FF2526" w:rsidP="00FF2526">
      <w:pPr>
        <w:numPr>
          <w:ilvl w:val="12"/>
          <w:numId w:val="0"/>
        </w:numPr>
        <w:spacing w:line="240" w:lineRule="auto"/>
        <w:ind w:right="-2"/>
        <w:rPr>
          <w:i/>
          <w:szCs w:val="22"/>
          <w:lang w:val="lt-LT"/>
        </w:rPr>
      </w:pPr>
    </w:p>
    <w:p w:rsidR="00FF2526" w:rsidRDefault="00FF2526" w:rsidP="00FF2526">
      <w:pPr>
        <w:numPr>
          <w:ilvl w:val="12"/>
          <w:numId w:val="0"/>
        </w:numPr>
        <w:spacing w:line="240" w:lineRule="auto"/>
        <w:ind w:right="-2"/>
        <w:rPr>
          <w:szCs w:val="22"/>
          <w:lang w:val="lt-LT"/>
        </w:rPr>
      </w:pPr>
      <w:r>
        <w:rPr>
          <w:szCs w:val="22"/>
          <w:lang w:val="lt-LT"/>
        </w:rPr>
        <w:t>Išsami informacija apie šį vaistą pateikiama Valstybinės vaistų kontrolės tarnybos prie Lietuvos Respublikos sveikatos apsaugos ministerijos tinklalapyje</w:t>
      </w:r>
      <w:r>
        <w:rPr>
          <w:i/>
          <w:szCs w:val="22"/>
          <w:lang w:val="lt-LT"/>
        </w:rPr>
        <w:t xml:space="preserve"> </w:t>
      </w:r>
      <w:hyperlink r:id="rId8" w:history="1">
        <w:r>
          <w:rPr>
            <w:rStyle w:val="Hipersaitas"/>
            <w:rFonts w:eastAsia="SimSun"/>
            <w:szCs w:val="22"/>
            <w:lang w:val="lt-LT"/>
          </w:rPr>
          <w:t>http://www.vvkt.lt/</w:t>
        </w:r>
      </w:hyperlink>
      <w:r>
        <w:rPr>
          <w:szCs w:val="22"/>
          <w:lang w:val="lt-LT"/>
        </w:rPr>
        <w:t>.</w:t>
      </w:r>
    </w:p>
    <w:p w:rsidR="00FF2526" w:rsidRDefault="00FF2526" w:rsidP="00FF2526">
      <w:pPr>
        <w:rPr>
          <w:lang w:val="lt-LT"/>
        </w:rPr>
      </w:pPr>
    </w:p>
    <w:p w:rsidR="009041DB" w:rsidRDefault="009041DB">
      <w:bookmarkStart w:id="0" w:name="_GoBack"/>
      <w:bookmarkEnd w:id="0"/>
    </w:p>
    <w:sectPr w:rsidR="009041DB">
      <w:footerReference w:type="default" r:id="rId9"/>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4118528"/>
      <w:docPartObj>
        <w:docPartGallery w:val="Page Numbers (Bottom of Page)"/>
        <w:docPartUnique/>
      </w:docPartObj>
    </w:sdtPr>
    <w:sdtEndPr/>
    <w:sdtContent>
      <w:p w:rsidR="00786E7C" w:rsidRDefault="00FF2526">
        <w:pPr>
          <w:pStyle w:val="Porat"/>
          <w:jc w:val="center"/>
        </w:pPr>
        <w:r>
          <w:rPr>
            <w:sz w:val="22"/>
            <w:szCs w:val="22"/>
          </w:rPr>
          <w:fldChar w:fldCharType="begin"/>
        </w:r>
        <w:r>
          <w:rPr>
            <w:sz w:val="22"/>
            <w:szCs w:val="22"/>
          </w:rPr>
          <w:instrText>PAGE   \* MERGEFORMAT</w:instrText>
        </w:r>
        <w:r>
          <w:rPr>
            <w:sz w:val="22"/>
            <w:szCs w:val="22"/>
          </w:rPr>
          <w:fldChar w:fldCharType="separate"/>
        </w:r>
        <w:r w:rsidRPr="00FF2526">
          <w:rPr>
            <w:noProof/>
            <w:sz w:val="22"/>
            <w:szCs w:val="22"/>
            <w:lang w:val="lt-LT"/>
          </w:rPr>
          <w:t>4</w:t>
        </w:r>
        <w:r>
          <w:rPr>
            <w:sz w:val="22"/>
            <w:szCs w:val="22"/>
          </w:rPr>
          <w:fldChar w:fldCharType="end"/>
        </w:r>
      </w:p>
    </w:sdtContent>
  </w:sdt>
  <w:p w:rsidR="00786E7C" w:rsidRDefault="00FF2526">
    <w:pPr>
      <w:pStyle w:val="Porat"/>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num w:numId="1">
    <w:abstractNumId w:val="0"/>
    <w:lvlOverride w:ilvl="0">
      <w:lvl w:ilvl="0">
        <w:start w:val="1"/>
        <w:numFmt w:val="bullet"/>
        <w:lvlText w:val="-"/>
        <w:lvlJc w:val="left"/>
        <w:pPr>
          <w:ind w:left="360" w:hanging="360"/>
        </w:pPr>
      </w:lvl>
    </w:lvlOverride>
  </w:num>
  <w:num w:numId="2">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526"/>
    <w:rsid w:val="00004415"/>
    <w:rsid w:val="00234094"/>
    <w:rsid w:val="002A211A"/>
    <w:rsid w:val="00344695"/>
    <w:rsid w:val="00356AB3"/>
    <w:rsid w:val="004216A4"/>
    <w:rsid w:val="005311B8"/>
    <w:rsid w:val="006860E9"/>
    <w:rsid w:val="007003F6"/>
    <w:rsid w:val="009041DB"/>
    <w:rsid w:val="00975D35"/>
    <w:rsid w:val="00D9054B"/>
    <w:rsid w:val="00D95EFF"/>
    <w:rsid w:val="00EE3634"/>
    <w:rsid w:val="00FF25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B6A960-6453-40F3-B5B4-7C092E45C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F2526"/>
    <w:pPr>
      <w:tabs>
        <w:tab w:val="left" w:pos="567"/>
      </w:tabs>
      <w:spacing w:after="0" w:line="260" w:lineRule="exact"/>
    </w:pPr>
    <w:rPr>
      <w:rFonts w:ascii="Times New Roman" w:hAnsi="Times New Roman" w:cs="Times New Roman"/>
      <w:snapToGrid w:val="0"/>
      <w:szCs w:val="20"/>
      <w:lang w:val="en-GB"/>
    </w:rPr>
  </w:style>
  <w:style w:type="paragraph" w:styleId="Antrat3">
    <w:name w:val="heading 3"/>
    <w:basedOn w:val="prastasis"/>
    <w:next w:val="prastasis"/>
    <w:link w:val="Antrat3Diagrama"/>
    <w:uiPriority w:val="99"/>
    <w:qFormat/>
    <w:rsid w:val="00FF2526"/>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F2526"/>
    <w:pPr>
      <w:keepNext/>
      <w:jc w:val="both"/>
      <w:outlineLvl w:val="3"/>
    </w:pPr>
    <w:rPr>
      <w:rFonts w:ascii="Calibri" w:hAnsi="Calibri"/>
      <w:b/>
      <w:bCs/>
      <w:sz w:val="28"/>
      <w:szCs w:val="28"/>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9"/>
    <w:rsid w:val="00FF2526"/>
    <w:rPr>
      <w:rFonts w:ascii="Cambria"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FF2526"/>
    <w:rPr>
      <w:rFonts w:ascii="Calibri" w:hAnsi="Calibri" w:cs="Times New Roman"/>
      <w:b/>
      <w:bCs/>
      <w:snapToGrid w:val="0"/>
      <w:sz w:val="28"/>
      <w:szCs w:val="28"/>
      <w:lang w:val="en-GB" w:eastAsia="x-none"/>
    </w:rPr>
  </w:style>
  <w:style w:type="paragraph" w:styleId="Porat">
    <w:name w:val="footer"/>
    <w:basedOn w:val="prastasis"/>
    <w:link w:val="PoratDiagrama"/>
    <w:uiPriority w:val="99"/>
    <w:rsid w:val="00FF2526"/>
    <w:pPr>
      <w:tabs>
        <w:tab w:val="center" w:pos="4536"/>
        <w:tab w:val="right" w:pos="8306"/>
      </w:tabs>
    </w:pPr>
    <w:rPr>
      <w:sz w:val="20"/>
      <w:lang w:eastAsia="x-none"/>
    </w:rPr>
  </w:style>
  <w:style w:type="character" w:customStyle="1" w:styleId="PoratDiagrama">
    <w:name w:val="Poraštė Diagrama"/>
    <w:basedOn w:val="Numatytasispastraiposriftas"/>
    <w:link w:val="Porat"/>
    <w:uiPriority w:val="99"/>
    <w:rsid w:val="00FF2526"/>
    <w:rPr>
      <w:rFonts w:ascii="Times New Roman" w:hAnsi="Times New Roman" w:cs="Times New Roman"/>
      <w:snapToGrid w:val="0"/>
      <w:sz w:val="20"/>
      <w:szCs w:val="20"/>
      <w:lang w:val="en-GB" w:eastAsia="x-none"/>
    </w:rPr>
  </w:style>
  <w:style w:type="character" w:styleId="Hipersaitas">
    <w:name w:val="Hyperlink"/>
    <w:rsid w:val="00FF25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theme" Target="theme/theme1.xml"/><Relationship Id="rId5" Type="http://schemas.openxmlformats.org/officeDocument/2006/relationships/hyperlink" Target="http://www.vvk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5775</Words>
  <Characters>3292</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2023-05-12T08:33:00Z</dcterms:created>
  <dcterms:modified xsi:type="dcterms:W3CDTF">2023-05-12T08:34:00Z</dcterms:modified>
</cp:coreProperties>
</file>