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B0A911" w14:textId="197195A0" w:rsidR="0067529B" w:rsidRDefault="00186B74">
      <w:pPr>
        <w:tabs>
          <w:tab w:val="left" w:pos="567"/>
        </w:tabs>
        <w:spacing w:after="0" w:line="240" w:lineRule="auto"/>
        <w:jc w:val="center"/>
        <w:rPr>
          <w:rFonts w:ascii="Times New Roman" w:eastAsia="Times New Roman" w:hAnsi="Times New Roman" w:cs="Times New Roman"/>
          <w:b/>
        </w:rPr>
      </w:pPr>
      <w:bookmarkStart w:id="0" w:name="_GoBack"/>
      <w:bookmarkEnd w:id="0"/>
      <w:r>
        <w:rPr>
          <w:rFonts w:ascii="Times New Roman" w:eastAsia="Times New Roman" w:hAnsi="Times New Roman" w:cs="Times New Roman"/>
          <w:b/>
        </w:rPr>
        <w:t>Pakuotės lapelis: informacija vartotojui</w:t>
      </w:r>
    </w:p>
    <w:p w14:paraId="3252CCF7" w14:textId="77777777" w:rsidR="0067529B" w:rsidRDefault="0067529B">
      <w:pPr>
        <w:tabs>
          <w:tab w:val="left" w:pos="567"/>
        </w:tabs>
        <w:spacing w:after="0" w:line="240" w:lineRule="auto"/>
        <w:jc w:val="both"/>
        <w:rPr>
          <w:rFonts w:ascii="Times New Roman" w:eastAsia="Times New Roman" w:hAnsi="Times New Roman" w:cs="Times New Roman"/>
          <w:b/>
        </w:rPr>
      </w:pPr>
    </w:p>
    <w:p w14:paraId="2D8DE6C4" w14:textId="77777777" w:rsidR="0067529B" w:rsidRDefault="00186B74">
      <w:pPr>
        <w:keepNext/>
        <w:spacing w:after="0" w:line="240" w:lineRule="auto"/>
        <w:jc w:val="center"/>
        <w:outlineLvl w:val="0"/>
        <w:rPr>
          <w:rFonts w:ascii="Times New Roman" w:eastAsia="Times New Roman" w:hAnsi="Times New Roman" w:cs="Times New Roman"/>
          <w:b/>
        </w:rPr>
      </w:pPr>
      <w:r>
        <w:rPr>
          <w:rFonts w:ascii="Times New Roman" w:eastAsia="Times New Roman" w:hAnsi="Times New Roman" w:cs="Times New Roman"/>
          <w:b/>
        </w:rPr>
        <w:t>Calcium folinate Sandoz</w:t>
      </w:r>
      <w:r>
        <w:rPr>
          <w:rFonts w:ascii="Times New Roman" w:eastAsia="Times New Roman" w:hAnsi="Times New Roman" w:cs="Times New Roman"/>
        </w:rPr>
        <w:t xml:space="preserve"> </w:t>
      </w:r>
      <w:r>
        <w:rPr>
          <w:rFonts w:ascii="Times New Roman" w:eastAsia="Times New Roman" w:hAnsi="Times New Roman" w:cs="Times New Roman"/>
          <w:b/>
        </w:rPr>
        <w:t>10 mg/ml</w:t>
      </w:r>
      <w:r>
        <w:rPr>
          <w:rFonts w:ascii="Times New Roman" w:eastAsia="Times New Roman" w:hAnsi="Times New Roman" w:cs="Times New Roman"/>
          <w:b/>
          <w:noProof/>
        </w:rPr>
        <w:t xml:space="preserve"> injekcinis ar infuzinis tirpalas</w:t>
      </w:r>
    </w:p>
    <w:p w14:paraId="37DAA82C" w14:textId="77777777" w:rsidR="0067529B" w:rsidRDefault="00186B74">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rPr>
        <w:t>kalcio folinatas</w:t>
      </w:r>
    </w:p>
    <w:p w14:paraId="5A7277F3" w14:textId="77777777" w:rsidR="0067529B" w:rsidRDefault="0067529B">
      <w:pPr>
        <w:tabs>
          <w:tab w:val="left" w:pos="567"/>
        </w:tabs>
        <w:spacing w:after="0" w:line="240" w:lineRule="auto"/>
        <w:jc w:val="both"/>
        <w:rPr>
          <w:rFonts w:ascii="Times New Roman" w:eastAsia="Times New Roman" w:hAnsi="Times New Roman" w:cs="Times New Roman"/>
          <w:b/>
        </w:rPr>
      </w:pPr>
    </w:p>
    <w:p w14:paraId="7470888E" w14:textId="77777777" w:rsidR="0067529B" w:rsidRDefault="00186B74">
      <w:pPr>
        <w:tabs>
          <w:tab w:val="left" w:pos="567"/>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Atidžiai perskaitykite visą šį lapelį, prieš pradėdami vartoti vaistą,</w:t>
      </w:r>
      <w:r>
        <w:t xml:space="preserve"> </w:t>
      </w:r>
      <w:r>
        <w:rPr>
          <w:rFonts w:ascii="Times New Roman" w:eastAsia="Times New Roman" w:hAnsi="Times New Roman" w:cs="Times New Roman"/>
          <w:b/>
        </w:rPr>
        <w:t>nes jame pateikiama Jums svarbi informacija.</w:t>
      </w:r>
    </w:p>
    <w:p w14:paraId="1C33A347" w14:textId="77777777" w:rsidR="0067529B" w:rsidRDefault="00186B74">
      <w:pPr>
        <w:numPr>
          <w:ilvl w:val="0"/>
          <w:numId w:val="10"/>
        </w:numPr>
        <w:spacing w:after="0" w:line="240" w:lineRule="auto"/>
        <w:ind w:left="567" w:hanging="567"/>
        <w:contextualSpacing/>
        <w:jc w:val="both"/>
        <w:rPr>
          <w:rFonts w:ascii="Times New Roman" w:eastAsia="Times New Roman" w:hAnsi="Times New Roman" w:cs="Times New Roman"/>
        </w:rPr>
      </w:pPr>
      <w:r>
        <w:rPr>
          <w:rFonts w:ascii="Times New Roman" w:eastAsia="Times New Roman" w:hAnsi="Times New Roman" w:cs="Times New Roman"/>
        </w:rPr>
        <w:t>Neišmeskite šio lapelio, nes vėl gali prireikti jį perskaityti.</w:t>
      </w:r>
    </w:p>
    <w:p w14:paraId="040B9FA8" w14:textId="77777777" w:rsidR="0067529B" w:rsidRDefault="00186B74">
      <w:pPr>
        <w:tabs>
          <w:tab w:val="left" w:pos="567"/>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kiltų daugiau klausimų, kreipkitės į gydytoją, vaistininką arba slaugytoją.</w:t>
      </w:r>
    </w:p>
    <w:p w14:paraId="4CF8A0BC" w14:textId="77777777" w:rsidR="0067529B" w:rsidRDefault="00186B74">
      <w:pPr>
        <w:tabs>
          <w:tab w:val="left" w:pos="567"/>
        </w:tabs>
        <w:spacing w:after="0" w:line="240" w:lineRule="auto"/>
        <w:ind w:left="567" w:hanging="567"/>
        <w:jc w:val="both"/>
        <w:rPr>
          <w:rFonts w:ascii="Times New Roman" w:eastAsia="Times New Roman" w:hAnsi="Times New Roman" w:cs="Times New Roman"/>
          <w:noProof/>
        </w:rPr>
      </w:pPr>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noProof/>
        </w:rPr>
        <w:t>Jeigu pasireiškė šalutinis poveikis (net jeigu jis šiame lapelyje nenurodytas), kreipkitės į gydytoją, vaistininką arba slaugytoją. Žr. 4 skyrių.</w:t>
      </w:r>
    </w:p>
    <w:p w14:paraId="793B28AE" w14:textId="77777777" w:rsidR="0067529B" w:rsidRDefault="0067529B">
      <w:pPr>
        <w:spacing w:after="0" w:line="240" w:lineRule="auto"/>
        <w:rPr>
          <w:rFonts w:ascii="Times New Roman" w:eastAsia="Times New Roman" w:hAnsi="Times New Roman" w:cs="Times New Roman"/>
          <w:i/>
        </w:rPr>
      </w:pPr>
    </w:p>
    <w:p w14:paraId="6D9499FD"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Apie ką rašoma šiame lapelyje?</w:t>
      </w:r>
    </w:p>
    <w:p w14:paraId="78E465A2" w14:textId="77777777" w:rsidR="0067529B" w:rsidRDefault="0067529B">
      <w:pPr>
        <w:spacing w:after="0" w:line="240" w:lineRule="auto"/>
        <w:rPr>
          <w:rFonts w:ascii="Times New Roman" w:eastAsia="Times New Roman" w:hAnsi="Times New Roman" w:cs="Times New Roman"/>
          <w:b/>
        </w:rPr>
      </w:pPr>
    </w:p>
    <w:p w14:paraId="6D1BF940"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rPr>
        <w:tab/>
        <w:t>Kas yra Calcium folinate Sandoz ir kam jis vartojamas</w:t>
      </w:r>
    </w:p>
    <w:p w14:paraId="653600C3"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t>Kas žinotina prieš vartojant Calcium folinate Sandoz</w:t>
      </w:r>
    </w:p>
    <w:p w14:paraId="63C8240F"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3.</w:t>
      </w:r>
      <w:r>
        <w:rPr>
          <w:rFonts w:ascii="Times New Roman" w:eastAsia="Times New Roman" w:hAnsi="Times New Roman" w:cs="Times New Roman"/>
        </w:rPr>
        <w:tab/>
        <w:t>Kaip vartoti Calcium folinate Sandoz</w:t>
      </w:r>
    </w:p>
    <w:p w14:paraId="101C50E2"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ab/>
        <w:t>Galimas šalutinis poveikis</w:t>
      </w:r>
    </w:p>
    <w:p w14:paraId="2957A420"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rPr>
        <w:tab/>
        <w:t>Kaip laikyti Calcium folinate Sandoz</w:t>
      </w:r>
    </w:p>
    <w:p w14:paraId="2240380B"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t>Pakuotės turinys ir kita informacija</w:t>
      </w:r>
    </w:p>
    <w:p w14:paraId="14B2BE5D" w14:textId="77777777" w:rsidR="0067529B" w:rsidRDefault="0067529B">
      <w:pPr>
        <w:spacing w:after="0" w:line="240" w:lineRule="auto"/>
        <w:rPr>
          <w:rFonts w:ascii="Times New Roman" w:eastAsia="Times New Roman" w:hAnsi="Times New Roman" w:cs="Times New Roman"/>
          <w:i/>
        </w:rPr>
      </w:pPr>
    </w:p>
    <w:p w14:paraId="283DAA63" w14:textId="77777777" w:rsidR="0067529B" w:rsidRDefault="0067529B">
      <w:pPr>
        <w:spacing w:after="0" w:line="240" w:lineRule="auto"/>
        <w:rPr>
          <w:rFonts w:ascii="Times New Roman" w:eastAsia="Times New Roman" w:hAnsi="Times New Roman" w:cs="Times New Roman"/>
        </w:rPr>
      </w:pPr>
    </w:p>
    <w:p w14:paraId="60BE5F12" w14:textId="77777777" w:rsidR="0067529B" w:rsidRDefault="00186B74">
      <w:p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1.</w:t>
      </w:r>
      <w:r>
        <w:rPr>
          <w:rFonts w:ascii="Times New Roman" w:eastAsia="Times New Roman" w:hAnsi="Times New Roman" w:cs="Times New Roman"/>
          <w:b/>
        </w:rPr>
        <w:tab/>
        <w:t>Kas yra Calcium folinate Sandoz ir kam jis vartojamas</w:t>
      </w:r>
    </w:p>
    <w:p w14:paraId="02521DD8" w14:textId="77777777" w:rsidR="0067529B" w:rsidRDefault="0067529B">
      <w:pPr>
        <w:spacing w:after="0" w:line="240" w:lineRule="auto"/>
        <w:rPr>
          <w:rFonts w:ascii="Times New Roman" w:eastAsia="Times New Roman" w:hAnsi="Times New Roman" w:cs="Times New Roman"/>
          <w:i/>
        </w:rPr>
      </w:pPr>
    </w:p>
    <w:p w14:paraId="234F94F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 yra tirpalas, kurio sudėtyje yra veikliosios medžiagos kalcio folinato. Ši medžiaga yra vienas iš vaistų grupės, vadinamos detoksikuojančiomis medžiagomis, atstovų.</w:t>
      </w:r>
    </w:p>
    <w:p w14:paraId="3F1211EF" w14:textId="77777777" w:rsidR="0067529B" w:rsidRDefault="0067529B">
      <w:pPr>
        <w:spacing w:after="0" w:line="240" w:lineRule="auto"/>
        <w:rPr>
          <w:rFonts w:ascii="Times New Roman" w:eastAsia="Times New Roman" w:hAnsi="Times New Roman" w:cs="Times New Roman"/>
        </w:rPr>
      </w:pPr>
    </w:p>
    <w:p w14:paraId="3346DEA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 vartojamas tam tikrų vaistų nuo vėžio šalutiniam poveikiui mažinti ar jų perdozavimo suaugusiesiems ir vaikams atveju. Dėl Calcium folinate Sandoz veikimo paveikiami vaistai, veikiantys prieš folio rūgštį, tokie kaip metotreksatas. Tai vadinama „pagalba kalcio folinatu“.</w:t>
      </w:r>
    </w:p>
    <w:p w14:paraId="40D7BA67" w14:textId="77777777" w:rsidR="0067529B" w:rsidRDefault="0067529B">
      <w:pPr>
        <w:spacing w:after="0" w:line="240" w:lineRule="auto"/>
        <w:rPr>
          <w:rFonts w:ascii="Times New Roman" w:eastAsia="Times New Roman" w:hAnsi="Times New Roman" w:cs="Times New Roman"/>
        </w:rPr>
      </w:pPr>
    </w:p>
    <w:p w14:paraId="2F16DB2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 taip pat gali būti vartojamas derinyje su 5-fluorouracilu (kitu vaistu nuo vėžio).</w:t>
      </w:r>
    </w:p>
    <w:p w14:paraId="1AE364C8" w14:textId="77777777" w:rsidR="0067529B" w:rsidRDefault="0067529B">
      <w:pPr>
        <w:spacing w:after="0" w:line="240" w:lineRule="auto"/>
        <w:rPr>
          <w:rFonts w:ascii="Times New Roman" w:eastAsia="Times New Roman" w:hAnsi="Times New Roman" w:cs="Times New Roman"/>
        </w:rPr>
      </w:pPr>
    </w:p>
    <w:p w14:paraId="209E03C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Kalcio folinatas injekcijomis tai pat vartojamas kitų vaistų (vaistų grupės, vadinamos folio rūgšties antagonistai) šalutiniam poveikiui mažinti. Folio rūgšties antagonistų pavyzdžiai yra:</w:t>
      </w:r>
    </w:p>
    <w:p w14:paraId="6904C3AF" w14:textId="77777777" w:rsidR="0067529B" w:rsidRDefault="00186B74">
      <w:pPr>
        <w:tabs>
          <w:tab w:val="left" w:pos="567"/>
        </w:tabs>
        <w:spacing w:after="0" w:line="240" w:lineRule="auto"/>
        <w:ind w:left="720" w:hanging="720"/>
        <w:rPr>
          <w:rFonts w:ascii="Times New Roman" w:eastAsia="Times New Roman" w:hAnsi="Times New Roman" w:cs="Times New Roman"/>
        </w:rPr>
      </w:pPr>
      <w:r>
        <w:rPr>
          <w:rFonts w:ascii="Times New Roman" w:eastAsia="Times New Roman" w:hAnsi="Times New Roman" w:cs="Times New Roman"/>
        </w:rPr>
        <w:sym w:font="Symbol" w:char="F0B7"/>
      </w:r>
      <w:r>
        <w:rPr>
          <w:rFonts w:ascii="Times New Roman" w:eastAsia="Times New Roman" w:hAnsi="Times New Roman" w:cs="Times New Roman"/>
        </w:rPr>
        <w:tab/>
        <w:t>trimetreksatas (antibiotikas ir vaistas nuo vėžio);</w:t>
      </w:r>
    </w:p>
    <w:p w14:paraId="76D40635" w14:textId="77777777" w:rsidR="0067529B" w:rsidRDefault="00186B74">
      <w:pPr>
        <w:pStyle w:val="ListParagraph"/>
        <w:numPr>
          <w:ilvl w:val="0"/>
          <w:numId w:val="1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trimetoprimas (antibiotikas);</w:t>
      </w:r>
    </w:p>
    <w:p w14:paraId="3EFF2633" w14:textId="77777777" w:rsidR="0067529B" w:rsidRDefault="00186B74">
      <w:pPr>
        <w:pStyle w:val="ListParagraph"/>
        <w:numPr>
          <w:ilvl w:val="0"/>
          <w:numId w:val="1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pirimetaminas (vaistas dažnai vartojamas maliarijos gydymui).</w:t>
      </w:r>
    </w:p>
    <w:p w14:paraId="5D69519C" w14:textId="77777777" w:rsidR="0067529B" w:rsidRDefault="0067529B">
      <w:pPr>
        <w:tabs>
          <w:tab w:val="left" w:pos="567"/>
        </w:tabs>
        <w:spacing w:after="0" w:line="240" w:lineRule="auto"/>
        <w:ind w:left="720" w:hanging="720"/>
        <w:rPr>
          <w:rFonts w:ascii="Times New Roman" w:eastAsia="Times New Roman" w:hAnsi="Times New Roman" w:cs="Times New Roman"/>
        </w:rPr>
      </w:pPr>
    </w:p>
    <w:p w14:paraId="2C6CBAC5" w14:textId="77777777" w:rsidR="0067529B" w:rsidRDefault="00186B74">
      <w:pPr>
        <w:tabs>
          <w:tab w:val="left" w:pos="567"/>
        </w:tabs>
        <w:spacing w:after="0" w:line="240" w:lineRule="auto"/>
        <w:ind w:left="720" w:hanging="720"/>
        <w:rPr>
          <w:rFonts w:ascii="Times New Roman" w:eastAsia="Times New Roman" w:hAnsi="Times New Roman" w:cs="Times New Roman"/>
        </w:rPr>
      </w:pPr>
      <w:r>
        <w:rPr>
          <w:rFonts w:ascii="Times New Roman" w:eastAsia="Times New Roman" w:hAnsi="Times New Roman" w:cs="Times New Roman"/>
        </w:rPr>
        <w:t>Jis taip pat gali būti vartojamas šių vaistų perdozavimui gydyti.</w:t>
      </w:r>
    </w:p>
    <w:p w14:paraId="6245DD06" w14:textId="77777777" w:rsidR="0067529B" w:rsidRDefault="0067529B">
      <w:pPr>
        <w:spacing w:after="0" w:line="240" w:lineRule="auto"/>
        <w:rPr>
          <w:rFonts w:ascii="Times New Roman" w:eastAsia="Times New Roman" w:hAnsi="Times New Roman" w:cs="Times New Roman"/>
        </w:rPr>
      </w:pPr>
    </w:p>
    <w:p w14:paraId="2D3D17A2" w14:textId="77777777" w:rsidR="0067529B" w:rsidRDefault="0067529B">
      <w:pPr>
        <w:spacing w:after="0" w:line="240" w:lineRule="auto"/>
        <w:rPr>
          <w:rFonts w:ascii="Times New Roman" w:eastAsia="Times New Roman" w:hAnsi="Times New Roman" w:cs="Times New Roman"/>
          <w:i/>
        </w:rPr>
      </w:pPr>
    </w:p>
    <w:p w14:paraId="1BC05D46" w14:textId="77777777" w:rsidR="0067529B" w:rsidRDefault="00186B74">
      <w:p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b/>
        </w:rPr>
        <w:tab/>
        <w:t>Kas žinotina prieš vartojant Calcium folinate Sandoz</w:t>
      </w:r>
    </w:p>
    <w:p w14:paraId="3DC6FB7B" w14:textId="77777777" w:rsidR="0067529B" w:rsidRDefault="0067529B">
      <w:pPr>
        <w:spacing w:after="0" w:line="240" w:lineRule="auto"/>
        <w:rPr>
          <w:rFonts w:ascii="Times New Roman" w:eastAsia="Times New Roman" w:hAnsi="Times New Roman" w:cs="Times New Roman"/>
          <w:i/>
        </w:rPr>
      </w:pPr>
    </w:p>
    <w:p w14:paraId="15AA683D" w14:textId="4927C746"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Calcium folinate Sandoz vartoti draudžiama</w:t>
      </w:r>
    </w:p>
    <w:p w14:paraId="456DBBBC" w14:textId="77777777" w:rsidR="0067529B" w:rsidRDefault="00186B74">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yra alergija kalcio folinatui arba bet kuriai pagalbinei šio vaisto medžiagai (jos išvardytos 6 skyriuje);</w:t>
      </w:r>
    </w:p>
    <w:p w14:paraId="1DC7F164"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jeigu yra sumažėjęs raudonųjų kraujo ląstelių kiekis (mažakraujystė). </w:t>
      </w:r>
    </w:p>
    <w:p w14:paraId="1A8457D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Jums turi būti neskiriama Calcium folinate Sandoz kartu su tam tikrais vaistais nuo vėžio, jeigu esate nėščia arba žindyvė (Jūsų gydytojas žinos, kodėl taip yra). </w:t>
      </w:r>
    </w:p>
    <w:p w14:paraId="622B2DD2" w14:textId="77777777" w:rsidR="0067529B" w:rsidRDefault="0067529B">
      <w:pPr>
        <w:spacing w:after="0" w:line="240" w:lineRule="auto"/>
        <w:rPr>
          <w:rFonts w:ascii="Times New Roman" w:eastAsia="Times New Roman" w:hAnsi="Times New Roman" w:cs="Times New Roman"/>
        </w:rPr>
      </w:pPr>
    </w:p>
    <w:p w14:paraId="2D89B32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 turi būti leidžiamas tik į raumenis arba veną. Į stuburo ar galvos smegenis (povoratinklinę ertmę) jo leisti draudžiama.</w:t>
      </w:r>
    </w:p>
    <w:p w14:paraId="16AA74D3"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Įspėjimai ir atsargumo priemonės</w:t>
      </w:r>
    </w:p>
    <w:p w14:paraId="24508916" w14:textId="77777777" w:rsidR="0067529B" w:rsidRDefault="00186B74">
      <w:pPr>
        <w:spacing w:after="0" w:line="240" w:lineRule="auto"/>
        <w:rPr>
          <w:rFonts w:ascii="Times New Roman" w:eastAsia="Times New Roman" w:hAnsi="Times New Roman" w:cs="Times New Roman"/>
        </w:rPr>
      </w:pPr>
      <w:r>
        <w:rPr>
          <w:rFonts w:ascii="Times New Roman" w:hAnsi="Times New Roman" w:cs="Times New Roman"/>
          <w:noProof/>
          <w:szCs w:val="24"/>
        </w:rPr>
        <w:t xml:space="preserve">Pasitarkite su gydytoju, prieš pradėdami vartoti </w:t>
      </w:r>
      <w:r>
        <w:rPr>
          <w:rFonts w:ascii="Times New Roman" w:eastAsia="Times New Roman" w:hAnsi="Times New Roman" w:cs="Times New Roman"/>
        </w:rPr>
        <w:t>Calcium folinate Sandoz, jeigu:</w:t>
      </w:r>
    </w:p>
    <w:p w14:paraId="40A7E0F1" w14:textId="77777777" w:rsidR="0067529B" w:rsidRDefault="00186B74">
      <w:pPr>
        <w:pStyle w:val="ListParagraph"/>
        <w:numPr>
          <w:ilvl w:val="0"/>
          <w:numId w:val="20"/>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sergate epilepsija;</w:t>
      </w:r>
    </w:p>
    <w:p w14:paraId="036D5020" w14:textId="77777777" w:rsidR="0067529B" w:rsidRDefault="00186B74">
      <w:pPr>
        <w:pStyle w:val="ListParagraph"/>
        <w:numPr>
          <w:ilvl w:val="0"/>
          <w:numId w:val="20"/>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sutrikusi Jūsų inkstų funkcija.</w:t>
      </w:r>
    </w:p>
    <w:p w14:paraId="13A7958C" w14:textId="77777777" w:rsidR="0067529B" w:rsidRDefault="0067529B">
      <w:pPr>
        <w:spacing w:after="0" w:line="240" w:lineRule="auto"/>
        <w:rPr>
          <w:rFonts w:ascii="Times New Roman" w:eastAsia="Times New Roman" w:hAnsi="Times New Roman" w:cs="Times New Roman"/>
        </w:rPr>
      </w:pPr>
    </w:p>
    <w:p w14:paraId="1F20DEF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Pasakykite savo gydytojui, jeigu gydymo metu Jums išsivystė bet kuri iš šių būklių:</w:t>
      </w:r>
    </w:p>
    <w:p w14:paraId="4B17ACE2" w14:textId="77777777" w:rsidR="0067529B" w:rsidRDefault="00186B74">
      <w:pPr>
        <w:pStyle w:val="ListParagraph"/>
        <w:numPr>
          <w:ilvl w:val="0"/>
          <w:numId w:val="2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viduriavimas;</w:t>
      </w:r>
    </w:p>
    <w:p w14:paraId="6650488B" w14:textId="77777777" w:rsidR="0067529B" w:rsidRDefault="00186B74">
      <w:pPr>
        <w:pStyle w:val="ListParagraph"/>
        <w:numPr>
          <w:ilvl w:val="0"/>
          <w:numId w:val="2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burnos uždegimas.</w:t>
      </w:r>
    </w:p>
    <w:p w14:paraId="30FBF2A9" w14:textId="77777777" w:rsidR="0067529B" w:rsidRDefault="0067529B">
      <w:pPr>
        <w:spacing w:after="0" w:line="240" w:lineRule="auto"/>
        <w:rPr>
          <w:rFonts w:ascii="Times New Roman" w:eastAsia="Times New Roman" w:hAnsi="Times New Roman" w:cs="Times New Roman"/>
        </w:rPr>
      </w:pPr>
    </w:p>
    <w:p w14:paraId="4C990207"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Kiti vaistai ir Calcium folinate Sandoz</w:t>
      </w:r>
    </w:p>
    <w:p w14:paraId="24EFAF1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vartojate ar neseniai vartojote kitų vaistų arba dėl to nesate tikri, apie tai pasakykite gydytojui arba vaistininkui.</w:t>
      </w:r>
    </w:p>
    <w:p w14:paraId="1A1C07EE" w14:textId="77777777" w:rsidR="0067529B" w:rsidRDefault="0067529B">
      <w:pPr>
        <w:spacing w:after="0" w:line="240" w:lineRule="auto"/>
        <w:rPr>
          <w:rFonts w:ascii="Times New Roman" w:eastAsia="Times New Roman" w:hAnsi="Times New Roman" w:cs="Times New Roman"/>
        </w:rPr>
      </w:pPr>
    </w:p>
    <w:p w14:paraId="4068E66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Pavyzdžiui:</w:t>
      </w:r>
    </w:p>
    <w:p w14:paraId="135B5542" w14:textId="77777777" w:rsidR="0067529B" w:rsidRDefault="00186B74">
      <w:pPr>
        <w:pStyle w:val="ListParagraph"/>
        <w:numPr>
          <w:ilvl w:val="0"/>
          <w:numId w:val="2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vaistai nuo epilepsijos;</w:t>
      </w:r>
    </w:p>
    <w:p w14:paraId="31E29108" w14:textId="77777777" w:rsidR="0067529B" w:rsidRDefault="00186B74">
      <w:pPr>
        <w:pStyle w:val="ListParagraph"/>
        <w:numPr>
          <w:ilvl w:val="0"/>
          <w:numId w:val="2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5-fluorouracilas (vaistas nuo vėžio);</w:t>
      </w:r>
    </w:p>
    <w:p w14:paraId="5BE2A164" w14:textId="77777777" w:rsidR="0067529B" w:rsidRDefault="00186B74">
      <w:pPr>
        <w:numPr>
          <w:ilvl w:val="0"/>
          <w:numId w:val="2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kotrimoksazolas (antibiotikas);</w:t>
      </w:r>
    </w:p>
    <w:p w14:paraId="20567017" w14:textId="77777777" w:rsidR="0067529B" w:rsidRDefault="00186B74">
      <w:pPr>
        <w:numPr>
          <w:ilvl w:val="0"/>
          <w:numId w:val="2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pirimetaminas (vaistas nuo maliarijos).</w:t>
      </w:r>
    </w:p>
    <w:p w14:paraId="2F16F860" w14:textId="77777777" w:rsidR="0067529B" w:rsidRDefault="0067529B">
      <w:pPr>
        <w:spacing w:after="0" w:line="240" w:lineRule="auto"/>
        <w:rPr>
          <w:rFonts w:ascii="Times New Roman" w:eastAsia="Times New Roman" w:hAnsi="Times New Roman" w:cs="Times New Roman"/>
          <w:b/>
        </w:rPr>
      </w:pPr>
    </w:p>
    <w:p w14:paraId="1F43426F"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Nėštumas ir žindymo laikotarpis</w:t>
      </w:r>
    </w:p>
    <w:p w14:paraId="725861B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esate nėščia ar žindote kūdikį, nevartokite Calcium folinate Sandoz kartu su 5-fluorouracilu, nes tai gali pakenkti kūdikiui.</w:t>
      </w:r>
    </w:p>
    <w:p w14:paraId="43A93E3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esate nėščia ar žindyvė, Jums bus paskirta Calcium folinate Sandoz kartu su metotreksatu, jeigu Jūsų gydytojas mano, jog tai yra būtina.</w:t>
      </w:r>
    </w:p>
    <w:p w14:paraId="4EC569C6" w14:textId="77777777" w:rsidR="0067529B" w:rsidRDefault="0067529B">
      <w:pPr>
        <w:spacing w:after="0" w:line="240" w:lineRule="auto"/>
        <w:rPr>
          <w:rFonts w:ascii="Times New Roman" w:eastAsia="Times New Roman" w:hAnsi="Times New Roman" w:cs="Times New Roman"/>
          <w:i/>
        </w:rPr>
      </w:pPr>
    </w:p>
    <w:p w14:paraId="0677B2F1"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Vairavimas ir mechanizmų valdymas</w:t>
      </w:r>
    </w:p>
    <w:p w14:paraId="39186B2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Įrodymų, kad Calcium folinate Sandoz paveikia gebėjimą vairuoti ir valdyti mechanizmus, nėra. </w:t>
      </w:r>
    </w:p>
    <w:p w14:paraId="78D328A1" w14:textId="77777777" w:rsidR="0067529B" w:rsidRDefault="0067529B">
      <w:pPr>
        <w:spacing w:after="0" w:line="240" w:lineRule="auto"/>
        <w:rPr>
          <w:rFonts w:ascii="Times New Roman" w:eastAsia="Times New Roman" w:hAnsi="Times New Roman" w:cs="Times New Roman"/>
        </w:rPr>
      </w:pPr>
    </w:p>
    <w:p w14:paraId="57CA9F8C"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Calcium folinate Sandoz sudėtyje yra natrio</w:t>
      </w:r>
    </w:p>
    <w:p w14:paraId="1357AFD4"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Šio vaisto kiekviename mililitre tirpalo yra 3,3 mg (0,14 mmol) natrio.</w:t>
      </w:r>
    </w:p>
    <w:p w14:paraId="2601160F" w14:textId="77777777" w:rsidR="0067529B" w:rsidRDefault="0067529B">
      <w:pPr>
        <w:spacing w:after="0" w:line="240" w:lineRule="auto"/>
        <w:rPr>
          <w:rFonts w:ascii="Times New Roman" w:eastAsia="Times New Roman" w:hAnsi="Times New Roman" w:cs="Times New Roman"/>
          <w:u w:val="single"/>
        </w:rPr>
      </w:pPr>
    </w:p>
    <w:p w14:paraId="12B80037"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Mažesnės negu 7 ml (70 mg) dozės:</w:t>
      </w:r>
    </w:p>
    <w:p w14:paraId="37ECEB63" w14:textId="77777777" w:rsidR="0067529B" w:rsidRDefault="00186B74">
      <w:pPr>
        <w:spacing w:after="0" w:line="240" w:lineRule="auto"/>
        <w:rPr>
          <w:rFonts w:ascii="Times New Roman" w:eastAsia="TimesNewRoman" w:hAnsi="Times New Roman" w:cs="Times New Roman"/>
          <w:lang w:eastAsia="en-GB"/>
        </w:rPr>
      </w:pPr>
      <w:r>
        <w:rPr>
          <w:rFonts w:ascii="Times New Roman" w:eastAsia="Times New Roman" w:hAnsi="Times New Roman" w:cs="Times New Roman"/>
        </w:rPr>
        <w:t xml:space="preserve">Šio vaisto sudėtyje yra </w:t>
      </w:r>
      <w:r>
        <w:rPr>
          <w:rFonts w:ascii="Times New Roman" w:eastAsia="TimesNewRoman" w:hAnsi="Times New Roman" w:cs="Times New Roman"/>
          <w:lang w:eastAsia="en-GB"/>
        </w:rPr>
        <w:t>mažiau kaip 1 mmol (23 mg) natrio, t. y. jis beveik neturi reikšmės.</w:t>
      </w:r>
    </w:p>
    <w:p w14:paraId="170F11A7" w14:textId="77777777" w:rsidR="0067529B" w:rsidRDefault="0067529B">
      <w:pPr>
        <w:spacing w:after="0" w:line="240" w:lineRule="auto"/>
        <w:rPr>
          <w:rFonts w:ascii="Times New Roman" w:eastAsia="Times New Roman" w:hAnsi="Times New Roman" w:cs="Times New Roman"/>
          <w:b/>
        </w:rPr>
      </w:pPr>
    </w:p>
    <w:p w14:paraId="38250198" w14:textId="77777777" w:rsidR="0067529B" w:rsidRDefault="00186B74">
      <w:pPr>
        <w:spacing w:after="0" w:line="240" w:lineRule="auto"/>
        <w:rPr>
          <w:rFonts w:ascii="Times New Roman" w:eastAsia="Times New Roman" w:hAnsi="Times New Roman" w:cs="Times New Roman"/>
          <w:b/>
          <w:u w:val="single"/>
        </w:rPr>
      </w:pPr>
      <w:r>
        <w:rPr>
          <w:rStyle w:val="tlid-translation"/>
          <w:rFonts w:ascii="Times New Roman" w:hAnsi="Times New Roman" w:cs="Times New Roman"/>
          <w:u w:val="single"/>
        </w:rPr>
        <w:t>Maksimalios vienkartinės 500 mg/m² dozės, t. y. 850 mg (vidutiniam kūno paviršiaus plotui 1,7 m²):</w:t>
      </w:r>
    </w:p>
    <w:p w14:paraId="7EBAFA75" w14:textId="77777777" w:rsidR="0067529B" w:rsidRDefault="0067529B">
      <w:pPr>
        <w:spacing w:after="0" w:line="240" w:lineRule="auto"/>
        <w:rPr>
          <w:rFonts w:ascii="Times New Roman" w:eastAsia="Times New Roman" w:hAnsi="Times New Roman" w:cs="Times New Roman"/>
          <w:b/>
        </w:rPr>
      </w:pPr>
    </w:p>
    <w:p w14:paraId="66275D54" w14:textId="1614A232" w:rsidR="0067529B" w:rsidRDefault="00186B74">
      <w:pPr>
        <w:spacing w:after="0" w:line="240" w:lineRule="auto"/>
        <w:rPr>
          <w:rFonts w:ascii="Times New Roman" w:eastAsia="Times New Roman" w:hAnsi="Times New Roman" w:cs="Times New Roman"/>
          <w:u w:val="single"/>
        </w:rPr>
      </w:pPr>
      <w:r>
        <w:rPr>
          <w:rStyle w:val="tlid-translation"/>
          <w:rFonts w:ascii="Times New Roman" w:hAnsi="Times New Roman" w:cs="Times New Roman"/>
        </w:rPr>
        <w:t>Kiekvienoje šio vaisto 85 ml dozėje yra 280,5 mg natrio (valgomosios druskos sudedamosios dalies). Tai atitinka 14 % didžiausios rekomenduojamos natrio paros normos suaugusiesiems.</w:t>
      </w:r>
    </w:p>
    <w:p w14:paraId="0F343F0D" w14:textId="77777777" w:rsidR="0067529B" w:rsidRDefault="0067529B">
      <w:pPr>
        <w:spacing w:after="0" w:line="240" w:lineRule="auto"/>
        <w:rPr>
          <w:rFonts w:ascii="Times New Roman" w:eastAsia="Times New Roman" w:hAnsi="Times New Roman" w:cs="Times New Roman"/>
        </w:rPr>
      </w:pPr>
    </w:p>
    <w:p w14:paraId="62639FE6" w14:textId="77777777" w:rsidR="0067529B" w:rsidRDefault="0067529B">
      <w:pPr>
        <w:spacing w:after="0" w:line="240" w:lineRule="auto"/>
        <w:rPr>
          <w:rFonts w:ascii="Times New Roman" w:eastAsia="Times New Roman" w:hAnsi="Times New Roman" w:cs="Times New Roman"/>
          <w:i/>
        </w:rPr>
      </w:pPr>
    </w:p>
    <w:p w14:paraId="22FA3404"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3.</w:t>
      </w:r>
      <w:r>
        <w:rPr>
          <w:rFonts w:ascii="Times New Roman" w:eastAsia="Times New Roman" w:hAnsi="Times New Roman" w:cs="Times New Roman"/>
          <w:b/>
        </w:rPr>
        <w:tab/>
        <w:t>Kaip vartoti Calcium folinate Sandoz</w:t>
      </w:r>
    </w:p>
    <w:p w14:paraId="73AA41C9" w14:textId="77777777" w:rsidR="0067529B" w:rsidRDefault="0067529B">
      <w:pPr>
        <w:spacing w:after="0" w:line="240" w:lineRule="auto"/>
        <w:rPr>
          <w:rFonts w:ascii="Times New Roman" w:eastAsia="Times New Roman" w:hAnsi="Times New Roman" w:cs="Times New Roman"/>
          <w:i/>
        </w:rPr>
      </w:pPr>
    </w:p>
    <w:p w14:paraId="65AAAF0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Calcium folinate Sandoz suleis tik gydytojas ar slaugytojas prižiūrint gydytojui, kuris turi chemoterapijos taikymo patirties. Calcium folinate Sandoz gali būti leidžiamas ar lašinamas į veną arba leidžiamas į raumenį. </w:t>
      </w:r>
    </w:p>
    <w:p w14:paraId="6009BF37" w14:textId="77777777" w:rsidR="0067529B" w:rsidRDefault="0067529B">
      <w:pPr>
        <w:spacing w:after="0" w:line="240" w:lineRule="auto"/>
        <w:rPr>
          <w:rFonts w:ascii="Times New Roman" w:eastAsia="Times New Roman" w:hAnsi="Times New Roman" w:cs="Times New Roman"/>
        </w:rPr>
      </w:pPr>
    </w:p>
    <w:p w14:paraId="70F97DB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Dozė priklauso nuo Jūsų kūno paviršiaus ploto, taikomo priešvėžinio gydymo tipo ir bet kokio kito gydymo, kuris Jums gali būti taikomas.</w:t>
      </w:r>
    </w:p>
    <w:p w14:paraId="2E59B6EB" w14:textId="77777777" w:rsidR="0067529B" w:rsidRDefault="0067529B">
      <w:pPr>
        <w:spacing w:after="0" w:line="240" w:lineRule="auto"/>
        <w:rPr>
          <w:rFonts w:ascii="Times New Roman" w:eastAsia="Times New Roman" w:hAnsi="Times New Roman" w:cs="Times New Roman"/>
        </w:rPr>
      </w:pPr>
    </w:p>
    <w:p w14:paraId="42CB2791"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rPr>
        <w:t>Jeigu kiltų daugiau klausimų dėl šio vaisto vartojimo, kreipkitės į gydytoją ar vaistininką.</w:t>
      </w:r>
    </w:p>
    <w:p w14:paraId="06B9C97C" w14:textId="77777777" w:rsidR="0067529B" w:rsidRDefault="0067529B">
      <w:pPr>
        <w:spacing w:after="0" w:line="240" w:lineRule="auto"/>
        <w:rPr>
          <w:rFonts w:ascii="Times New Roman" w:eastAsia="Times New Roman" w:hAnsi="Times New Roman" w:cs="Times New Roman"/>
          <w:i/>
        </w:rPr>
      </w:pPr>
    </w:p>
    <w:p w14:paraId="20734B6D" w14:textId="77777777" w:rsidR="0067529B" w:rsidRDefault="0067529B">
      <w:pPr>
        <w:spacing w:after="0" w:line="240" w:lineRule="auto"/>
        <w:rPr>
          <w:rFonts w:ascii="Times New Roman" w:eastAsia="Times New Roman" w:hAnsi="Times New Roman" w:cs="Times New Roman"/>
          <w:i/>
        </w:rPr>
      </w:pPr>
    </w:p>
    <w:p w14:paraId="022162FA"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b/>
        </w:rPr>
        <w:tab/>
        <w:t>Galimas šalutinis poveikis</w:t>
      </w:r>
    </w:p>
    <w:p w14:paraId="55DEC425" w14:textId="77777777" w:rsidR="0067529B" w:rsidRDefault="0067529B">
      <w:pPr>
        <w:spacing w:after="0" w:line="240" w:lineRule="auto"/>
        <w:rPr>
          <w:rFonts w:ascii="Times New Roman" w:eastAsia="Times New Roman" w:hAnsi="Times New Roman" w:cs="Times New Roman"/>
          <w:i/>
        </w:rPr>
      </w:pPr>
    </w:p>
    <w:p w14:paraId="5E17A98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noProof/>
        </w:rPr>
        <w:t>Šis vaistas</w:t>
      </w:r>
      <w:r>
        <w:rPr>
          <w:rFonts w:ascii="Times New Roman" w:eastAsia="Times New Roman" w:hAnsi="Times New Roman" w:cs="Times New Roman"/>
        </w:rPr>
        <w:t>, kaip ir visi kiti, gali sukelti šalutinį poveikį, nors jis pasireiškia ne visiems žmonėms.</w:t>
      </w:r>
    </w:p>
    <w:p w14:paraId="4CD00BC4" w14:textId="77777777" w:rsidR="0067529B" w:rsidRDefault="0067529B">
      <w:pPr>
        <w:spacing w:after="0" w:line="240" w:lineRule="auto"/>
        <w:rPr>
          <w:rFonts w:ascii="Times New Roman" w:eastAsia="Times New Roman" w:hAnsi="Times New Roman" w:cs="Times New Roman"/>
        </w:rPr>
      </w:pPr>
    </w:p>
    <w:p w14:paraId="646048F9"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Nedelsdami pasakykite savo gydytojui</w:t>
      </w:r>
    </w:p>
    <w:p w14:paraId="5CDC7270"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jeigu Jums yra sunki alerginė reakcija – Jums gali staigiai atsirasti niežtintis išbėrimas (dilgėlinė), plaštakų, pėdų, kulkšnų, veido, lūpų ar gerklės patinimas (dėl kurio gali pasunkėti rijimas ir kvėpavimas) ir Jūs galite jausti didėjantį silpnumą. Tai yra sunkus šalutinis poveikis. Nedelsdami kreipkitės į savo gydytoją.</w:t>
      </w:r>
    </w:p>
    <w:p w14:paraId="101F27CE" w14:textId="5AECFEBE"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Šis šalutinis poveikis yra labai retas (gali pasireikšti rečiau kaip 1 iš 10 000 asmenų).</w:t>
      </w:r>
    </w:p>
    <w:p w14:paraId="1646B9A5" w14:textId="77777777" w:rsidR="0067529B" w:rsidRDefault="0067529B">
      <w:pPr>
        <w:spacing w:after="0" w:line="240" w:lineRule="auto"/>
        <w:rPr>
          <w:rFonts w:ascii="Times New Roman" w:eastAsia="Times New Roman" w:hAnsi="Times New Roman" w:cs="Times New Roman"/>
        </w:rPr>
      </w:pPr>
    </w:p>
    <w:p w14:paraId="324C9E13"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Kitas šalutinis poveikis</w:t>
      </w:r>
    </w:p>
    <w:p w14:paraId="4058FC0B" w14:textId="77777777" w:rsidR="0067529B" w:rsidRDefault="0067529B">
      <w:pPr>
        <w:spacing w:after="0" w:line="240" w:lineRule="auto"/>
        <w:rPr>
          <w:rFonts w:ascii="Times New Roman" w:eastAsia="Times New Roman" w:hAnsi="Times New Roman" w:cs="Times New Roman"/>
        </w:rPr>
      </w:pPr>
    </w:p>
    <w:p w14:paraId="30CA143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Gauta pranešimų apie šį papildomą šalutinį poveikį:</w:t>
      </w:r>
    </w:p>
    <w:p w14:paraId="5376D3EE" w14:textId="77777777" w:rsidR="0067529B" w:rsidRDefault="0067529B">
      <w:pPr>
        <w:spacing w:after="0" w:line="240" w:lineRule="auto"/>
        <w:rPr>
          <w:rFonts w:ascii="Times New Roman" w:eastAsia="Times New Roman" w:hAnsi="Times New Roman" w:cs="Times New Roman"/>
        </w:rPr>
      </w:pPr>
    </w:p>
    <w:p w14:paraId="10AD29A8" w14:textId="798947BD"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Nedaž</w:t>
      </w:r>
      <w:r w:rsidRPr="00FA4CF0">
        <w:rPr>
          <w:rFonts w:ascii="Times New Roman" w:eastAsia="Times New Roman" w:hAnsi="Times New Roman" w:cs="Times New Roman"/>
          <w:i/>
        </w:rPr>
        <w:t>n</w:t>
      </w:r>
      <w:r w:rsidR="00FA4CF0" w:rsidRPr="00FA4CF0">
        <w:rPr>
          <w:rFonts w:ascii="Times New Roman" w:eastAsia="Times New Roman" w:hAnsi="Times New Roman" w:cs="Times New Roman"/>
          <w:i/>
        </w:rPr>
        <w:t>i</w:t>
      </w:r>
      <w:r w:rsidRPr="00FA4CF0">
        <w:rPr>
          <w:rFonts w:ascii="Times New Roman" w:eastAsia="Times New Roman" w:hAnsi="Times New Roman" w:cs="Times New Roman"/>
          <w:i/>
        </w:rPr>
        <w:t xml:space="preserve"> </w:t>
      </w:r>
      <w:r w:rsidR="00FA4CF0" w:rsidRPr="00787002">
        <w:rPr>
          <w:rFonts w:ascii="Times New Roman" w:eastAsia="Times New Roman" w:hAnsi="Times New Roman" w:cs="Times New Roman"/>
          <w:i/>
        </w:rPr>
        <w:t>šalutinio poveikio reiškiniai</w:t>
      </w:r>
      <w:r w:rsidR="00FA4CF0" w:rsidRPr="006F1FB9">
        <w:rPr>
          <w:rFonts w:ascii="Times New Roman" w:hAnsi="Times New Roman" w:cs="Times New Roman"/>
          <w:i/>
        </w:rPr>
        <w:t xml:space="preserve"> </w:t>
      </w:r>
      <w:r>
        <w:rPr>
          <w:rFonts w:ascii="Times New Roman" w:eastAsia="Times New Roman" w:hAnsi="Times New Roman" w:cs="Times New Roman"/>
          <w:i/>
        </w:rPr>
        <w:t>(gali pasireikšti rečiau kaip 1 iš 100 asmenų):</w:t>
      </w:r>
    </w:p>
    <w:p w14:paraId="5E23BD7D"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karščiavimas.</w:t>
      </w:r>
    </w:p>
    <w:p w14:paraId="1C294BBD" w14:textId="77777777" w:rsidR="0067529B" w:rsidRDefault="0067529B">
      <w:pPr>
        <w:spacing w:after="0" w:line="240" w:lineRule="auto"/>
        <w:rPr>
          <w:rFonts w:ascii="Times New Roman" w:eastAsia="Times New Roman" w:hAnsi="Times New Roman" w:cs="Times New Roman"/>
        </w:rPr>
      </w:pPr>
    </w:p>
    <w:p w14:paraId="774B57A4" w14:textId="22920C1B"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Ret</w:t>
      </w:r>
      <w:r w:rsidR="00FA4CF0">
        <w:rPr>
          <w:rFonts w:ascii="Times New Roman" w:eastAsia="Times New Roman" w:hAnsi="Times New Roman" w:cs="Times New Roman"/>
          <w:i/>
        </w:rPr>
        <w:t xml:space="preserve">i </w:t>
      </w:r>
      <w:r w:rsidR="00FA4CF0" w:rsidRPr="00787002">
        <w:rPr>
          <w:rFonts w:ascii="Times New Roman" w:eastAsia="Times New Roman" w:hAnsi="Times New Roman" w:cs="Times New Roman"/>
          <w:i/>
        </w:rPr>
        <w:t>šalutinio poveikio reiškiniai</w:t>
      </w:r>
      <w:r w:rsidR="00FA4CF0" w:rsidRPr="006F1FB9">
        <w:rPr>
          <w:rFonts w:ascii="Times New Roman" w:hAnsi="Times New Roman" w:cs="Times New Roman"/>
          <w:i/>
        </w:rPr>
        <w:t xml:space="preserve"> </w:t>
      </w:r>
      <w:r>
        <w:rPr>
          <w:rFonts w:ascii="Times New Roman" w:eastAsia="Times New Roman" w:hAnsi="Times New Roman" w:cs="Times New Roman"/>
          <w:i/>
        </w:rPr>
        <w:t xml:space="preserve"> (gali pasireikšti rečiau kaip 1 iš 1 000 asmenų):</w:t>
      </w:r>
    </w:p>
    <w:p w14:paraId="206E2172"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miego sutrikimai (nemiga);</w:t>
      </w:r>
    </w:p>
    <w:p w14:paraId="3C05D76C"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susijaudinimas;</w:t>
      </w:r>
    </w:p>
    <w:p w14:paraId="47262F3D"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depresija;</w:t>
      </w:r>
    </w:p>
    <w:p w14:paraId="1EEF0B4F"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virškinimo sistemos sutrikimai;</w:t>
      </w:r>
    </w:p>
    <w:p w14:paraId="53918880"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traukulių padažnėjimas epilepsija sergantiems pacientams.</w:t>
      </w:r>
    </w:p>
    <w:p w14:paraId="112E7630" w14:textId="77777777" w:rsidR="0067529B" w:rsidRDefault="0067529B">
      <w:pPr>
        <w:spacing w:after="0" w:line="240" w:lineRule="auto"/>
        <w:rPr>
          <w:rFonts w:ascii="Times New Roman" w:eastAsia="Times New Roman" w:hAnsi="Times New Roman" w:cs="Times New Roman"/>
        </w:rPr>
      </w:pPr>
    </w:p>
    <w:p w14:paraId="3E78C13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Jūs gaunate Calcium folinate Sandoz derinyje su vaistais nuo vėžio, kurių sudėtyje yra fluoropirimidinų, yra labiau tikėtina, kad Jums pasireikš pastarųjų vaistų sukeltas šis šalutinis poveikis:</w:t>
      </w:r>
    </w:p>
    <w:p w14:paraId="39983FA8" w14:textId="77777777" w:rsidR="0067529B" w:rsidRDefault="0067529B">
      <w:pPr>
        <w:spacing w:after="0" w:line="240" w:lineRule="auto"/>
        <w:rPr>
          <w:rFonts w:ascii="Times New Roman" w:eastAsia="Times New Roman" w:hAnsi="Times New Roman" w:cs="Times New Roman"/>
        </w:rPr>
      </w:pPr>
    </w:p>
    <w:p w14:paraId="20CED51E" w14:textId="57E737C2"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Labai dažn</w:t>
      </w:r>
      <w:r w:rsidR="00FA4CF0">
        <w:rPr>
          <w:rFonts w:ascii="Times New Roman" w:eastAsia="Times New Roman" w:hAnsi="Times New Roman" w:cs="Times New Roman"/>
          <w:i/>
        </w:rPr>
        <w:t xml:space="preserve">i </w:t>
      </w:r>
      <w:r w:rsidR="00FA4CF0" w:rsidRPr="00787002">
        <w:rPr>
          <w:rFonts w:ascii="Times New Roman" w:eastAsia="Times New Roman" w:hAnsi="Times New Roman" w:cs="Times New Roman"/>
          <w:i/>
        </w:rPr>
        <w:t>šalutinio poveikio reiškiniai</w:t>
      </w:r>
      <w:r w:rsidR="00FA4CF0" w:rsidRPr="006F1FB9">
        <w:rPr>
          <w:rFonts w:ascii="Times New Roman" w:hAnsi="Times New Roman" w:cs="Times New Roman"/>
          <w:i/>
        </w:rPr>
        <w:t xml:space="preserve"> </w:t>
      </w:r>
      <w:r>
        <w:rPr>
          <w:rFonts w:ascii="Times New Roman" w:eastAsia="Times New Roman" w:hAnsi="Times New Roman" w:cs="Times New Roman"/>
          <w:i/>
        </w:rPr>
        <w:t xml:space="preserve"> (gali pasireikšti ne rečiau kaip 1 iš 10 asmenų):</w:t>
      </w:r>
    </w:p>
    <w:p w14:paraId="39D2A582"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pykinimas;</w:t>
      </w:r>
    </w:p>
    <w:p w14:paraId="61243C40"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 xml:space="preserve">vėmimas; </w:t>
      </w:r>
    </w:p>
    <w:p w14:paraId="46283CCA"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sunkus viduriavimas;</w:t>
      </w:r>
    </w:p>
    <w:p w14:paraId="10B0ED8C"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sausa oda ir gleivinės, kas gali būti dėl viduriavimo;</w:t>
      </w:r>
    </w:p>
    <w:p w14:paraId="6E95D75E"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žarnų ir burnos gleivinės uždegimas (yra pasireiškę gyvybei pavojingų būklių);</w:t>
      </w:r>
    </w:p>
    <w:p w14:paraId="0574243E"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kraujo ląstelių skaičiaus sumažėjimas (įskaitant gyvybei pavojingas būkles).</w:t>
      </w:r>
    </w:p>
    <w:p w14:paraId="539F1200" w14:textId="77777777" w:rsidR="0067529B" w:rsidRDefault="0067529B">
      <w:pPr>
        <w:spacing w:after="0" w:line="240" w:lineRule="auto"/>
        <w:rPr>
          <w:rFonts w:ascii="Times New Roman" w:eastAsia="Times New Roman" w:hAnsi="Times New Roman" w:cs="Times New Roman"/>
        </w:rPr>
      </w:pPr>
    </w:p>
    <w:p w14:paraId="18825BAD" w14:textId="5C52E00C"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Dažna</w:t>
      </w:r>
      <w:r w:rsidR="00FA4CF0">
        <w:rPr>
          <w:rFonts w:ascii="Times New Roman" w:eastAsia="Times New Roman" w:hAnsi="Times New Roman" w:cs="Times New Roman"/>
          <w:i/>
        </w:rPr>
        <w:t xml:space="preserve">i </w:t>
      </w:r>
      <w:r w:rsidR="00FA4CF0" w:rsidRPr="00787002">
        <w:rPr>
          <w:rFonts w:ascii="Times New Roman" w:eastAsia="Times New Roman" w:hAnsi="Times New Roman" w:cs="Times New Roman"/>
          <w:i/>
        </w:rPr>
        <w:t>šalutinio poveikio reiškiniai</w:t>
      </w:r>
      <w:r w:rsidR="00FA4CF0" w:rsidRPr="006F1FB9">
        <w:rPr>
          <w:rFonts w:ascii="Times New Roman" w:hAnsi="Times New Roman" w:cs="Times New Roman"/>
          <w:i/>
        </w:rPr>
        <w:t xml:space="preserve"> </w:t>
      </w:r>
      <w:r>
        <w:rPr>
          <w:rFonts w:ascii="Times New Roman" w:eastAsia="Times New Roman" w:hAnsi="Times New Roman" w:cs="Times New Roman"/>
          <w:i/>
        </w:rPr>
        <w:t xml:space="preserve">: </w:t>
      </w:r>
    </w:p>
    <w:p w14:paraId="5C03AEDF" w14:textId="77777777" w:rsidR="0067529B" w:rsidRDefault="00186B74">
      <w:pPr>
        <w:numPr>
          <w:ilvl w:val="0"/>
          <w:numId w:val="7"/>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plaštakų delnų ir pėdų padų paraudimas ir patinimas, kuris gali sukelti odos lupimąsi (plaštakų ir pėdų sindromas).</w:t>
      </w:r>
    </w:p>
    <w:p w14:paraId="1458959A" w14:textId="77777777" w:rsidR="0067529B" w:rsidRDefault="0067529B">
      <w:pPr>
        <w:autoSpaceDE w:val="0"/>
        <w:autoSpaceDN w:val="0"/>
        <w:adjustRightInd w:val="0"/>
        <w:spacing w:after="0" w:line="240" w:lineRule="auto"/>
        <w:rPr>
          <w:rFonts w:ascii="Times New Roman" w:eastAsiaTheme="minorEastAsia" w:hAnsi="Times New Roman" w:cs="Times New Roman"/>
          <w:b/>
          <w:bCs/>
          <w:color w:val="000000"/>
          <w:lang w:eastAsia="zh-TW"/>
        </w:rPr>
      </w:pPr>
    </w:p>
    <w:p w14:paraId="257000B3" w14:textId="77777777" w:rsidR="0067529B" w:rsidRDefault="00186B74">
      <w:pPr>
        <w:autoSpaceDE w:val="0"/>
        <w:autoSpaceDN w:val="0"/>
        <w:adjustRightInd w:val="0"/>
        <w:spacing w:after="0" w:line="240" w:lineRule="auto"/>
        <w:rPr>
          <w:rFonts w:ascii="Times New Roman" w:eastAsiaTheme="minorEastAsia" w:hAnsi="Times New Roman" w:cs="Times New Roman"/>
          <w:i/>
          <w:color w:val="000000"/>
          <w:lang w:eastAsia="zh-TW"/>
        </w:rPr>
      </w:pPr>
      <w:r>
        <w:rPr>
          <w:rFonts w:ascii="Times New Roman" w:eastAsiaTheme="minorEastAsia" w:hAnsi="Times New Roman" w:cs="Times New Roman"/>
          <w:bCs/>
          <w:i/>
          <w:color w:val="000000"/>
          <w:lang w:eastAsia="zh-TW"/>
        </w:rPr>
        <w:t>Dažnis nežinomas (negali būti apskaičiuotas pagal turimus duomenis)</w:t>
      </w:r>
    </w:p>
    <w:p w14:paraId="54D79F01" w14:textId="77777777" w:rsidR="0067529B" w:rsidRDefault="00186B74">
      <w:pPr>
        <w:pStyle w:val="ListParagraph"/>
        <w:numPr>
          <w:ilvl w:val="0"/>
          <w:numId w:val="7"/>
        </w:numPr>
        <w:autoSpaceDE w:val="0"/>
        <w:autoSpaceDN w:val="0"/>
        <w:adjustRightInd w:val="0"/>
        <w:spacing w:after="0" w:line="240" w:lineRule="auto"/>
        <w:ind w:left="567" w:hanging="567"/>
        <w:jc w:val="both"/>
        <w:rPr>
          <w:rFonts w:ascii="Times New Roman" w:eastAsiaTheme="minorEastAsia" w:hAnsi="Times New Roman" w:cs="Times New Roman"/>
          <w:color w:val="000000"/>
          <w:lang w:val="en-US" w:eastAsia="zh-TW"/>
        </w:rPr>
      </w:pPr>
      <w:r>
        <w:rPr>
          <w:rFonts w:ascii="Times New Roman" w:eastAsiaTheme="minorEastAsia" w:hAnsi="Times New Roman" w:cs="Times New Roman"/>
          <w:color w:val="000000"/>
          <w:lang w:val="en-US" w:eastAsia="zh-TW"/>
        </w:rPr>
        <w:t>kraujyje padidėjęs amoniako kiekis.</w:t>
      </w:r>
    </w:p>
    <w:p w14:paraId="6EFBCA3E" w14:textId="77777777" w:rsidR="0067529B" w:rsidRDefault="0067529B">
      <w:pPr>
        <w:spacing w:after="0" w:line="240" w:lineRule="auto"/>
        <w:rPr>
          <w:rFonts w:ascii="Times New Roman" w:eastAsia="Times New Roman" w:hAnsi="Times New Roman" w:cs="Times New Roman"/>
        </w:rPr>
      </w:pPr>
    </w:p>
    <w:p w14:paraId="4C8AA768" w14:textId="77777777" w:rsidR="0067529B" w:rsidRDefault="00186B74">
      <w:pP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noProof/>
          <w:snapToGrid w:val="0"/>
          <w:szCs w:val="24"/>
        </w:rPr>
        <w:t>Pranešimas apie šalutinį poveikį</w:t>
      </w:r>
    </w:p>
    <w:p w14:paraId="7E45166C" w14:textId="4A55FE32" w:rsidR="0067529B" w:rsidRDefault="00186B74" w:rsidP="005E307E">
      <w:pPr>
        <w:spacing w:after="0" w:line="240" w:lineRule="auto"/>
        <w:ind w:right="-448"/>
        <w:jc w:val="both"/>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Pr>
            <w:rFonts w:ascii="Times New Roman" w:eastAsia="Times New Roman" w:hAnsi="Times New Roman" w:cs="Times New Roman"/>
            <w:snapToGrid w:val="0"/>
            <w:color w:val="0000FF"/>
            <w:szCs w:val="20"/>
            <w:u w:val="single"/>
          </w:rPr>
          <w:t>https://vapris.vvkt.lt/vvkt-web/public/nrv</w:t>
        </w:r>
      </w:hyperlink>
      <w:r>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9" w:history="1">
        <w:r>
          <w:rPr>
            <w:rFonts w:ascii="Times New Roman" w:eastAsia="Times New Roman" w:hAnsi="Times New Roman" w:cs="Times New Roman"/>
            <w:snapToGrid w:val="0"/>
            <w:color w:val="0000FF"/>
            <w:szCs w:val="20"/>
            <w:u w:val="single"/>
          </w:rPr>
          <w:t>https://www.vvkt.lt/index.php?4004286486</w:t>
        </w:r>
      </w:hyperlink>
      <w:r>
        <w:rPr>
          <w:rFonts w:ascii="Times New Roman" w:eastAsia="Times New Roman" w:hAnsi="Times New Roman" w:cs="Times New Roman"/>
          <w:snapToGrid w:val="0"/>
          <w:szCs w:val="20"/>
        </w:rPr>
        <w:t xml:space="preserve">, ir atsiunčiant elektroniniu paštu (adresu </w:t>
      </w:r>
      <w:hyperlink r:id="rId10" w:history="1">
        <w:r>
          <w:rPr>
            <w:rFonts w:ascii="Times New Roman" w:eastAsia="Times New Roman" w:hAnsi="Times New Roman" w:cs="Times New Roman"/>
            <w:snapToGrid w:val="0"/>
            <w:color w:val="0000FF"/>
            <w:szCs w:val="20"/>
            <w:u w:val="single"/>
          </w:rPr>
          <w:t>NepageidaujamaR@vvkt.lt</w:t>
        </w:r>
      </w:hyperlink>
      <w:r>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3B7A1EAD" w14:textId="77777777" w:rsidR="0067529B" w:rsidRDefault="0067529B">
      <w:pPr>
        <w:spacing w:after="0" w:line="240" w:lineRule="auto"/>
        <w:ind w:right="-448"/>
        <w:rPr>
          <w:rFonts w:ascii="Times New Roman" w:eastAsia="Times New Roman" w:hAnsi="Times New Roman" w:cs="Times New Roman"/>
          <w:noProof/>
          <w:snapToGrid w:val="0"/>
          <w:szCs w:val="24"/>
        </w:rPr>
      </w:pPr>
    </w:p>
    <w:p w14:paraId="56F7ACFC" w14:textId="77777777" w:rsidR="0067529B" w:rsidRDefault="0067529B">
      <w:pPr>
        <w:spacing w:after="0" w:line="240" w:lineRule="auto"/>
        <w:rPr>
          <w:rFonts w:ascii="Times New Roman" w:eastAsia="Times New Roman" w:hAnsi="Times New Roman" w:cs="Times New Roman"/>
          <w:i/>
        </w:rPr>
      </w:pPr>
    </w:p>
    <w:p w14:paraId="76B42D17"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5.</w:t>
      </w:r>
      <w:r>
        <w:rPr>
          <w:rFonts w:ascii="Times New Roman" w:eastAsia="Times New Roman" w:hAnsi="Times New Roman" w:cs="Times New Roman"/>
          <w:b/>
        </w:rPr>
        <w:tab/>
        <w:t>Kaip laikyti Calcium folinate Sandoz</w:t>
      </w:r>
    </w:p>
    <w:p w14:paraId="7932BA9F" w14:textId="77777777" w:rsidR="0067529B" w:rsidRDefault="0067529B">
      <w:pPr>
        <w:spacing w:after="0" w:line="240" w:lineRule="auto"/>
        <w:rPr>
          <w:rFonts w:ascii="Times New Roman" w:eastAsia="Times New Roman" w:hAnsi="Times New Roman" w:cs="Times New Roman"/>
          <w:i/>
        </w:rPr>
      </w:pPr>
    </w:p>
    <w:p w14:paraId="2A2E5BED" w14:textId="77777777" w:rsidR="0067529B" w:rsidRDefault="00186B74">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Šį vaistą laikykite vaikams nepastebimoje ir nepasiekiamoje vietoje.</w:t>
      </w:r>
    </w:p>
    <w:p w14:paraId="4F8957CE" w14:textId="77777777" w:rsidR="0067529B" w:rsidRDefault="0067529B">
      <w:pPr>
        <w:spacing w:after="0" w:line="240" w:lineRule="auto"/>
        <w:rPr>
          <w:rFonts w:ascii="Times New Roman" w:eastAsia="Times New Roman" w:hAnsi="Times New Roman" w:cs="Times New Roman"/>
        </w:rPr>
      </w:pPr>
    </w:p>
    <w:p w14:paraId="62FA695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Ant dėžutės ir flakono etiketės po „EXP“ nurodytam tinkamumo laikui pasibaigus, šio vaisto vartoti negalima. Vaistas tinkamas vartoti iki paskutinės nurodyto mėnesio dienos.</w:t>
      </w:r>
    </w:p>
    <w:p w14:paraId="3BA7A025" w14:textId="77777777" w:rsidR="0067529B" w:rsidRDefault="0067529B">
      <w:pPr>
        <w:spacing w:after="0" w:line="240" w:lineRule="auto"/>
        <w:rPr>
          <w:rFonts w:ascii="Times New Roman" w:eastAsia="Times New Roman" w:hAnsi="Times New Roman" w:cs="Times New Roman"/>
        </w:rPr>
      </w:pPr>
    </w:p>
    <w:p w14:paraId="28B7831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Laikyti šaldytuve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w:t>
      </w:r>
    </w:p>
    <w:p w14:paraId="232D9095" w14:textId="77777777" w:rsidR="0067529B" w:rsidRDefault="0067529B">
      <w:pPr>
        <w:spacing w:after="0" w:line="240" w:lineRule="auto"/>
        <w:rPr>
          <w:rFonts w:ascii="Times New Roman" w:eastAsia="Times New Roman" w:hAnsi="Times New Roman" w:cs="Times New Roman"/>
        </w:rPr>
      </w:pPr>
    </w:p>
    <w:p w14:paraId="26105B9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Informacija apie Calcium folinate Sandoz laikymą ir tinkamumo laiką po praskiedimo infuzijai yra aprašyta informacijoje sveikatos priežiūros specialistams šio pakuotės lapelio pabaigoje.</w:t>
      </w:r>
    </w:p>
    <w:p w14:paraId="5C960020" w14:textId="77777777" w:rsidR="0067529B" w:rsidRDefault="0067529B">
      <w:pPr>
        <w:spacing w:after="0" w:line="240" w:lineRule="auto"/>
        <w:rPr>
          <w:rFonts w:ascii="Times New Roman" w:eastAsia="Times New Roman" w:hAnsi="Times New Roman" w:cs="Times New Roman"/>
        </w:rPr>
      </w:pPr>
    </w:p>
    <w:p w14:paraId="018FB0C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Pastebėjus tirpalo drumstumą ar jame esančias daleles, šio vaisto vartoti negalima.</w:t>
      </w:r>
    </w:p>
    <w:p w14:paraId="007DA461" w14:textId="77777777" w:rsidR="0067529B" w:rsidRDefault="0067529B">
      <w:pPr>
        <w:spacing w:after="0" w:line="240" w:lineRule="auto"/>
        <w:rPr>
          <w:rFonts w:ascii="Times New Roman" w:eastAsia="Times New Roman" w:hAnsi="Times New Roman" w:cs="Times New Roman"/>
        </w:rPr>
      </w:pPr>
    </w:p>
    <w:p w14:paraId="6F17C7C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7E58C90A" w14:textId="77777777" w:rsidR="0067529B" w:rsidRDefault="0067529B">
      <w:pPr>
        <w:tabs>
          <w:tab w:val="left" w:pos="567"/>
        </w:tabs>
        <w:spacing w:after="0" w:line="240" w:lineRule="auto"/>
        <w:rPr>
          <w:rFonts w:ascii="Times New Roman" w:eastAsia="Times New Roman" w:hAnsi="Times New Roman" w:cs="Times New Roman"/>
        </w:rPr>
      </w:pPr>
    </w:p>
    <w:p w14:paraId="2F2573C1" w14:textId="77777777" w:rsidR="0067529B" w:rsidRDefault="0067529B">
      <w:pPr>
        <w:tabs>
          <w:tab w:val="left" w:pos="567"/>
        </w:tabs>
        <w:spacing w:after="0" w:line="240" w:lineRule="auto"/>
        <w:rPr>
          <w:rFonts w:ascii="Times New Roman" w:eastAsia="Times New Roman" w:hAnsi="Times New Roman" w:cs="Times New Roman"/>
        </w:rPr>
      </w:pPr>
    </w:p>
    <w:p w14:paraId="4AD674FA"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6.</w:t>
      </w:r>
      <w:r>
        <w:rPr>
          <w:rFonts w:ascii="Times New Roman" w:eastAsia="Times New Roman" w:hAnsi="Times New Roman" w:cs="Times New Roman"/>
          <w:b/>
        </w:rPr>
        <w:tab/>
        <w:t>Pakuotės turinys ir kita informacija</w:t>
      </w:r>
    </w:p>
    <w:p w14:paraId="205267B3" w14:textId="77777777" w:rsidR="0067529B" w:rsidRDefault="0067529B">
      <w:pPr>
        <w:spacing w:after="0" w:line="240" w:lineRule="auto"/>
        <w:rPr>
          <w:rFonts w:ascii="Times New Roman" w:eastAsia="Times New Roman" w:hAnsi="Times New Roman" w:cs="Times New Roman"/>
          <w:i/>
        </w:rPr>
      </w:pPr>
    </w:p>
    <w:p w14:paraId="1460FF71"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Calcium folinate Sandoz sudėtis</w:t>
      </w:r>
    </w:p>
    <w:p w14:paraId="68345B7A" w14:textId="60059ADB" w:rsidR="0067529B" w:rsidRDefault="00186B74">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Veiklioji medžiaga yra kalcio folinatas. Kiekviename mililitre injekcinio ar infuzinio tirpalo yra 10 mg folino rūgšties (kalcio folinato hidrato pavidalu).</w:t>
      </w:r>
    </w:p>
    <w:p w14:paraId="3BA657D3" w14:textId="77777777" w:rsidR="0067529B" w:rsidRDefault="00186B74">
      <w:pPr>
        <w:tabs>
          <w:tab w:val="left" w:pos="567"/>
        </w:tabs>
        <w:spacing w:after="0" w:line="240" w:lineRule="auto"/>
        <w:ind w:left="567" w:hanging="567"/>
        <w:rPr>
          <w:rFonts w:ascii="Times New Roman" w:eastAsia="Times New Roman" w:hAnsi="Times New Roman" w:cs="Times New Roman"/>
          <w:b/>
          <w:i/>
        </w:rPr>
      </w:pPr>
      <w:r>
        <w:rPr>
          <w:rFonts w:ascii="Times New Roman" w:eastAsia="Times New Roman" w:hAnsi="Times New Roman" w:cs="Times New Roman"/>
        </w:rPr>
        <w:t>-</w:t>
      </w:r>
      <w:r>
        <w:rPr>
          <w:rFonts w:ascii="Times New Roman" w:eastAsia="Times New Roman" w:hAnsi="Times New Roman" w:cs="Times New Roman"/>
        </w:rPr>
        <w:tab/>
        <w:t>Pagalbinės medžiagos yra natrio chloridas, injekcinis vanduo, natrio hidroksidas, praskiesta vandenilio chlorido rūgštis.</w:t>
      </w:r>
    </w:p>
    <w:p w14:paraId="778400D5" w14:textId="77777777" w:rsidR="0067529B" w:rsidRDefault="0067529B">
      <w:pPr>
        <w:spacing w:after="0" w:line="240" w:lineRule="auto"/>
        <w:rPr>
          <w:rFonts w:ascii="Times New Roman" w:eastAsia="Times New Roman" w:hAnsi="Times New Roman" w:cs="Times New Roman"/>
        </w:rPr>
      </w:pPr>
    </w:p>
    <w:p w14:paraId="1E20DAA6"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Calcium folinate Sandoz išvaizda ir kiekis pakuotėje</w:t>
      </w:r>
    </w:p>
    <w:p w14:paraId="6D70E21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w:t>
      </w:r>
      <w:r>
        <w:rPr>
          <w:rFonts w:ascii="Times New Roman" w:eastAsia="Times New Roman" w:hAnsi="Times New Roman" w:cs="Times New Roman"/>
          <w:b/>
        </w:rPr>
        <w:t xml:space="preserve"> </w:t>
      </w:r>
      <w:r>
        <w:rPr>
          <w:rFonts w:ascii="Times New Roman" w:eastAsia="Times New Roman" w:hAnsi="Times New Roman" w:cs="Times New Roman"/>
        </w:rPr>
        <w:t xml:space="preserve">yra skaidrus gelsvas tirpalas. </w:t>
      </w:r>
    </w:p>
    <w:p w14:paraId="1E9EEA7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Gintaro spalvos stiklo flakonai supakuoti kartono dėžutėje.</w:t>
      </w:r>
    </w:p>
    <w:p w14:paraId="5194D99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Flakonai užkimšti guminiu kamščiu su aliuminio dangteliu.</w:t>
      </w:r>
    </w:p>
    <w:p w14:paraId="566BC527" w14:textId="77777777" w:rsidR="0067529B" w:rsidRDefault="0067529B">
      <w:pPr>
        <w:spacing w:after="0" w:line="240" w:lineRule="auto"/>
        <w:rPr>
          <w:rFonts w:ascii="Times New Roman" w:eastAsia="Times New Roman" w:hAnsi="Times New Roman" w:cs="Times New Roman"/>
        </w:rPr>
      </w:pPr>
    </w:p>
    <w:p w14:paraId="7F774075"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Esami pakuotės dydžiai</w:t>
      </w:r>
    </w:p>
    <w:p w14:paraId="1CF0B9CC"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5, 10 flakonų po 3 ml</w:t>
      </w:r>
    </w:p>
    <w:p w14:paraId="5A149329"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5, 10 flakonų po 5 ml</w:t>
      </w:r>
    </w:p>
    <w:p w14:paraId="625E73BE"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10 ml</w:t>
      </w:r>
    </w:p>
    <w:p w14:paraId="5C8B36C9"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20 ml</w:t>
      </w:r>
    </w:p>
    <w:p w14:paraId="63C19309"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35 ml</w:t>
      </w:r>
    </w:p>
    <w:p w14:paraId="1432AE31"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50 ml</w:t>
      </w:r>
    </w:p>
    <w:p w14:paraId="7751532E"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100 ml</w:t>
      </w:r>
    </w:p>
    <w:p w14:paraId="05F1138F" w14:textId="77777777" w:rsidR="0067529B" w:rsidRDefault="0067529B">
      <w:pPr>
        <w:tabs>
          <w:tab w:val="left" w:pos="567"/>
        </w:tabs>
        <w:spacing w:after="0" w:line="240" w:lineRule="auto"/>
        <w:rPr>
          <w:rFonts w:ascii="Times New Roman" w:eastAsia="Times New Roman" w:hAnsi="Times New Roman" w:cs="Times New Roman"/>
        </w:rPr>
      </w:pPr>
    </w:p>
    <w:p w14:paraId="0C881491"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14:paraId="5B89BA51" w14:textId="77777777" w:rsidR="0067529B" w:rsidRDefault="0067529B">
      <w:pPr>
        <w:spacing w:after="0" w:line="240" w:lineRule="auto"/>
        <w:rPr>
          <w:rFonts w:ascii="Times New Roman" w:eastAsia="Times New Roman" w:hAnsi="Times New Roman" w:cs="Times New Roman"/>
          <w:i/>
        </w:rPr>
      </w:pPr>
    </w:p>
    <w:p w14:paraId="44AF5477"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Registruotojas ir gamintojas</w:t>
      </w:r>
    </w:p>
    <w:p w14:paraId="154824D6"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Registruotojas</w:t>
      </w:r>
    </w:p>
    <w:p w14:paraId="0BB9E3C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Sandoz d.d. </w:t>
      </w:r>
      <w:r>
        <w:rPr>
          <w:rFonts w:ascii="Times New Roman" w:eastAsia="Times New Roman" w:hAnsi="Times New Roman" w:cs="Times New Roman"/>
        </w:rPr>
        <w:br/>
        <w:t xml:space="preserve">Verovškova 57 </w:t>
      </w:r>
      <w:r>
        <w:rPr>
          <w:rFonts w:ascii="Times New Roman" w:eastAsia="Times New Roman" w:hAnsi="Times New Roman" w:cs="Times New Roman"/>
        </w:rPr>
        <w:br/>
        <w:t xml:space="preserve">SI-1000 Ljubljana </w:t>
      </w:r>
      <w:r>
        <w:rPr>
          <w:rFonts w:ascii="Times New Roman" w:eastAsia="Times New Roman" w:hAnsi="Times New Roman" w:cs="Times New Roman"/>
        </w:rPr>
        <w:br/>
        <w:t>Slovėnija</w:t>
      </w:r>
    </w:p>
    <w:p w14:paraId="756458C7" w14:textId="77777777" w:rsidR="0067529B" w:rsidRDefault="0067529B">
      <w:pPr>
        <w:spacing w:after="0" w:line="240" w:lineRule="auto"/>
        <w:rPr>
          <w:rFonts w:ascii="Times New Roman" w:eastAsia="Times New Roman" w:hAnsi="Times New Roman" w:cs="Times New Roman"/>
        </w:rPr>
      </w:pPr>
    </w:p>
    <w:p w14:paraId="25AEC46E"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Gamintojai</w:t>
      </w:r>
    </w:p>
    <w:p w14:paraId="3CB2666F" w14:textId="77777777" w:rsidR="0067529B" w:rsidRDefault="00186B74">
      <w:pPr>
        <w:keepNext/>
        <w:spacing w:after="0" w:line="240" w:lineRule="auto"/>
        <w:outlineLvl w:val="5"/>
        <w:rPr>
          <w:rFonts w:ascii="Times New Roman" w:eastAsia="Times New Roman" w:hAnsi="Times New Roman" w:cs="Times New Roman"/>
        </w:rPr>
      </w:pPr>
      <w:r>
        <w:rPr>
          <w:rFonts w:ascii="Times New Roman" w:eastAsia="Times New Roman" w:hAnsi="Times New Roman" w:cs="Times New Roman"/>
        </w:rPr>
        <w:t>EBEWE Pharma Ges.m.b.H. Nfg. KG</w:t>
      </w:r>
    </w:p>
    <w:p w14:paraId="23108C30"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Mondseestraße 11</w:t>
      </w:r>
    </w:p>
    <w:p w14:paraId="4CDEDB70"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A-4866 Unterach am Attersee</w:t>
      </w:r>
    </w:p>
    <w:p w14:paraId="1C9534E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Austrija</w:t>
      </w:r>
    </w:p>
    <w:p w14:paraId="231B33E6" w14:textId="77777777" w:rsidR="0067529B" w:rsidRDefault="0067529B">
      <w:pPr>
        <w:spacing w:after="0" w:line="240" w:lineRule="auto"/>
        <w:rPr>
          <w:rFonts w:ascii="Times New Roman" w:eastAsia="Times New Roman" w:hAnsi="Times New Roman" w:cs="Times New Roman"/>
        </w:rPr>
      </w:pPr>
    </w:p>
    <w:p w14:paraId="65A2B7F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arba </w:t>
      </w:r>
    </w:p>
    <w:p w14:paraId="2E77C45D" w14:textId="77777777" w:rsidR="0067529B" w:rsidRDefault="0067529B">
      <w:pPr>
        <w:spacing w:after="0" w:line="240" w:lineRule="auto"/>
        <w:rPr>
          <w:rFonts w:ascii="Times New Roman" w:eastAsia="Times New Roman" w:hAnsi="Times New Roman" w:cs="Times New Roman"/>
        </w:rPr>
      </w:pPr>
    </w:p>
    <w:p w14:paraId="43B4EA8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Sandoz GmbH</w:t>
      </w:r>
    </w:p>
    <w:p w14:paraId="0E95B5C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Biochemiestraße 10</w:t>
      </w:r>
    </w:p>
    <w:p w14:paraId="206B556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Kundl</w:t>
      </w:r>
    </w:p>
    <w:p w14:paraId="50B74C0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6250, Austrija</w:t>
      </w:r>
    </w:p>
    <w:p w14:paraId="22EC373B" w14:textId="77777777" w:rsidR="0067529B" w:rsidRDefault="0067529B">
      <w:pPr>
        <w:spacing w:after="0" w:line="240" w:lineRule="auto"/>
        <w:rPr>
          <w:rFonts w:ascii="Times New Roman" w:eastAsia="Times New Roman" w:hAnsi="Times New Roman" w:cs="Times New Roman"/>
        </w:rPr>
      </w:pPr>
    </w:p>
    <w:p w14:paraId="5B0F9CF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arba</w:t>
      </w:r>
    </w:p>
    <w:p w14:paraId="0106657D" w14:textId="77777777" w:rsidR="0067529B" w:rsidRDefault="0067529B">
      <w:pPr>
        <w:spacing w:after="0" w:line="240" w:lineRule="auto"/>
        <w:rPr>
          <w:rFonts w:ascii="Times New Roman" w:eastAsia="Times New Roman" w:hAnsi="Times New Roman" w:cs="Times New Roman"/>
        </w:rPr>
      </w:pPr>
    </w:p>
    <w:p w14:paraId="6D701C2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Salutas Pharma GmbH</w:t>
      </w:r>
    </w:p>
    <w:p w14:paraId="00F45F9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Otto-von-Guericke-Allee 1</w:t>
      </w:r>
    </w:p>
    <w:p w14:paraId="3A048A1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Barleben, Sachsen-Anhalt, 39179</w:t>
      </w:r>
    </w:p>
    <w:p w14:paraId="5B3334F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Vokietija</w:t>
      </w:r>
    </w:p>
    <w:p w14:paraId="56845A33" w14:textId="77777777" w:rsidR="0067529B" w:rsidRDefault="0067529B">
      <w:pPr>
        <w:spacing w:after="0" w:line="240" w:lineRule="auto"/>
        <w:rPr>
          <w:rFonts w:ascii="Times New Roman" w:eastAsia="Times New Roman" w:hAnsi="Times New Roman" w:cs="Times New Roman"/>
          <w:i/>
        </w:rPr>
      </w:pPr>
    </w:p>
    <w:p w14:paraId="2E85284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apie šį vaistą norite sužinoti daugiau, kreipkitės į vietinį registruotojo atstovą.</w:t>
      </w:r>
    </w:p>
    <w:p w14:paraId="4566E5CA" w14:textId="77777777" w:rsidR="0067529B" w:rsidRDefault="0067529B">
      <w:pPr>
        <w:spacing w:after="0" w:line="240" w:lineRule="auto"/>
        <w:rPr>
          <w:rFonts w:ascii="Times New Roman" w:eastAsia="Times New Roman" w:hAnsi="Times New Roman" w:cs="Times New Roman"/>
        </w:rPr>
      </w:pPr>
    </w:p>
    <w:p w14:paraId="178A407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Sandoz Pharmaceuticals d.d. filialas</w:t>
      </w:r>
    </w:p>
    <w:p w14:paraId="2DD8C78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Šeimyniškių g. 3A</w:t>
      </w:r>
    </w:p>
    <w:p w14:paraId="706BC196" w14:textId="77777777" w:rsidR="0067529B" w:rsidRDefault="00186B74">
      <w:pPr>
        <w:spacing w:after="0" w:line="240" w:lineRule="auto"/>
        <w:rPr>
          <w:rFonts w:ascii="Times New Roman" w:eastAsia="Times New Roman" w:hAnsi="Times New Roman" w:cs="Times New Roman"/>
        </w:rPr>
      </w:pPr>
      <w:r>
        <w:rPr>
          <w:rFonts w:ascii="Times New Roman" w:eastAsia="Calibri" w:hAnsi="Times New Roman" w:cs="Times New Roman"/>
        </w:rPr>
        <w:t>Vilnius, LT-09312</w:t>
      </w:r>
    </w:p>
    <w:p w14:paraId="70EE8A2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Lietuva</w:t>
      </w:r>
    </w:p>
    <w:p w14:paraId="0A3610E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Tel.: +370 5 26 36 037</w:t>
      </w:r>
    </w:p>
    <w:p w14:paraId="168D898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El. pašto adresas: info.lithuania@sandoz.com</w:t>
      </w:r>
    </w:p>
    <w:p w14:paraId="4EE1CDAB" w14:textId="77777777" w:rsidR="0067529B" w:rsidRDefault="0067529B">
      <w:pPr>
        <w:spacing w:after="0" w:line="240" w:lineRule="auto"/>
        <w:rPr>
          <w:rFonts w:ascii="Times New Roman" w:eastAsia="Times New Roman" w:hAnsi="Times New Roman" w:cs="Times New Roman"/>
          <w:u w:val="single"/>
        </w:rPr>
      </w:pPr>
    </w:p>
    <w:p w14:paraId="479BF9DA" w14:textId="09B95F05"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Šis vaistas </w:t>
      </w:r>
      <w:r>
        <w:rPr>
          <w:rFonts w:ascii="Times New Roman" w:eastAsia="Times New Roman" w:hAnsi="Times New Roman" w:cs="Times New Roman"/>
          <w:b/>
          <w:snapToGrid w:val="0"/>
          <w:szCs w:val="20"/>
        </w:rPr>
        <w:t xml:space="preserve">Europos ekonominės erdvės valstybėse narėse ir Jungtinėje Karalystėje (Šiaurės Airijoje) </w:t>
      </w:r>
      <w:r>
        <w:rPr>
          <w:rFonts w:ascii="Times New Roman" w:eastAsia="Times New Roman" w:hAnsi="Times New Roman" w:cs="Times New Roman"/>
          <w:b/>
        </w:rPr>
        <w:t>registruotas tokiais pavadinimais:</w:t>
      </w:r>
    </w:p>
    <w:tbl>
      <w:tblPr>
        <w:tblStyle w:val="TableGrid"/>
        <w:tblW w:w="0" w:type="auto"/>
        <w:tblLook w:val="04A0" w:firstRow="1" w:lastRow="0" w:firstColumn="1" w:lastColumn="0" w:noHBand="0" w:noVBand="1"/>
      </w:tblPr>
      <w:tblGrid>
        <w:gridCol w:w="4697"/>
        <w:gridCol w:w="4697"/>
      </w:tblGrid>
      <w:tr w:rsidR="0067529B" w14:paraId="0A37FD10" w14:textId="77777777">
        <w:tc>
          <w:tcPr>
            <w:tcW w:w="4697" w:type="dxa"/>
          </w:tcPr>
          <w:p w14:paraId="45CD0D24" w14:textId="277EFDDD" w:rsidR="0067529B" w:rsidRDefault="00186B74">
            <w:pPr>
              <w:rPr>
                <w:rFonts w:eastAsia="Times New Roman"/>
                <w:b/>
                <w:sz w:val="22"/>
                <w:szCs w:val="22"/>
              </w:rPr>
            </w:pPr>
            <w:r>
              <w:rPr>
                <w:rFonts w:eastAsia="Times New Roman"/>
              </w:rPr>
              <w:t>Austrija</w:t>
            </w:r>
          </w:p>
        </w:tc>
        <w:tc>
          <w:tcPr>
            <w:tcW w:w="4697" w:type="dxa"/>
          </w:tcPr>
          <w:p w14:paraId="667DFBF6" w14:textId="77777777" w:rsidR="0067529B" w:rsidRDefault="00186B74">
            <w:pPr>
              <w:rPr>
                <w:rFonts w:eastAsia="Times New Roman"/>
                <w:b/>
                <w:sz w:val="22"/>
                <w:szCs w:val="22"/>
              </w:rPr>
            </w:pPr>
            <w:r>
              <w:rPr>
                <w:rFonts w:eastAsiaTheme="minorEastAsia"/>
                <w:lang w:eastAsia="zh-TW"/>
              </w:rPr>
              <w:t>Calciumfolinat Sandoz</w:t>
            </w:r>
          </w:p>
        </w:tc>
      </w:tr>
      <w:tr w:rsidR="0067529B" w14:paraId="5CB8B07A" w14:textId="77777777">
        <w:tc>
          <w:tcPr>
            <w:tcW w:w="4697" w:type="dxa"/>
          </w:tcPr>
          <w:p w14:paraId="20F4097C" w14:textId="77777777" w:rsidR="0067529B" w:rsidRDefault="00186B74">
            <w:pPr>
              <w:rPr>
                <w:rFonts w:eastAsia="Times New Roman"/>
                <w:b/>
                <w:sz w:val="22"/>
                <w:szCs w:val="22"/>
              </w:rPr>
            </w:pPr>
            <w:r>
              <w:rPr>
                <w:rFonts w:eastAsia="Times New Roman"/>
              </w:rPr>
              <w:t>Bulgarija</w:t>
            </w:r>
          </w:p>
        </w:tc>
        <w:tc>
          <w:tcPr>
            <w:tcW w:w="4697" w:type="dxa"/>
          </w:tcPr>
          <w:p w14:paraId="4D1C9624" w14:textId="77777777" w:rsidR="0067529B" w:rsidRDefault="00186B74">
            <w:pPr>
              <w:rPr>
                <w:rFonts w:eastAsia="Times New Roman"/>
                <w:b/>
                <w:sz w:val="22"/>
                <w:szCs w:val="22"/>
              </w:rPr>
            </w:pPr>
            <w:r>
              <w:rPr>
                <w:rFonts w:eastAsiaTheme="minorEastAsia"/>
                <w:lang w:eastAsia="zh-TW"/>
              </w:rPr>
              <w:t>Калциев фолинат Сандоз</w:t>
            </w:r>
          </w:p>
        </w:tc>
      </w:tr>
      <w:tr w:rsidR="0067529B" w14:paraId="0F958289" w14:textId="77777777">
        <w:tc>
          <w:tcPr>
            <w:tcW w:w="4697" w:type="dxa"/>
          </w:tcPr>
          <w:p w14:paraId="34572A83" w14:textId="77777777" w:rsidR="0067529B" w:rsidRDefault="00186B74">
            <w:pPr>
              <w:rPr>
                <w:rFonts w:eastAsia="Times New Roman"/>
                <w:b/>
                <w:sz w:val="22"/>
                <w:szCs w:val="22"/>
              </w:rPr>
            </w:pPr>
            <w:r>
              <w:rPr>
                <w:rFonts w:eastAsia="Times New Roman"/>
              </w:rPr>
              <w:t>Čekija</w:t>
            </w:r>
          </w:p>
        </w:tc>
        <w:tc>
          <w:tcPr>
            <w:tcW w:w="4697" w:type="dxa"/>
          </w:tcPr>
          <w:p w14:paraId="0F06B68A" w14:textId="77777777" w:rsidR="0067529B" w:rsidRDefault="00186B74">
            <w:pPr>
              <w:rPr>
                <w:rFonts w:eastAsia="Times New Roman"/>
                <w:b/>
                <w:sz w:val="22"/>
                <w:szCs w:val="22"/>
              </w:rPr>
            </w:pPr>
            <w:r>
              <w:rPr>
                <w:rFonts w:eastAsiaTheme="minorEastAsia"/>
                <w:lang w:eastAsia="zh-TW"/>
              </w:rPr>
              <w:t>Calcium Folinate Sandoz</w:t>
            </w:r>
          </w:p>
        </w:tc>
      </w:tr>
      <w:tr w:rsidR="0067529B" w14:paraId="6DFED18D" w14:textId="77777777">
        <w:tc>
          <w:tcPr>
            <w:tcW w:w="4697" w:type="dxa"/>
          </w:tcPr>
          <w:p w14:paraId="75BD704C" w14:textId="77777777" w:rsidR="0067529B" w:rsidRDefault="00186B74">
            <w:pPr>
              <w:rPr>
                <w:rFonts w:eastAsia="Times New Roman"/>
                <w:sz w:val="22"/>
                <w:szCs w:val="22"/>
              </w:rPr>
            </w:pPr>
            <w:r>
              <w:rPr>
                <w:rFonts w:eastAsia="Times New Roman"/>
              </w:rPr>
              <w:t xml:space="preserve">Danija, Suomija, Švedija </w:t>
            </w:r>
          </w:p>
        </w:tc>
        <w:tc>
          <w:tcPr>
            <w:tcW w:w="4697" w:type="dxa"/>
          </w:tcPr>
          <w:p w14:paraId="7F8A0C17" w14:textId="77777777" w:rsidR="0067529B" w:rsidRDefault="00186B74">
            <w:pPr>
              <w:rPr>
                <w:rFonts w:eastAsiaTheme="minorEastAsia"/>
                <w:sz w:val="22"/>
                <w:szCs w:val="22"/>
                <w:lang w:eastAsia="zh-TW"/>
              </w:rPr>
            </w:pPr>
            <w:r>
              <w:rPr>
                <w:rFonts w:eastAsiaTheme="minorEastAsia"/>
                <w:lang w:eastAsia="zh-TW"/>
              </w:rPr>
              <w:t>Calciumfolinate Sandoz</w:t>
            </w:r>
          </w:p>
        </w:tc>
      </w:tr>
      <w:tr w:rsidR="0067529B" w14:paraId="7399CE43" w14:textId="77777777">
        <w:tc>
          <w:tcPr>
            <w:tcW w:w="4697" w:type="dxa"/>
          </w:tcPr>
          <w:p w14:paraId="63BA1085" w14:textId="77777777" w:rsidR="0067529B" w:rsidRDefault="00186B74">
            <w:pPr>
              <w:rPr>
                <w:rFonts w:eastAsia="Times New Roman"/>
                <w:sz w:val="22"/>
                <w:szCs w:val="22"/>
              </w:rPr>
            </w:pPr>
            <w:r>
              <w:rPr>
                <w:rFonts w:eastAsia="Times New Roman"/>
              </w:rPr>
              <w:t>Kroatija</w:t>
            </w:r>
          </w:p>
        </w:tc>
        <w:tc>
          <w:tcPr>
            <w:tcW w:w="4697" w:type="dxa"/>
          </w:tcPr>
          <w:p w14:paraId="7418B9B8" w14:textId="77777777" w:rsidR="0067529B" w:rsidRDefault="00186B74">
            <w:pPr>
              <w:rPr>
                <w:rFonts w:eastAsiaTheme="minorEastAsia"/>
                <w:sz w:val="22"/>
                <w:szCs w:val="22"/>
                <w:lang w:eastAsia="zh-TW"/>
              </w:rPr>
            </w:pPr>
            <w:r>
              <w:rPr>
                <w:rFonts w:eastAsiaTheme="minorEastAsia"/>
                <w:lang w:eastAsia="zh-TW"/>
              </w:rPr>
              <w:t>Kalcijev folinat Sandoz</w:t>
            </w:r>
          </w:p>
        </w:tc>
      </w:tr>
      <w:tr w:rsidR="0067529B" w14:paraId="1CA93865" w14:textId="77777777">
        <w:tc>
          <w:tcPr>
            <w:tcW w:w="4697" w:type="dxa"/>
          </w:tcPr>
          <w:p w14:paraId="6E8ADB72" w14:textId="77777777" w:rsidR="0067529B" w:rsidRDefault="00186B74">
            <w:pPr>
              <w:rPr>
                <w:rFonts w:eastAsia="Times New Roman"/>
                <w:sz w:val="22"/>
                <w:szCs w:val="22"/>
              </w:rPr>
            </w:pPr>
            <w:r w:rsidRPr="005E307E">
              <w:rPr>
                <w:rFonts w:eastAsia="Times New Roman"/>
              </w:rPr>
              <w:t xml:space="preserve">Latvija, </w:t>
            </w:r>
            <w:r>
              <w:rPr>
                <w:rFonts w:eastAsia="Times New Roman"/>
              </w:rPr>
              <w:t>Lenkija, Lietuva, Slovakija,</w:t>
            </w:r>
            <w:r>
              <w:rPr>
                <w:rFonts w:eastAsiaTheme="minorEastAsia"/>
                <w:lang w:eastAsia="zh-TW"/>
              </w:rPr>
              <w:t xml:space="preserve"> Vengrija</w:t>
            </w:r>
          </w:p>
        </w:tc>
        <w:tc>
          <w:tcPr>
            <w:tcW w:w="4697" w:type="dxa"/>
          </w:tcPr>
          <w:p w14:paraId="60118F09" w14:textId="77777777" w:rsidR="0067529B" w:rsidRDefault="00186B74">
            <w:pPr>
              <w:rPr>
                <w:rFonts w:eastAsiaTheme="minorEastAsia"/>
                <w:sz w:val="22"/>
                <w:szCs w:val="22"/>
                <w:lang w:eastAsia="zh-TW"/>
              </w:rPr>
            </w:pPr>
            <w:r>
              <w:rPr>
                <w:rFonts w:eastAsiaTheme="minorEastAsia"/>
                <w:lang w:eastAsia="zh-TW"/>
              </w:rPr>
              <w:t>Calcium folinate Sandoz</w:t>
            </w:r>
          </w:p>
        </w:tc>
      </w:tr>
      <w:tr w:rsidR="0067529B" w14:paraId="69114B9F" w14:textId="77777777">
        <w:tc>
          <w:tcPr>
            <w:tcW w:w="4697" w:type="dxa"/>
          </w:tcPr>
          <w:p w14:paraId="22E5324A" w14:textId="77777777" w:rsidR="0067529B" w:rsidRDefault="00186B74">
            <w:pPr>
              <w:rPr>
                <w:rFonts w:eastAsia="Times New Roman"/>
                <w:sz w:val="22"/>
                <w:szCs w:val="22"/>
              </w:rPr>
            </w:pPr>
            <w:r>
              <w:rPr>
                <w:rFonts w:eastAsia="Times New Roman"/>
              </w:rPr>
              <w:t>Prancūzija</w:t>
            </w:r>
          </w:p>
        </w:tc>
        <w:tc>
          <w:tcPr>
            <w:tcW w:w="4697" w:type="dxa"/>
          </w:tcPr>
          <w:p w14:paraId="4DC7122E" w14:textId="77777777" w:rsidR="0067529B" w:rsidRDefault="00186B74">
            <w:pPr>
              <w:rPr>
                <w:rFonts w:eastAsiaTheme="minorEastAsia"/>
                <w:sz w:val="22"/>
                <w:szCs w:val="22"/>
                <w:lang w:eastAsia="zh-TW"/>
              </w:rPr>
            </w:pPr>
            <w:r>
              <w:rPr>
                <w:rFonts w:eastAsiaTheme="minorEastAsia"/>
                <w:lang w:eastAsia="zh-TW"/>
              </w:rPr>
              <w:t>FOLINATE DE CALCIUM EBEWE</w:t>
            </w:r>
          </w:p>
        </w:tc>
      </w:tr>
      <w:tr w:rsidR="0067529B" w14:paraId="53A1A6AB" w14:textId="77777777">
        <w:tc>
          <w:tcPr>
            <w:tcW w:w="4697" w:type="dxa"/>
          </w:tcPr>
          <w:p w14:paraId="578EF597" w14:textId="77777777" w:rsidR="0067529B" w:rsidRDefault="00186B74">
            <w:pPr>
              <w:rPr>
                <w:rFonts w:eastAsia="Times New Roman"/>
                <w:sz w:val="22"/>
                <w:szCs w:val="22"/>
              </w:rPr>
            </w:pPr>
            <w:r>
              <w:rPr>
                <w:rFonts w:eastAsia="Times New Roman"/>
              </w:rPr>
              <w:t>Slovėnija</w:t>
            </w:r>
          </w:p>
        </w:tc>
        <w:tc>
          <w:tcPr>
            <w:tcW w:w="4697" w:type="dxa"/>
          </w:tcPr>
          <w:p w14:paraId="2270921A" w14:textId="77777777" w:rsidR="0067529B" w:rsidRDefault="00186B74">
            <w:pPr>
              <w:rPr>
                <w:rFonts w:eastAsiaTheme="minorEastAsia"/>
                <w:sz w:val="22"/>
                <w:szCs w:val="22"/>
                <w:lang w:eastAsia="zh-TW"/>
              </w:rPr>
            </w:pPr>
            <w:r>
              <w:rPr>
                <w:rFonts w:eastAsiaTheme="minorEastAsia"/>
                <w:lang w:eastAsia="zh-TW"/>
              </w:rPr>
              <w:t>Kalcijev folinat Sandoz</w:t>
            </w:r>
          </w:p>
        </w:tc>
      </w:tr>
      <w:tr w:rsidR="0067529B" w14:paraId="3D09746C" w14:textId="77777777">
        <w:tc>
          <w:tcPr>
            <w:tcW w:w="4697" w:type="dxa"/>
          </w:tcPr>
          <w:p w14:paraId="7B83C2F0" w14:textId="77777777" w:rsidR="0067529B" w:rsidRDefault="00186B74">
            <w:pPr>
              <w:rPr>
                <w:rFonts w:eastAsia="Times New Roman"/>
                <w:sz w:val="22"/>
                <w:szCs w:val="22"/>
              </w:rPr>
            </w:pPr>
            <w:r>
              <w:rPr>
                <w:rFonts w:eastAsiaTheme="minorEastAsia"/>
                <w:lang w:eastAsia="zh-TW"/>
              </w:rPr>
              <w:t xml:space="preserve">Jungtinė Karalystė (Šiaurės Airija)  </w:t>
            </w:r>
          </w:p>
        </w:tc>
        <w:tc>
          <w:tcPr>
            <w:tcW w:w="4697" w:type="dxa"/>
          </w:tcPr>
          <w:p w14:paraId="08DA62B5" w14:textId="77777777" w:rsidR="0067529B" w:rsidRDefault="00186B74">
            <w:pPr>
              <w:rPr>
                <w:rFonts w:eastAsiaTheme="minorEastAsia"/>
                <w:sz w:val="22"/>
                <w:szCs w:val="22"/>
                <w:lang w:eastAsia="zh-TW"/>
              </w:rPr>
            </w:pPr>
            <w:r>
              <w:rPr>
                <w:rFonts w:eastAsiaTheme="minorEastAsia"/>
                <w:lang w:eastAsia="zh-TW"/>
              </w:rPr>
              <w:t>Calcium Folinate</w:t>
            </w:r>
          </w:p>
        </w:tc>
      </w:tr>
    </w:tbl>
    <w:p w14:paraId="2EC435B1" w14:textId="77777777" w:rsidR="0067529B" w:rsidRDefault="0067529B">
      <w:pPr>
        <w:spacing w:after="0" w:line="240" w:lineRule="auto"/>
        <w:rPr>
          <w:rFonts w:ascii="Times New Roman" w:eastAsia="Times New Roman" w:hAnsi="Times New Roman" w:cs="Times New Roman"/>
          <w:b/>
        </w:rPr>
      </w:pPr>
    </w:p>
    <w:p w14:paraId="384C94B4" w14:textId="77777777" w:rsidR="0067529B" w:rsidRDefault="0067529B">
      <w:pPr>
        <w:autoSpaceDE w:val="0"/>
        <w:autoSpaceDN w:val="0"/>
        <w:adjustRightInd w:val="0"/>
        <w:spacing w:after="0" w:line="240" w:lineRule="auto"/>
        <w:rPr>
          <w:rFonts w:ascii="Times New Roman" w:eastAsiaTheme="minorEastAsia" w:hAnsi="Times New Roman" w:cs="Times New Roman"/>
          <w:lang w:eastAsia="zh-TW"/>
        </w:rPr>
      </w:pPr>
    </w:p>
    <w:p w14:paraId="6CF18937" w14:textId="7EAD40C2" w:rsidR="0067529B" w:rsidRPr="005E307E"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b/>
        </w:rPr>
        <w:t>Šis pakuotės lapelis paskutinį kartą peržiūrėtas</w:t>
      </w:r>
      <w:r w:rsidR="00B060FA">
        <w:rPr>
          <w:rFonts w:ascii="Times New Roman" w:eastAsia="Times New Roman" w:hAnsi="Times New Roman" w:cs="Times New Roman"/>
          <w:b/>
        </w:rPr>
        <w:t xml:space="preserve"> 2021-11-15</w:t>
      </w:r>
      <w:r w:rsidRPr="005E307E">
        <w:rPr>
          <w:rFonts w:ascii="Times New Roman" w:eastAsia="Times New Roman" w:hAnsi="Times New Roman" w:cs="Times New Roman"/>
          <w:b/>
          <w:snapToGrid w:val="0"/>
          <w:szCs w:val="20"/>
        </w:rPr>
        <w:t>.</w:t>
      </w:r>
    </w:p>
    <w:p w14:paraId="0929FC4B" w14:textId="77777777" w:rsidR="0067529B" w:rsidRDefault="0067529B">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2AC07FB8" w14:textId="77777777" w:rsidR="0067529B" w:rsidRDefault="0067529B">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35F091B5" w14:textId="77777777" w:rsidR="0067529B" w:rsidRDefault="00186B74">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Pr>
          <w:rFonts w:ascii="Times New Roman" w:eastAsia="Times New Roman" w:hAnsi="Times New Roman" w:cs="Times New Roman"/>
          <w:i/>
          <w:snapToGrid w:val="0"/>
          <w:szCs w:val="24"/>
        </w:rPr>
        <w:t xml:space="preserve"> </w:t>
      </w:r>
      <w:hyperlink r:id="rId11" w:history="1">
        <w:r>
          <w:rPr>
            <w:rFonts w:ascii="Times New Roman" w:eastAsia="SimSun" w:hAnsi="Times New Roman" w:cs="Times New Roman"/>
            <w:snapToGrid w:val="0"/>
            <w:color w:val="0000FF"/>
            <w:szCs w:val="20"/>
            <w:u w:val="single"/>
          </w:rPr>
          <w:t>http://www.vvkt.lt/</w:t>
        </w:r>
      </w:hyperlink>
      <w:r>
        <w:rPr>
          <w:rFonts w:ascii="Times New Roman" w:eastAsia="Times New Roman" w:hAnsi="Times New Roman" w:cs="Times New Roman"/>
          <w:snapToGrid w:val="0"/>
          <w:szCs w:val="20"/>
        </w:rPr>
        <w:t>.</w:t>
      </w:r>
    </w:p>
    <w:p w14:paraId="69129AC1" w14:textId="77777777" w:rsidR="0067529B" w:rsidRDefault="00186B74">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w:t>
      </w:r>
    </w:p>
    <w:p w14:paraId="09C7BB54" w14:textId="77777777" w:rsidR="0067529B" w:rsidRDefault="0067529B">
      <w:pPr>
        <w:spacing w:after="0" w:line="240" w:lineRule="auto"/>
        <w:rPr>
          <w:rFonts w:ascii="Times New Roman" w:eastAsia="Times New Roman" w:hAnsi="Times New Roman" w:cs="Times New Roman"/>
          <w:i/>
        </w:rPr>
      </w:pPr>
    </w:p>
    <w:p w14:paraId="4E6A377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14:paraId="5BDFBC88" w14:textId="77777777" w:rsidR="0067529B" w:rsidRDefault="0067529B">
      <w:pPr>
        <w:spacing w:after="0" w:line="240" w:lineRule="auto"/>
        <w:rPr>
          <w:rFonts w:ascii="Times New Roman" w:eastAsia="Times New Roman" w:hAnsi="Times New Roman" w:cs="Times New Roman"/>
          <w:u w:val="single"/>
        </w:rPr>
      </w:pPr>
    </w:p>
    <w:p w14:paraId="31508C7E"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Vartojimo ir darbo su vaistiniu preparatu instrukcijos</w:t>
      </w:r>
    </w:p>
    <w:p w14:paraId="7A2A848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Infuzijai į veną Calcium folinate Sandoz gali būti prieš vartojimą praskiedžiamas 0,9 % natrio chlorido tirpalu ar 5 % gliukozės tirpalu (žr. laikymo sąlygas ir tinkamumo laiką).</w:t>
      </w:r>
    </w:p>
    <w:p w14:paraId="4C2A34AF" w14:textId="77777777" w:rsidR="0067529B" w:rsidRDefault="0067529B">
      <w:pPr>
        <w:spacing w:after="0" w:line="240" w:lineRule="auto"/>
        <w:rPr>
          <w:rFonts w:ascii="Times New Roman" w:eastAsia="Times New Roman" w:hAnsi="Times New Roman" w:cs="Times New Roman"/>
        </w:rPr>
      </w:pPr>
    </w:p>
    <w:p w14:paraId="0A34061A"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rPr>
        <w:t>Prieš vartojimą Calcium folinate Sandoz reikia apžiūrėti. Injekcijai arba infuzijai paruoštas tirpalas turi būti skaidrus, gelsvas tirpalas. Jeigu tirpalas drumstas, arba jame matoma dalelių, tirpalas turi būti sunaikintas.</w:t>
      </w:r>
    </w:p>
    <w:p w14:paraId="08DAD5D6" w14:textId="77777777" w:rsidR="0067529B" w:rsidRDefault="0067529B">
      <w:pPr>
        <w:spacing w:after="0" w:line="240" w:lineRule="auto"/>
        <w:rPr>
          <w:rFonts w:ascii="Times New Roman" w:eastAsia="Times New Roman" w:hAnsi="Times New Roman" w:cs="Times New Roman"/>
          <w:b/>
        </w:rPr>
      </w:pPr>
    </w:p>
    <w:p w14:paraId="4E4A23AB" w14:textId="1CFF478C"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Nesuderinamumas</w:t>
      </w:r>
    </w:p>
    <w:p w14:paraId="0D47486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Gauta pranešimų apie injekcinių kalcio folinato formų nesuderinamumą su injekcinėmis droperidolio, fluorouracilo, foskarneto ar metotreksato formomis.</w:t>
      </w:r>
    </w:p>
    <w:p w14:paraId="02B1D690" w14:textId="77777777" w:rsidR="0067529B" w:rsidRDefault="0067529B">
      <w:pPr>
        <w:spacing w:after="0" w:line="240" w:lineRule="auto"/>
        <w:rPr>
          <w:rFonts w:ascii="Times New Roman" w:eastAsia="Times New Roman" w:hAnsi="Times New Roman" w:cs="Times New Roman"/>
        </w:rPr>
      </w:pPr>
    </w:p>
    <w:p w14:paraId="7B8113CC"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Droperidolis</w:t>
      </w:r>
    </w:p>
    <w:p w14:paraId="21E16FE0"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rPr>
        <w:tab/>
        <w:t>1,25 mg/0,5 ml droperidolio ir 5 mg/0,5 ml kalcio folinato tirpalai; švirkšte sumaišius šiuos tirpalus, 5 min. palaikius 25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xml:space="preserve"> temperatūroje, po 8 min. centrifūgavimo buvo pastebėta nuosėdų.</w:t>
      </w:r>
    </w:p>
    <w:p w14:paraId="608DAB08"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t xml:space="preserve">2,5 mg/0,5 ml droperidolio ir 10 mg/0,5 ml kalcio folinato tirpalai; į nepraplautą infuzinę sistemą žarnelių Y sujungimo vietoje paeiliui suleidus vaistinių preparatų iš karto buvo pastebėta nuosėdų. </w:t>
      </w:r>
    </w:p>
    <w:p w14:paraId="35E736C3" w14:textId="77777777" w:rsidR="0067529B" w:rsidRDefault="0067529B">
      <w:pPr>
        <w:spacing w:after="0" w:line="240" w:lineRule="auto"/>
        <w:rPr>
          <w:rFonts w:ascii="Times New Roman" w:eastAsia="Times New Roman" w:hAnsi="Times New Roman" w:cs="Times New Roman"/>
        </w:rPr>
      </w:pPr>
    </w:p>
    <w:p w14:paraId="022C9D0D"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Fluorouracilas</w:t>
      </w:r>
    </w:p>
    <w:p w14:paraId="0491B6C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Paprastai kalcio folinato tirpalo negalima maišyti toje pačioje infuzinėje sistemoje su fluorouracilu, nes gali iškristi nuosėdos. 50  mg/ml fluorouracilo, sumaišyto su įvairiu kiekiu 20 mg/ml kalcio folinato su arba be 5 % gliukozės vandeninio tirpalo, yra nesuderinami, kai laikomi 4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23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xml:space="preserve"> ar 32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xml:space="preserve"> temperatūroje polivinilchlorido talpyklėse.</w:t>
      </w:r>
    </w:p>
    <w:p w14:paraId="651D5C23" w14:textId="77777777" w:rsidR="0067529B" w:rsidRDefault="0067529B">
      <w:pPr>
        <w:spacing w:after="0" w:line="240" w:lineRule="auto"/>
        <w:rPr>
          <w:rFonts w:ascii="Times New Roman" w:eastAsia="Times New Roman" w:hAnsi="Times New Roman" w:cs="Times New Roman"/>
        </w:rPr>
      </w:pPr>
    </w:p>
    <w:p w14:paraId="3264A0D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Vis dėlto, įrodyta, kad 10 mg/ml kalcio folinato ir 50 mg/ml fluorouracilo tirpalai, sumaišyti santykiu 1:1, yra suderinami ir išlieka stabilūs 48 val., jeigu laikomi ne aukštesnėje kaip 32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xml:space="preserve"> temperatūroje, apsaugotoje nuo šviesos vietoje.</w:t>
      </w:r>
    </w:p>
    <w:p w14:paraId="597C405C" w14:textId="77777777" w:rsidR="0067529B" w:rsidRDefault="0067529B">
      <w:pPr>
        <w:spacing w:after="0" w:line="240" w:lineRule="auto"/>
        <w:rPr>
          <w:rFonts w:ascii="Times New Roman" w:eastAsia="Times New Roman" w:hAnsi="Times New Roman" w:cs="Times New Roman"/>
        </w:rPr>
      </w:pPr>
    </w:p>
    <w:p w14:paraId="0EBDEFDA"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Foskarnetas</w:t>
      </w:r>
    </w:p>
    <w:p w14:paraId="27A73D4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Buvo pranešta, kad 24 mg/ml foskarneto tirpalą sumaišius su kalcio folinato 20 mg/ml tirpalu, susiformavo drumstas geltonas mišinys.</w:t>
      </w:r>
    </w:p>
    <w:p w14:paraId="55E6F11C" w14:textId="77777777" w:rsidR="0067529B" w:rsidRDefault="0067529B">
      <w:pPr>
        <w:spacing w:after="0" w:line="240" w:lineRule="auto"/>
        <w:rPr>
          <w:rFonts w:ascii="Times New Roman" w:eastAsia="Times New Roman" w:hAnsi="Times New Roman" w:cs="Times New Roman"/>
        </w:rPr>
      </w:pPr>
    </w:p>
    <w:p w14:paraId="17BCA5FA"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Vartojimo metodas</w:t>
      </w:r>
    </w:p>
    <w:p w14:paraId="3B382364" w14:textId="77777777" w:rsidR="0067529B" w:rsidRDefault="00186B74" w:rsidP="005E307E">
      <w:pPr>
        <w:pStyle w:val="BodyText"/>
        <w:spacing w:line="240" w:lineRule="auto"/>
        <w:jc w:val="left"/>
        <w:rPr>
          <w:rFonts w:eastAsia="Batang"/>
          <w:b/>
          <w:sz w:val="22"/>
          <w:szCs w:val="22"/>
          <w:lang w:eastAsia="lt-LT"/>
        </w:rPr>
      </w:pPr>
      <w:r>
        <w:rPr>
          <w:b/>
          <w:sz w:val="22"/>
          <w:szCs w:val="22"/>
        </w:rPr>
        <w:t xml:space="preserve">Kalcio folinatas turi būti </w:t>
      </w:r>
      <w:r>
        <w:rPr>
          <w:rFonts w:eastAsia="Batang"/>
          <w:b/>
          <w:sz w:val="22"/>
          <w:szCs w:val="22"/>
          <w:lang w:eastAsia="lt-LT"/>
        </w:rPr>
        <w:t>leidžiamas tik į raumenis arba į veną. Į povoratinklinę ertmę jo leisti draudžiama.</w:t>
      </w:r>
    </w:p>
    <w:p w14:paraId="73B27650" w14:textId="77777777" w:rsidR="0067529B" w:rsidRDefault="0067529B">
      <w:pPr>
        <w:spacing w:after="0" w:line="240" w:lineRule="auto"/>
        <w:rPr>
          <w:rFonts w:ascii="Times New Roman" w:eastAsia="Batang" w:hAnsi="Times New Roman" w:cs="Times New Roman"/>
          <w:lang w:eastAsia="lt-LT"/>
        </w:rPr>
      </w:pPr>
    </w:p>
    <w:p w14:paraId="2071C3BD" w14:textId="77777777" w:rsidR="0067529B" w:rsidRDefault="00186B74">
      <w:pPr>
        <w:spacing w:after="0" w:line="240" w:lineRule="auto"/>
        <w:rPr>
          <w:rFonts w:ascii="Times New Roman" w:eastAsia="Batang" w:hAnsi="Times New Roman" w:cs="Times New Roman"/>
          <w:lang w:eastAsia="lt-LT"/>
        </w:rPr>
      </w:pPr>
      <w:r>
        <w:rPr>
          <w:rFonts w:ascii="Times New Roman" w:eastAsia="Batang" w:hAnsi="Times New Roman" w:cs="Times New Roman"/>
          <w:lang w:eastAsia="lt-LT"/>
        </w:rPr>
        <w:t>Buvo pranešta apie mirties atvejus folino rūgšties suleidus į povoratinklinę ertmę po metotreksato, suleisto į povoratinklinę ertmę, perdozavimo.</w:t>
      </w:r>
    </w:p>
    <w:p w14:paraId="476EFA0F" w14:textId="77777777" w:rsidR="0067529B" w:rsidRDefault="0067529B">
      <w:pPr>
        <w:spacing w:after="0" w:line="240" w:lineRule="auto"/>
        <w:rPr>
          <w:rFonts w:ascii="Times New Roman" w:eastAsia="Times New Roman" w:hAnsi="Times New Roman" w:cs="Times New Roman"/>
        </w:rPr>
      </w:pPr>
    </w:p>
    <w:p w14:paraId="077BE77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Vartojimo į veną atveju kalcio folinato turi būti leidžiama ne daugiau kaip 160 mg per minutę, kadangi tirpale yra kalcio. </w:t>
      </w:r>
    </w:p>
    <w:p w14:paraId="376BAE27" w14:textId="77777777" w:rsidR="0067529B" w:rsidRDefault="0067529B">
      <w:pPr>
        <w:spacing w:after="0" w:line="240" w:lineRule="auto"/>
        <w:rPr>
          <w:rFonts w:ascii="Times New Roman" w:eastAsia="Times New Roman" w:hAnsi="Times New Roman" w:cs="Times New Roman"/>
        </w:rPr>
      </w:pPr>
    </w:p>
    <w:p w14:paraId="3904D38D"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u w:val="single"/>
        </w:rPr>
        <w:t>Laikymo sąlygos</w:t>
      </w:r>
    </w:p>
    <w:p w14:paraId="0934A9B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Laikyti šaldytuve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w:t>
      </w:r>
    </w:p>
    <w:p w14:paraId="445F444B" w14:textId="77777777" w:rsidR="0067529B" w:rsidRDefault="0067529B">
      <w:pPr>
        <w:spacing w:after="0" w:line="240" w:lineRule="auto"/>
        <w:rPr>
          <w:rFonts w:ascii="Times New Roman" w:eastAsia="Times New Roman" w:hAnsi="Times New Roman" w:cs="Times New Roman"/>
          <w:u w:val="single"/>
        </w:rPr>
      </w:pPr>
    </w:p>
    <w:p w14:paraId="15CBCC4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Tinkamumo laikas</w:t>
      </w:r>
    </w:p>
    <w:p w14:paraId="4668DA98"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Neatidarytos pakuotės</w:t>
      </w:r>
    </w:p>
    <w:p w14:paraId="3F96DD6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2 metai.</w:t>
      </w:r>
    </w:p>
    <w:p w14:paraId="19B86647" w14:textId="77777777" w:rsidR="0067529B" w:rsidRDefault="0067529B">
      <w:pPr>
        <w:spacing w:after="0" w:line="240" w:lineRule="auto"/>
        <w:rPr>
          <w:rFonts w:ascii="Times New Roman" w:eastAsia="Times New Roman" w:hAnsi="Times New Roman" w:cs="Times New Roman"/>
          <w:b/>
        </w:rPr>
      </w:pPr>
    </w:p>
    <w:p w14:paraId="52386B90"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Po praskiedimo infuzijai</w:t>
      </w:r>
    </w:p>
    <w:p w14:paraId="59834EE0"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Įrodyta, kad praskiestas 0,9 % natrio chlorido tirpalu iki galutinės 0,2 - 4,0 mg/ml koncentracijos vaistinis preparatas,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 xml:space="preserve">C temperatūroje, išlieka chemiškai ir fiziškai stabilus 28 paras. </w:t>
      </w:r>
    </w:p>
    <w:p w14:paraId="1D75BFDE" w14:textId="77777777" w:rsidR="0067529B" w:rsidRDefault="0067529B">
      <w:pPr>
        <w:spacing w:after="0" w:line="240" w:lineRule="auto"/>
        <w:rPr>
          <w:rFonts w:ascii="Times New Roman" w:eastAsia="Times New Roman" w:hAnsi="Times New Roman" w:cs="Times New Roman"/>
          <w:b/>
        </w:rPr>
      </w:pPr>
    </w:p>
    <w:p w14:paraId="494E6EF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Įrodyta, kad vaistinis preparatas, praskiestas 5 % gliukozės tirpalu iki galutinės 0,2 mg/ml koncentracijos ir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 temperatūroje, išlieka chemiškai ir fiziškai stabilus 4 paras, o praskiestas 5 % gliukozės tirpalu iki galutinės 4 mg/ml koncentracijos ir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 xml:space="preserve">C temperatūroje – 28 paras. </w:t>
      </w:r>
    </w:p>
    <w:p w14:paraId="61046A06" w14:textId="77777777" w:rsidR="0067529B" w:rsidRDefault="0067529B">
      <w:pPr>
        <w:spacing w:after="0" w:line="240" w:lineRule="auto"/>
        <w:rPr>
          <w:rFonts w:ascii="Times New Roman" w:eastAsia="Times New Roman" w:hAnsi="Times New Roman" w:cs="Times New Roman"/>
        </w:rPr>
      </w:pPr>
    </w:p>
    <w:p w14:paraId="0164560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Mikrobiologiniu požiūriu, vaistinis preparatas turi būti vartojamas nedelsiant. Jeigu jis tuoj pat nevartojamas, už laikymo sąlygas ir trukmę atsako vartotojas, tačiau paprastai ilgiau negu 24 val. </w:t>
      </w:r>
      <w:r>
        <w:rPr>
          <w:rFonts w:ascii="Times New Roman" w:eastAsia="Times New Roman" w:hAnsi="Times New Roman" w:cs="Times New Roman"/>
        </w:rPr>
        <w:lastRenderedPageBreak/>
        <w:t>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 temperatūroje laikyti negalima, išskyrus tuos atvejus, kai tirpalas skiedžiamas kontroliuojamomis ir patvirtintomis aseptinėmis sąlygomis.</w:t>
      </w:r>
    </w:p>
    <w:p w14:paraId="014508F6" w14:textId="77777777" w:rsidR="0067529B" w:rsidRDefault="0067529B">
      <w:pPr>
        <w:spacing w:after="0" w:line="240" w:lineRule="auto"/>
        <w:rPr>
          <w:rFonts w:ascii="Times New Roman" w:hAnsi="Times New Roman"/>
        </w:rPr>
      </w:pPr>
    </w:p>
    <w:sectPr w:rsidR="0067529B">
      <w:headerReference w:type="default" r:id="rId12"/>
      <w:footerReference w:type="even" r:id="rId13"/>
      <w:footerReference w:type="default" r:id="rId14"/>
      <w:pgSz w:w="12240" w:h="15840" w:code="1"/>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EBF98F" w14:textId="77777777" w:rsidR="000F2AF2" w:rsidRDefault="000F2AF2">
      <w:pPr>
        <w:spacing w:after="0" w:line="240" w:lineRule="auto"/>
      </w:pPr>
      <w:r>
        <w:separator/>
      </w:r>
    </w:p>
  </w:endnote>
  <w:endnote w:type="continuationSeparator" w:id="0">
    <w:p w14:paraId="3C2A01B0" w14:textId="77777777" w:rsidR="000F2AF2" w:rsidRDefault="000F2AF2">
      <w:pPr>
        <w:spacing w:after="0" w:line="240" w:lineRule="auto"/>
      </w:pPr>
      <w:r>
        <w:continuationSeparator/>
      </w:r>
    </w:p>
  </w:endnote>
  <w:endnote w:type="continuationNotice" w:id="1">
    <w:p w14:paraId="4B2A8FDC" w14:textId="77777777" w:rsidR="000F2AF2" w:rsidRDefault="000F2A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10006FF" w:usb1="4000205B" w:usb2="00000010" w:usb3="00000000" w:csb0="0000019F" w:csb1="00000000"/>
  </w:font>
  <w:font w:name="TimesNewRoman">
    <w:altName w:val="MS Gothic"/>
    <w:panose1 w:val="00000000000000000000"/>
    <w:charset w:val="00"/>
    <w:family w:val="auto"/>
    <w:notTrueType/>
    <w:pitch w:val="default"/>
    <w:sig w:usb0="00000003" w:usb1="08070000" w:usb2="00000010" w:usb3="00000000" w:csb0="0002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A69227" w14:textId="77777777" w:rsidR="000F2AF2" w:rsidRDefault="000F2A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41D628" w14:textId="77777777" w:rsidR="000F2AF2" w:rsidRDefault="000F2A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BB004A" w14:textId="5F10D1F5" w:rsidR="000F2AF2" w:rsidRDefault="000F2A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47834">
      <w:rPr>
        <w:rStyle w:val="PageNumber"/>
        <w:noProof/>
      </w:rPr>
      <w:t>1</w:t>
    </w:r>
    <w:r>
      <w:rPr>
        <w:rStyle w:val="PageNumber"/>
      </w:rPr>
      <w:fldChar w:fldCharType="end"/>
    </w:r>
  </w:p>
  <w:p w14:paraId="7206CE67" w14:textId="77777777" w:rsidR="000F2AF2" w:rsidRDefault="000F2AF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E5BE73" w14:textId="77777777" w:rsidR="000F2AF2" w:rsidRDefault="000F2AF2">
      <w:pPr>
        <w:spacing w:after="0" w:line="240" w:lineRule="auto"/>
      </w:pPr>
      <w:r>
        <w:separator/>
      </w:r>
    </w:p>
  </w:footnote>
  <w:footnote w:type="continuationSeparator" w:id="0">
    <w:p w14:paraId="77543F87" w14:textId="77777777" w:rsidR="000F2AF2" w:rsidRDefault="000F2AF2">
      <w:pPr>
        <w:spacing w:after="0" w:line="240" w:lineRule="auto"/>
      </w:pPr>
      <w:r>
        <w:continuationSeparator/>
      </w:r>
    </w:p>
  </w:footnote>
  <w:footnote w:type="continuationNotice" w:id="1">
    <w:p w14:paraId="46A4EA76" w14:textId="77777777" w:rsidR="000F2AF2" w:rsidRDefault="000F2A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86A9E" w14:textId="77777777" w:rsidR="000F2AF2" w:rsidRDefault="000F2A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214D52"/>
    <w:multiLevelType w:val="hybridMultilevel"/>
    <w:tmpl w:val="B73C1C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AF27783"/>
    <w:multiLevelType w:val="hybridMultilevel"/>
    <w:tmpl w:val="662061A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E3C2549"/>
    <w:multiLevelType w:val="hybridMultilevel"/>
    <w:tmpl w:val="8BEC7DE4"/>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229A305F"/>
    <w:multiLevelType w:val="hybridMultilevel"/>
    <w:tmpl w:val="D238535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2AF535C"/>
    <w:multiLevelType w:val="hybridMultilevel"/>
    <w:tmpl w:val="6C24156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46F79CC"/>
    <w:multiLevelType w:val="singleLevel"/>
    <w:tmpl w:val="0C09000F"/>
    <w:lvl w:ilvl="0">
      <w:start w:val="1"/>
      <w:numFmt w:val="decimal"/>
      <w:lvlText w:val="%1."/>
      <w:legacy w:legacy="1" w:legacySpace="0" w:legacyIndent="360"/>
      <w:lvlJc w:val="left"/>
      <w:pPr>
        <w:ind w:left="360" w:hanging="360"/>
      </w:pPr>
    </w:lvl>
  </w:abstractNum>
  <w:abstractNum w:abstractNumId="6" w15:restartNumberingAfterBreak="0">
    <w:nsid w:val="25C65424"/>
    <w:multiLevelType w:val="hybridMultilevel"/>
    <w:tmpl w:val="7272F0E0"/>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77A2752"/>
    <w:multiLevelType w:val="hybridMultilevel"/>
    <w:tmpl w:val="62E44B00"/>
    <w:lvl w:ilvl="0" w:tplc="03E47A94">
      <w:numFmt w:val="bullet"/>
      <w:lvlText w:val="-"/>
      <w:lvlJc w:val="left"/>
      <w:pPr>
        <w:ind w:left="720" w:hanging="360"/>
      </w:pPr>
      <w:rPr>
        <w:rFonts w:ascii="Times New Roman" w:hAnsi="Times New Roman" w:cs="Times New Roman" w:hint="default"/>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DF82CCF"/>
    <w:multiLevelType w:val="hybridMultilevel"/>
    <w:tmpl w:val="639CD166"/>
    <w:lvl w:ilvl="0" w:tplc="03E47A94">
      <w:numFmt w:val="bullet"/>
      <w:lvlText w:val="-"/>
      <w:lvlJc w:val="left"/>
      <w:pPr>
        <w:ind w:left="1068" w:hanging="360"/>
      </w:pPr>
      <w:rPr>
        <w:rFonts w:ascii="Times New Roman" w:hAnsi="Times New Roman" w:cs="Times New Roman" w:hint="default"/>
        <w:sz w:val="22"/>
      </w:rPr>
    </w:lvl>
    <w:lvl w:ilvl="1" w:tplc="04270003" w:tentative="1">
      <w:start w:val="1"/>
      <w:numFmt w:val="bullet"/>
      <w:lvlText w:val="o"/>
      <w:lvlJc w:val="left"/>
      <w:pPr>
        <w:ind w:left="1788" w:hanging="360"/>
      </w:pPr>
      <w:rPr>
        <w:rFonts w:ascii="Courier New" w:hAnsi="Courier New" w:cs="Courier New" w:hint="default"/>
      </w:rPr>
    </w:lvl>
    <w:lvl w:ilvl="2" w:tplc="04270005" w:tentative="1">
      <w:start w:val="1"/>
      <w:numFmt w:val="bullet"/>
      <w:lvlText w:val=""/>
      <w:lvlJc w:val="left"/>
      <w:pPr>
        <w:ind w:left="2508" w:hanging="360"/>
      </w:pPr>
      <w:rPr>
        <w:rFonts w:ascii="Wingdings" w:hAnsi="Wingdings" w:hint="default"/>
      </w:rPr>
    </w:lvl>
    <w:lvl w:ilvl="3" w:tplc="04270001" w:tentative="1">
      <w:start w:val="1"/>
      <w:numFmt w:val="bullet"/>
      <w:lvlText w:val=""/>
      <w:lvlJc w:val="left"/>
      <w:pPr>
        <w:ind w:left="3228" w:hanging="360"/>
      </w:pPr>
      <w:rPr>
        <w:rFonts w:ascii="Symbol" w:hAnsi="Symbol" w:hint="default"/>
      </w:rPr>
    </w:lvl>
    <w:lvl w:ilvl="4" w:tplc="04270003" w:tentative="1">
      <w:start w:val="1"/>
      <w:numFmt w:val="bullet"/>
      <w:lvlText w:val="o"/>
      <w:lvlJc w:val="left"/>
      <w:pPr>
        <w:ind w:left="3948" w:hanging="360"/>
      </w:pPr>
      <w:rPr>
        <w:rFonts w:ascii="Courier New" w:hAnsi="Courier New" w:cs="Courier New" w:hint="default"/>
      </w:rPr>
    </w:lvl>
    <w:lvl w:ilvl="5" w:tplc="04270005" w:tentative="1">
      <w:start w:val="1"/>
      <w:numFmt w:val="bullet"/>
      <w:lvlText w:val=""/>
      <w:lvlJc w:val="left"/>
      <w:pPr>
        <w:ind w:left="4668" w:hanging="360"/>
      </w:pPr>
      <w:rPr>
        <w:rFonts w:ascii="Wingdings" w:hAnsi="Wingdings" w:hint="default"/>
      </w:rPr>
    </w:lvl>
    <w:lvl w:ilvl="6" w:tplc="04270001" w:tentative="1">
      <w:start w:val="1"/>
      <w:numFmt w:val="bullet"/>
      <w:lvlText w:val=""/>
      <w:lvlJc w:val="left"/>
      <w:pPr>
        <w:ind w:left="5388" w:hanging="360"/>
      </w:pPr>
      <w:rPr>
        <w:rFonts w:ascii="Symbol" w:hAnsi="Symbol" w:hint="default"/>
      </w:rPr>
    </w:lvl>
    <w:lvl w:ilvl="7" w:tplc="04270003" w:tentative="1">
      <w:start w:val="1"/>
      <w:numFmt w:val="bullet"/>
      <w:lvlText w:val="o"/>
      <w:lvlJc w:val="left"/>
      <w:pPr>
        <w:ind w:left="6108" w:hanging="360"/>
      </w:pPr>
      <w:rPr>
        <w:rFonts w:ascii="Courier New" w:hAnsi="Courier New" w:cs="Courier New" w:hint="default"/>
      </w:rPr>
    </w:lvl>
    <w:lvl w:ilvl="8" w:tplc="04270005" w:tentative="1">
      <w:start w:val="1"/>
      <w:numFmt w:val="bullet"/>
      <w:lvlText w:val=""/>
      <w:lvlJc w:val="left"/>
      <w:pPr>
        <w:ind w:left="6828" w:hanging="360"/>
      </w:pPr>
      <w:rPr>
        <w:rFonts w:ascii="Wingdings" w:hAnsi="Wingdings" w:hint="default"/>
      </w:rPr>
    </w:lvl>
  </w:abstractNum>
  <w:abstractNum w:abstractNumId="9"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5F3DB3"/>
    <w:multiLevelType w:val="hybridMultilevel"/>
    <w:tmpl w:val="858A77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6342638"/>
    <w:multiLevelType w:val="singleLevel"/>
    <w:tmpl w:val="E58EF754"/>
    <w:lvl w:ilvl="0">
      <w:start w:val="1"/>
      <w:numFmt w:val="decimal"/>
      <w:lvlText w:val="%1"/>
      <w:lvlJc w:val="left"/>
      <w:pPr>
        <w:tabs>
          <w:tab w:val="num" w:pos="360"/>
        </w:tabs>
        <w:ind w:left="360" w:hanging="360"/>
      </w:pPr>
      <w:rPr>
        <w:rFonts w:hint="default"/>
      </w:rPr>
    </w:lvl>
  </w:abstractNum>
  <w:abstractNum w:abstractNumId="12" w15:restartNumberingAfterBreak="0">
    <w:nsid w:val="429C2A79"/>
    <w:multiLevelType w:val="hybridMultilevel"/>
    <w:tmpl w:val="2F008F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79729BE"/>
    <w:multiLevelType w:val="hybridMultilevel"/>
    <w:tmpl w:val="25DCB3FC"/>
    <w:lvl w:ilvl="0" w:tplc="4A341CFE">
      <w:start w:val="1"/>
      <w:numFmt w:val="bullet"/>
      <w:lvlText w:val="-"/>
      <w:lvlJc w:val="left"/>
      <w:pPr>
        <w:ind w:left="1290" w:hanging="360"/>
      </w:pPr>
      <w:rPr>
        <w:rFonts w:ascii="Tahoma" w:hAnsi="Tahoma" w:hint="default"/>
      </w:rPr>
    </w:lvl>
    <w:lvl w:ilvl="1" w:tplc="04270003" w:tentative="1">
      <w:start w:val="1"/>
      <w:numFmt w:val="bullet"/>
      <w:lvlText w:val="o"/>
      <w:lvlJc w:val="left"/>
      <w:pPr>
        <w:ind w:left="2010" w:hanging="360"/>
      </w:pPr>
      <w:rPr>
        <w:rFonts w:ascii="Courier New" w:hAnsi="Courier New" w:cs="Courier New" w:hint="default"/>
      </w:rPr>
    </w:lvl>
    <w:lvl w:ilvl="2" w:tplc="04270005" w:tentative="1">
      <w:start w:val="1"/>
      <w:numFmt w:val="bullet"/>
      <w:lvlText w:val=""/>
      <w:lvlJc w:val="left"/>
      <w:pPr>
        <w:ind w:left="2730" w:hanging="360"/>
      </w:pPr>
      <w:rPr>
        <w:rFonts w:ascii="Wingdings" w:hAnsi="Wingdings" w:hint="default"/>
      </w:rPr>
    </w:lvl>
    <w:lvl w:ilvl="3" w:tplc="04270001" w:tentative="1">
      <w:start w:val="1"/>
      <w:numFmt w:val="bullet"/>
      <w:lvlText w:val=""/>
      <w:lvlJc w:val="left"/>
      <w:pPr>
        <w:ind w:left="3450" w:hanging="360"/>
      </w:pPr>
      <w:rPr>
        <w:rFonts w:ascii="Symbol" w:hAnsi="Symbol" w:hint="default"/>
      </w:rPr>
    </w:lvl>
    <w:lvl w:ilvl="4" w:tplc="04270003" w:tentative="1">
      <w:start w:val="1"/>
      <w:numFmt w:val="bullet"/>
      <w:lvlText w:val="o"/>
      <w:lvlJc w:val="left"/>
      <w:pPr>
        <w:ind w:left="4170" w:hanging="360"/>
      </w:pPr>
      <w:rPr>
        <w:rFonts w:ascii="Courier New" w:hAnsi="Courier New" w:cs="Courier New" w:hint="default"/>
      </w:rPr>
    </w:lvl>
    <w:lvl w:ilvl="5" w:tplc="04270005" w:tentative="1">
      <w:start w:val="1"/>
      <w:numFmt w:val="bullet"/>
      <w:lvlText w:val=""/>
      <w:lvlJc w:val="left"/>
      <w:pPr>
        <w:ind w:left="4890" w:hanging="360"/>
      </w:pPr>
      <w:rPr>
        <w:rFonts w:ascii="Wingdings" w:hAnsi="Wingdings" w:hint="default"/>
      </w:rPr>
    </w:lvl>
    <w:lvl w:ilvl="6" w:tplc="04270001" w:tentative="1">
      <w:start w:val="1"/>
      <w:numFmt w:val="bullet"/>
      <w:lvlText w:val=""/>
      <w:lvlJc w:val="left"/>
      <w:pPr>
        <w:ind w:left="5610" w:hanging="360"/>
      </w:pPr>
      <w:rPr>
        <w:rFonts w:ascii="Symbol" w:hAnsi="Symbol" w:hint="default"/>
      </w:rPr>
    </w:lvl>
    <w:lvl w:ilvl="7" w:tplc="04270003" w:tentative="1">
      <w:start w:val="1"/>
      <w:numFmt w:val="bullet"/>
      <w:lvlText w:val="o"/>
      <w:lvlJc w:val="left"/>
      <w:pPr>
        <w:ind w:left="6330" w:hanging="360"/>
      </w:pPr>
      <w:rPr>
        <w:rFonts w:ascii="Courier New" w:hAnsi="Courier New" w:cs="Courier New" w:hint="default"/>
      </w:rPr>
    </w:lvl>
    <w:lvl w:ilvl="8" w:tplc="04270005" w:tentative="1">
      <w:start w:val="1"/>
      <w:numFmt w:val="bullet"/>
      <w:lvlText w:val=""/>
      <w:lvlJc w:val="left"/>
      <w:pPr>
        <w:ind w:left="7050" w:hanging="360"/>
      </w:pPr>
      <w:rPr>
        <w:rFonts w:ascii="Wingdings" w:hAnsi="Wingdings" w:hint="default"/>
      </w:rPr>
    </w:lvl>
  </w:abstractNum>
  <w:abstractNum w:abstractNumId="14" w15:restartNumberingAfterBreak="0">
    <w:nsid w:val="4EDC01FE"/>
    <w:multiLevelType w:val="hybridMultilevel"/>
    <w:tmpl w:val="25A0EF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4186EB8"/>
    <w:multiLevelType w:val="hybridMultilevel"/>
    <w:tmpl w:val="8BFE38A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94B6E68"/>
    <w:multiLevelType w:val="hybridMultilevel"/>
    <w:tmpl w:val="C4965B52"/>
    <w:lvl w:ilvl="0" w:tplc="EE5CD452">
      <w:start w:val="6"/>
      <w:numFmt w:val="bullet"/>
      <w:lvlText w:val="-"/>
      <w:lvlJc w:val="left"/>
      <w:pPr>
        <w:ind w:left="360" w:hanging="360"/>
      </w:pPr>
      <w:rPr>
        <w:rFonts w:ascii="Times New Roman" w:eastAsia="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5E3605E8"/>
    <w:multiLevelType w:val="hybridMultilevel"/>
    <w:tmpl w:val="D2A0DA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2C90632"/>
    <w:multiLevelType w:val="hybridMultilevel"/>
    <w:tmpl w:val="ADD68EE2"/>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66D71231"/>
    <w:multiLevelType w:val="hybridMultilevel"/>
    <w:tmpl w:val="498ACAD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68282171"/>
    <w:multiLevelType w:val="hybridMultilevel"/>
    <w:tmpl w:val="A9AE011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6D7A28C6"/>
    <w:multiLevelType w:val="hybridMultilevel"/>
    <w:tmpl w:val="F92E101A"/>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76864805"/>
    <w:multiLevelType w:val="hybridMultilevel"/>
    <w:tmpl w:val="9ACAE296"/>
    <w:lvl w:ilvl="0" w:tplc="04270001">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4" w15:restartNumberingAfterBreak="0">
    <w:nsid w:val="7B6365C7"/>
    <w:multiLevelType w:val="hybridMultilevel"/>
    <w:tmpl w:val="B2F615DA"/>
    <w:lvl w:ilvl="0" w:tplc="FFFFFFFF">
      <w:start w:val="1"/>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5"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5"/>
  </w:num>
  <w:num w:numId="2">
    <w:abstractNumId w:val="11"/>
  </w:num>
  <w:num w:numId="3">
    <w:abstractNumId w:val="25"/>
  </w:num>
  <w:num w:numId="4">
    <w:abstractNumId w:val="9"/>
  </w:num>
  <w:num w:numId="5">
    <w:abstractNumId w:val="10"/>
  </w:num>
  <w:num w:numId="6">
    <w:abstractNumId w:val="24"/>
  </w:num>
  <w:num w:numId="7">
    <w:abstractNumId w:val="2"/>
  </w:num>
  <w:num w:numId="8">
    <w:abstractNumId w:val="16"/>
  </w:num>
  <w:num w:numId="9">
    <w:abstractNumId w:val="8"/>
  </w:num>
  <w:num w:numId="10">
    <w:abstractNumId w:val="13"/>
  </w:num>
  <w:num w:numId="11">
    <w:abstractNumId w:val="23"/>
  </w:num>
  <w:num w:numId="12">
    <w:abstractNumId w:val="12"/>
  </w:num>
  <w:num w:numId="13">
    <w:abstractNumId w:val="4"/>
  </w:num>
  <w:num w:numId="14">
    <w:abstractNumId w:val="0"/>
  </w:num>
  <w:num w:numId="15">
    <w:abstractNumId w:val="17"/>
  </w:num>
  <w:num w:numId="16">
    <w:abstractNumId w:val="20"/>
  </w:num>
  <w:num w:numId="17">
    <w:abstractNumId w:val="19"/>
  </w:num>
  <w:num w:numId="18">
    <w:abstractNumId w:val="1"/>
  </w:num>
  <w:num w:numId="19">
    <w:abstractNumId w:val="14"/>
  </w:num>
  <w:num w:numId="20">
    <w:abstractNumId w:val="15"/>
  </w:num>
  <w:num w:numId="21">
    <w:abstractNumId w:val="6"/>
  </w:num>
  <w:num w:numId="22">
    <w:abstractNumId w:val="3"/>
  </w:num>
  <w:num w:numId="23">
    <w:abstractNumId w:val="18"/>
  </w:num>
  <w:num w:numId="24">
    <w:abstractNumId w:val="7"/>
  </w:num>
  <w:num w:numId="25">
    <w:abstractNumId w:val="22"/>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cumentProtection w:edit="readOnly" w:enforcement="0"/>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29B"/>
    <w:rsid w:val="000F2AF2"/>
    <w:rsid w:val="00186B74"/>
    <w:rsid w:val="00205B77"/>
    <w:rsid w:val="002723FC"/>
    <w:rsid w:val="002F736C"/>
    <w:rsid w:val="003751CB"/>
    <w:rsid w:val="005E09C6"/>
    <w:rsid w:val="005E307E"/>
    <w:rsid w:val="0067529B"/>
    <w:rsid w:val="00B060FA"/>
    <w:rsid w:val="00B33351"/>
    <w:rsid w:val="00BE1281"/>
    <w:rsid w:val="00D47834"/>
    <w:rsid w:val="00DB56EE"/>
    <w:rsid w:val="00E674E0"/>
    <w:rsid w:val="00E81EF4"/>
    <w:rsid w:val="00F571D6"/>
    <w:rsid w:val="00FA4C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B7F5BB"/>
  <w15:docId w15:val="{919086A1-214F-47F0-9CBA-65BE982D1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HAnsi"/>
      <w:lang w:val="lt-LT" w:eastAsia="en-US"/>
    </w:rPr>
  </w:style>
  <w:style w:type="paragraph" w:styleId="Heading1">
    <w:name w:val="heading 1"/>
    <w:basedOn w:val="Normal"/>
    <w:next w:val="Normal"/>
    <w:link w:val="Heading1Char"/>
    <w:qFormat/>
    <w:pPr>
      <w:keepNext/>
      <w:spacing w:after="0" w:line="360" w:lineRule="auto"/>
      <w:jc w:val="center"/>
      <w:outlineLvl w:val="0"/>
    </w:pPr>
    <w:rPr>
      <w:rFonts w:ascii="Times New Roman" w:eastAsia="Times New Roman" w:hAnsi="Times New Roman" w:cs="Times New Roman"/>
      <w:sz w:val="28"/>
      <w:szCs w:val="20"/>
    </w:rPr>
  </w:style>
  <w:style w:type="paragraph" w:styleId="Heading2">
    <w:name w:val="heading 2"/>
    <w:basedOn w:val="Normal"/>
    <w:next w:val="Normal"/>
    <w:link w:val="Heading2Char"/>
    <w:qFormat/>
    <w:pPr>
      <w:keepNext/>
      <w:spacing w:after="0" w:line="240" w:lineRule="auto"/>
      <w:ind w:left="3969"/>
      <w:jc w:val="both"/>
      <w:outlineLvl w:val="1"/>
    </w:pPr>
    <w:rPr>
      <w:rFonts w:ascii="Times New Roman" w:eastAsia="Times New Roman" w:hAnsi="Times New Roman" w:cs="Times New Roman"/>
      <w:sz w:val="28"/>
      <w:szCs w:val="20"/>
    </w:rPr>
  </w:style>
  <w:style w:type="paragraph" w:styleId="Heading3">
    <w:name w:val="heading 3"/>
    <w:basedOn w:val="Normal"/>
    <w:next w:val="Normal"/>
    <w:link w:val="Heading3Char"/>
    <w:qFormat/>
    <w:pPr>
      <w:keepNext/>
      <w:spacing w:after="0" w:line="360" w:lineRule="auto"/>
      <w:outlineLvl w:val="2"/>
    </w:pPr>
    <w:rPr>
      <w:rFonts w:ascii="Times New Roman" w:eastAsia="Times New Roman" w:hAnsi="Times New Roman" w:cs="Times New Roman"/>
      <w:i/>
      <w:sz w:val="28"/>
      <w:szCs w:val="20"/>
    </w:rPr>
  </w:style>
  <w:style w:type="paragraph" w:styleId="Heading4">
    <w:name w:val="heading 4"/>
    <w:basedOn w:val="Normal"/>
    <w:next w:val="Normal"/>
    <w:link w:val="Heading4Char"/>
    <w:qFormat/>
    <w:pPr>
      <w:keepNext/>
      <w:spacing w:after="0" w:line="360" w:lineRule="auto"/>
      <w:outlineLvl w:val="3"/>
    </w:pPr>
    <w:rPr>
      <w:rFonts w:ascii="Times New Roman" w:eastAsia="Times New Roman" w:hAnsi="Times New Roman" w:cs="Times New Roman"/>
      <w:sz w:val="28"/>
      <w:szCs w:val="20"/>
    </w:rPr>
  </w:style>
  <w:style w:type="paragraph" w:styleId="Heading5">
    <w:name w:val="heading 5"/>
    <w:basedOn w:val="Normal"/>
    <w:next w:val="Normal"/>
    <w:link w:val="Heading5Char"/>
    <w:qFormat/>
    <w:pPr>
      <w:keepNext/>
      <w:spacing w:after="0" w:line="360" w:lineRule="auto"/>
      <w:jc w:val="both"/>
      <w:outlineLvl w:val="4"/>
    </w:pPr>
    <w:rPr>
      <w:rFonts w:ascii="Times New Roman" w:eastAsia="Times New Roman" w:hAnsi="Times New Roman" w:cs="Times New Roman"/>
      <w:sz w:val="28"/>
      <w:szCs w:val="20"/>
    </w:rPr>
  </w:style>
  <w:style w:type="paragraph" w:styleId="Heading6">
    <w:name w:val="heading 6"/>
    <w:basedOn w:val="Normal"/>
    <w:next w:val="Normal"/>
    <w:link w:val="Heading6Char"/>
    <w:qFormat/>
    <w:pPr>
      <w:keepNext/>
      <w:spacing w:after="0" w:line="360" w:lineRule="auto"/>
      <w:jc w:val="both"/>
      <w:outlineLvl w:val="5"/>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Pr>
      <w:rFonts w:ascii="Times New Roman" w:eastAsia="Times New Roman" w:hAnsi="Times New Roman" w:cs="Times New Roman"/>
      <w:sz w:val="28"/>
      <w:szCs w:val="20"/>
      <w:lang w:val="lt-LT" w:eastAsia="en-US"/>
    </w:rPr>
  </w:style>
  <w:style w:type="character" w:customStyle="1" w:styleId="Heading2Char">
    <w:name w:val="Heading 2 Char"/>
    <w:basedOn w:val="DefaultParagraphFont"/>
    <w:link w:val="Heading2"/>
    <w:rPr>
      <w:rFonts w:ascii="Times New Roman" w:eastAsia="Times New Roman" w:hAnsi="Times New Roman" w:cs="Times New Roman"/>
      <w:sz w:val="28"/>
      <w:szCs w:val="20"/>
      <w:lang w:val="lt-LT" w:eastAsia="en-US"/>
    </w:rPr>
  </w:style>
  <w:style w:type="character" w:customStyle="1" w:styleId="Heading3Char">
    <w:name w:val="Heading 3 Char"/>
    <w:basedOn w:val="DefaultParagraphFont"/>
    <w:link w:val="Heading3"/>
    <w:rPr>
      <w:rFonts w:ascii="Times New Roman" w:eastAsia="Times New Roman" w:hAnsi="Times New Roman" w:cs="Times New Roman"/>
      <w:i/>
      <w:sz w:val="28"/>
      <w:szCs w:val="20"/>
      <w:lang w:val="lt-LT" w:eastAsia="en-US"/>
    </w:rPr>
  </w:style>
  <w:style w:type="character" w:customStyle="1" w:styleId="Heading4Char">
    <w:name w:val="Heading 4 Char"/>
    <w:basedOn w:val="DefaultParagraphFont"/>
    <w:link w:val="Heading4"/>
    <w:rPr>
      <w:rFonts w:ascii="Times New Roman" w:eastAsia="Times New Roman" w:hAnsi="Times New Roman" w:cs="Times New Roman"/>
      <w:sz w:val="28"/>
      <w:szCs w:val="20"/>
      <w:lang w:val="lt-LT" w:eastAsia="en-US"/>
    </w:rPr>
  </w:style>
  <w:style w:type="character" w:customStyle="1" w:styleId="Heading5Char">
    <w:name w:val="Heading 5 Char"/>
    <w:basedOn w:val="DefaultParagraphFont"/>
    <w:link w:val="Heading5"/>
    <w:rPr>
      <w:rFonts w:ascii="Times New Roman" w:eastAsia="Times New Roman" w:hAnsi="Times New Roman" w:cs="Times New Roman"/>
      <w:sz w:val="28"/>
      <w:szCs w:val="20"/>
      <w:lang w:val="lt-LT" w:eastAsia="en-US"/>
    </w:rPr>
  </w:style>
  <w:style w:type="character" w:customStyle="1" w:styleId="Heading6Char">
    <w:name w:val="Heading 6 Char"/>
    <w:basedOn w:val="DefaultParagraphFont"/>
    <w:link w:val="Heading6"/>
    <w:rPr>
      <w:rFonts w:ascii="Times New Roman" w:eastAsia="Times New Roman" w:hAnsi="Times New Roman" w:cs="Times New Roman"/>
      <w:sz w:val="24"/>
      <w:szCs w:val="20"/>
      <w:lang w:val="lt-LT" w:eastAsia="en-US"/>
    </w:rPr>
  </w:style>
  <w:style w:type="numbering" w:customStyle="1" w:styleId="NoList1">
    <w:name w:val="No List1"/>
    <w:next w:val="NoList"/>
    <w:semiHidden/>
  </w:style>
  <w:style w:type="paragraph" w:styleId="BodyText">
    <w:name w:val="Body Text"/>
    <w:basedOn w:val="Normal"/>
    <w:link w:val="BodyTextChar"/>
    <w:pPr>
      <w:spacing w:after="0" w:line="360" w:lineRule="auto"/>
      <w:jc w:val="both"/>
    </w:pPr>
    <w:rPr>
      <w:rFonts w:ascii="Times New Roman" w:eastAsia="Times New Roman" w:hAnsi="Times New Roman" w:cs="Times New Roman"/>
      <w:sz w:val="28"/>
      <w:szCs w:val="20"/>
    </w:rPr>
  </w:style>
  <w:style w:type="character" w:customStyle="1" w:styleId="BodyTextChar">
    <w:name w:val="Body Text Char"/>
    <w:basedOn w:val="DefaultParagraphFont"/>
    <w:link w:val="BodyText"/>
    <w:rPr>
      <w:rFonts w:ascii="Times New Roman" w:eastAsia="Times New Roman" w:hAnsi="Times New Roman" w:cs="Times New Roman"/>
      <w:sz w:val="28"/>
      <w:szCs w:val="20"/>
      <w:lang w:val="lt-LT" w:eastAsia="en-US"/>
    </w:rPr>
  </w:style>
  <w:style w:type="paragraph" w:styleId="BodyText2">
    <w:name w:val="Body Text 2"/>
    <w:basedOn w:val="Normal"/>
    <w:link w:val="BodyText2Char"/>
    <w:pPr>
      <w:spacing w:after="0" w:line="360" w:lineRule="auto"/>
    </w:pPr>
    <w:rPr>
      <w:rFonts w:ascii="Times New Roman" w:eastAsia="Times New Roman" w:hAnsi="Times New Roman" w:cs="Times New Roman"/>
      <w:sz w:val="28"/>
      <w:szCs w:val="20"/>
    </w:rPr>
  </w:style>
  <w:style w:type="character" w:customStyle="1" w:styleId="BodyText2Char">
    <w:name w:val="Body Text 2 Char"/>
    <w:basedOn w:val="DefaultParagraphFont"/>
    <w:link w:val="BodyText2"/>
    <w:rPr>
      <w:rFonts w:ascii="Times New Roman" w:eastAsia="Times New Roman" w:hAnsi="Times New Roman" w:cs="Times New Roman"/>
      <w:sz w:val="28"/>
      <w:szCs w:val="20"/>
      <w:lang w:val="lt-LT" w:eastAsia="en-US"/>
    </w:rPr>
  </w:style>
  <w:style w:type="paragraph" w:styleId="BodyText3">
    <w:name w:val="Body Text 3"/>
    <w:basedOn w:val="Normal"/>
    <w:link w:val="BodyText3Char"/>
    <w:pPr>
      <w:spacing w:after="0" w:line="360" w:lineRule="auto"/>
      <w:jc w:val="both"/>
    </w:pPr>
    <w:rPr>
      <w:rFonts w:ascii="Times New Roman" w:eastAsia="Times New Roman" w:hAnsi="Times New Roman" w:cs="Times New Roman"/>
      <w:sz w:val="20"/>
      <w:szCs w:val="20"/>
    </w:rPr>
  </w:style>
  <w:style w:type="character" w:customStyle="1" w:styleId="BodyText3Char">
    <w:name w:val="Body Text 3 Char"/>
    <w:basedOn w:val="DefaultParagraphFont"/>
    <w:link w:val="BodyText3"/>
    <w:rPr>
      <w:rFonts w:ascii="Times New Roman" w:eastAsia="Times New Roman" w:hAnsi="Times New Roman" w:cs="Times New Roman"/>
      <w:sz w:val="20"/>
      <w:szCs w:val="20"/>
      <w:lang w:val="lt-LT" w:eastAsia="en-US"/>
    </w:rPr>
  </w:style>
  <w:style w:type="table" w:styleId="TableGrid">
    <w:name w:val="Table Grid"/>
    <w:basedOn w:val="TableNormal"/>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autoRedefine/>
    <w:qFormat/>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TitleChar">
    <w:name w:val="Title Char"/>
    <w:basedOn w:val="DefaultParagraphFont"/>
    <w:link w:val="Title"/>
    <w:rPr>
      <w:rFonts w:ascii="Times New Roman" w:eastAsia="Times New Roman" w:hAnsi="Times New Roman" w:cs="Times New Roman"/>
      <w:b/>
      <w:kern w:val="28"/>
      <w:szCs w:val="20"/>
      <w:lang w:val="lt-LT" w:eastAsia="lt-LT"/>
    </w:rPr>
  </w:style>
  <w:style w:type="paragraph" w:styleId="Footer">
    <w:name w:val="footer"/>
    <w:basedOn w:val="Normal"/>
    <w:link w:val="FooterChar"/>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rPr>
      <w:rFonts w:ascii="Times New Roman" w:eastAsia="Times New Roman" w:hAnsi="Times New Roman" w:cs="Times New Roman"/>
      <w:sz w:val="20"/>
      <w:szCs w:val="20"/>
      <w:lang w:val="lt-LT" w:eastAsia="en-US"/>
    </w:rPr>
  </w:style>
  <w:style w:type="character" w:styleId="PageNumber">
    <w:name w:val="page number"/>
    <w:basedOn w:val="DefaultParagraphFont"/>
  </w:style>
  <w:style w:type="paragraph" w:styleId="Header">
    <w:name w:val="header"/>
    <w:basedOn w:val="Normal"/>
    <w:link w:val="HeaderChar"/>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Pr>
      <w:rFonts w:ascii="Times New Roman" w:eastAsia="Times New Roman" w:hAnsi="Times New Roman" w:cs="Times New Roman"/>
      <w:sz w:val="20"/>
      <w:szCs w:val="20"/>
      <w:lang w:val="lt-LT" w:eastAsia="en-US"/>
    </w:rPr>
  </w:style>
  <w:style w:type="paragraph" w:customStyle="1" w:styleId="GRDTITRE">
    <w:name w:val="GRD TITRE"/>
    <w:basedOn w:val="Normal"/>
    <w:pPr>
      <w:spacing w:before="480" w:after="240" w:line="240" w:lineRule="auto"/>
      <w:jc w:val="both"/>
    </w:pPr>
    <w:rPr>
      <w:rFonts w:ascii="Times New Roman" w:eastAsia="Times New Roman" w:hAnsi="Times New Roman" w:cs="Times New Roman"/>
      <w:b/>
      <w:snapToGrid w:val="0"/>
      <w:sz w:val="24"/>
      <w:szCs w:val="20"/>
      <w:lang w:val="fr-FR" w:eastAsia="fr-FR"/>
    </w:rPr>
  </w:style>
  <w:style w:type="paragraph" w:styleId="BalloonText">
    <w:name w:val="Balloon Text"/>
    <w:basedOn w:val="Normal"/>
    <w:link w:val="BalloonTextChar"/>
    <w:semiHidden/>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Pr>
      <w:rFonts w:ascii="Tahoma" w:eastAsia="Times New Roman" w:hAnsi="Tahoma" w:cs="Tahoma"/>
      <w:sz w:val="16"/>
      <w:szCs w:val="16"/>
      <w:lang w:val="lt-LT" w:eastAsia="en-US"/>
    </w:rPr>
  </w:style>
  <w:style w:type="character" w:styleId="CommentReference">
    <w:name w:val="annotation reference"/>
    <w:basedOn w:val="DefaultParagraphFont"/>
    <w:semiHidden/>
    <w:rPr>
      <w:sz w:val="16"/>
      <w:szCs w:val="16"/>
    </w:rPr>
  </w:style>
  <w:style w:type="paragraph" w:styleId="CommentText">
    <w:name w:val="annotation text"/>
    <w:basedOn w:val="Normal"/>
    <w:link w:val="CommentTextChar"/>
    <w:semiHidden/>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Pr>
      <w:rFonts w:ascii="Times New Roman" w:eastAsia="Times New Roman" w:hAnsi="Times New Roman" w:cs="Times New Roman"/>
      <w:sz w:val="20"/>
      <w:szCs w:val="20"/>
      <w:lang w:val="lt-LT" w:eastAsia="en-US"/>
    </w:rPr>
  </w:style>
  <w:style w:type="paragraph" w:styleId="CommentSubject">
    <w:name w:val="annotation subject"/>
    <w:basedOn w:val="CommentText"/>
    <w:next w:val="CommentText"/>
    <w:link w:val="CommentSubjectChar"/>
    <w:semiHidden/>
    <w:rPr>
      <w:b/>
      <w:bCs/>
    </w:rPr>
  </w:style>
  <w:style w:type="character" w:customStyle="1" w:styleId="CommentSubjectChar">
    <w:name w:val="Comment Subject Char"/>
    <w:basedOn w:val="CommentTextChar"/>
    <w:link w:val="CommentSubject"/>
    <w:semiHidden/>
    <w:rPr>
      <w:rFonts w:ascii="Times New Roman" w:eastAsia="Times New Roman" w:hAnsi="Times New Roman" w:cs="Times New Roman"/>
      <w:b/>
      <w:bCs/>
      <w:sz w:val="20"/>
      <w:szCs w:val="20"/>
      <w:lang w:val="lt-LT" w:eastAsia="en-US"/>
    </w:rPr>
  </w:style>
  <w:style w:type="paragraph" w:customStyle="1" w:styleId="TTEMEASMCA">
    <w:name w:val="TT EMEA_SMCA"/>
    <w:basedOn w:val="Heading1"/>
    <w:link w:val="TTEMEASMCAChar"/>
    <w:autoRedefine/>
    <w:pPr>
      <w:keepNext w:val="0"/>
      <w:tabs>
        <w:tab w:val="left" w:pos="567"/>
      </w:tabs>
      <w:spacing w:line="240" w:lineRule="auto"/>
      <w:ind w:left="567" w:hanging="567"/>
    </w:pPr>
    <w:rPr>
      <w:b/>
      <w:caps/>
      <w:sz w:val="22"/>
      <w:szCs w:val="22"/>
      <w:lang w:val="en-US"/>
    </w:rPr>
  </w:style>
  <w:style w:type="character" w:customStyle="1" w:styleId="TTEMEASMCAChar">
    <w:name w:val="TT EMEA_SMCA Char"/>
    <w:basedOn w:val="DefaultParagraphFont"/>
    <w:link w:val="TTEMEASMCA"/>
    <w:rPr>
      <w:rFonts w:ascii="Times New Roman" w:eastAsia="Times New Roman" w:hAnsi="Times New Roman" w:cs="Times New Roman"/>
      <w:b/>
      <w:caps/>
      <w:lang w:eastAsia="en-US"/>
    </w:rPr>
  </w:style>
  <w:style w:type="paragraph" w:customStyle="1" w:styleId="BT-EMEASMCA">
    <w:name w:val="BT- EMEA_SMCA"/>
    <w:basedOn w:val="Normal"/>
    <w:autoRedefine/>
    <w:pPr>
      <w:numPr>
        <w:numId w:val="4"/>
      </w:numPr>
      <w:tabs>
        <w:tab w:val="clear" w:pos="720"/>
      </w:tabs>
      <w:spacing w:after="0" w:line="240" w:lineRule="auto"/>
      <w:ind w:left="567" w:hanging="567"/>
    </w:pPr>
    <w:rPr>
      <w:rFonts w:ascii="Times New Roman" w:eastAsia="Times New Roman" w:hAnsi="Times New Roman" w:cs="Times New Roman"/>
      <w:noProof/>
    </w:rPr>
  </w:style>
  <w:style w:type="paragraph" w:customStyle="1" w:styleId="BTEMEASMCAChar">
    <w:name w:val="BT EMEA_SMCA Char"/>
    <w:basedOn w:val="Normal"/>
    <w:link w:val="BTEMEASMCACharChar"/>
    <w:autoRedefine/>
    <w:pPr>
      <w:spacing w:after="0" w:line="240" w:lineRule="auto"/>
    </w:pPr>
    <w:rPr>
      <w:rFonts w:ascii="Times New Roman" w:eastAsia="Times New Roman" w:hAnsi="Times New Roman" w:cs="Times New Roman"/>
      <w:noProof/>
    </w:rPr>
  </w:style>
  <w:style w:type="character" w:customStyle="1" w:styleId="BTEMEASMCACharChar">
    <w:name w:val="BT EMEA_SMCA Char Char"/>
    <w:basedOn w:val="DefaultParagraphFont"/>
    <w:link w:val="BTEMEASMCAChar"/>
    <w:rPr>
      <w:rFonts w:ascii="Times New Roman" w:eastAsia="Times New Roman" w:hAnsi="Times New Roman" w:cs="Times New Roman"/>
      <w:noProof/>
      <w:lang w:val="lt-LT" w:eastAsia="en-US"/>
    </w:rPr>
  </w:style>
  <w:style w:type="paragraph" w:customStyle="1" w:styleId="BTEMEASMCA">
    <w:name w:val="BT EMEA_SMCA"/>
    <w:basedOn w:val="Normal"/>
    <w:autoRedefine/>
    <w:pPr>
      <w:spacing w:after="0" w:line="240" w:lineRule="auto"/>
    </w:pPr>
    <w:rPr>
      <w:rFonts w:ascii="Times New Roman" w:eastAsia="Times New Roman" w:hAnsi="Times New Roman" w:cs="Times New Roman"/>
      <w:noProof/>
    </w:rPr>
  </w:style>
  <w:style w:type="paragraph" w:styleId="DocumentMap">
    <w:name w:val="Document Map"/>
    <w:basedOn w:val="Normal"/>
    <w:link w:val="DocumentMapChar"/>
    <w:semiHidden/>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semiHidden/>
    <w:rPr>
      <w:rFonts w:ascii="Tahoma" w:eastAsia="Times New Roman" w:hAnsi="Tahoma" w:cs="Tahoma"/>
      <w:sz w:val="20"/>
      <w:szCs w:val="20"/>
      <w:shd w:val="clear" w:color="auto" w:fill="000080"/>
      <w:lang w:val="lt-LT" w:eastAsia="en-US"/>
    </w:rPr>
  </w:style>
  <w:style w:type="character" w:styleId="Hyperlink">
    <w:name w:val="Hyperlink"/>
    <w:uiPriority w:val="99"/>
    <w:rPr>
      <w:color w:val="0000FF"/>
      <w:u w:val="single"/>
    </w:rPr>
  </w:style>
  <w:style w:type="paragraph" w:styleId="PlainText">
    <w:name w:val="Plain Text"/>
    <w:basedOn w:val="Normal"/>
    <w:link w:val="PlainTextChar"/>
    <w:uiPriority w:val="99"/>
    <w:pPr>
      <w:spacing w:after="0" w:line="240" w:lineRule="auto"/>
    </w:pPr>
    <w:rPr>
      <w:rFonts w:ascii="Courier New" w:eastAsia="SimSun" w:hAnsi="Courier New" w:cs="Times New Roman"/>
      <w:sz w:val="20"/>
      <w:szCs w:val="20"/>
      <w:lang w:val="en-US"/>
    </w:rPr>
  </w:style>
  <w:style w:type="character" w:customStyle="1" w:styleId="PlainTextChar">
    <w:name w:val="Plain Text Char"/>
    <w:basedOn w:val="DefaultParagraphFont"/>
    <w:link w:val="PlainText"/>
    <w:uiPriority w:val="99"/>
    <w:rPr>
      <w:rFonts w:ascii="Courier New" w:eastAsia="SimSun" w:hAnsi="Courier New" w:cs="Times New Roman"/>
      <w:sz w:val="20"/>
      <w:szCs w:val="20"/>
      <w:lang w:eastAsia="en-US"/>
    </w:rPr>
  </w:style>
  <w:style w:type="paragraph" w:styleId="ListParagraph">
    <w:name w:val="List Paragraph"/>
    <w:basedOn w:val="Normal"/>
    <w:uiPriority w:val="34"/>
    <w:qFormat/>
    <w:pPr>
      <w:ind w:left="720"/>
      <w:contextualSpacing/>
    </w:pPr>
  </w:style>
  <w:style w:type="paragraph" w:customStyle="1" w:styleId="Default">
    <w:name w:val="Default"/>
    <w:pPr>
      <w:autoSpaceDE w:val="0"/>
      <w:autoSpaceDN w:val="0"/>
      <w:adjustRightInd w:val="0"/>
      <w:spacing w:after="0" w:line="240" w:lineRule="auto"/>
    </w:pPr>
    <w:rPr>
      <w:rFonts w:ascii="Verdana" w:hAnsi="Verdana" w:cs="Verdana"/>
      <w:color w:val="000000"/>
      <w:sz w:val="24"/>
      <w:szCs w:val="24"/>
    </w:rPr>
  </w:style>
  <w:style w:type="paragraph" w:styleId="Revision">
    <w:name w:val="Revision"/>
    <w:hidden/>
    <w:uiPriority w:val="99"/>
    <w:semiHidden/>
    <w:pPr>
      <w:spacing w:after="0" w:line="240" w:lineRule="auto"/>
    </w:pPr>
    <w:rPr>
      <w:rFonts w:eastAsiaTheme="minorHAnsi"/>
      <w:lang w:val="lt-LT" w:eastAsia="en-US"/>
    </w:rPr>
  </w:style>
  <w:style w:type="numbering" w:customStyle="1" w:styleId="NoList2">
    <w:name w:val="No List2"/>
    <w:next w:val="NoList"/>
    <w:uiPriority w:val="99"/>
    <w:semiHidden/>
    <w:unhideWhenUsed/>
  </w:style>
  <w:style w:type="numbering" w:customStyle="1" w:styleId="NoList11">
    <w:name w:val="No List11"/>
    <w:next w:val="NoList"/>
    <w:semiHidden/>
  </w:style>
  <w:style w:type="table" w:customStyle="1" w:styleId="TableGrid1">
    <w:name w:val="Table Grid1"/>
    <w:basedOn w:val="TableNormal"/>
    <w:next w:val="TableGrid"/>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UnresolvedMention">
    <w:name w:val="Unresolved Mention"/>
    <w:basedOn w:val="DefaultParagraphFont"/>
    <w:uiPriority w:val="99"/>
    <w:semiHidden/>
    <w:unhideWhenUsed/>
    <w:rsid w:val="00DB56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1830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4004286486"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5A56BD-BC78-498F-92FF-BD6D04E52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8715</Words>
  <Characters>4969</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13657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Slekiene, Svetlana</dc:creator>
  <cp:lastModifiedBy>Birutė Valkauskaitė</cp:lastModifiedBy>
  <cp:revision>2</cp:revision>
  <dcterms:created xsi:type="dcterms:W3CDTF">2021-11-15T13:52:00Z</dcterms:created>
  <dcterms:modified xsi:type="dcterms:W3CDTF">2021-11-15T13:52:00Z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2021-10-26T08:31:58Z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495a45a7-3714-4f91-8fba-db24e1d9fd29</vt:lpwstr>
  </property>
  <property fmtid="{D5CDD505-2E9C-101B-9397-08002B2CF9AE}" pid="8" name="MSIP_Label_3c9bec58-8084-492e-8360-0e1cfe36408c_ContentBits">
    <vt:lpwstr>0</vt:lpwstr>
  </property>
</Properties>
</file>