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1504" w:rsidRPr="009D52C3" w:rsidRDefault="00E01504" w:rsidP="00E01504">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r w:rsidRPr="009D52C3">
        <w:rPr>
          <w:rFonts w:ascii="Times New Roman" w:hAnsi="Times New Roman" w:cs="Times New Roman"/>
          <w:b/>
          <w:lang w:val="lt-LT"/>
        </w:rPr>
        <w:t>Pakuotės lapelis: informacija pacientui</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utoSpaceDE w:val="0"/>
        <w:autoSpaceDN w:val="0"/>
        <w:adjustRightInd w:val="0"/>
        <w:snapToGrid w:val="0"/>
        <w:spacing w:after="0" w:line="240" w:lineRule="auto"/>
        <w:jc w:val="center"/>
        <w:textAlignment w:val="center"/>
        <w:rPr>
          <w:rFonts w:ascii="Times New Roman" w:eastAsia="Times New Roman" w:hAnsi="Times New Roman" w:cs="Times New Roman"/>
          <w:b/>
          <w:color w:val="000000"/>
          <w:spacing w:val="-1"/>
          <w:lang w:val="lt-LT" w:eastAsia="lt-LT"/>
        </w:rPr>
      </w:pPr>
      <w:r w:rsidRPr="009D52C3">
        <w:rPr>
          <w:rFonts w:ascii="Times New Roman" w:eastAsia="Times New Roman" w:hAnsi="Times New Roman" w:cs="Times New Roman"/>
          <w:b/>
          <w:color w:val="000000"/>
          <w:lang w:val="lt-LT" w:eastAsia="lt-LT"/>
        </w:rPr>
        <w:t xml:space="preserve">Opexa 10 mg </w:t>
      </w:r>
      <w:r w:rsidRPr="009D52C3">
        <w:rPr>
          <w:rFonts w:ascii="Times New Roman" w:eastAsia="Times New Roman" w:hAnsi="Times New Roman" w:cs="Times New Roman"/>
          <w:b/>
          <w:color w:val="000000"/>
          <w:spacing w:val="-1"/>
          <w:lang w:val="lt-LT" w:eastAsia="lt-LT"/>
        </w:rPr>
        <w:t>burnoje disperguojamos tabletės</w:t>
      </w:r>
    </w:p>
    <w:p w:rsidR="00E01504" w:rsidRPr="009D52C3" w:rsidRDefault="00E01504" w:rsidP="00E01504">
      <w:pPr>
        <w:widowControl w:val="0"/>
        <w:autoSpaceDE w:val="0"/>
        <w:autoSpaceDN w:val="0"/>
        <w:adjustRightInd w:val="0"/>
        <w:snapToGrid w:val="0"/>
        <w:spacing w:after="0" w:line="240" w:lineRule="auto"/>
        <w:jc w:val="center"/>
        <w:textAlignment w:val="center"/>
        <w:rPr>
          <w:rFonts w:ascii="Times New Roman" w:eastAsia="Times New Roman" w:hAnsi="Times New Roman" w:cs="Times New Roman"/>
          <w:b/>
          <w:color w:val="000000"/>
          <w:spacing w:val="-1"/>
          <w:lang w:val="lt-LT" w:eastAsia="lt-LT"/>
        </w:rPr>
      </w:pPr>
    </w:p>
    <w:p w:rsidR="00E01504" w:rsidRPr="009D52C3" w:rsidRDefault="00E01504" w:rsidP="00E01504">
      <w:pPr>
        <w:widowControl w:val="0"/>
        <w:autoSpaceDE w:val="0"/>
        <w:autoSpaceDN w:val="0"/>
        <w:adjustRightInd w:val="0"/>
        <w:snapToGrid w:val="0"/>
        <w:spacing w:after="0" w:line="240" w:lineRule="auto"/>
        <w:jc w:val="center"/>
        <w:textAlignment w:val="center"/>
        <w:rPr>
          <w:rFonts w:ascii="Times New Roman" w:eastAsia="Times New Roman" w:hAnsi="Times New Roman" w:cs="Times New Roman"/>
          <w:b/>
          <w:color w:val="000000"/>
          <w:spacing w:val="-1"/>
          <w:lang w:val="lt-LT" w:eastAsia="lt-LT"/>
        </w:rPr>
      </w:pPr>
      <w:r>
        <w:rPr>
          <w:rFonts w:ascii="Times New Roman" w:eastAsia="Times New Roman" w:hAnsi="Times New Roman" w:cs="Times New Roman"/>
          <w:b/>
          <w:color w:val="000000"/>
          <w:lang w:val="lt-LT" w:eastAsia="lt-LT"/>
        </w:rPr>
        <w:t>2</w:t>
      </w:r>
      <w:r w:rsidRPr="009D52C3">
        <w:rPr>
          <w:rFonts w:ascii="Times New Roman" w:eastAsia="Times New Roman" w:hAnsi="Times New Roman" w:cs="Times New Roman"/>
          <w:b/>
          <w:color w:val="000000"/>
          <w:lang w:val="lt-LT" w:eastAsia="lt-LT"/>
        </w:rPr>
        <w:t xml:space="preserve">–11 metų vaikams, sveriantiems ne mažiau kaip </w:t>
      </w:r>
      <w:r>
        <w:rPr>
          <w:rFonts w:ascii="Times New Roman" w:eastAsia="Times New Roman" w:hAnsi="Times New Roman" w:cs="Times New Roman"/>
          <w:b/>
          <w:color w:val="000000"/>
          <w:lang w:val="lt-LT" w:eastAsia="lt-LT"/>
        </w:rPr>
        <w:t>15</w:t>
      </w:r>
      <w:r w:rsidRPr="009D52C3">
        <w:rPr>
          <w:rFonts w:ascii="Times New Roman" w:eastAsia="Times New Roman" w:hAnsi="Times New Roman" w:cs="Times New Roman"/>
          <w:b/>
          <w:color w:val="000000"/>
          <w:lang w:val="lt-LT" w:eastAsia="lt-LT"/>
        </w:rPr>
        <w:t> kg</w:t>
      </w:r>
    </w:p>
    <w:p w:rsidR="00E01504" w:rsidRPr="009D52C3" w:rsidRDefault="00E01504" w:rsidP="00E01504">
      <w:pPr>
        <w:widowControl w:val="0"/>
        <w:adjustRightInd w:val="0"/>
        <w:snapToGrid w:val="0"/>
        <w:spacing w:after="0" w:line="240" w:lineRule="auto"/>
        <w:jc w:val="center"/>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jc w:val="center"/>
        <w:rPr>
          <w:rFonts w:ascii="Times New Roman" w:eastAsia="Calibri" w:hAnsi="Times New Roman" w:cs="Times New Roman"/>
          <w:lang w:val="lt-LT"/>
        </w:rPr>
      </w:pPr>
      <w:r w:rsidRPr="009D52C3">
        <w:rPr>
          <w:rFonts w:ascii="Times New Roman" w:eastAsia="Calibri" w:hAnsi="Times New Roman" w:cs="Times New Roman"/>
          <w:lang w:val="lt-LT"/>
        </w:rPr>
        <w:t>bilastinas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eastAsia="Calibri" w:hAnsi="Times New Roman" w:cs="Times New Roman"/>
          <w:b/>
          <w:lang w:val="lt-LT"/>
        </w:rPr>
        <w:t>Atidžiai perskaitykite visą šį lapelį, prieš Jūsų vaikui pradedant vartoti šį vaistą, nes jame pateikiama Jums svarbi informacija.</w:t>
      </w:r>
    </w:p>
    <w:p w:rsidR="00E01504" w:rsidRPr="009D52C3" w:rsidRDefault="00E01504" w:rsidP="00E01504">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w:t>
      </w:r>
      <w:r w:rsidRPr="009D52C3">
        <w:rPr>
          <w:rFonts w:ascii="Times New Roman" w:eastAsia="Calibri" w:hAnsi="Times New Roman" w:cs="Times New Roman"/>
          <w:lang w:val="lt-LT"/>
        </w:rPr>
        <w:tab/>
        <w:t>Neišmeskite šio lapelio, nes vėl gali prireikti jį perskaityti.</w:t>
      </w:r>
    </w:p>
    <w:p w:rsidR="00E01504" w:rsidRPr="009D52C3" w:rsidRDefault="00E01504" w:rsidP="00E01504">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w:t>
      </w:r>
      <w:r w:rsidRPr="009D52C3">
        <w:rPr>
          <w:rFonts w:ascii="Times New Roman" w:eastAsia="Calibri" w:hAnsi="Times New Roman" w:cs="Times New Roman"/>
          <w:lang w:val="lt-LT"/>
        </w:rPr>
        <w:tab/>
        <w:t>Jeigu kiltų daugiau klausimų, kreipkitės į gydytoją arba vaistininką.</w:t>
      </w:r>
    </w:p>
    <w:p w:rsidR="00E01504" w:rsidRPr="009D52C3" w:rsidRDefault="00E01504" w:rsidP="00E01504">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w:t>
      </w:r>
      <w:r w:rsidRPr="009D52C3">
        <w:rPr>
          <w:rFonts w:ascii="Times New Roman" w:eastAsia="Calibri" w:hAnsi="Times New Roman" w:cs="Times New Roman"/>
          <w:lang w:val="lt-LT"/>
        </w:rPr>
        <w:tab/>
        <w:t>Šis vaistas skirtas tik Jūsų vaikui, todėl kitiems žmonėms jo duoti negalima. Vaistas gali jiems pakenkti (net tiems, kurių ligos požymiai yra tokie patys kaip Jūsų vaiko).</w:t>
      </w:r>
    </w:p>
    <w:p w:rsidR="00E01504" w:rsidRPr="009D52C3" w:rsidRDefault="00E01504" w:rsidP="00E01504">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w:t>
      </w:r>
      <w:r w:rsidRPr="009D52C3">
        <w:rPr>
          <w:rFonts w:ascii="Times New Roman" w:eastAsia="Calibri" w:hAnsi="Times New Roman" w:cs="Times New Roman"/>
          <w:lang w:val="lt-LT"/>
        </w:rPr>
        <w:tab/>
        <w:t>Jeigu Jūsų vaikui pasireiškė šalutinis poveikis (net jeigu jis šiame lapelyje nenurodytas), kreipkitės į gydytoją arba vaistininką. Žr. 4</w:t>
      </w:r>
      <w:r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skyrių.</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eastAsia="Calibri" w:hAnsi="Times New Roman" w:cs="Times New Roman"/>
          <w:b/>
          <w:lang w:val="lt-LT"/>
        </w:rPr>
        <w:t>Apie ką rašoma šiame lapelyje?</w:t>
      </w:r>
    </w:p>
    <w:p w:rsidR="00E01504" w:rsidRPr="009D52C3" w:rsidRDefault="00E01504" w:rsidP="00E01504">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1.</w:t>
      </w:r>
      <w:r w:rsidRPr="009D52C3">
        <w:rPr>
          <w:rFonts w:ascii="Times New Roman" w:eastAsia="Calibri" w:hAnsi="Times New Roman" w:cs="Times New Roman"/>
          <w:lang w:val="lt-LT"/>
        </w:rPr>
        <w:tab/>
        <w:t>Kas yra Opexa ir kam jis vartojamas</w:t>
      </w:r>
    </w:p>
    <w:p w:rsidR="00E01504" w:rsidRPr="009D52C3" w:rsidRDefault="00E01504" w:rsidP="00E01504">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2.</w:t>
      </w:r>
      <w:r w:rsidRPr="009D52C3">
        <w:rPr>
          <w:rFonts w:ascii="Times New Roman" w:eastAsia="Calibri" w:hAnsi="Times New Roman" w:cs="Times New Roman"/>
          <w:lang w:val="lt-LT"/>
        </w:rPr>
        <w:tab/>
        <w:t>Kas žinotina prieš vartojant Opexa</w:t>
      </w:r>
    </w:p>
    <w:p w:rsidR="00E01504" w:rsidRPr="009D52C3" w:rsidRDefault="00E01504" w:rsidP="00E01504">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3.</w:t>
      </w:r>
      <w:r w:rsidRPr="009D52C3">
        <w:rPr>
          <w:rFonts w:ascii="Times New Roman" w:eastAsia="Calibri" w:hAnsi="Times New Roman" w:cs="Times New Roman"/>
          <w:lang w:val="lt-LT"/>
        </w:rPr>
        <w:tab/>
        <w:t xml:space="preserve">Kaip vartoti Opexa </w:t>
      </w:r>
    </w:p>
    <w:p w:rsidR="00E01504" w:rsidRPr="009D52C3" w:rsidRDefault="00E01504" w:rsidP="00E01504">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4.</w:t>
      </w:r>
      <w:r w:rsidRPr="009D52C3">
        <w:rPr>
          <w:rFonts w:ascii="Times New Roman" w:eastAsia="Calibri" w:hAnsi="Times New Roman" w:cs="Times New Roman"/>
          <w:lang w:val="lt-LT"/>
        </w:rPr>
        <w:tab/>
        <w:t>Galimas šalutinis poveikis</w:t>
      </w:r>
    </w:p>
    <w:p w:rsidR="00E01504" w:rsidRPr="009D52C3" w:rsidRDefault="00E01504" w:rsidP="00E01504">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5.</w:t>
      </w:r>
      <w:r w:rsidRPr="009D52C3">
        <w:rPr>
          <w:rFonts w:ascii="Times New Roman" w:eastAsia="Calibri" w:hAnsi="Times New Roman" w:cs="Times New Roman"/>
          <w:lang w:val="lt-LT"/>
        </w:rPr>
        <w:tab/>
        <w:t>Kaip laikyti Opexa</w:t>
      </w:r>
    </w:p>
    <w:p w:rsidR="00E01504" w:rsidRPr="009D52C3" w:rsidRDefault="00E01504" w:rsidP="00E01504">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6.</w:t>
      </w:r>
      <w:r w:rsidRPr="009D52C3">
        <w:rPr>
          <w:rFonts w:ascii="Times New Roman" w:eastAsia="Calibri" w:hAnsi="Times New Roman" w:cs="Times New Roman"/>
          <w:lang w:val="lt-LT"/>
        </w:rPr>
        <w:tab/>
        <w:t>Pakuotės turinys ir kita informacija</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0" w:name="_Toc129243264"/>
      <w:bookmarkStart w:id="1" w:name="_Toc129243139"/>
      <w:r w:rsidRPr="009D52C3">
        <w:rPr>
          <w:rFonts w:ascii="Times New Roman" w:eastAsia="Times New Roman" w:hAnsi="Times New Roman" w:cs="Times New Roman"/>
          <w:b/>
          <w:lang w:val="lt-LT"/>
        </w:rPr>
        <w:t>1.</w:t>
      </w:r>
      <w:r w:rsidRPr="009D52C3">
        <w:rPr>
          <w:rFonts w:ascii="Times New Roman" w:eastAsia="Times New Roman" w:hAnsi="Times New Roman" w:cs="Times New Roman"/>
          <w:b/>
          <w:lang w:val="lt-LT"/>
        </w:rPr>
        <w:tab/>
      </w:r>
      <w:bookmarkEnd w:id="0"/>
      <w:bookmarkEnd w:id="1"/>
      <w:r w:rsidRPr="009D52C3">
        <w:rPr>
          <w:rFonts w:ascii="Times New Roman" w:eastAsia="Times New Roman" w:hAnsi="Times New Roman" w:cs="Times New Roman"/>
          <w:b/>
          <w:lang w:val="lt-LT"/>
        </w:rPr>
        <w:t>Kas yra Opexa ir kam jis vartojamas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Opexa tablečių sudėties veiklioji medžiaga bilastinas yra antihistamininis vaistas. </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9D52C3">
        <w:rPr>
          <w:rFonts w:ascii="Times New Roman" w:eastAsia="Times New Roman" w:hAnsi="Times New Roman" w:cs="Times New Roman"/>
          <w:color w:val="000000"/>
          <w:lang w:val="lt-LT" w:eastAsia="lt-LT"/>
        </w:rPr>
        <w:t xml:space="preserve">Opexa 10 mg </w:t>
      </w:r>
      <w:r w:rsidRPr="009D52C3">
        <w:rPr>
          <w:rFonts w:ascii="Times New Roman" w:eastAsia="Times New Roman" w:hAnsi="Times New Roman" w:cs="Times New Roman"/>
          <w:color w:val="000000"/>
          <w:spacing w:val="-1"/>
          <w:lang w:val="lt-LT" w:eastAsia="lt-LT"/>
        </w:rPr>
        <w:t xml:space="preserve">burnoje disperguojamos tabletės </w:t>
      </w:r>
      <w:r w:rsidRPr="009D52C3">
        <w:rPr>
          <w:rFonts w:ascii="Times New Roman" w:eastAsia="Times New Roman" w:hAnsi="Times New Roman" w:cs="Times New Roman"/>
          <w:color w:val="000000"/>
          <w:lang w:val="lt-LT" w:eastAsia="lt-LT"/>
        </w:rPr>
        <w:t>vartojamos šienligės (kuriai būdingi simptomai yra čiaudulys, niežulys, sloga, užgulta nosis, paraudusios ir ašarojančios akys) ir kitų alerginio rinito formų simptomų slopinimui. Jis taip pat gali būti vartojamas niežtinčių odos išbėrimų ( dilgėlinės arba urtikarijos) gydymui.</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r w:rsidRPr="009D52C3">
        <w:rPr>
          <w:rFonts w:ascii="Times New Roman" w:eastAsia="Times New Roman" w:hAnsi="Times New Roman" w:cs="Times New Roman"/>
          <w:color w:val="000000"/>
          <w:lang w:val="lt-LT" w:eastAsia="lt-LT"/>
        </w:rPr>
        <w:t xml:space="preserve">Opexa 10 mg </w:t>
      </w:r>
      <w:r w:rsidRPr="009D52C3">
        <w:rPr>
          <w:rFonts w:ascii="Times New Roman" w:eastAsia="Times New Roman" w:hAnsi="Times New Roman" w:cs="Times New Roman"/>
          <w:color w:val="000000"/>
          <w:spacing w:val="-1"/>
          <w:lang w:val="lt-LT" w:eastAsia="lt-LT"/>
        </w:rPr>
        <w:t xml:space="preserve">burnoje disperguojamos tabletės skirtos vartoti </w:t>
      </w:r>
      <w:r>
        <w:rPr>
          <w:rFonts w:ascii="Times New Roman" w:eastAsia="Times New Roman" w:hAnsi="Times New Roman" w:cs="Times New Roman"/>
          <w:color w:val="000000"/>
          <w:spacing w:val="-1"/>
          <w:lang w:val="lt-LT" w:eastAsia="lt-LT"/>
        </w:rPr>
        <w:t>2</w:t>
      </w:r>
      <w:r w:rsidRPr="009D52C3">
        <w:rPr>
          <w:rFonts w:ascii="Times New Roman" w:eastAsia="Times New Roman" w:hAnsi="Times New Roman" w:cs="Times New Roman"/>
          <w:color w:val="000000"/>
          <w:spacing w:val="-1"/>
          <w:lang w:val="lt-LT" w:eastAsia="lt-LT"/>
        </w:rPr>
        <w:t xml:space="preserve">–11 metų vaikams, sveriantiems ne mažiau </w:t>
      </w:r>
      <w:r>
        <w:rPr>
          <w:rFonts w:ascii="Times New Roman" w:eastAsia="Times New Roman" w:hAnsi="Times New Roman" w:cs="Times New Roman"/>
          <w:color w:val="000000"/>
          <w:spacing w:val="-1"/>
          <w:lang w:val="lt-LT" w:eastAsia="lt-LT"/>
        </w:rPr>
        <w:t>15</w:t>
      </w:r>
      <w:r w:rsidRPr="009D52C3">
        <w:rPr>
          <w:rFonts w:ascii="Times New Roman" w:eastAsia="Times New Roman" w:hAnsi="Times New Roman" w:cs="Times New Roman"/>
          <w:color w:val="000000"/>
          <w:spacing w:val="-1"/>
          <w:lang w:val="lt-LT" w:eastAsia="lt-LT"/>
        </w:rPr>
        <w:t> kg.</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2" w:name="_Toc129243265"/>
      <w:bookmarkStart w:id="3" w:name="_Toc129243140"/>
      <w:r w:rsidRPr="009D52C3">
        <w:rPr>
          <w:rFonts w:ascii="Times New Roman" w:eastAsia="Times New Roman" w:hAnsi="Times New Roman" w:cs="Times New Roman"/>
          <w:b/>
          <w:lang w:val="lt-LT"/>
        </w:rPr>
        <w:t>2.</w:t>
      </w:r>
      <w:r w:rsidRPr="009D52C3">
        <w:rPr>
          <w:rFonts w:ascii="Times New Roman" w:eastAsia="Times New Roman" w:hAnsi="Times New Roman" w:cs="Times New Roman"/>
          <w:b/>
          <w:lang w:val="lt-LT"/>
        </w:rPr>
        <w:tab/>
      </w:r>
      <w:bookmarkEnd w:id="2"/>
      <w:bookmarkEnd w:id="3"/>
      <w:r w:rsidRPr="009D52C3">
        <w:rPr>
          <w:rFonts w:ascii="Times New Roman" w:eastAsia="Times New Roman" w:hAnsi="Times New Roman" w:cs="Times New Roman"/>
          <w:b/>
          <w:lang w:val="lt-LT"/>
        </w:rPr>
        <w:t>Kas žinotina prieš vartojant Opexa</w:t>
      </w:r>
    </w:p>
    <w:p w:rsidR="00E01504" w:rsidRPr="009D52C3" w:rsidRDefault="00E01504" w:rsidP="00E01504">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p>
    <w:p w:rsidR="00E01504" w:rsidRPr="009D52C3" w:rsidRDefault="00E01504" w:rsidP="00E01504">
      <w:pPr>
        <w:widowControl w:val="0"/>
        <w:adjustRightInd w:val="0"/>
        <w:snapToGrid w:val="0"/>
        <w:spacing w:after="0" w:line="240" w:lineRule="auto"/>
        <w:ind w:left="567" w:hanging="567"/>
        <w:rPr>
          <w:rFonts w:ascii="Times New Roman" w:eastAsiaTheme="minorEastAsia" w:hAnsi="Times New Roman" w:cs="Times New Roman"/>
          <w:b/>
          <w:caps/>
          <w:lang w:val="lt-LT"/>
        </w:rPr>
      </w:pPr>
      <w:r w:rsidRPr="009D52C3">
        <w:rPr>
          <w:rFonts w:ascii="Times New Roman" w:eastAsiaTheme="minorEastAsia" w:hAnsi="Times New Roman" w:cs="Times New Roman"/>
          <w:b/>
          <w:lang w:val="lt-LT"/>
        </w:rPr>
        <w:t>Opexa</w:t>
      </w:r>
      <w:r w:rsidRPr="009D52C3">
        <w:rPr>
          <w:rFonts w:ascii="Times New Roman" w:eastAsiaTheme="minorEastAsia" w:hAnsi="Times New Roman" w:cs="Times New Roman"/>
          <w:b/>
          <w:bCs/>
          <w:lang w:val="lt-LT"/>
        </w:rPr>
        <w:t xml:space="preserve"> vartoti draudžiama</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jeigu Jūsų vaikui yra alergija bilastinui arba bet kuriai pagalbinei šio vaisto medžiagai (jos išvardytos 6</w:t>
      </w:r>
      <w:r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skyriuje).</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Įspėjimai ir atsargumo priemonės</w:t>
      </w:r>
    </w:p>
    <w:p w:rsidR="00E01504" w:rsidRPr="009D52C3" w:rsidRDefault="00E01504" w:rsidP="00E01504">
      <w:pPr>
        <w:widowControl w:val="0"/>
        <w:adjustRightInd w:val="0"/>
        <w:snapToGrid w:val="0"/>
        <w:spacing w:after="0" w:line="240" w:lineRule="auto"/>
        <w:rPr>
          <w:rFonts w:ascii="Times New Roman" w:eastAsia="Times New Roman" w:hAnsi="Times New Roman" w:cs="Times New Roman"/>
          <w:bCs/>
          <w:lang w:val="lt-LT"/>
        </w:rPr>
      </w:pPr>
      <w:r w:rsidRPr="009D52C3">
        <w:rPr>
          <w:rFonts w:ascii="Times New Roman" w:eastAsia="Times New Roman" w:hAnsi="Times New Roman" w:cs="Times New Roman"/>
          <w:bCs/>
          <w:lang w:val="lt-LT"/>
        </w:rPr>
        <w:t xml:space="preserve">Pasitarkite su gydytoju arba vaistininku prieš pradedant vartoti Opexa, jei Jūsų vaikui nustatytas vidutinio sunkumo arba sunkus inkstų ir kepenų veiklos sutrikimas, </w:t>
      </w:r>
      <w:r w:rsidRPr="009D52C3">
        <w:rPr>
          <w:rFonts w:ascii="Times New Roman" w:hAnsi="Times New Roman" w:cs="Times New Roman"/>
          <w:lang w:val="lt-LT" w:bidi="lt-LT"/>
        </w:rPr>
        <w:t xml:space="preserve">mažas kalio, magnio, kalcio kiekis kraujyje, jeigu Jūsų vaikui pasireiškia arba pasireiškė širdies ritmo sutrikimų, arba Jūsų vaiko širdies susitraukimų dažnis yra labai mažas, jeigu </w:t>
      </w:r>
      <w:r>
        <w:rPr>
          <w:rFonts w:ascii="Times New Roman" w:hAnsi="Times New Roman" w:cs="Times New Roman"/>
          <w:lang w:val="lt-LT" w:bidi="lt-LT"/>
        </w:rPr>
        <w:t xml:space="preserve">Jūsų vaikas </w:t>
      </w:r>
      <w:r w:rsidRPr="009D52C3">
        <w:rPr>
          <w:rFonts w:ascii="Times New Roman" w:hAnsi="Times New Roman" w:cs="Times New Roman"/>
          <w:lang w:val="lt-LT" w:bidi="lt-LT"/>
        </w:rPr>
        <w:t>vartoja vaistų, galinčių paveikti širdies ritmą, jeigu Jūsų vaikui yra arba buvo tam tikrų širdies ritmo sutrikimų (vadinamasis QTc intervalo pailgėjimas elektrokardiogramoje), kurie gali pasireikšti sergant kai kuriomis širdies ligų formomis,</w:t>
      </w:r>
      <w:r w:rsidRPr="009D52C3">
        <w:rPr>
          <w:rFonts w:ascii="Times New Roman" w:eastAsia="Times New Roman" w:hAnsi="Times New Roman" w:cs="Times New Roman"/>
          <w:bCs/>
          <w:lang w:val="lt-LT"/>
        </w:rPr>
        <w:t xml:space="preserve"> ir Jūsų vaikas vartoja kitus vaistus (žr. skyrių žemiau „Kiti vaistai ir Opexa“).</w:t>
      </w:r>
    </w:p>
    <w:p w:rsidR="00E01504" w:rsidRPr="009D52C3" w:rsidRDefault="00E01504" w:rsidP="00E01504">
      <w:pPr>
        <w:widowControl w:val="0"/>
        <w:adjustRightInd w:val="0"/>
        <w:snapToGrid w:val="0"/>
        <w:spacing w:after="0" w:line="240" w:lineRule="auto"/>
        <w:rPr>
          <w:rFonts w:ascii="Times New Roman" w:eastAsia="Times New Roman" w:hAnsi="Times New Roman" w:cs="Times New Roman"/>
          <w:b/>
          <w:bCs/>
          <w:lang w:val="lt-LT"/>
        </w:rPr>
      </w:pPr>
    </w:p>
    <w:p w:rsidR="00E01504" w:rsidRPr="009D52C3" w:rsidRDefault="00E01504" w:rsidP="00E01504">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Vaikams</w:t>
      </w:r>
    </w:p>
    <w:p w:rsidR="00E01504" w:rsidRPr="009D52C3" w:rsidRDefault="00E01504" w:rsidP="00E01504">
      <w:pPr>
        <w:widowControl w:val="0"/>
        <w:adjustRightInd w:val="0"/>
        <w:snapToGrid w:val="0"/>
        <w:spacing w:after="0" w:line="240" w:lineRule="auto"/>
        <w:rPr>
          <w:rFonts w:ascii="Times New Roman" w:eastAsia="Times New Roman" w:hAnsi="Times New Roman" w:cs="Times New Roman"/>
          <w:bCs/>
          <w:lang w:val="lt-LT"/>
        </w:rPr>
      </w:pPr>
      <w:r w:rsidRPr="009D52C3">
        <w:rPr>
          <w:rFonts w:ascii="Times New Roman" w:eastAsia="Times New Roman" w:hAnsi="Times New Roman" w:cs="Times New Roman"/>
          <w:bCs/>
          <w:lang w:val="lt-LT"/>
        </w:rPr>
        <w:t xml:space="preserve">Neduokite šio vaisto jaunesniems kaip </w:t>
      </w:r>
      <w:r>
        <w:rPr>
          <w:rFonts w:ascii="Times New Roman" w:eastAsia="Times New Roman" w:hAnsi="Times New Roman" w:cs="Times New Roman"/>
          <w:bCs/>
          <w:lang w:val="lt-LT"/>
        </w:rPr>
        <w:t>2</w:t>
      </w:r>
      <w:r w:rsidRPr="009D52C3">
        <w:rPr>
          <w:rFonts w:ascii="Times New Roman" w:eastAsia="Times New Roman" w:hAnsi="Times New Roman" w:cs="Times New Roman"/>
          <w:bCs/>
          <w:lang w:val="lt-LT"/>
        </w:rPr>
        <w:t xml:space="preserve"> metų vaikams, sveriantiems mažiau kaip </w:t>
      </w:r>
      <w:r>
        <w:rPr>
          <w:rFonts w:ascii="Times New Roman" w:eastAsia="Times New Roman" w:hAnsi="Times New Roman" w:cs="Times New Roman"/>
          <w:bCs/>
          <w:lang w:val="lt-LT"/>
        </w:rPr>
        <w:t>15</w:t>
      </w:r>
      <w:r w:rsidRPr="009D52C3">
        <w:rPr>
          <w:rFonts w:ascii="Times New Roman" w:eastAsia="Times New Roman" w:hAnsi="Times New Roman" w:cs="Times New Roman"/>
          <w:bCs/>
          <w:lang w:val="lt-LT"/>
        </w:rPr>
        <w:t xml:space="preserve"> kg, nes dėl </w:t>
      </w:r>
      <w:r w:rsidRPr="009D52C3">
        <w:rPr>
          <w:rFonts w:ascii="Times New Roman" w:eastAsia="Times New Roman" w:hAnsi="Times New Roman" w:cs="Times New Roman"/>
          <w:bCs/>
          <w:lang w:val="lt-LT"/>
        </w:rPr>
        <w:lastRenderedPageBreak/>
        <w:t>vartojimo tokio amžiaus vaikams duomenų nepakanka.</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Kiti vaistai ir Opexa</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Jeigu Jūsų vaikas vartoja ar neseniai vartojo kitų vaistų, įskaitant įgytus be recepto, arba dėl to nesate tikri, apie tai pasakykite gydytojui arba vaistininkui. Kai kuriuos vaistus galima vartoti kartu, kitų dozę vartojant kartu gali reikėti pakeisti.</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Visuomet pasitarkite su gydytoju arba vaistininku, jeigu Jūsų vaikas vartoja kurį nors žemiau išvardytą vaistą:</w:t>
      </w:r>
    </w:p>
    <w:p w:rsidR="00E01504" w:rsidRPr="009D52C3" w:rsidRDefault="00E01504" w:rsidP="00E01504">
      <w:pPr>
        <w:pStyle w:val="Sraopastraipa"/>
        <w:widowControl w:val="0"/>
        <w:numPr>
          <w:ilvl w:val="0"/>
          <w:numId w:val="5"/>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ketokonazolą (vaistą grybelių sukeltoms ligoms gydyti),</w:t>
      </w:r>
    </w:p>
    <w:p w:rsidR="00E01504" w:rsidRPr="009D52C3" w:rsidRDefault="00E01504" w:rsidP="00E01504">
      <w:pPr>
        <w:pStyle w:val="Sraopastraipa"/>
        <w:widowControl w:val="0"/>
        <w:numPr>
          <w:ilvl w:val="0"/>
          <w:numId w:val="5"/>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eritromiciną (antibiotiką),</w:t>
      </w:r>
    </w:p>
    <w:p w:rsidR="00E01504" w:rsidRPr="009D52C3" w:rsidRDefault="00E01504" w:rsidP="00E01504">
      <w:pPr>
        <w:pStyle w:val="Sraopastraipa"/>
        <w:widowControl w:val="0"/>
        <w:numPr>
          <w:ilvl w:val="0"/>
          <w:numId w:val="5"/>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 xml:space="preserve">diltiazemą (vaistą </w:t>
      </w:r>
      <w:r w:rsidRPr="0003034C">
        <w:rPr>
          <w:rFonts w:ascii="Times New Roman" w:eastAsia="Calibri" w:hAnsi="Times New Roman" w:cs="Times New Roman"/>
          <w:i/>
          <w:iCs/>
          <w:lang w:val="lt-LT"/>
        </w:rPr>
        <w:t>angina pectoris</w:t>
      </w:r>
      <w:r w:rsidRPr="009D52C3">
        <w:rPr>
          <w:rFonts w:ascii="Times New Roman" w:eastAsia="Calibri" w:hAnsi="Times New Roman" w:cs="Times New Roman"/>
          <w:lang w:val="lt-LT"/>
        </w:rPr>
        <w:t xml:space="preserve"> gydyti</w:t>
      </w:r>
      <w:r w:rsidRPr="009D52C3">
        <w:rPr>
          <w:rFonts w:ascii="Times New Roman" w:hAnsi="Times New Roman" w:cs="Times New Roman"/>
          <w:lang w:val="lt-LT"/>
        </w:rPr>
        <w:t>– skausmui ar spaudimui krūtinės srityje</w:t>
      </w:r>
      <w:r w:rsidRPr="009D52C3">
        <w:rPr>
          <w:rFonts w:ascii="Times New Roman" w:eastAsia="Calibri" w:hAnsi="Times New Roman" w:cs="Times New Roman"/>
          <w:lang w:val="lt-LT"/>
        </w:rPr>
        <w:t>),</w:t>
      </w:r>
    </w:p>
    <w:p w:rsidR="00E01504" w:rsidRPr="009D52C3" w:rsidRDefault="00E01504" w:rsidP="00E01504">
      <w:pPr>
        <w:pStyle w:val="Sraopastraipa"/>
        <w:widowControl w:val="0"/>
        <w:numPr>
          <w:ilvl w:val="0"/>
          <w:numId w:val="5"/>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ciklosporiną (vaistą, mažinantį imuninės sistemos aktyvumą ir tokiu būdu padedantį išvengti persodinto organo atmetimo arba mažinantį ligos aktyvumą sergant tokiomis ligomis, kaip žvynelinė, atopinis dermatitas ar reumatoidinis artritas),</w:t>
      </w:r>
    </w:p>
    <w:p w:rsidR="00E01504" w:rsidRPr="009D52C3" w:rsidRDefault="00E01504" w:rsidP="00E01504">
      <w:pPr>
        <w:pStyle w:val="Sraopastraipa"/>
        <w:widowControl w:val="0"/>
        <w:numPr>
          <w:ilvl w:val="0"/>
          <w:numId w:val="5"/>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ritonavirą (vaistą ŽIV infekcijai gydyti),</w:t>
      </w:r>
    </w:p>
    <w:p w:rsidR="00E01504" w:rsidRPr="009D52C3" w:rsidRDefault="00E01504" w:rsidP="00E01504">
      <w:pPr>
        <w:pStyle w:val="Sraopastraipa"/>
        <w:widowControl w:val="0"/>
        <w:numPr>
          <w:ilvl w:val="0"/>
          <w:numId w:val="5"/>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rifampiciną (antibiotiką).</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Opexa vartojimas su maistu, gėrimais ir alkoholiu</w:t>
      </w:r>
    </w:p>
    <w:p w:rsidR="00E01504" w:rsidRPr="009D52C3" w:rsidRDefault="00E01504" w:rsidP="00E01504">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9D52C3">
        <w:rPr>
          <w:rFonts w:ascii="Times New Roman" w:eastAsia="Times New Roman" w:hAnsi="Times New Roman" w:cs="Times New Roman"/>
          <w:color w:val="000000"/>
          <w:lang w:val="lt-LT" w:eastAsia="lt-LT"/>
        </w:rPr>
        <w:t xml:space="preserve">Šių </w:t>
      </w:r>
      <w:r w:rsidRPr="009D52C3">
        <w:rPr>
          <w:rFonts w:ascii="Times New Roman" w:eastAsia="Times New Roman" w:hAnsi="Times New Roman" w:cs="Times New Roman"/>
          <w:color w:val="000000"/>
          <w:spacing w:val="-1"/>
          <w:lang w:val="lt-LT" w:eastAsia="lt-LT"/>
        </w:rPr>
        <w:t xml:space="preserve">burnoje disperguojamųjų </w:t>
      </w:r>
      <w:r w:rsidRPr="009D52C3">
        <w:rPr>
          <w:rFonts w:ascii="Times New Roman" w:eastAsia="Times New Roman" w:hAnsi="Times New Roman" w:cs="Times New Roman"/>
          <w:color w:val="000000"/>
          <w:lang w:val="lt-LT" w:eastAsia="lt-LT"/>
        </w:rPr>
        <w:t xml:space="preserve">tablečių </w:t>
      </w:r>
      <w:r w:rsidRPr="009D52C3">
        <w:rPr>
          <w:rFonts w:ascii="Times New Roman" w:eastAsia="Times New Roman" w:hAnsi="Times New Roman" w:cs="Times New Roman"/>
          <w:b/>
          <w:color w:val="000000"/>
          <w:lang w:val="lt-LT" w:eastAsia="lt-LT"/>
        </w:rPr>
        <w:t>negalima</w:t>
      </w:r>
      <w:r w:rsidRPr="009D52C3">
        <w:rPr>
          <w:rFonts w:ascii="Times New Roman" w:eastAsia="Times New Roman" w:hAnsi="Times New Roman" w:cs="Times New Roman"/>
          <w:color w:val="000000"/>
          <w:lang w:val="lt-LT" w:eastAsia="lt-LT"/>
        </w:rPr>
        <w:t xml:space="preserve"> vartoti kartu su </w:t>
      </w:r>
      <w:r w:rsidRPr="009D52C3">
        <w:rPr>
          <w:rFonts w:ascii="Times New Roman" w:eastAsia="Times New Roman" w:hAnsi="Times New Roman" w:cs="Times New Roman"/>
          <w:b/>
          <w:color w:val="000000"/>
          <w:lang w:val="lt-LT" w:eastAsia="lt-LT"/>
        </w:rPr>
        <w:t>maistu</w:t>
      </w:r>
      <w:r w:rsidRPr="009D52C3">
        <w:rPr>
          <w:rFonts w:ascii="Times New Roman" w:eastAsia="Times New Roman" w:hAnsi="Times New Roman" w:cs="Times New Roman"/>
          <w:color w:val="000000"/>
          <w:lang w:val="lt-LT" w:eastAsia="lt-LT"/>
        </w:rPr>
        <w:t xml:space="preserve">, </w:t>
      </w:r>
      <w:r w:rsidRPr="009D52C3">
        <w:rPr>
          <w:rFonts w:ascii="Times New Roman" w:eastAsia="Times New Roman" w:hAnsi="Times New Roman" w:cs="Times New Roman"/>
          <w:b/>
          <w:color w:val="000000"/>
          <w:lang w:val="lt-LT" w:eastAsia="lt-LT"/>
        </w:rPr>
        <w:t>greipfrutų ar kitų vaisių sultimis</w:t>
      </w:r>
      <w:r w:rsidRPr="009D52C3">
        <w:rPr>
          <w:rFonts w:ascii="Times New Roman" w:eastAsia="Times New Roman" w:hAnsi="Times New Roman" w:cs="Times New Roman"/>
          <w:color w:val="000000"/>
          <w:lang w:val="lt-LT" w:eastAsia="lt-LT"/>
        </w:rPr>
        <w:t>, nes tai sumažins bilastino veiksmingumą. Siekiant to išvengti, Jūs galite:</w:t>
      </w:r>
    </w:p>
    <w:p w:rsidR="00E01504" w:rsidRPr="009D52C3" w:rsidRDefault="00E01504" w:rsidP="00E01504">
      <w:pPr>
        <w:pStyle w:val="Sraopastraipa"/>
        <w:widowControl w:val="0"/>
        <w:numPr>
          <w:ilvl w:val="0"/>
          <w:numId w:val="6"/>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duoti vaikui išgerti burnoje disperguojamą tabletę ir padaryti vienos valandos pertrauką iki valgymo arba sulčių gėrimo arba</w:t>
      </w:r>
    </w:p>
    <w:p w:rsidR="00E01504" w:rsidRPr="009D52C3" w:rsidRDefault="00E01504" w:rsidP="00E01504">
      <w:pPr>
        <w:pStyle w:val="Sraopastraipa"/>
        <w:widowControl w:val="0"/>
        <w:numPr>
          <w:ilvl w:val="0"/>
          <w:numId w:val="6"/>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 xml:space="preserve">jeigu Jūsų vaikas pavalgė arba išgėrė sulčių, reikia palaukti dvi valandas ir tada duoti išgerti burnoje disperguojamą tabletę. </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Rekomenduojama suaugusiesiems bilastino dozė (20 mg) nesustiprina alkoholio sukelto mieguistumo.</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Nėštumas, žindymo laikotarpis ir vaisingumas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Šis vaistas tinka vartoti </w:t>
      </w:r>
      <w:r>
        <w:rPr>
          <w:rFonts w:ascii="Times New Roman" w:eastAsia="Calibri" w:hAnsi="Times New Roman" w:cs="Times New Roman"/>
          <w:lang w:val="lt-LT"/>
        </w:rPr>
        <w:t>2</w:t>
      </w:r>
      <w:r w:rsidRPr="009D52C3">
        <w:rPr>
          <w:rFonts w:ascii="Times New Roman" w:eastAsia="Calibri" w:hAnsi="Times New Roman" w:cs="Times New Roman"/>
          <w:lang w:val="lt-LT"/>
        </w:rPr>
        <w:t xml:space="preserve">–11 metų vaikams, sveriantiems ne mažiau </w:t>
      </w:r>
      <w:r>
        <w:rPr>
          <w:rFonts w:ascii="Times New Roman" w:eastAsia="Calibri" w:hAnsi="Times New Roman" w:cs="Times New Roman"/>
          <w:lang w:val="lt-LT"/>
        </w:rPr>
        <w:t>15</w:t>
      </w:r>
      <w:r w:rsidRPr="009D52C3">
        <w:rPr>
          <w:rFonts w:ascii="Times New Roman" w:eastAsia="Calibri" w:hAnsi="Times New Roman" w:cs="Times New Roman"/>
          <w:lang w:val="lt-LT"/>
        </w:rPr>
        <w:t> kg. Tačiau ši informacija yra susijusi su vaisto vartojimo saugumu. Kokių nors duomenų apie bilastino vartojimą nėštumo ar žindymo metu, o taip pat apie jo poveikį vaisingumui nėra arba jie labai riboti.</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Jei esate nėščia, žindote kūdikį, manote, kad galbūt esate nėščia, arba planuojate pastoti, tai prieš vartodama šį vaistą, pasitarkite su gydytoju.</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Prieš pradedant vartoti bet kokį vaistą pasitarkite su gydytoju.</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Vairavimas ir mechanizmų valdymas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Nustatyta, kad bilastino 20 mg dozė nesutrikdo suaugusiųjų gebėjimo vairuoti. Tačiau kiekvieno paciento reakciją į vaistą gali būti skirtinga. Dėl to Jūs turite įsitikinti kaip šis vaistas veikia Jūsų vaiką prieš leisdami jam važiuoti dviračiu arba vairuoti, valdyti kitus mechanizmus.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outlineLvl w:val="3"/>
        <w:rPr>
          <w:rFonts w:ascii="Times New Roman" w:eastAsia="Times New Roman" w:hAnsi="Times New Roman" w:cs="Times New Roman"/>
          <w:b/>
          <w:iCs/>
          <w:lang w:val="lt-LT"/>
        </w:rPr>
      </w:pPr>
      <w:r w:rsidRPr="009D52C3">
        <w:rPr>
          <w:rFonts w:ascii="Times New Roman" w:eastAsia="Times New Roman" w:hAnsi="Times New Roman" w:cs="Times New Roman"/>
          <w:b/>
          <w:iCs/>
          <w:lang w:val="lt-LT"/>
        </w:rPr>
        <w:t>Opexa yra etanolio ir natrio</w:t>
      </w:r>
    </w:p>
    <w:p w:rsidR="00E01504" w:rsidRPr="009D52C3" w:rsidRDefault="00E01504" w:rsidP="00E01504">
      <w:pPr>
        <w:widowControl w:val="0"/>
        <w:adjustRightInd w:val="0"/>
        <w:snapToGrid w:val="0"/>
        <w:spacing w:after="0" w:line="240" w:lineRule="auto"/>
        <w:rPr>
          <w:rFonts w:ascii="Times New Roman" w:hAnsi="Times New Roman" w:cs="Times New Roman"/>
          <w:iCs/>
          <w:lang w:val="lt-LT"/>
        </w:rPr>
      </w:pPr>
    </w:p>
    <w:p w:rsidR="00E01504" w:rsidRPr="009D52C3" w:rsidRDefault="00E01504" w:rsidP="00E01504">
      <w:pPr>
        <w:widowControl w:val="0"/>
        <w:adjustRightInd w:val="0"/>
        <w:snapToGrid w:val="0"/>
        <w:spacing w:after="0" w:line="240" w:lineRule="auto"/>
        <w:rPr>
          <w:rFonts w:ascii="Times New Roman" w:hAnsi="Times New Roman" w:cs="Times New Roman"/>
          <w:lang w:val="lt-LT" w:eastAsia="lt-LT"/>
        </w:rPr>
      </w:pPr>
      <w:r w:rsidRPr="009D52C3">
        <w:rPr>
          <w:rFonts w:ascii="Times New Roman" w:hAnsi="Times New Roman" w:cs="Times New Roman"/>
          <w:lang w:val="lt-LT" w:eastAsia="lt-LT"/>
        </w:rPr>
        <w:t xml:space="preserve">Kiekvienoje šio vaistinio preparato </w:t>
      </w:r>
      <w:r w:rsidRPr="009D52C3">
        <w:rPr>
          <w:rFonts w:ascii="Times New Roman" w:eastAsia="Times New Roman" w:hAnsi="Times New Roman" w:cs="Times New Roman"/>
          <w:color w:val="000000"/>
          <w:spacing w:val="-1"/>
          <w:lang w:val="lt-LT" w:eastAsia="lt-LT"/>
        </w:rPr>
        <w:t>burnoje disperguojamojoje tabletėje</w:t>
      </w:r>
      <w:r w:rsidRPr="009D52C3">
        <w:rPr>
          <w:rFonts w:ascii="Times New Roman" w:hAnsi="Times New Roman" w:cs="Times New Roman"/>
          <w:lang w:val="lt-LT" w:eastAsia="lt-LT"/>
        </w:rPr>
        <w:t xml:space="preserve"> yra 0,0015</w:t>
      </w:r>
      <w:r w:rsidRPr="009D52C3">
        <w:rPr>
          <w:rFonts w:ascii="Times New Roman" w:hAnsi="Times New Roman" w:cs="Times New Roman"/>
          <w:lang w:val="lt-LT"/>
        </w:rPr>
        <w:t> </w:t>
      </w:r>
      <w:r w:rsidRPr="009D52C3">
        <w:rPr>
          <w:rFonts w:ascii="Times New Roman" w:hAnsi="Times New Roman" w:cs="Times New Roman"/>
          <w:lang w:val="lt-LT" w:eastAsia="lt-LT"/>
        </w:rPr>
        <w:t>mg alkoholio (etanolio), tai atitinka 1</w:t>
      </w:r>
      <w:r w:rsidRPr="009D52C3">
        <w:rPr>
          <w:rFonts w:ascii="Times New Roman" w:hAnsi="Times New Roman" w:cs="Times New Roman"/>
          <w:lang w:val="lt-LT"/>
        </w:rPr>
        <w:t> </w:t>
      </w:r>
      <w:r w:rsidRPr="009D52C3">
        <w:rPr>
          <w:rFonts w:ascii="Times New Roman" w:hAnsi="Times New Roman" w:cs="Times New Roman"/>
          <w:lang w:val="lt-LT" w:eastAsia="lt-LT"/>
        </w:rPr>
        <w:t>mg/100</w:t>
      </w:r>
      <w:r w:rsidRPr="009D52C3">
        <w:rPr>
          <w:rFonts w:ascii="Times New Roman" w:hAnsi="Times New Roman" w:cs="Times New Roman"/>
          <w:lang w:val="lt-LT"/>
        </w:rPr>
        <w:t> </w:t>
      </w:r>
      <w:r w:rsidRPr="009D52C3">
        <w:rPr>
          <w:rFonts w:ascii="Times New Roman" w:hAnsi="Times New Roman" w:cs="Times New Roman"/>
          <w:lang w:val="lt-LT" w:eastAsia="lt-LT"/>
        </w:rPr>
        <w:t>g (0,001</w:t>
      </w:r>
      <w:r w:rsidRPr="009D52C3">
        <w:rPr>
          <w:rFonts w:ascii="Times New Roman" w:hAnsi="Times New Roman" w:cs="Times New Roman"/>
          <w:lang w:val="lt-LT"/>
        </w:rPr>
        <w:t> </w:t>
      </w:r>
      <w:r w:rsidRPr="009D52C3">
        <w:rPr>
          <w:rFonts w:ascii="Times New Roman" w:hAnsi="Times New Roman" w:cs="Times New Roman"/>
          <w:lang w:val="lt-LT" w:eastAsia="lt-LT"/>
        </w:rPr>
        <w:t xml:space="preserve">% m/m). Toks </w:t>
      </w:r>
      <w:r w:rsidRPr="009D52C3">
        <w:rPr>
          <w:rFonts w:ascii="Times New Roman" w:eastAsia="Times New Roman" w:hAnsi="Times New Roman" w:cs="Times New Roman"/>
          <w:color w:val="000000"/>
          <w:spacing w:val="-1"/>
          <w:lang w:val="lt-LT" w:eastAsia="lt-LT"/>
        </w:rPr>
        <w:t xml:space="preserve">burnoje disperguojamojoje tabletėje </w:t>
      </w:r>
      <w:r w:rsidRPr="009D52C3">
        <w:rPr>
          <w:rFonts w:ascii="Times New Roman" w:hAnsi="Times New Roman" w:cs="Times New Roman"/>
          <w:lang w:val="lt-LT" w:eastAsia="lt-LT"/>
        </w:rPr>
        <w:t>esantis alkoholio kiekis atitinka mažiau kaip 0,00004</w:t>
      </w:r>
      <w:r w:rsidRPr="009D52C3">
        <w:rPr>
          <w:rFonts w:ascii="Times New Roman" w:hAnsi="Times New Roman" w:cs="Times New Roman"/>
          <w:lang w:val="lt-LT"/>
        </w:rPr>
        <w:t> </w:t>
      </w:r>
      <w:r w:rsidRPr="009D52C3">
        <w:rPr>
          <w:rFonts w:ascii="Times New Roman" w:hAnsi="Times New Roman" w:cs="Times New Roman"/>
          <w:lang w:val="lt-LT" w:eastAsia="lt-LT"/>
        </w:rPr>
        <w:t>ml alaus ar 0,00002</w:t>
      </w:r>
      <w:r w:rsidRPr="009D52C3">
        <w:rPr>
          <w:rFonts w:ascii="Times New Roman" w:hAnsi="Times New Roman" w:cs="Times New Roman"/>
          <w:lang w:val="lt-LT"/>
        </w:rPr>
        <w:t> </w:t>
      </w:r>
      <w:r w:rsidRPr="009D52C3">
        <w:rPr>
          <w:rFonts w:ascii="Times New Roman" w:hAnsi="Times New Roman" w:cs="Times New Roman"/>
          <w:lang w:val="lt-LT" w:eastAsia="lt-LT"/>
        </w:rPr>
        <w:t xml:space="preserve">ml vyno. </w:t>
      </w:r>
    </w:p>
    <w:p w:rsidR="00E01504" w:rsidRPr="009D52C3" w:rsidRDefault="00E01504" w:rsidP="00E01504">
      <w:pPr>
        <w:widowControl w:val="0"/>
        <w:adjustRightInd w:val="0"/>
        <w:snapToGrid w:val="0"/>
        <w:spacing w:after="0" w:line="240" w:lineRule="auto"/>
        <w:rPr>
          <w:rFonts w:ascii="Times New Roman" w:hAnsi="Times New Roman" w:cs="Times New Roman"/>
          <w:lang w:val="lt-LT" w:eastAsia="lt-LT"/>
        </w:rPr>
      </w:pPr>
    </w:p>
    <w:p w:rsidR="00E01504" w:rsidRPr="009D52C3" w:rsidRDefault="00E01504" w:rsidP="00E01504">
      <w:pPr>
        <w:widowControl w:val="0"/>
        <w:adjustRightInd w:val="0"/>
        <w:snapToGrid w:val="0"/>
        <w:spacing w:after="0" w:line="240" w:lineRule="auto"/>
        <w:rPr>
          <w:rFonts w:ascii="Times New Roman" w:hAnsi="Times New Roman" w:cs="Times New Roman"/>
          <w:lang w:val="lt-LT" w:eastAsia="lt-LT"/>
        </w:rPr>
      </w:pPr>
      <w:r w:rsidRPr="009D52C3">
        <w:rPr>
          <w:rFonts w:ascii="Times New Roman" w:hAnsi="Times New Roman" w:cs="Times New Roman"/>
          <w:lang w:val="lt-LT" w:eastAsia="lt-LT"/>
        </w:rPr>
        <w:t>Mažas alkoholio kiekis, esantis šio vaisto sudėtyje, nesukelia pastebimo poveikio.</w:t>
      </w:r>
    </w:p>
    <w:p w:rsidR="00E01504" w:rsidRPr="009D52C3" w:rsidRDefault="00E01504" w:rsidP="00E01504">
      <w:pPr>
        <w:widowControl w:val="0"/>
        <w:adjustRightInd w:val="0"/>
        <w:snapToGrid w:val="0"/>
        <w:spacing w:after="0" w:line="240" w:lineRule="auto"/>
        <w:rPr>
          <w:rFonts w:ascii="Times New Roman" w:hAnsi="Times New Roman" w:cs="Times New Roman"/>
          <w:iCs/>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hAnsi="Times New Roman" w:cs="Times New Roman"/>
          <w:iCs/>
          <w:lang w:val="lt-LT"/>
        </w:rPr>
        <w:t xml:space="preserve">Šio vaisto burnoje disperguojamoje tabletėje yra mažiau kaip 1 mmol (23 mg) natrio, </w:t>
      </w:r>
      <w:r w:rsidRPr="009D52C3">
        <w:rPr>
          <w:rFonts w:ascii="Times New Roman" w:hAnsi="Times New Roman" w:cs="Times New Roman"/>
          <w:iCs/>
          <w:lang w:val="lt-LT" w:eastAsia="lt-LT"/>
        </w:rPr>
        <w:t>t. y. jis beveik neturi reikšmės.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keepNext/>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4" w:name="_Toc129243266"/>
      <w:bookmarkStart w:id="5" w:name="_Toc129243141"/>
      <w:r w:rsidRPr="009D52C3">
        <w:rPr>
          <w:rFonts w:ascii="Times New Roman" w:eastAsia="Times New Roman" w:hAnsi="Times New Roman" w:cs="Times New Roman"/>
          <w:b/>
          <w:lang w:val="lt-LT"/>
        </w:rPr>
        <w:lastRenderedPageBreak/>
        <w:t>3.</w:t>
      </w:r>
      <w:r w:rsidRPr="009D52C3">
        <w:rPr>
          <w:rFonts w:ascii="Times New Roman" w:eastAsia="Times New Roman" w:hAnsi="Times New Roman" w:cs="Times New Roman"/>
          <w:b/>
          <w:lang w:val="lt-LT"/>
        </w:rPr>
        <w:tab/>
      </w:r>
      <w:bookmarkEnd w:id="4"/>
      <w:bookmarkEnd w:id="5"/>
      <w:r w:rsidRPr="009D52C3">
        <w:rPr>
          <w:rFonts w:ascii="Times New Roman" w:eastAsia="Times New Roman" w:hAnsi="Times New Roman" w:cs="Times New Roman"/>
          <w:b/>
          <w:lang w:val="lt-LT"/>
        </w:rPr>
        <w:t>Kaip vartoti Opexa</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Visada vartokite šį vaistą tiksliai kaip nurodė gydytojas. Jeigu abejojate, kreipkitės į gydytoją arba vaistininką. </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eastAsia="Calibri" w:hAnsi="Times New Roman" w:cs="Times New Roman"/>
          <w:b/>
          <w:lang w:val="lt-LT"/>
        </w:rPr>
        <w:t>Vartojimas vaikams</w:t>
      </w:r>
    </w:p>
    <w:p w:rsidR="00E01504" w:rsidRPr="009D52C3" w:rsidRDefault="00E01504" w:rsidP="00E01504">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r w:rsidRPr="009D52C3">
        <w:rPr>
          <w:rFonts w:ascii="Times New Roman" w:eastAsia="Times New Roman" w:hAnsi="Times New Roman" w:cs="Times New Roman"/>
          <w:color w:val="000000"/>
          <w:lang w:val="lt-LT" w:eastAsia="lt-LT"/>
        </w:rPr>
        <w:t xml:space="preserve">Rekomenduojama dozė 6–11 metų vaikams, sveriantiems ne mažiau kaip 20 kg yra 10 mg bilastino (viena </w:t>
      </w:r>
      <w:r w:rsidRPr="009D52C3">
        <w:rPr>
          <w:rFonts w:ascii="Times New Roman" w:eastAsia="Times New Roman" w:hAnsi="Times New Roman" w:cs="Times New Roman"/>
          <w:color w:val="000000"/>
          <w:spacing w:val="-1"/>
          <w:lang w:val="lt-LT" w:eastAsia="lt-LT"/>
        </w:rPr>
        <w:t>burnoje disperguojama tabletė) vieną kartą per dieną alerginio rinokonjunktyvito ir dilgėlinės simptomų lengvinimui.</w:t>
      </w:r>
    </w:p>
    <w:p w:rsidR="00E01504" w:rsidRPr="009D52C3" w:rsidRDefault="00E01504" w:rsidP="00E01504">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p>
    <w:p w:rsidR="00E01504" w:rsidRPr="009D52C3" w:rsidRDefault="00E01504" w:rsidP="00E01504">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9D52C3">
        <w:rPr>
          <w:rFonts w:ascii="Times New Roman" w:eastAsia="Times New Roman" w:hAnsi="Times New Roman" w:cs="Times New Roman"/>
          <w:color w:val="000000"/>
          <w:lang w:val="lt-LT" w:eastAsia="lt-LT"/>
        </w:rPr>
        <w:t>Jaunesniems kaip 6 metų vaikams, sveriantiems mažiau kaip 20 kg, šio vaisto duoti negalima, kadangi nėra pagrindžiančių duomenų.</w:t>
      </w:r>
    </w:p>
    <w:p w:rsidR="00E01504" w:rsidRPr="009D52C3" w:rsidRDefault="00E01504" w:rsidP="00E01504">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p>
    <w:p w:rsidR="00E01504" w:rsidRPr="009D52C3" w:rsidRDefault="00E01504" w:rsidP="00E01504">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9D52C3">
        <w:rPr>
          <w:rFonts w:ascii="Times New Roman" w:eastAsia="Times New Roman" w:hAnsi="Times New Roman" w:cs="Times New Roman"/>
          <w:color w:val="000000"/>
          <w:lang w:val="lt-LT" w:eastAsia="lt-LT"/>
        </w:rPr>
        <w:t>Suaugusiems pacientams, įskaitant senyvus, ir vyresniems kaip 12 paaugliams rekomenduojama dozė yra 20 mg bilastino vieną kartą per dieną. Šiai pacientų populiacijai yra labiau tinkamų vaisto farmacinių formų – pasiteiraukite gydytojo arba vaistininko.</w:t>
      </w:r>
    </w:p>
    <w:p w:rsidR="00E01504" w:rsidRPr="009D52C3" w:rsidRDefault="00E01504" w:rsidP="00E01504">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p>
    <w:p w:rsidR="00E01504" w:rsidRPr="009D52C3" w:rsidRDefault="00E01504" w:rsidP="00E01504">
      <w:pPr>
        <w:pStyle w:val="Sraopastraipa"/>
        <w:widowControl w:val="0"/>
        <w:numPr>
          <w:ilvl w:val="0"/>
          <w:numId w:val="7"/>
        </w:numPr>
        <w:autoSpaceDE w:val="0"/>
        <w:autoSpaceDN w:val="0"/>
        <w:adjustRightInd w:val="0"/>
        <w:snapToGrid w:val="0"/>
        <w:spacing w:after="0" w:line="240" w:lineRule="auto"/>
        <w:contextualSpacing w:val="0"/>
        <w:textAlignment w:val="center"/>
        <w:rPr>
          <w:rFonts w:ascii="Times New Roman" w:eastAsia="Times New Roman" w:hAnsi="Times New Roman" w:cs="Times New Roman"/>
          <w:color w:val="000000"/>
          <w:spacing w:val="-1"/>
          <w:lang w:val="lt-LT" w:eastAsia="lt-LT"/>
        </w:rPr>
      </w:pPr>
      <w:r w:rsidRPr="009D52C3">
        <w:rPr>
          <w:rFonts w:ascii="Times New Roman" w:eastAsia="Times New Roman" w:hAnsi="Times New Roman" w:cs="Times New Roman"/>
          <w:color w:val="000000"/>
          <w:spacing w:val="-1"/>
          <w:lang w:val="lt-LT" w:eastAsia="lt-LT"/>
        </w:rPr>
        <w:t>Burnoje disperguojama tabletė vartojama per burną.</w:t>
      </w:r>
    </w:p>
    <w:p w:rsidR="00E01504" w:rsidRPr="009D52C3" w:rsidRDefault="00E01504" w:rsidP="00E01504">
      <w:pPr>
        <w:pStyle w:val="Sraopastraipa"/>
        <w:widowControl w:val="0"/>
        <w:numPr>
          <w:ilvl w:val="0"/>
          <w:numId w:val="7"/>
        </w:numPr>
        <w:adjustRightInd w:val="0"/>
        <w:snapToGrid w:val="0"/>
        <w:spacing w:after="0" w:line="240" w:lineRule="auto"/>
        <w:contextualSpacing w:val="0"/>
        <w:rPr>
          <w:rFonts w:ascii="Times New Roman" w:eastAsia="Calibri" w:hAnsi="Times New Roman" w:cs="Times New Roman"/>
          <w:lang w:val="lt-LT"/>
        </w:rPr>
      </w:pPr>
      <w:r w:rsidRPr="009D52C3">
        <w:rPr>
          <w:rFonts w:ascii="Times New Roman" w:eastAsia="Calibri" w:hAnsi="Times New Roman" w:cs="Times New Roman"/>
          <w:lang w:val="lt-LT"/>
        </w:rPr>
        <w:t xml:space="preserve">Įdėkite </w:t>
      </w:r>
      <w:r w:rsidRPr="009D52C3">
        <w:rPr>
          <w:rFonts w:ascii="Times New Roman" w:eastAsia="Calibri" w:hAnsi="Times New Roman" w:cs="Times New Roman"/>
          <w:spacing w:val="-1"/>
          <w:lang w:val="lt-LT"/>
        </w:rPr>
        <w:t>burnoje disperguojamą t</w:t>
      </w:r>
      <w:r w:rsidRPr="009D52C3">
        <w:rPr>
          <w:rFonts w:ascii="Times New Roman" w:eastAsia="Calibri" w:hAnsi="Times New Roman" w:cs="Times New Roman"/>
          <w:lang w:val="lt-LT"/>
        </w:rPr>
        <w:t>abletę vaikui į burną. Ji greitai disperguojasi seilėse ir gali būti lengvai nuryjama.</w:t>
      </w:r>
    </w:p>
    <w:p w:rsidR="00E01504" w:rsidRPr="009D52C3" w:rsidRDefault="00E01504" w:rsidP="00E01504">
      <w:pPr>
        <w:pStyle w:val="Sraopastraipa"/>
        <w:widowControl w:val="0"/>
        <w:numPr>
          <w:ilvl w:val="0"/>
          <w:numId w:val="7"/>
        </w:numPr>
        <w:adjustRightInd w:val="0"/>
        <w:snapToGrid w:val="0"/>
        <w:spacing w:after="0" w:line="240" w:lineRule="auto"/>
        <w:contextualSpacing w:val="0"/>
        <w:rPr>
          <w:rFonts w:ascii="Times New Roman" w:eastAsia="Calibri" w:hAnsi="Times New Roman" w:cs="Times New Roman"/>
          <w:lang w:val="lt-LT"/>
        </w:rPr>
      </w:pPr>
      <w:r w:rsidRPr="009D52C3">
        <w:rPr>
          <w:rFonts w:ascii="Times New Roman" w:eastAsia="Calibri" w:hAnsi="Times New Roman" w:cs="Times New Roman"/>
          <w:lang w:val="lt-LT"/>
        </w:rPr>
        <w:t xml:space="preserve">Taip pat Jūs galite prieš duodama vaisto vaikui, burnoje disperguojamą tabletę ištirpinti arbatiniame šaukštelyje vandens. </w:t>
      </w:r>
      <w:r>
        <w:rPr>
          <w:rFonts w:ascii="Times New Roman" w:eastAsia="Calibri" w:hAnsi="Times New Roman" w:cs="Times New Roman"/>
          <w:noProof/>
          <w:lang w:val="lt-LT"/>
        </w:rPr>
        <w:t xml:space="preserve">Tai yapč rekomenduojama daryti vartojant jaunesniems kaip 6 metų vaikams, nes jiems yra didesnė tikimybė įkvėpti tabletę kaip svetimkūnį. </w:t>
      </w:r>
      <w:r w:rsidRPr="009D52C3">
        <w:rPr>
          <w:rFonts w:ascii="Times New Roman" w:eastAsia="Calibri" w:hAnsi="Times New Roman" w:cs="Times New Roman"/>
          <w:lang w:val="lt-LT"/>
        </w:rPr>
        <w:t>Svarbu įsitikinti, kad vaisto likučių neliks šaukštelyje.</w:t>
      </w:r>
    </w:p>
    <w:p w:rsidR="00E01504" w:rsidRPr="009D52C3" w:rsidRDefault="00E01504" w:rsidP="00E01504">
      <w:pPr>
        <w:pStyle w:val="Sraopastraipa"/>
        <w:widowControl w:val="0"/>
        <w:numPr>
          <w:ilvl w:val="0"/>
          <w:numId w:val="7"/>
        </w:numPr>
        <w:adjustRightInd w:val="0"/>
        <w:snapToGrid w:val="0"/>
        <w:spacing w:after="0" w:line="240" w:lineRule="auto"/>
        <w:contextualSpacing w:val="0"/>
        <w:rPr>
          <w:rFonts w:ascii="Times New Roman" w:eastAsia="Calibri" w:hAnsi="Times New Roman" w:cs="Times New Roman"/>
          <w:lang w:val="lt-LT"/>
        </w:rPr>
      </w:pPr>
      <w:r w:rsidRPr="009D52C3">
        <w:rPr>
          <w:rFonts w:ascii="Times New Roman" w:eastAsia="Calibri" w:hAnsi="Times New Roman" w:cs="Times New Roman"/>
          <w:b/>
          <w:lang w:val="lt-LT"/>
        </w:rPr>
        <w:t>Tirpinimui galima naudoti tik vandenį</w:t>
      </w:r>
      <w:r w:rsidRPr="009D52C3">
        <w:rPr>
          <w:rFonts w:ascii="Times New Roman" w:eastAsia="Calibri" w:hAnsi="Times New Roman" w:cs="Times New Roman"/>
          <w:lang w:val="lt-LT"/>
        </w:rPr>
        <w:t>, nenaudokite greipfrutų ar kitų vaisių sulčių.</w:t>
      </w:r>
    </w:p>
    <w:p w:rsidR="00E01504" w:rsidRPr="009D52C3" w:rsidRDefault="00E01504" w:rsidP="00E01504">
      <w:pPr>
        <w:pStyle w:val="Sraopastraipa"/>
        <w:widowControl w:val="0"/>
        <w:numPr>
          <w:ilvl w:val="0"/>
          <w:numId w:val="7"/>
        </w:numPr>
        <w:adjustRightInd w:val="0"/>
        <w:snapToGrid w:val="0"/>
        <w:spacing w:after="0" w:line="240" w:lineRule="auto"/>
        <w:contextualSpacing w:val="0"/>
        <w:rPr>
          <w:rFonts w:ascii="Times New Roman" w:eastAsia="Calibri" w:hAnsi="Times New Roman" w:cs="Times New Roman"/>
          <w:lang w:val="lt-LT"/>
        </w:rPr>
      </w:pPr>
      <w:r w:rsidRPr="009D52C3">
        <w:rPr>
          <w:rFonts w:ascii="Times New Roman" w:eastAsia="Calibri" w:hAnsi="Times New Roman" w:cs="Times New Roman"/>
          <w:lang w:val="lt-LT"/>
        </w:rPr>
        <w:t>Burnoje disperguojamą tabletę reikia duoti vaikui išgerti vieną valandą iki arba praėjus dviem valandoms po valgymo arba vaisių sulčių gėrimo.</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Kadangi gydymo trukmė priklauso nuo Jūsų vaiko ligos ypatumų, gydytojas nuspręs kiek laiko Jūsų vaikas turi vartoti Opexa.</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Ką daryti pavartojus per didelę Opexa dozę</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Jeigu Jūsų vaikas arba kas nors kitas išgėrė per daug šio vaisto, </w:t>
      </w:r>
      <w:r w:rsidRPr="009D52C3">
        <w:rPr>
          <w:rFonts w:ascii="Times New Roman" w:eastAsia="Calibri" w:hAnsi="Times New Roman" w:cs="Times New Roman"/>
          <w:b/>
          <w:lang w:val="lt-LT"/>
        </w:rPr>
        <w:t xml:space="preserve">nedelsiant </w:t>
      </w:r>
      <w:r w:rsidRPr="009D52C3">
        <w:rPr>
          <w:rFonts w:ascii="Times New Roman" w:eastAsia="Calibri" w:hAnsi="Times New Roman" w:cs="Times New Roman"/>
          <w:lang w:val="lt-LT"/>
        </w:rPr>
        <w:t>kreipkitės į gydytoją arba į artimiausios ligoninės skubios pagalbos skyrių. Nepamirškite pasiimti kartu šio vaisto pakuotę arba šį informacinį lapelį.</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 xml:space="preserve">Pamiršus pavartoti Opexa </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Jei užmiršote Jūsų vaikui duoti išgerti vaisto dozę tinkamu laiku, duokite išgerkite tą pačią dieną, kai tik apie tai prisiminsite. Kitą dozę duokite išgerti kitą dieną įprasta gydytojo nurodyta tvarka.</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Niekada </w:t>
      </w:r>
      <w:r w:rsidRPr="009D52C3">
        <w:rPr>
          <w:rFonts w:ascii="Times New Roman" w:eastAsia="Calibri" w:hAnsi="Times New Roman" w:cs="Times New Roman"/>
          <w:b/>
          <w:lang w:val="lt-LT"/>
        </w:rPr>
        <w:t>negalima</w:t>
      </w:r>
      <w:r w:rsidRPr="009D52C3">
        <w:rPr>
          <w:rFonts w:ascii="Times New Roman" w:eastAsia="Calibri" w:hAnsi="Times New Roman" w:cs="Times New Roman"/>
          <w:lang w:val="lt-LT"/>
        </w:rPr>
        <w:t xml:space="preserve"> vartoti dvigubos dozės norint kompensuoti praleistą dozę.</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outlineLvl w:val="3"/>
        <w:rPr>
          <w:rFonts w:ascii="Times New Roman" w:eastAsiaTheme="majorEastAsia" w:hAnsi="Times New Roman" w:cs="Times New Roman"/>
          <w:b/>
          <w:iCs/>
          <w:lang w:val="lt-LT"/>
        </w:rPr>
      </w:pPr>
      <w:r w:rsidRPr="009D52C3">
        <w:rPr>
          <w:rFonts w:ascii="Times New Roman" w:eastAsiaTheme="majorEastAsia" w:hAnsi="Times New Roman" w:cs="Times New Roman"/>
          <w:b/>
          <w:iCs/>
          <w:lang w:val="lt-LT"/>
        </w:rPr>
        <w:t>Nustojus vartoti Opexa</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Nustojus vartoti Opexa dažniausiai neturėtų būti kokių nors sutrikimų.</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Jeigu kiltų daugiau klausimų dėl šio vaisto vartojimo, kreipkitės į gydytoją arba vaistininką.</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6" w:name="_Toc129243267"/>
      <w:bookmarkStart w:id="7" w:name="_Toc129243142"/>
      <w:r w:rsidRPr="009D52C3">
        <w:rPr>
          <w:rFonts w:ascii="Times New Roman" w:eastAsia="Times New Roman" w:hAnsi="Times New Roman" w:cs="Times New Roman"/>
          <w:b/>
          <w:lang w:val="lt-LT"/>
        </w:rPr>
        <w:t>4.</w:t>
      </w:r>
      <w:r w:rsidRPr="009D52C3">
        <w:rPr>
          <w:rFonts w:ascii="Times New Roman" w:eastAsia="Times New Roman" w:hAnsi="Times New Roman" w:cs="Times New Roman"/>
          <w:b/>
          <w:lang w:val="lt-LT"/>
        </w:rPr>
        <w:tab/>
      </w:r>
      <w:bookmarkEnd w:id="6"/>
      <w:bookmarkEnd w:id="7"/>
      <w:r w:rsidRPr="009D52C3">
        <w:rPr>
          <w:rFonts w:ascii="Times New Roman" w:eastAsia="Times New Roman" w:hAnsi="Times New Roman" w:cs="Times New Roman"/>
          <w:b/>
          <w:lang w:val="lt-LT"/>
        </w:rPr>
        <w:t>Galimas šalutinis poveikis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Šis vaistas, kaip ir visi kiti, gali sukelti šalutinį poveikį, nors jis pasireiškia ne visiems žmonėms.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Jei Jūsų vaikui pasireiškė alerginės reakcijos, tarp kurių simptomų gali būti pasunkėjęs kvėpavimas, svaigulys, kolapsas arba sąmonės praradimas, veido, lūpų, liežuvio ar gerklės patinimas ir (arba) odos patinimas ir paraudimas, nutraukite vaisto vartojimą. ir nedelsdami kreipkitės į gydytoją.</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keepNext/>
        <w:widowControl w:val="0"/>
        <w:adjustRightInd w:val="0"/>
        <w:snapToGrid w:val="0"/>
        <w:spacing w:after="0" w:line="240" w:lineRule="auto"/>
        <w:rPr>
          <w:rFonts w:ascii="Times New Roman" w:eastAsia="Calibri" w:hAnsi="Times New Roman" w:cs="Times New Roman"/>
          <w:b/>
          <w:lang w:val="lt-LT"/>
        </w:rPr>
      </w:pPr>
      <w:r w:rsidRPr="009D52C3">
        <w:rPr>
          <w:rFonts w:ascii="Times New Roman" w:eastAsia="Calibri" w:hAnsi="Times New Roman" w:cs="Times New Roman"/>
          <w:b/>
          <w:lang w:val="lt-LT"/>
        </w:rPr>
        <w:lastRenderedPageBreak/>
        <w:t>Kiti šalutinio poveikio reiškiniai, kurių gali pasireikšti vaikams</w:t>
      </w:r>
    </w:p>
    <w:p w:rsidR="00E01504" w:rsidRPr="009D52C3" w:rsidRDefault="00E01504" w:rsidP="00E01504">
      <w:pPr>
        <w:keepNext/>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hAnsi="Times New Roman" w:cs="Times New Roman"/>
          <w:b/>
          <w:bCs/>
          <w:lang w:val="lt-LT"/>
        </w:rPr>
        <w:t>Dažni šalutinio poveikio reiškiniai (gali pasireikšti rečiau kaip 1 iš 10 asmenų)</w:t>
      </w:r>
    </w:p>
    <w:p w:rsidR="00E01504" w:rsidRPr="009D52C3" w:rsidRDefault="00E01504" w:rsidP="00E01504">
      <w:pPr>
        <w:widowControl w:val="0"/>
        <w:numPr>
          <w:ilvl w:val="0"/>
          <w:numId w:val="1"/>
        </w:numPr>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alerginis konjunktyvitas (akių sudirginimas),</w:t>
      </w:r>
    </w:p>
    <w:p w:rsidR="00E01504" w:rsidRPr="009D52C3" w:rsidRDefault="00E01504" w:rsidP="00E01504">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w:t>
      </w:r>
      <w:r w:rsidRPr="009D52C3">
        <w:rPr>
          <w:rFonts w:ascii="Times New Roman" w:eastAsia="Calibri" w:hAnsi="Times New Roman" w:cs="Times New Roman"/>
          <w:lang w:val="lt-LT"/>
        </w:rPr>
        <w:tab/>
        <w:t>galvos skausmas</w:t>
      </w:r>
      <w:r>
        <w:rPr>
          <w:rFonts w:ascii="Times New Roman" w:eastAsia="Calibri" w:hAnsi="Times New Roman" w:cs="Times New Roman"/>
          <w:lang w:val="lt-LT"/>
        </w:rPr>
        <w:t>.</w:t>
      </w:r>
    </w:p>
    <w:p w:rsidR="00E01504" w:rsidRPr="009D52C3" w:rsidRDefault="00E01504" w:rsidP="00E01504">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hAnsi="Times New Roman" w:cs="Times New Roman"/>
          <w:b/>
          <w:bCs/>
          <w:lang w:val="lt-LT"/>
        </w:rPr>
        <w:t>Nedažni šalutinio poveikio reiškiniai (gali pasireikšti rečiau kaip 1 iš 100 asmenų)</w:t>
      </w:r>
    </w:p>
    <w:p w:rsidR="00E01504" w:rsidRPr="009D52C3" w:rsidRDefault="00E01504" w:rsidP="00E01504">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akių sudirginimas,</w:t>
      </w:r>
    </w:p>
    <w:p w:rsidR="00E01504" w:rsidRPr="009D52C3" w:rsidRDefault="00E01504" w:rsidP="00E01504">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mieguistumas,</w:t>
      </w:r>
    </w:p>
    <w:p w:rsidR="00E01504" w:rsidRPr="009D52C3" w:rsidRDefault="00E01504" w:rsidP="00E01504">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sąmonės netekimas,</w:t>
      </w:r>
    </w:p>
    <w:p w:rsidR="00E01504" w:rsidRPr="009D52C3" w:rsidRDefault="00E01504" w:rsidP="00E01504">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viduriavimas,</w:t>
      </w:r>
    </w:p>
    <w:p w:rsidR="00E01504" w:rsidRPr="009D52C3" w:rsidRDefault="00E01504" w:rsidP="00E01504">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pykinimas,</w:t>
      </w:r>
    </w:p>
    <w:p w:rsidR="00E01504" w:rsidRPr="009D52C3" w:rsidRDefault="00E01504" w:rsidP="00E01504">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lūpų patinimas,</w:t>
      </w:r>
    </w:p>
    <w:p w:rsidR="00E01504" w:rsidRPr="009D52C3" w:rsidRDefault="00E01504" w:rsidP="00E01504">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 xml:space="preserve">egzema, </w:t>
      </w:r>
    </w:p>
    <w:p w:rsidR="00E01504" w:rsidRPr="009D52C3" w:rsidRDefault="00E01504" w:rsidP="00E01504">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dilgėlinė (pūkšlės),</w:t>
      </w:r>
    </w:p>
    <w:p w:rsidR="00E01504" w:rsidRDefault="00E01504" w:rsidP="00E01504">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nuovargis</w:t>
      </w:r>
      <w:r>
        <w:rPr>
          <w:rFonts w:ascii="Times New Roman" w:eastAsia="Calibri" w:hAnsi="Times New Roman" w:cs="Times New Roman"/>
          <w:lang w:val="lt-LT"/>
        </w:rPr>
        <w:t>,</w:t>
      </w:r>
    </w:p>
    <w:p w:rsidR="00E01504" w:rsidRDefault="00E01504" w:rsidP="00E01504">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Pr>
          <w:rFonts w:ascii="Times New Roman" w:eastAsia="Calibri" w:hAnsi="Times New Roman" w:cs="Times New Roman"/>
          <w:lang w:val="lt-LT"/>
        </w:rPr>
        <w:t>sloga (nosies dirginimas),</w:t>
      </w:r>
    </w:p>
    <w:p w:rsidR="00E01504" w:rsidRPr="009D52C3" w:rsidRDefault="00E01504" w:rsidP="00E01504">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skausmas skrandžio plote (pilvo arba pilvo viršutinės dalies skausmas).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eastAsia="Calibri" w:hAnsi="Times New Roman" w:cs="Times New Roman"/>
          <w:b/>
          <w:lang w:val="lt-LT"/>
        </w:rPr>
        <w:t>Šalutinio poveikio reiškiniai, kurių gali pasireikšti suaugusiesiems ir paaugliams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hAnsi="Times New Roman" w:cs="Times New Roman"/>
          <w:b/>
          <w:bCs/>
          <w:lang w:val="lt-LT"/>
        </w:rPr>
        <w:t>Dažni šalutinio poveikio reiškiniai (gali pasireikšti rečiau kaip 1 iš 10 asmenų)</w:t>
      </w:r>
    </w:p>
    <w:p w:rsidR="00E01504" w:rsidRPr="009D52C3" w:rsidRDefault="00E01504" w:rsidP="00E0150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galvos skausmas,</w:t>
      </w:r>
    </w:p>
    <w:p w:rsidR="00E01504" w:rsidRPr="009D52C3" w:rsidRDefault="00E01504" w:rsidP="00E0150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mieguistumas.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hAnsi="Times New Roman" w:cs="Times New Roman"/>
          <w:b/>
          <w:bCs/>
          <w:lang w:val="lt-LT"/>
        </w:rPr>
        <w:t>Nedažni šalutinio poveikio reiškiniai (gali pasireikšti rečiau kaip 1 iš 100 asmenų)</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EKG pakitimai,</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kraujo pakitimai, rodantys kepenų veiklos aktyvumą,</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svaigulys,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skrandžio skausmas,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nuovargis,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padidėjęs apetitas,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nereguliarus širdies plakimas,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 xml:space="preserve">padidėjęs svoris, </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pykinimas,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baimė,</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nosies džiūvimas arba kitas nemalonus pojūtis,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pilvo skausmas,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 xml:space="preserve">viduriavimas, </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gastritas (skrandžio gleivinės uždegimas),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galvos svaigimas (</w:t>
      </w:r>
      <w:r w:rsidRPr="009D52C3">
        <w:rPr>
          <w:rFonts w:ascii="Times New Roman" w:eastAsia="Calibri" w:hAnsi="Times New Roman" w:cs="Times New Roman"/>
          <w:i/>
          <w:lang w:val="lt-LT"/>
        </w:rPr>
        <w:t>vertigo</w:t>
      </w:r>
      <w:r w:rsidRPr="009D52C3">
        <w:rPr>
          <w:rFonts w:ascii="Times New Roman" w:eastAsia="Calibri" w:hAnsi="Times New Roman" w:cs="Times New Roman"/>
          <w:lang w:val="lt-LT"/>
        </w:rPr>
        <w:t>),</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silpnumas,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troškulys,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dusulys (pasunkėjęs kvėpavimas),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burnos džiūvimas,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sutrikęs virškinimas,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niežulys,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pūslelinė (</w:t>
      </w:r>
      <w:r w:rsidRPr="009D52C3">
        <w:rPr>
          <w:rFonts w:ascii="Times New Roman" w:eastAsia="Calibri" w:hAnsi="Times New Roman" w:cs="Times New Roman"/>
          <w:i/>
          <w:lang w:val="lt-LT"/>
        </w:rPr>
        <w:t>herpes)</w:t>
      </w:r>
      <w:r w:rsidRPr="009D52C3">
        <w:rPr>
          <w:rFonts w:ascii="Times New Roman" w:eastAsia="Calibri" w:hAnsi="Times New Roman" w:cs="Times New Roman"/>
          <w:lang w:val="lt-LT"/>
        </w:rPr>
        <w:t>,</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karščiavimas,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ūžesys ausyse,</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miego sutrikimas,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kraujo tyrimai, rodantys inkstų veiklos pakitimus,</w:t>
      </w:r>
    </w:p>
    <w:p w:rsidR="00E01504" w:rsidRPr="009D52C3" w:rsidRDefault="00E01504" w:rsidP="00E0150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padidėjęs riebalų kiekis kraujyje.</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b/>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eastAsia="Calibri" w:hAnsi="Times New Roman" w:cs="Times New Roman"/>
          <w:b/>
          <w:lang w:val="lt-LT"/>
        </w:rPr>
        <w:t>Dažnis nežinomas (negali būti apskaičiuotas pagal turimus duomenis)</w:t>
      </w:r>
    </w:p>
    <w:p w:rsidR="00E01504" w:rsidRPr="009D52C3" w:rsidRDefault="00E01504" w:rsidP="00E01504">
      <w:pPr>
        <w:widowControl w:val="0"/>
        <w:numPr>
          <w:ilvl w:val="0"/>
          <w:numId w:val="4"/>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širdies tvinksniai (pojūtis, kad jūsų širdis plaka),</w:t>
      </w:r>
    </w:p>
    <w:p w:rsidR="00E01504" w:rsidRPr="009D52C3" w:rsidRDefault="00E01504" w:rsidP="00E01504">
      <w:pPr>
        <w:widowControl w:val="0"/>
        <w:numPr>
          <w:ilvl w:val="0"/>
          <w:numId w:val="4"/>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tachikardija (dažnas širdies plakimas),</w:t>
      </w:r>
    </w:p>
    <w:p w:rsidR="00E01504" w:rsidRPr="009D52C3" w:rsidRDefault="00E01504" w:rsidP="00E01504">
      <w:pPr>
        <w:widowControl w:val="0"/>
        <w:numPr>
          <w:ilvl w:val="0"/>
          <w:numId w:val="4"/>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Theme="minorEastAsia" w:hAnsi="Times New Roman" w:cs="Times New Roman"/>
          <w:lang w:val="lt-LT"/>
        </w:rPr>
        <w:t>vėmimas.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eastAsia="Calibri" w:hAnsi="Times New Roman" w:cs="Times New Roman"/>
          <w:b/>
          <w:lang w:val="lt-LT"/>
        </w:rPr>
        <w:t>Pranešimas apie šalutinį poveikį</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Jeigu pasireiškė šalutinis poveikis, įskaitant šiame l</w:t>
      </w:r>
      <w:r>
        <w:rPr>
          <w:rFonts w:ascii="Times New Roman" w:eastAsia="Calibri" w:hAnsi="Times New Roman" w:cs="Times New Roman"/>
          <w:lang w:val="lt-LT"/>
        </w:rPr>
        <w:t>a</w:t>
      </w:r>
      <w:r w:rsidRPr="009D52C3">
        <w:rPr>
          <w:rFonts w:ascii="Times New Roman" w:eastAsia="Calibri" w:hAnsi="Times New Roman" w:cs="Times New Roman"/>
          <w:lang w:val="lt-LT"/>
        </w:rPr>
        <w:t xml:space="preserve">pelyje nenurodytą, pasakykite gydytojui arba vaistininkui. </w:t>
      </w:r>
      <w:bookmarkStart w:id="8" w:name="_Hlk200444258"/>
      <w:r w:rsidRPr="00835289">
        <w:rPr>
          <w:rFonts w:ascii="Times New Roman" w:hAnsi="Times New Roman" w:cs="Times New Roman"/>
          <w:lang w:val="lt-LT"/>
        </w:rPr>
        <w:t>Pranešimą apie šalutinį poveikį galite užpildyti ir pateikti Valstybinės vaistų kontrolės tarnybos prie Lietuvos Respublikos sveikatos apsaugos ministerijos tinklalapyje https://vvkt.lrv.lt/lt/ nurodytais būdais arba paskambinti nemokamu telefonu +370 800 73 568. Pranešdami apie šalutinį poveikį galite mums padėti gauti daugiau informacijos apie šio vaisto saugumą</w:t>
      </w:r>
      <w:r>
        <w:rPr>
          <w:rFonts w:ascii="Times New Roman" w:hAnsi="Times New Roman" w:cs="Times New Roman"/>
          <w:lang w:val="lt-LT"/>
        </w:rPr>
        <w:t>.</w:t>
      </w:r>
      <w:bookmarkEnd w:id="8"/>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9" w:name="_Toc129243268"/>
      <w:bookmarkStart w:id="10" w:name="_Toc129243143"/>
      <w:r w:rsidRPr="009D52C3">
        <w:rPr>
          <w:rFonts w:ascii="Times New Roman" w:eastAsia="Times New Roman" w:hAnsi="Times New Roman" w:cs="Times New Roman"/>
          <w:b/>
          <w:lang w:val="lt-LT"/>
        </w:rPr>
        <w:t>5.</w:t>
      </w:r>
      <w:r w:rsidRPr="009D52C3">
        <w:rPr>
          <w:rFonts w:ascii="Times New Roman" w:eastAsia="Times New Roman" w:hAnsi="Times New Roman" w:cs="Times New Roman"/>
          <w:b/>
          <w:lang w:val="lt-LT"/>
        </w:rPr>
        <w:tab/>
      </w:r>
      <w:bookmarkEnd w:id="9"/>
      <w:bookmarkEnd w:id="10"/>
      <w:r w:rsidRPr="009D52C3">
        <w:rPr>
          <w:rFonts w:ascii="Times New Roman" w:eastAsia="Times New Roman" w:hAnsi="Times New Roman" w:cs="Times New Roman"/>
          <w:b/>
          <w:lang w:val="lt-LT"/>
        </w:rPr>
        <w:t xml:space="preserve"> Kaip laikyti Opexa</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Šį vaistą laikykite vaikams nepastebimoje ir nepasiekiamoje vietoje.</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Ant dėžutės ir lizdinės plokštelės po „EXP“ nurodytam tinkamumo laikui pasibaigus, šio vaisto vartoti negalima. Vaistas tinkamas vartoti iki paskutinės nurodyto mėnesio dienos.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Šiam vaistui specialių laikymo sąlygų nereikia.</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11" w:name="_Toc129243269"/>
      <w:bookmarkStart w:id="12" w:name="_Toc129243144"/>
      <w:r w:rsidRPr="009D52C3">
        <w:rPr>
          <w:rFonts w:ascii="Times New Roman" w:eastAsia="Times New Roman" w:hAnsi="Times New Roman" w:cs="Times New Roman"/>
          <w:b/>
          <w:lang w:val="lt-LT"/>
        </w:rPr>
        <w:t>6.</w:t>
      </w:r>
      <w:r w:rsidRPr="009D52C3">
        <w:rPr>
          <w:rFonts w:ascii="Times New Roman" w:eastAsia="Times New Roman" w:hAnsi="Times New Roman" w:cs="Times New Roman"/>
          <w:b/>
          <w:lang w:val="lt-LT"/>
        </w:rPr>
        <w:tab/>
      </w:r>
      <w:bookmarkEnd w:id="11"/>
      <w:bookmarkEnd w:id="12"/>
      <w:r w:rsidRPr="009D52C3">
        <w:rPr>
          <w:rFonts w:ascii="Times New Roman" w:eastAsia="Times New Roman" w:hAnsi="Times New Roman" w:cs="Times New Roman"/>
          <w:b/>
          <w:lang w:val="lt-LT"/>
        </w:rPr>
        <w:t>Pakuotės turinys ir kita informacija</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Opexa sudėtis</w:t>
      </w:r>
    </w:p>
    <w:p w:rsidR="00E01504" w:rsidRPr="009D52C3" w:rsidRDefault="00E01504" w:rsidP="00E01504">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w:t>
      </w:r>
      <w:r w:rsidRPr="009D52C3">
        <w:rPr>
          <w:rFonts w:ascii="Times New Roman" w:eastAsia="Calibri" w:hAnsi="Times New Roman" w:cs="Times New Roman"/>
          <w:lang w:val="lt-LT"/>
        </w:rPr>
        <w:tab/>
        <w:t xml:space="preserve">Veiklioji medžiaga yra bilastinas. Kiekvienoje </w:t>
      </w:r>
      <w:r w:rsidRPr="009D52C3">
        <w:rPr>
          <w:rFonts w:ascii="Times New Roman" w:eastAsia="Calibri" w:hAnsi="Times New Roman" w:cs="Times New Roman"/>
          <w:spacing w:val="-1"/>
          <w:lang w:val="lt-LT"/>
        </w:rPr>
        <w:t xml:space="preserve">burnoje disperguojamoje </w:t>
      </w:r>
      <w:r w:rsidRPr="009D52C3">
        <w:rPr>
          <w:rFonts w:ascii="Times New Roman" w:eastAsia="Calibri" w:hAnsi="Times New Roman" w:cs="Times New Roman"/>
          <w:lang w:val="lt-LT"/>
        </w:rPr>
        <w:t>tabletėje yra 10 mg bilastino.</w:t>
      </w:r>
    </w:p>
    <w:p w:rsidR="00E01504" w:rsidRPr="009D52C3" w:rsidRDefault="00E01504" w:rsidP="00E01504">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w:t>
      </w:r>
      <w:r w:rsidRPr="009D52C3">
        <w:rPr>
          <w:rFonts w:ascii="Times New Roman" w:eastAsia="Calibri" w:hAnsi="Times New Roman" w:cs="Times New Roman"/>
          <w:lang w:val="lt-LT"/>
        </w:rPr>
        <w:tab/>
        <w:t xml:space="preserve">Pagalbinės medžiagos yra manitolis </w:t>
      </w:r>
      <w:r w:rsidRPr="009D52C3">
        <w:rPr>
          <w:rFonts w:ascii="Times New Roman" w:hAnsi="Times New Roman" w:cs="Times New Roman"/>
          <w:lang w:val="lt-LT"/>
        </w:rPr>
        <w:t>(E 421)</w:t>
      </w:r>
      <w:r w:rsidRPr="009D52C3">
        <w:rPr>
          <w:rFonts w:ascii="Times New Roman" w:eastAsia="Calibri" w:hAnsi="Times New Roman" w:cs="Times New Roman"/>
          <w:lang w:val="lt-LT"/>
        </w:rPr>
        <w:t>, kroskarmeliozės natrio druska, natrio stearilfumaratas, sukralozė (E 955), raudonųjų vynuogių aromatinė medžiaga (pagrindiniai komponentai – gumiarabikas, etilo butiratas, triacetinas, metilo antranilatas, etanolis, d-limonenas, linalolis).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Opexa išvaizda ir kiekis pakuotėje</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Opexa </w:t>
      </w:r>
      <w:r w:rsidRPr="009D52C3">
        <w:rPr>
          <w:rFonts w:ascii="Times New Roman" w:eastAsia="Calibri" w:hAnsi="Times New Roman" w:cs="Times New Roman"/>
          <w:spacing w:val="-1"/>
          <w:lang w:val="lt-LT"/>
        </w:rPr>
        <w:t>burnoje disperguojamos tabletės</w:t>
      </w:r>
      <w:r w:rsidRPr="009D52C3">
        <w:rPr>
          <w:rFonts w:ascii="Times New Roman" w:eastAsia="Calibri" w:hAnsi="Times New Roman" w:cs="Times New Roman"/>
          <w:lang w:val="lt-LT"/>
        </w:rPr>
        <w:t xml:space="preserve"> yra baltos apvalios abipus šiek tiek išgaubtos 8 mm diametro.</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Burnoje disperguojamos tabletės tiekiamos lizdinėmis plokštelėmis po 10, 20, 30 arba 50 tablečių. </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Gali būti tiekiamos ne visų dydžių pakuotės.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Registruotojas ir gamintojas</w:t>
      </w:r>
    </w:p>
    <w:p w:rsidR="00E01504" w:rsidRPr="009D52C3" w:rsidRDefault="00E01504" w:rsidP="00E01504">
      <w:pPr>
        <w:widowControl w:val="0"/>
        <w:adjustRightInd w:val="0"/>
        <w:snapToGrid w:val="0"/>
        <w:spacing w:after="0" w:line="240" w:lineRule="auto"/>
        <w:ind w:left="567" w:hanging="567"/>
        <w:rPr>
          <w:rFonts w:ascii="Times New Roman" w:eastAsiaTheme="minorEastAsia" w:hAnsi="Times New Roman" w:cs="Times New Roman"/>
          <w:i/>
          <w:lang w:val="lt-LT"/>
        </w:rPr>
      </w:pPr>
      <w:r w:rsidRPr="009D52C3">
        <w:rPr>
          <w:rFonts w:ascii="Times New Roman" w:eastAsiaTheme="minorEastAsia" w:hAnsi="Times New Roman" w:cs="Times New Roman"/>
          <w:i/>
          <w:lang w:val="lt-LT"/>
        </w:rPr>
        <w:t>Registruotojas</w:t>
      </w:r>
    </w:p>
    <w:p w:rsidR="00E01504" w:rsidRPr="009D52C3" w:rsidRDefault="00E01504" w:rsidP="00E01504">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Menarini International Operations Luxembourg S.A.</w:t>
      </w:r>
    </w:p>
    <w:p w:rsidR="00E01504" w:rsidRPr="009D52C3" w:rsidRDefault="00E01504" w:rsidP="00E01504">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1, Avenue de la Gare</w:t>
      </w:r>
    </w:p>
    <w:p w:rsidR="00E01504" w:rsidRPr="009D52C3" w:rsidRDefault="00E01504" w:rsidP="00E01504">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L-1611 Luxembourg</w:t>
      </w:r>
    </w:p>
    <w:p w:rsidR="00E01504" w:rsidRPr="009D52C3" w:rsidRDefault="00E01504" w:rsidP="00E01504">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Liuksemburgas</w:t>
      </w:r>
    </w:p>
    <w:p w:rsidR="00E01504" w:rsidRPr="009D52C3" w:rsidRDefault="00E01504" w:rsidP="00E01504">
      <w:pPr>
        <w:widowControl w:val="0"/>
        <w:adjustRightInd w:val="0"/>
        <w:snapToGrid w:val="0"/>
        <w:spacing w:after="0" w:line="240" w:lineRule="auto"/>
        <w:ind w:left="567" w:hanging="567"/>
        <w:rPr>
          <w:rFonts w:ascii="Times New Roman" w:eastAsiaTheme="minorEastAsia" w:hAnsi="Times New Roman" w:cs="Times New Roman"/>
          <w:lang w:val="lt-LT"/>
        </w:rPr>
      </w:pPr>
    </w:p>
    <w:p w:rsidR="00E01504" w:rsidRPr="009D52C3" w:rsidRDefault="00E01504" w:rsidP="00E01504">
      <w:pPr>
        <w:keepNext/>
        <w:widowControl w:val="0"/>
        <w:adjustRightInd w:val="0"/>
        <w:snapToGrid w:val="0"/>
        <w:spacing w:after="0" w:line="240" w:lineRule="auto"/>
        <w:ind w:left="567" w:hanging="567"/>
        <w:rPr>
          <w:rFonts w:ascii="Times New Roman" w:eastAsiaTheme="minorEastAsia" w:hAnsi="Times New Roman" w:cs="Times New Roman"/>
          <w:i/>
          <w:lang w:val="lt-LT"/>
        </w:rPr>
      </w:pPr>
      <w:r w:rsidRPr="009D52C3">
        <w:rPr>
          <w:rFonts w:ascii="Times New Roman" w:eastAsiaTheme="minorEastAsia" w:hAnsi="Times New Roman" w:cs="Times New Roman"/>
          <w:i/>
          <w:lang w:val="lt-LT"/>
        </w:rPr>
        <w:t>Gamintojas</w:t>
      </w:r>
    </w:p>
    <w:p w:rsidR="00E01504" w:rsidRPr="009D52C3" w:rsidRDefault="00E01504" w:rsidP="00E01504">
      <w:pPr>
        <w:keepNext/>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FAES FARMA, S.A.</w:t>
      </w:r>
    </w:p>
    <w:p w:rsidR="00E01504" w:rsidRPr="009D52C3" w:rsidRDefault="00E01504" w:rsidP="00E01504">
      <w:pPr>
        <w:keepNext/>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Máximo Aguirre, 14 </w:t>
      </w:r>
    </w:p>
    <w:p w:rsidR="00E01504" w:rsidRPr="009D52C3" w:rsidRDefault="00E01504" w:rsidP="00E01504">
      <w:pPr>
        <w:keepNext/>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48940 – Lejona (Vizcaya)</w:t>
      </w:r>
    </w:p>
    <w:p w:rsidR="00E01504" w:rsidRPr="009D52C3" w:rsidRDefault="00E01504" w:rsidP="00E01504">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Ispanija</w:t>
      </w:r>
    </w:p>
    <w:p w:rsidR="00E01504" w:rsidRPr="009D52C3" w:rsidRDefault="00E01504" w:rsidP="00E01504">
      <w:pPr>
        <w:widowControl w:val="0"/>
        <w:autoSpaceDE w:val="0"/>
        <w:autoSpaceDN w:val="0"/>
        <w:adjustRightInd w:val="0"/>
        <w:snapToGrid w:val="0"/>
        <w:spacing w:after="0" w:line="240" w:lineRule="auto"/>
        <w:rPr>
          <w:rFonts w:ascii="Times New Roman" w:eastAsiaTheme="minorEastAsia" w:hAnsi="Times New Roman" w:cs="Times New Roman"/>
          <w:lang w:val="lt-LT"/>
        </w:rPr>
      </w:pPr>
    </w:p>
    <w:p w:rsidR="00E01504" w:rsidRPr="009D52C3" w:rsidRDefault="00E01504" w:rsidP="00E01504">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lastRenderedPageBreak/>
        <w:t>arba</w:t>
      </w:r>
    </w:p>
    <w:p w:rsidR="00E01504" w:rsidRPr="009D52C3" w:rsidRDefault="00E01504" w:rsidP="00E01504">
      <w:pPr>
        <w:widowControl w:val="0"/>
        <w:autoSpaceDE w:val="0"/>
        <w:autoSpaceDN w:val="0"/>
        <w:adjustRightInd w:val="0"/>
        <w:snapToGrid w:val="0"/>
        <w:spacing w:after="0" w:line="240" w:lineRule="auto"/>
        <w:rPr>
          <w:rFonts w:ascii="Times New Roman" w:eastAsiaTheme="minorEastAsia" w:hAnsi="Times New Roman" w:cs="Times New Roman"/>
          <w:lang w:val="lt-LT"/>
        </w:rPr>
      </w:pPr>
    </w:p>
    <w:p w:rsidR="00E01504" w:rsidRPr="009D52C3" w:rsidRDefault="00E01504" w:rsidP="00E01504">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A. Menarini Manufacturing Logistics and Services S.r.L.</w:t>
      </w:r>
    </w:p>
    <w:p w:rsidR="00E01504" w:rsidRPr="009D52C3" w:rsidRDefault="00E01504" w:rsidP="00E01504">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Via Campo di Pile </w:t>
      </w:r>
    </w:p>
    <w:p w:rsidR="00E01504" w:rsidRPr="009D52C3" w:rsidRDefault="00E01504" w:rsidP="00E01504">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67100, L’Aquila (AQ)</w:t>
      </w:r>
    </w:p>
    <w:p w:rsidR="00E01504" w:rsidRPr="009D52C3" w:rsidRDefault="00E01504" w:rsidP="00E01504">
      <w:pPr>
        <w:widowControl w:val="0"/>
        <w:autoSpaceDE w:val="0"/>
        <w:autoSpaceDN w:val="0"/>
        <w:adjustRightInd w:val="0"/>
        <w:snapToGrid w:val="0"/>
        <w:spacing w:after="0" w:line="240" w:lineRule="auto"/>
        <w:rPr>
          <w:rFonts w:ascii="Times New Roman" w:eastAsia="Times New Roman" w:hAnsi="Times New Roman" w:cs="Times New Roman"/>
          <w:color w:val="000000"/>
          <w:lang w:val="lt-LT" w:eastAsia="de-DE"/>
        </w:rPr>
      </w:pPr>
      <w:r w:rsidRPr="009D52C3">
        <w:rPr>
          <w:rFonts w:ascii="Times New Roman" w:eastAsia="Times New Roman" w:hAnsi="Times New Roman" w:cs="Times New Roman"/>
          <w:color w:val="000000"/>
          <w:lang w:val="lt-LT" w:eastAsia="de-DE"/>
        </w:rPr>
        <w:t>Italija</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Jeigu apie šį vaistą norite sužinoti daugiau, kreipkitės į vietinį registruotojo atstovą.</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UAB „BERLIN CHEMIE MENARINI BALTIC“</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J. Jasinskio g. 16a, LT-03163 Vilnius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Lietuva</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Tel.: +370 5 269 19 43</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El. paštas: lt@berlin-chemie.com</w:t>
      </w:r>
      <w:r w:rsidRPr="009D52C3">
        <w:rPr>
          <w:rFonts w:ascii="Times New Roman" w:eastAsia="Calibri" w:hAnsi="Times New Roman" w:cs="Times New Roman"/>
          <w:lang w:val="lt-LT"/>
        </w:rPr>
        <w:cr/>
      </w:r>
    </w:p>
    <w:p w:rsidR="00E01504" w:rsidRPr="009D52C3" w:rsidRDefault="00E01504" w:rsidP="00E01504">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hAnsi="Times New Roman" w:cs="Times New Roman"/>
          <w:b/>
          <w:lang w:val="lt-LT"/>
        </w:rPr>
        <w:t>Šis vaistas Europos ekonominės erdvės valstybėse narėse ir Jungtinėje Karalystėje (Šiaurės Airijoje) registruotas tokiais pavadinimais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Airija: Drynol </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Austrija: Nasitop 10 mg Schmelztabletten </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Belgija: Bellozal 10 mg orodispersible tablets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Bulgarija: </w:t>
      </w:r>
      <w:r w:rsidRPr="009D52C3">
        <w:rPr>
          <w:rFonts w:ascii="Times New Roman" w:eastAsia="Calibri" w:hAnsi="Times New Roman" w:cs="Times New Roman"/>
          <w:bCs/>
          <w:color w:val="000000"/>
          <w:lang w:val="lt-LT"/>
        </w:rPr>
        <w:t>Фортекал за деца 10 mg диспергиращи се в устата таблетки</w:t>
      </w:r>
      <w:r w:rsidRPr="009D52C3">
        <w:rPr>
          <w:rFonts w:ascii="Times New Roman" w:eastAsia="Calibri" w:hAnsi="Times New Roman" w:cs="Times New Roman"/>
          <w:lang w:val="lt-LT"/>
        </w:rPr>
        <w:t xml:space="preserve"> </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Čekija: Xados </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Danija: Revitelle, smeltetabletter 10 mg</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Estija: Opexa</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Graikija: Bilaz 10 mg δισκία διασπειρόμενα στο στόμα</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Islandija: Bilaxten 10 mg munndreifitöflur</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Ispanija: Ibis 10 mg comprimidos bucodispersables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Jungtinė Karalystė (Šiaurės Airija): Ilaxten </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Kipras: Bilaz 10 mg δισκία διασπειρόμενα στο στόμα</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Latvija: Opexa </w:t>
      </w:r>
      <w:r w:rsidRPr="009D52C3">
        <w:rPr>
          <w:rFonts w:ascii="Times New Roman" w:eastAsia="Calibri" w:hAnsi="Times New Roman" w:cs="Times New Roman"/>
          <w:bCs/>
          <w:lang w:val="lt-LT"/>
        </w:rPr>
        <w:t>10 mg mutē disperģējamās tabletes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Lenkija: Clatra</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Lietuva: Opexa </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bCs/>
          <w:lang w:val="lt-LT"/>
        </w:rPr>
      </w:pPr>
      <w:r w:rsidRPr="009D52C3">
        <w:rPr>
          <w:rFonts w:ascii="Times New Roman" w:eastAsia="Calibri" w:hAnsi="Times New Roman" w:cs="Times New Roman"/>
          <w:lang w:val="lt-LT"/>
        </w:rPr>
        <w:t xml:space="preserve">Liuksemburgas: Bellozal </w:t>
      </w:r>
      <w:r w:rsidRPr="009D52C3">
        <w:rPr>
          <w:rFonts w:ascii="Times New Roman" w:eastAsia="Calibri" w:hAnsi="Times New Roman" w:cs="Times New Roman"/>
          <w:bCs/>
          <w:lang w:val="lt-LT"/>
        </w:rPr>
        <w:t>10 mg orodispersible tablets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Malta: Gosall 10 mg orodispersible tablets</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Norvegija: Zilas 10 mg smeltetablett</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Portugalija: Lergonix 10 mg comprimido orodispersível</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Prancūzija: Bilaska 10 mg comprimé orodispersible</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Rumunija: </w:t>
      </w:r>
      <w:r w:rsidRPr="009D52C3">
        <w:rPr>
          <w:rFonts w:ascii="Times New Roman" w:eastAsia="Calibri" w:hAnsi="Times New Roman" w:cs="Times New Roman"/>
          <w:lang w:val="lt-LT" w:eastAsia="de-DE"/>
        </w:rPr>
        <w:t xml:space="preserve">Borenar </w:t>
      </w:r>
      <w:r w:rsidRPr="009D52C3">
        <w:rPr>
          <w:rFonts w:ascii="Times New Roman" w:eastAsia="Calibri" w:hAnsi="Times New Roman" w:cs="Times New Roman"/>
          <w:lang w:val="lt-LT"/>
        </w:rPr>
        <w:t>10 mg comprimate orodispersible</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Slovakija: Omarit 10 mg orodispergovateľné tablety</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Slovėnija: Bilador 10 mg</w:t>
      </w:r>
      <w:r w:rsidRPr="009D52C3">
        <w:rPr>
          <w:rFonts w:ascii="Times New Roman" w:eastAsia="Calibri" w:hAnsi="Times New Roman" w:cs="Times New Roman"/>
          <w:lang w:val="lt-LT" w:eastAsia="it-IT"/>
        </w:rPr>
        <w:t xml:space="preserve"> </w:t>
      </w:r>
      <w:r w:rsidRPr="009D52C3">
        <w:rPr>
          <w:rFonts w:ascii="Times New Roman" w:eastAsiaTheme="minorEastAsia" w:hAnsi="Times New Roman" w:cs="Times New Roman"/>
          <w:lang w:val="lt-LT" w:eastAsia="it-IT"/>
        </w:rPr>
        <w:t>orodispersibilne tablete</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Suomija: Revitelle </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Švedija: Bilaxten </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Vengrija: Lendin </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Vokietija: Bilaxten 10 mg Schmelztabletten</w:t>
      </w: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eastAsia="Calibri" w:hAnsi="Times New Roman" w:cs="Times New Roman"/>
          <w:b/>
          <w:bCs/>
          <w:lang w:val="lt-LT"/>
        </w:rPr>
        <w:t>Šis pakuotės lapelis</w:t>
      </w:r>
      <w:r w:rsidRPr="009D52C3">
        <w:rPr>
          <w:rFonts w:ascii="Times New Roman" w:eastAsia="Calibri" w:hAnsi="Times New Roman" w:cs="Times New Roman"/>
          <w:b/>
          <w:lang w:val="lt-LT"/>
        </w:rPr>
        <w:t xml:space="preserve"> paskutinį kartą peržiūrėtas 2025-</w:t>
      </w:r>
      <w:r>
        <w:rPr>
          <w:rFonts w:ascii="Times New Roman" w:eastAsia="Calibri" w:hAnsi="Times New Roman" w:cs="Times New Roman"/>
          <w:b/>
          <w:lang w:val="lt-LT"/>
        </w:rPr>
        <w:t>04-11</w:t>
      </w:r>
      <w:r w:rsidRPr="009D52C3">
        <w:rPr>
          <w:rFonts w:ascii="Times New Roman" w:eastAsia="Calibri" w:hAnsi="Times New Roman" w:cs="Times New Roman"/>
          <w:b/>
          <w:lang w:val="lt-LT"/>
        </w:rPr>
        <w:t>.</w:t>
      </w:r>
    </w:p>
    <w:p w:rsidR="00E01504" w:rsidRPr="009D52C3" w:rsidRDefault="00E01504" w:rsidP="00E01504">
      <w:pPr>
        <w:widowControl w:val="0"/>
        <w:adjustRightInd w:val="0"/>
        <w:snapToGrid w:val="0"/>
        <w:spacing w:after="0" w:line="240" w:lineRule="auto"/>
        <w:rPr>
          <w:rFonts w:ascii="Times New Roman" w:eastAsiaTheme="minorEastAsia" w:hAnsi="Times New Roman" w:cs="Times New Roman"/>
          <w:lang w:val="lt-LT"/>
        </w:rPr>
      </w:pPr>
    </w:p>
    <w:p w:rsidR="00E01504" w:rsidRPr="009D52C3" w:rsidRDefault="00E01504" w:rsidP="00E01504">
      <w:pPr>
        <w:widowControl w:val="0"/>
        <w:adjustRightInd w:val="0"/>
        <w:snapToGrid w:val="0"/>
        <w:spacing w:after="0" w:line="240" w:lineRule="auto"/>
        <w:rPr>
          <w:rFonts w:ascii="Times New Roman" w:eastAsiaTheme="minorEastAsia" w:hAnsi="Times New Roman" w:cs="Times New Roman"/>
          <w:lang w:val="lt-LT"/>
        </w:rPr>
      </w:pPr>
    </w:p>
    <w:p w:rsidR="00E01504" w:rsidRPr="00E01504" w:rsidRDefault="00E01504" w:rsidP="00E01504">
      <w:pPr>
        <w:widowControl w:val="0"/>
        <w:adjustRightInd w:val="0"/>
        <w:snapToGrid w:val="0"/>
        <w:spacing w:after="0" w:line="240" w:lineRule="auto"/>
        <w:rPr>
          <w:rFonts w:ascii="Times New Roman" w:eastAsia="Calibri" w:hAnsi="Times New Roman" w:cs="Times New Roman"/>
          <w:lang w:val="lt-LT"/>
        </w:rPr>
      </w:pPr>
      <w:r w:rsidRPr="00E01504">
        <w:rPr>
          <w:rFonts w:ascii="Times New Roman" w:eastAsia="Calibri" w:hAnsi="Times New Roman" w:cs="Times New Roman"/>
          <w:lang w:val="lt-LT"/>
        </w:rPr>
        <w:t xml:space="preserve">Išsami informacija apie šį vaistą pateikiama Valstybinės vaistų kontrolės tarnybos prie Lietuvos Respublikos sveikatos apsaugos ministerijos tinklalapyje </w:t>
      </w:r>
      <w:bookmarkStart w:id="13" w:name="_Hlk200444308"/>
      <w:r w:rsidRPr="00E01504">
        <w:rPr>
          <w:rFonts w:ascii="Times New Roman" w:hAnsi="Times New Roman" w:cs="Times New Roman"/>
          <w:lang w:val="lt-LT"/>
        </w:rPr>
        <w:fldChar w:fldCharType="begin"/>
      </w:r>
      <w:r w:rsidRPr="00E01504">
        <w:rPr>
          <w:rFonts w:ascii="Times New Roman" w:hAnsi="Times New Roman" w:cs="Times New Roman"/>
          <w:lang w:val="lt-LT"/>
        </w:rPr>
        <w:instrText>HYPERLINK "https://vvkt.lrv.lt/lt/"</w:instrText>
      </w:r>
      <w:r w:rsidRPr="00E01504">
        <w:rPr>
          <w:rFonts w:ascii="Times New Roman" w:hAnsi="Times New Roman" w:cs="Times New Roman"/>
          <w:lang w:val="lt-LT"/>
        </w:rPr>
        <w:fldChar w:fldCharType="separate"/>
      </w:r>
      <w:r w:rsidRPr="00E01504">
        <w:rPr>
          <w:rStyle w:val="Hipersaitas"/>
          <w:rFonts w:ascii="Times New Roman" w:hAnsi="Times New Roman" w:cs="Times New Roman"/>
          <w:lang w:val="lt-LT"/>
        </w:rPr>
        <w:t>https://vvkt.lrv.lt/lt/</w:t>
      </w:r>
      <w:r w:rsidRPr="00E01504">
        <w:rPr>
          <w:rFonts w:ascii="Times New Roman" w:hAnsi="Times New Roman" w:cs="Times New Roman"/>
          <w:lang w:val="lt-LT"/>
        </w:rPr>
        <w:fldChar w:fldCharType="end"/>
      </w:r>
      <w:r w:rsidRPr="00E01504">
        <w:rPr>
          <w:rFonts w:ascii="Times New Roman" w:hAnsi="Times New Roman" w:cs="Times New Roman"/>
          <w:lang w:val="lt-LT"/>
        </w:rPr>
        <w:t>.</w:t>
      </w:r>
      <w:bookmarkEnd w:id="13"/>
    </w:p>
    <w:p w:rsidR="00E01504" w:rsidRPr="009D52C3" w:rsidRDefault="00E01504" w:rsidP="00E01504">
      <w:pPr>
        <w:widowControl w:val="0"/>
        <w:adjustRightInd w:val="0"/>
        <w:snapToGrid w:val="0"/>
        <w:spacing w:after="0" w:line="240" w:lineRule="auto"/>
        <w:rPr>
          <w:rFonts w:ascii="Times New Roman" w:hAnsi="Times New Roman" w:cs="Times New Roman"/>
          <w:lang w:val="lt-LT"/>
        </w:rPr>
      </w:pPr>
    </w:p>
    <w:p w:rsidR="00BA6577" w:rsidRDefault="00BA6577">
      <w:bookmarkStart w:id="14" w:name="_GoBack"/>
      <w:bookmarkEnd w:id="14"/>
    </w:p>
    <w:sectPr w:rsidR="00BA6577" w:rsidSect="00201584">
      <w:footerReference w:type="default" r:id="rId5"/>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7D35" w:rsidRPr="00AD623E" w:rsidRDefault="00E01504">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Pr>
        <w:noProof/>
        <w:sz w:val="22"/>
        <w:szCs w:val="22"/>
      </w:rPr>
      <w:t>6</w:t>
    </w:r>
    <w:r w:rsidRPr="00AD623E">
      <w:rPr>
        <w:sz w:val="22"/>
        <w:szCs w:val="22"/>
      </w:rPr>
      <w:fldChar w:fldCharType="end"/>
    </w:r>
  </w:p>
  <w:p w:rsidR="006B7D35" w:rsidRDefault="00E01504">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BD062A"/>
    <w:multiLevelType w:val="hybridMultilevel"/>
    <w:tmpl w:val="D45A3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C16F69"/>
    <w:multiLevelType w:val="hybridMultilevel"/>
    <w:tmpl w:val="CA223546"/>
    <w:lvl w:ilvl="0" w:tplc="BC00E7B8">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725F09"/>
    <w:multiLevelType w:val="hybridMultilevel"/>
    <w:tmpl w:val="63484F96"/>
    <w:lvl w:ilvl="0" w:tplc="379A7482">
      <w:start w:val="7"/>
      <w:numFmt w:val="bullet"/>
      <w:lvlText w:val="-"/>
      <w:lvlJc w:val="left"/>
      <w:pPr>
        <w:ind w:left="1855" w:hanging="360"/>
      </w:pPr>
      <w:rPr>
        <w:rFonts w:ascii="Calibri" w:eastAsia="Times New Roman" w:hAnsi="Calibri" w:hint="default"/>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3" w15:restartNumberingAfterBreak="0">
    <w:nsid w:val="264D1956"/>
    <w:multiLevelType w:val="hybridMultilevel"/>
    <w:tmpl w:val="64080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450991"/>
    <w:multiLevelType w:val="hybridMultilevel"/>
    <w:tmpl w:val="5EB6047E"/>
    <w:lvl w:ilvl="0" w:tplc="C25600A0">
      <w:start w:val="1"/>
      <w:numFmt w:val="bullet"/>
      <w:lvlText w:val="-"/>
      <w:lvlJc w:val="left"/>
      <w:pPr>
        <w:ind w:left="1855" w:hanging="360"/>
      </w:pPr>
      <w:rPr>
        <w:rFonts w:ascii="Times New Roman" w:eastAsia="Times New Roman" w:hAnsi="Times New Roman" w:hint="default"/>
        <w:b/>
        <w:sz w:val="24"/>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5" w15:restartNumberingAfterBreak="0">
    <w:nsid w:val="4DBC5DF5"/>
    <w:multiLevelType w:val="hybridMultilevel"/>
    <w:tmpl w:val="64F0BBB6"/>
    <w:lvl w:ilvl="0" w:tplc="C25600A0">
      <w:start w:val="1"/>
      <w:numFmt w:val="bullet"/>
      <w:lvlText w:val="-"/>
      <w:lvlJc w:val="left"/>
      <w:pPr>
        <w:ind w:left="720" w:hanging="360"/>
      </w:pPr>
      <w:rPr>
        <w:rFonts w:ascii="Times New Roman" w:eastAsia="Times New Roman" w:hAnsi="Times New Roman" w:hint="default"/>
        <w:b/>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A73403"/>
    <w:multiLevelType w:val="hybridMultilevel"/>
    <w:tmpl w:val="1BFACCB0"/>
    <w:lvl w:ilvl="0" w:tplc="379A7482">
      <w:start w:val="7"/>
      <w:numFmt w:val="bullet"/>
      <w:lvlText w:val="-"/>
      <w:lvlJc w:val="left"/>
      <w:pPr>
        <w:ind w:left="1855" w:hanging="360"/>
      </w:pPr>
      <w:rPr>
        <w:rFonts w:ascii="Calibri" w:eastAsia="Times New Roman" w:hAnsi="Calibri" w:hint="default"/>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7" w15:restartNumberingAfterBreak="0">
    <w:nsid w:val="75075192"/>
    <w:multiLevelType w:val="hybridMultilevel"/>
    <w:tmpl w:val="272C4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4"/>
  </w:num>
  <w:num w:numId="4">
    <w:abstractNumId w:val="2"/>
  </w:num>
  <w:num w:numId="5">
    <w:abstractNumId w:val="7"/>
  </w:num>
  <w:num w:numId="6">
    <w:abstractNumId w:val="0"/>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504"/>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C6CF9"/>
    <w:rsid w:val="00E01504"/>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3ABD75-F2FC-46B6-863C-4F0BFBFD9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01504"/>
    <w:pPr>
      <w:spacing w:after="200" w:line="276" w:lineRule="auto"/>
    </w:pPr>
    <w:rPr>
      <w:rFonts w:eastAsiaTheme="minorHAnsi"/>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styleId="Hipersaitas">
    <w:name w:val="Hyperlink"/>
    <w:basedOn w:val="Numatytasispastraiposriftas"/>
    <w:unhideWhenUsed/>
    <w:rsid w:val="00E01504"/>
    <w:rPr>
      <w:color w:val="0000FF"/>
      <w:u w:val="single"/>
    </w:rPr>
  </w:style>
  <w:style w:type="paragraph" w:styleId="Porat">
    <w:name w:val="footer"/>
    <w:basedOn w:val="prastasis"/>
    <w:link w:val="PoratDiagrama"/>
    <w:uiPriority w:val="99"/>
    <w:unhideWhenUsed/>
    <w:rsid w:val="00E01504"/>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E01504"/>
    <w:rPr>
      <w:rFonts w:ascii="Times New Roman" w:hAnsi="Times New Roman" w:cs="Times New Roman"/>
      <w:sz w:val="24"/>
      <w:szCs w:val="24"/>
    </w:rPr>
  </w:style>
  <w:style w:type="paragraph" w:styleId="Sraopastraipa">
    <w:name w:val="List Paragraph"/>
    <w:basedOn w:val="prastasis"/>
    <w:uiPriority w:val="34"/>
    <w:qFormat/>
    <w:rsid w:val="00E01504"/>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8659</Words>
  <Characters>4936</Characters>
  <Application>Microsoft Office Word</Application>
  <DocSecurity>0</DocSecurity>
  <Lines>41</Lines>
  <Paragraphs>27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2025-06-10T11:41:00Z</dcterms:created>
  <dcterms:modified xsi:type="dcterms:W3CDTF">2025-06-10T11:41:00Z</dcterms:modified>
</cp:coreProperties>
</file>