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6389" w14:textId="77777777" w:rsidR="008E6CED" w:rsidRPr="009D52C3" w:rsidRDefault="008E6CED" w:rsidP="008E6CED">
      <w:pPr>
        <w:widowControl w:val="0"/>
        <w:tabs>
          <w:tab w:val="left" w:pos="567"/>
        </w:tabs>
        <w:adjustRightInd w:val="0"/>
        <w:snapToGrid w:val="0"/>
        <w:spacing w:after="0" w:line="240" w:lineRule="auto"/>
        <w:ind w:left="567" w:hanging="567"/>
        <w:jc w:val="center"/>
        <w:outlineLvl w:val="0"/>
        <w:rPr>
          <w:rFonts w:ascii="Times New Roman" w:hAnsi="Times New Roman" w:cs="Times New Roman"/>
          <w:b/>
          <w:lang w:val="lt-LT"/>
        </w:rPr>
      </w:pPr>
      <w:r w:rsidRPr="009D52C3">
        <w:rPr>
          <w:rFonts w:ascii="Times New Roman" w:hAnsi="Times New Roman" w:cs="Times New Roman"/>
          <w:b/>
          <w:lang w:val="lt-LT"/>
        </w:rPr>
        <w:t>Pakuotės lapelis: informacija pacientui</w:t>
      </w:r>
    </w:p>
    <w:p w14:paraId="53EC581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CFC0B40" w14:textId="77777777" w:rsidR="008E6CED" w:rsidRPr="009D52C3" w:rsidRDefault="008E6CED" w:rsidP="008E6CED">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9D52C3">
        <w:rPr>
          <w:rFonts w:ascii="Times New Roman" w:eastAsia="Times New Roman" w:hAnsi="Times New Roman" w:cs="Times New Roman"/>
          <w:b/>
          <w:color w:val="000000"/>
          <w:lang w:val="lt-LT" w:eastAsia="lt-LT"/>
        </w:rPr>
        <w:t>Opexa</w:t>
      </w:r>
      <w:proofErr w:type="spellEnd"/>
      <w:r w:rsidRPr="009D52C3">
        <w:rPr>
          <w:rFonts w:ascii="Times New Roman" w:eastAsia="Times New Roman" w:hAnsi="Times New Roman" w:cs="Times New Roman"/>
          <w:b/>
          <w:color w:val="000000"/>
          <w:lang w:val="lt-LT" w:eastAsia="lt-LT"/>
        </w:rPr>
        <w:t xml:space="preserve"> 10 mg </w:t>
      </w:r>
      <w:r w:rsidRPr="009D52C3">
        <w:rPr>
          <w:rFonts w:ascii="Times New Roman" w:eastAsia="Times New Roman" w:hAnsi="Times New Roman" w:cs="Times New Roman"/>
          <w:b/>
          <w:color w:val="000000"/>
          <w:spacing w:val="-1"/>
          <w:lang w:val="lt-LT" w:eastAsia="lt-LT"/>
        </w:rPr>
        <w:t>burnoje disperguojamos tabletės</w:t>
      </w:r>
    </w:p>
    <w:p w14:paraId="5C48661F" w14:textId="77777777" w:rsidR="008E6CED" w:rsidRPr="009D52C3" w:rsidRDefault="008E6CED" w:rsidP="008E6CED">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
    <w:p w14:paraId="6082A53A" w14:textId="77777777" w:rsidR="008E6CED" w:rsidRPr="009D52C3" w:rsidRDefault="008E6CED" w:rsidP="008E6CED">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r>
        <w:rPr>
          <w:rFonts w:ascii="Times New Roman" w:eastAsia="Times New Roman" w:hAnsi="Times New Roman" w:cs="Times New Roman"/>
          <w:b/>
          <w:color w:val="000000"/>
          <w:lang w:val="lt-LT" w:eastAsia="lt-LT"/>
        </w:rPr>
        <w:t>2</w:t>
      </w:r>
      <w:r w:rsidRPr="009D52C3">
        <w:rPr>
          <w:rFonts w:ascii="Times New Roman" w:eastAsia="Times New Roman" w:hAnsi="Times New Roman" w:cs="Times New Roman"/>
          <w:b/>
          <w:color w:val="000000"/>
          <w:lang w:val="lt-LT" w:eastAsia="lt-LT"/>
        </w:rPr>
        <w:t xml:space="preserve">–11 metų vaikams, sveriantiems ne mažiau kaip </w:t>
      </w:r>
      <w:r>
        <w:rPr>
          <w:rFonts w:ascii="Times New Roman" w:eastAsia="Times New Roman" w:hAnsi="Times New Roman" w:cs="Times New Roman"/>
          <w:b/>
          <w:color w:val="000000"/>
          <w:lang w:val="lt-LT" w:eastAsia="lt-LT"/>
        </w:rPr>
        <w:t>15</w:t>
      </w:r>
      <w:r w:rsidRPr="009D52C3">
        <w:rPr>
          <w:rFonts w:ascii="Times New Roman" w:eastAsia="Times New Roman" w:hAnsi="Times New Roman" w:cs="Times New Roman"/>
          <w:b/>
          <w:color w:val="000000"/>
          <w:lang w:val="lt-LT" w:eastAsia="lt-LT"/>
        </w:rPr>
        <w:t> kg</w:t>
      </w:r>
    </w:p>
    <w:p w14:paraId="0F09867A" w14:textId="77777777" w:rsidR="008E6CED" w:rsidRPr="009D52C3" w:rsidRDefault="008E6CED" w:rsidP="008E6CED">
      <w:pPr>
        <w:widowControl w:val="0"/>
        <w:adjustRightInd w:val="0"/>
        <w:snapToGrid w:val="0"/>
        <w:spacing w:after="0" w:line="240" w:lineRule="auto"/>
        <w:jc w:val="center"/>
        <w:rPr>
          <w:rFonts w:ascii="Times New Roman" w:eastAsia="Calibri" w:hAnsi="Times New Roman" w:cs="Times New Roman"/>
          <w:lang w:val="lt-LT"/>
        </w:rPr>
      </w:pPr>
    </w:p>
    <w:p w14:paraId="7B78B914" w14:textId="77777777" w:rsidR="008E6CED" w:rsidRPr="009D52C3" w:rsidRDefault="008E6CED" w:rsidP="008E6CED">
      <w:pPr>
        <w:widowControl w:val="0"/>
        <w:adjustRightInd w:val="0"/>
        <w:snapToGrid w:val="0"/>
        <w:spacing w:after="0" w:line="240" w:lineRule="auto"/>
        <w:jc w:val="center"/>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bilastinas</w:t>
      </w:r>
      <w:proofErr w:type="spellEnd"/>
    </w:p>
    <w:p w14:paraId="61612E6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683DDBE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Atidžiai perskaitykite visą šį lapelį, prieš Jūsų vaikui pradedant vartoti šį vaistą, nes jame pateikiama Jums svarbi informacija.</w:t>
      </w:r>
    </w:p>
    <w:p w14:paraId="282995B1"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Neišmeskite šio lapelio, nes vėl gali prireikti jį perskaityti.</w:t>
      </w:r>
    </w:p>
    <w:p w14:paraId="5E60754D"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Jeigu kiltų daugiau klausimų, kreipkitės į gydytoją arba vaistininką.</w:t>
      </w:r>
    </w:p>
    <w:p w14:paraId="3580E82F"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Šis vaistas skirtas tik Jūsų vaikui, todėl kitiems žmonėms jo duoti negalima. Vaistas gali jiems pakenkti (net tiems, kurių ligos požymiai yra tokie patys kaip Jūsų vaiko).</w:t>
      </w:r>
    </w:p>
    <w:p w14:paraId="2D582B6B"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Jeigu Jūsų vaikui pasireiškė šalutinis poveikis (net jeigu jis šiame lapelyje nenurodytas), kreipkitės į gydytoją arba vaistininką. Žr. 4</w:t>
      </w:r>
      <w:r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skyrių.</w:t>
      </w:r>
    </w:p>
    <w:p w14:paraId="2A86614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004E4CC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56E4A81D"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Apie ką rašoma šiame lapelyje?</w:t>
      </w:r>
    </w:p>
    <w:p w14:paraId="1D124C5C"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1.</w:t>
      </w:r>
      <w:r w:rsidRPr="009D52C3">
        <w:rPr>
          <w:rFonts w:ascii="Times New Roman" w:eastAsia="Calibri" w:hAnsi="Times New Roman" w:cs="Times New Roman"/>
          <w:lang w:val="lt-LT"/>
        </w:rPr>
        <w:tab/>
        <w:t xml:space="preserve">Kas yra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ir kam jis vartojamas</w:t>
      </w:r>
    </w:p>
    <w:p w14:paraId="620835E5"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2.</w:t>
      </w:r>
      <w:r w:rsidRPr="009D52C3">
        <w:rPr>
          <w:rFonts w:ascii="Times New Roman" w:eastAsia="Calibri" w:hAnsi="Times New Roman" w:cs="Times New Roman"/>
          <w:lang w:val="lt-LT"/>
        </w:rPr>
        <w:tab/>
        <w:t xml:space="preserve">Kas žinotina prieš vartojant </w:t>
      </w:r>
      <w:proofErr w:type="spellStart"/>
      <w:r w:rsidRPr="009D52C3">
        <w:rPr>
          <w:rFonts w:ascii="Times New Roman" w:eastAsia="Calibri" w:hAnsi="Times New Roman" w:cs="Times New Roman"/>
          <w:lang w:val="lt-LT"/>
        </w:rPr>
        <w:t>Opexa</w:t>
      </w:r>
      <w:proofErr w:type="spellEnd"/>
    </w:p>
    <w:p w14:paraId="70086F2D"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3.</w:t>
      </w:r>
      <w:r w:rsidRPr="009D52C3">
        <w:rPr>
          <w:rFonts w:ascii="Times New Roman" w:eastAsia="Calibri" w:hAnsi="Times New Roman" w:cs="Times New Roman"/>
          <w:lang w:val="lt-LT"/>
        </w:rPr>
        <w:tab/>
        <w:t xml:space="preserve">Kaip vartoti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p>
    <w:p w14:paraId="0E9DFB26"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4.</w:t>
      </w:r>
      <w:r w:rsidRPr="009D52C3">
        <w:rPr>
          <w:rFonts w:ascii="Times New Roman" w:eastAsia="Calibri" w:hAnsi="Times New Roman" w:cs="Times New Roman"/>
          <w:lang w:val="lt-LT"/>
        </w:rPr>
        <w:tab/>
        <w:t>Galimas šalutinis poveikis</w:t>
      </w:r>
    </w:p>
    <w:p w14:paraId="5DB8A690"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5.</w:t>
      </w:r>
      <w:r w:rsidRPr="009D52C3">
        <w:rPr>
          <w:rFonts w:ascii="Times New Roman" w:eastAsia="Calibri" w:hAnsi="Times New Roman" w:cs="Times New Roman"/>
          <w:lang w:val="lt-LT"/>
        </w:rPr>
        <w:tab/>
        <w:t xml:space="preserve">Kaip laikyti </w:t>
      </w:r>
      <w:proofErr w:type="spellStart"/>
      <w:r w:rsidRPr="009D52C3">
        <w:rPr>
          <w:rFonts w:ascii="Times New Roman" w:eastAsia="Calibri" w:hAnsi="Times New Roman" w:cs="Times New Roman"/>
          <w:lang w:val="lt-LT"/>
        </w:rPr>
        <w:t>Opexa</w:t>
      </w:r>
      <w:proofErr w:type="spellEnd"/>
    </w:p>
    <w:p w14:paraId="0FDAC047"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6.</w:t>
      </w:r>
      <w:r w:rsidRPr="009D52C3">
        <w:rPr>
          <w:rFonts w:ascii="Times New Roman" w:eastAsia="Calibri" w:hAnsi="Times New Roman" w:cs="Times New Roman"/>
          <w:lang w:val="lt-LT"/>
        </w:rPr>
        <w:tab/>
        <w:t>Pakuotės turinys ir kita informacija</w:t>
      </w:r>
    </w:p>
    <w:p w14:paraId="560F0EBA"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AB4D27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5FB9B84" w14:textId="77777777" w:rsidR="008E6CED" w:rsidRPr="009D52C3" w:rsidRDefault="008E6CED" w:rsidP="008E6CED">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0" w:name="_Toc129243264"/>
      <w:bookmarkStart w:id="1" w:name="_Toc129243139"/>
      <w:r w:rsidRPr="009D52C3">
        <w:rPr>
          <w:rFonts w:ascii="Times New Roman" w:eastAsia="Times New Roman" w:hAnsi="Times New Roman" w:cs="Times New Roman"/>
          <w:b/>
          <w:lang w:val="lt-LT"/>
        </w:rPr>
        <w:t>1.</w:t>
      </w:r>
      <w:r w:rsidRPr="009D52C3">
        <w:rPr>
          <w:rFonts w:ascii="Times New Roman" w:eastAsia="Times New Roman" w:hAnsi="Times New Roman" w:cs="Times New Roman"/>
          <w:b/>
          <w:lang w:val="lt-LT"/>
        </w:rPr>
        <w:tab/>
      </w:r>
      <w:bookmarkEnd w:id="0"/>
      <w:bookmarkEnd w:id="1"/>
      <w:r w:rsidRPr="009D52C3">
        <w:rPr>
          <w:rFonts w:ascii="Times New Roman" w:eastAsia="Times New Roman" w:hAnsi="Times New Roman" w:cs="Times New Roman"/>
          <w:b/>
          <w:lang w:val="lt-LT"/>
        </w:rPr>
        <w:t xml:space="preserve">Kas yra </w:t>
      </w:r>
      <w:proofErr w:type="spellStart"/>
      <w:r w:rsidRPr="009D52C3">
        <w:rPr>
          <w:rFonts w:ascii="Times New Roman" w:eastAsia="Times New Roman" w:hAnsi="Times New Roman" w:cs="Times New Roman"/>
          <w:b/>
          <w:lang w:val="lt-LT"/>
        </w:rPr>
        <w:t>Opexa</w:t>
      </w:r>
      <w:proofErr w:type="spellEnd"/>
      <w:r w:rsidRPr="009D52C3">
        <w:rPr>
          <w:rFonts w:ascii="Times New Roman" w:eastAsia="Times New Roman" w:hAnsi="Times New Roman" w:cs="Times New Roman"/>
          <w:b/>
          <w:lang w:val="lt-LT"/>
        </w:rPr>
        <w:t xml:space="preserve"> ir kam jis vartojamas</w:t>
      </w:r>
    </w:p>
    <w:p w14:paraId="4089E0D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048328F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tablečių sudėties veiklioji medžiaga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yra </w:t>
      </w:r>
      <w:proofErr w:type="spellStart"/>
      <w:r w:rsidRPr="009D52C3">
        <w:rPr>
          <w:rFonts w:ascii="Times New Roman" w:eastAsia="Calibri" w:hAnsi="Times New Roman" w:cs="Times New Roman"/>
          <w:lang w:val="lt-LT"/>
        </w:rPr>
        <w:t>antihistamininis</w:t>
      </w:r>
      <w:proofErr w:type="spellEnd"/>
      <w:r w:rsidRPr="009D52C3">
        <w:rPr>
          <w:rFonts w:ascii="Times New Roman" w:eastAsia="Calibri" w:hAnsi="Times New Roman" w:cs="Times New Roman"/>
          <w:lang w:val="lt-LT"/>
        </w:rPr>
        <w:t xml:space="preserve"> vaistas. </w:t>
      </w:r>
    </w:p>
    <w:p w14:paraId="36C7608D"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9CFCC61"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 xml:space="preserve">burnoje disperguojamos tabletės </w:t>
      </w:r>
      <w:r w:rsidRPr="009D52C3">
        <w:rPr>
          <w:rFonts w:ascii="Times New Roman" w:eastAsia="Times New Roman" w:hAnsi="Times New Roman" w:cs="Times New Roman"/>
          <w:color w:val="000000"/>
          <w:lang w:val="lt-LT" w:eastAsia="lt-LT"/>
        </w:rPr>
        <w:t xml:space="preserve">vartojamos šienligės (kuriai būdingi simptomai yra čiaudulys, niežulys, sloga, užgulta nosis, paraudusios ir ašarojančios akys) ir kitų alerginio rinito formų simptomų slopinimui. Jis taip pat gali būti vartojamas niežtinčių odos išbėrimų ( dilgėlinės arba </w:t>
      </w:r>
      <w:proofErr w:type="spellStart"/>
      <w:r w:rsidRPr="009D52C3">
        <w:rPr>
          <w:rFonts w:ascii="Times New Roman" w:eastAsia="Times New Roman" w:hAnsi="Times New Roman" w:cs="Times New Roman"/>
          <w:color w:val="000000"/>
          <w:lang w:val="lt-LT" w:eastAsia="lt-LT"/>
        </w:rPr>
        <w:t>urtikarijos</w:t>
      </w:r>
      <w:proofErr w:type="spellEnd"/>
      <w:r w:rsidRPr="009D52C3">
        <w:rPr>
          <w:rFonts w:ascii="Times New Roman" w:eastAsia="Times New Roman" w:hAnsi="Times New Roman" w:cs="Times New Roman"/>
          <w:color w:val="000000"/>
          <w:lang w:val="lt-LT" w:eastAsia="lt-LT"/>
        </w:rPr>
        <w:t>) gydymui.</w:t>
      </w:r>
    </w:p>
    <w:p w14:paraId="53E05FD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61C949DD"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roofErr w:type="spellStart"/>
      <w:r w:rsidRPr="009D52C3">
        <w:rPr>
          <w:rFonts w:ascii="Times New Roman" w:eastAsia="Times New Roman" w:hAnsi="Times New Roman" w:cs="Times New Roman"/>
          <w:color w:val="000000"/>
          <w:lang w:val="lt-LT" w:eastAsia="lt-LT"/>
        </w:rPr>
        <w:t>Opexa</w:t>
      </w:r>
      <w:proofErr w:type="spellEnd"/>
      <w:r w:rsidRPr="009D52C3">
        <w:rPr>
          <w:rFonts w:ascii="Times New Roman" w:eastAsia="Times New Roman" w:hAnsi="Times New Roman" w:cs="Times New Roman"/>
          <w:color w:val="000000"/>
          <w:lang w:val="lt-LT" w:eastAsia="lt-LT"/>
        </w:rPr>
        <w:t xml:space="preserve"> 10 mg </w:t>
      </w:r>
      <w:r w:rsidRPr="009D52C3">
        <w:rPr>
          <w:rFonts w:ascii="Times New Roman" w:eastAsia="Times New Roman" w:hAnsi="Times New Roman" w:cs="Times New Roman"/>
          <w:color w:val="000000"/>
          <w:spacing w:val="-1"/>
          <w:lang w:val="lt-LT" w:eastAsia="lt-LT"/>
        </w:rPr>
        <w:t xml:space="preserve">burnoje disperguojamos tabletės skirtos vartoti </w:t>
      </w:r>
      <w:r>
        <w:rPr>
          <w:rFonts w:ascii="Times New Roman" w:eastAsia="Times New Roman" w:hAnsi="Times New Roman" w:cs="Times New Roman"/>
          <w:color w:val="000000"/>
          <w:spacing w:val="-1"/>
          <w:lang w:val="lt-LT" w:eastAsia="lt-LT"/>
        </w:rPr>
        <w:t>2</w:t>
      </w:r>
      <w:r w:rsidRPr="009D52C3">
        <w:rPr>
          <w:rFonts w:ascii="Times New Roman" w:eastAsia="Times New Roman" w:hAnsi="Times New Roman" w:cs="Times New Roman"/>
          <w:color w:val="000000"/>
          <w:spacing w:val="-1"/>
          <w:lang w:val="lt-LT" w:eastAsia="lt-LT"/>
        </w:rPr>
        <w:t xml:space="preserve">–11 metų vaikams, sveriantiems ne mažiau </w:t>
      </w:r>
      <w:r>
        <w:rPr>
          <w:rFonts w:ascii="Times New Roman" w:eastAsia="Times New Roman" w:hAnsi="Times New Roman" w:cs="Times New Roman"/>
          <w:color w:val="000000"/>
          <w:spacing w:val="-1"/>
          <w:lang w:val="lt-LT" w:eastAsia="lt-LT"/>
        </w:rPr>
        <w:t>15</w:t>
      </w:r>
      <w:r w:rsidRPr="009D52C3">
        <w:rPr>
          <w:rFonts w:ascii="Times New Roman" w:eastAsia="Times New Roman" w:hAnsi="Times New Roman" w:cs="Times New Roman"/>
          <w:color w:val="000000"/>
          <w:spacing w:val="-1"/>
          <w:lang w:val="lt-LT" w:eastAsia="lt-LT"/>
        </w:rPr>
        <w:t> kg.</w:t>
      </w:r>
    </w:p>
    <w:p w14:paraId="02239B2D"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B04B270"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6E3E4928" w14:textId="77777777" w:rsidR="008E6CED" w:rsidRPr="009D52C3" w:rsidRDefault="008E6CED" w:rsidP="008E6CED">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2" w:name="_Toc129243265"/>
      <w:bookmarkStart w:id="3" w:name="_Toc129243140"/>
      <w:r w:rsidRPr="009D52C3">
        <w:rPr>
          <w:rFonts w:ascii="Times New Roman" w:eastAsia="Times New Roman" w:hAnsi="Times New Roman" w:cs="Times New Roman"/>
          <w:b/>
          <w:lang w:val="lt-LT"/>
        </w:rPr>
        <w:t>2.</w:t>
      </w:r>
      <w:r w:rsidRPr="009D52C3">
        <w:rPr>
          <w:rFonts w:ascii="Times New Roman" w:eastAsia="Times New Roman" w:hAnsi="Times New Roman" w:cs="Times New Roman"/>
          <w:b/>
          <w:lang w:val="lt-LT"/>
        </w:rPr>
        <w:tab/>
      </w:r>
      <w:bookmarkEnd w:id="2"/>
      <w:bookmarkEnd w:id="3"/>
      <w:r w:rsidRPr="009D52C3">
        <w:rPr>
          <w:rFonts w:ascii="Times New Roman" w:eastAsia="Times New Roman" w:hAnsi="Times New Roman" w:cs="Times New Roman"/>
          <w:b/>
          <w:lang w:val="lt-LT"/>
        </w:rPr>
        <w:t xml:space="preserve">Kas žinotina prieš vartojant </w:t>
      </w:r>
      <w:proofErr w:type="spellStart"/>
      <w:r w:rsidRPr="009D52C3">
        <w:rPr>
          <w:rFonts w:ascii="Times New Roman" w:eastAsia="Times New Roman" w:hAnsi="Times New Roman" w:cs="Times New Roman"/>
          <w:b/>
          <w:lang w:val="lt-LT"/>
        </w:rPr>
        <w:t>Opexa</w:t>
      </w:r>
      <w:proofErr w:type="spellEnd"/>
    </w:p>
    <w:p w14:paraId="66896589" w14:textId="77777777" w:rsidR="008E6CED" w:rsidRPr="009D52C3" w:rsidRDefault="008E6CED" w:rsidP="008E6CED">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p>
    <w:p w14:paraId="40092916"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b/>
          <w:caps/>
          <w:lang w:val="lt-LT"/>
        </w:rPr>
      </w:pPr>
      <w:proofErr w:type="spellStart"/>
      <w:r w:rsidRPr="009D52C3">
        <w:rPr>
          <w:rFonts w:ascii="Times New Roman" w:eastAsiaTheme="minorEastAsia" w:hAnsi="Times New Roman" w:cs="Times New Roman"/>
          <w:b/>
          <w:lang w:val="lt-LT"/>
        </w:rPr>
        <w:t>Opexa</w:t>
      </w:r>
      <w:proofErr w:type="spellEnd"/>
      <w:r w:rsidRPr="009D52C3">
        <w:rPr>
          <w:rFonts w:ascii="Times New Roman" w:eastAsiaTheme="minorEastAsia" w:hAnsi="Times New Roman" w:cs="Times New Roman"/>
          <w:b/>
          <w:bCs/>
          <w:lang w:val="lt-LT"/>
        </w:rPr>
        <w:t xml:space="preserve"> vartoti draudžiama</w:t>
      </w:r>
    </w:p>
    <w:p w14:paraId="3A7A158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jeigu Jūsų vaikui yra alergija </w:t>
      </w:r>
      <w:proofErr w:type="spellStart"/>
      <w:r w:rsidRPr="009D52C3">
        <w:rPr>
          <w:rFonts w:ascii="Times New Roman" w:eastAsia="Calibri" w:hAnsi="Times New Roman" w:cs="Times New Roman"/>
          <w:lang w:val="lt-LT"/>
        </w:rPr>
        <w:t>bilastinui</w:t>
      </w:r>
      <w:proofErr w:type="spellEnd"/>
      <w:r w:rsidRPr="009D52C3">
        <w:rPr>
          <w:rFonts w:ascii="Times New Roman" w:eastAsia="Calibri" w:hAnsi="Times New Roman" w:cs="Times New Roman"/>
          <w:lang w:val="lt-LT"/>
        </w:rPr>
        <w:t xml:space="preserve"> arba bet kuriai pagalbinei šio vaisto medžiagai (jos išvardytos 6</w:t>
      </w:r>
      <w:r w:rsidRPr="009D52C3">
        <w:rPr>
          <w:rFonts w:ascii="Times New Roman" w:eastAsia="Times New Roman" w:hAnsi="Times New Roman" w:cs="Times New Roman"/>
          <w:color w:val="000000"/>
          <w:lang w:val="lt-LT" w:eastAsia="lt-LT"/>
        </w:rPr>
        <w:t> </w:t>
      </w:r>
      <w:r w:rsidRPr="009D52C3">
        <w:rPr>
          <w:rFonts w:ascii="Times New Roman" w:eastAsia="Calibri" w:hAnsi="Times New Roman" w:cs="Times New Roman"/>
          <w:lang w:val="lt-LT"/>
        </w:rPr>
        <w:t>skyriuje).</w:t>
      </w:r>
    </w:p>
    <w:p w14:paraId="78996C8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0E6757A"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Įspėjimai ir atsargumo priemonės</w:t>
      </w:r>
    </w:p>
    <w:p w14:paraId="1435A6C2"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Cs/>
          <w:lang w:val="lt-LT"/>
        </w:rPr>
      </w:pPr>
      <w:r w:rsidRPr="009D52C3">
        <w:rPr>
          <w:rFonts w:ascii="Times New Roman" w:eastAsia="Times New Roman" w:hAnsi="Times New Roman" w:cs="Times New Roman"/>
          <w:bCs/>
          <w:lang w:val="lt-LT"/>
        </w:rPr>
        <w:t xml:space="preserve">Pasitarkite su gydytoju arba vaistininku prieš pradedant vartoti </w:t>
      </w:r>
      <w:proofErr w:type="spellStart"/>
      <w:r w:rsidRPr="009D52C3">
        <w:rPr>
          <w:rFonts w:ascii="Times New Roman" w:eastAsia="Times New Roman" w:hAnsi="Times New Roman" w:cs="Times New Roman"/>
          <w:bCs/>
          <w:lang w:val="lt-LT"/>
        </w:rPr>
        <w:t>Opexa</w:t>
      </w:r>
      <w:proofErr w:type="spellEnd"/>
      <w:r w:rsidRPr="009D52C3">
        <w:rPr>
          <w:rFonts w:ascii="Times New Roman" w:eastAsia="Times New Roman" w:hAnsi="Times New Roman" w:cs="Times New Roman"/>
          <w:bCs/>
          <w:lang w:val="lt-LT"/>
        </w:rPr>
        <w:t xml:space="preserve">, jei Jūsų vaikui nustatytas vidutinio sunkumo arba sunkus inkstų ir kepenų veiklos sutrikimas, </w:t>
      </w:r>
      <w:r w:rsidRPr="009D52C3">
        <w:rPr>
          <w:rFonts w:ascii="Times New Roman" w:hAnsi="Times New Roman" w:cs="Times New Roman"/>
          <w:lang w:val="lt-LT" w:bidi="lt-LT"/>
        </w:rPr>
        <w:t xml:space="preserve">mažas kalio, magnio, kalcio kiekis kraujyje, jeigu Jūsų vaikui pasireiškia arba pasireiškė širdies ritmo sutrikimų, arba Jūsų vaiko širdies susitraukimų dažnis yra labai mažas, jeigu </w:t>
      </w:r>
      <w:r>
        <w:rPr>
          <w:rFonts w:ascii="Times New Roman" w:hAnsi="Times New Roman" w:cs="Times New Roman"/>
          <w:lang w:val="lt-LT" w:bidi="lt-LT"/>
        </w:rPr>
        <w:t xml:space="preserve">Jūsų vaikas </w:t>
      </w:r>
      <w:r w:rsidRPr="009D52C3">
        <w:rPr>
          <w:rFonts w:ascii="Times New Roman" w:hAnsi="Times New Roman" w:cs="Times New Roman"/>
          <w:lang w:val="lt-LT" w:bidi="lt-LT"/>
        </w:rPr>
        <w:t xml:space="preserve">vartoja vaistų, galinčių paveikti širdies ritmą, jeigu Jūsų vaikui yra arba buvo tam tikrų širdies ritmo sutrikimų (vadinamasis </w:t>
      </w:r>
      <w:proofErr w:type="spellStart"/>
      <w:r w:rsidRPr="009D52C3">
        <w:rPr>
          <w:rFonts w:ascii="Times New Roman" w:hAnsi="Times New Roman" w:cs="Times New Roman"/>
          <w:lang w:val="lt-LT" w:bidi="lt-LT"/>
        </w:rPr>
        <w:t>QTc</w:t>
      </w:r>
      <w:proofErr w:type="spellEnd"/>
      <w:r w:rsidRPr="009D52C3">
        <w:rPr>
          <w:rFonts w:ascii="Times New Roman" w:hAnsi="Times New Roman" w:cs="Times New Roman"/>
          <w:lang w:val="lt-LT" w:bidi="lt-LT"/>
        </w:rPr>
        <w:t xml:space="preserve"> intervalo pailgėjimas elektrokardiogramoje), kurie gali pasireikšti sergant kai kuriomis širdies ligų formomis,</w:t>
      </w:r>
      <w:r w:rsidRPr="009D52C3">
        <w:rPr>
          <w:rFonts w:ascii="Times New Roman" w:eastAsia="Times New Roman" w:hAnsi="Times New Roman" w:cs="Times New Roman"/>
          <w:bCs/>
          <w:lang w:val="lt-LT"/>
        </w:rPr>
        <w:t xml:space="preserve"> ir Jūsų vaikas vartoja kitus vaistus (žr. skyrių žemiau „Kiti vaistai ir </w:t>
      </w:r>
      <w:proofErr w:type="spellStart"/>
      <w:r w:rsidRPr="009D52C3">
        <w:rPr>
          <w:rFonts w:ascii="Times New Roman" w:eastAsia="Times New Roman" w:hAnsi="Times New Roman" w:cs="Times New Roman"/>
          <w:bCs/>
          <w:lang w:val="lt-LT"/>
        </w:rPr>
        <w:t>Opexa</w:t>
      </w:r>
      <w:proofErr w:type="spellEnd"/>
      <w:r w:rsidRPr="009D52C3">
        <w:rPr>
          <w:rFonts w:ascii="Times New Roman" w:eastAsia="Times New Roman" w:hAnsi="Times New Roman" w:cs="Times New Roman"/>
          <w:bCs/>
          <w:lang w:val="lt-LT"/>
        </w:rPr>
        <w:t>“).</w:t>
      </w:r>
    </w:p>
    <w:p w14:paraId="694B275B"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p>
    <w:p w14:paraId="0331C7D2"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Vaikams</w:t>
      </w:r>
    </w:p>
    <w:p w14:paraId="27CB7D23"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Cs/>
          <w:lang w:val="lt-LT"/>
        </w:rPr>
      </w:pPr>
      <w:r w:rsidRPr="009D52C3">
        <w:rPr>
          <w:rFonts w:ascii="Times New Roman" w:eastAsia="Times New Roman" w:hAnsi="Times New Roman" w:cs="Times New Roman"/>
          <w:bCs/>
          <w:lang w:val="lt-LT"/>
        </w:rPr>
        <w:t xml:space="preserve">Neduokite šio vaisto jaunesniems kaip </w:t>
      </w:r>
      <w:r>
        <w:rPr>
          <w:rFonts w:ascii="Times New Roman" w:eastAsia="Times New Roman" w:hAnsi="Times New Roman" w:cs="Times New Roman"/>
          <w:bCs/>
          <w:lang w:val="lt-LT"/>
        </w:rPr>
        <w:t>2</w:t>
      </w:r>
      <w:r w:rsidRPr="009D52C3">
        <w:rPr>
          <w:rFonts w:ascii="Times New Roman" w:eastAsia="Times New Roman" w:hAnsi="Times New Roman" w:cs="Times New Roman"/>
          <w:bCs/>
          <w:lang w:val="lt-LT"/>
        </w:rPr>
        <w:t xml:space="preserve"> metų vaikams, sveriantiems mažiau kaip </w:t>
      </w:r>
      <w:r>
        <w:rPr>
          <w:rFonts w:ascii="Times New Roman" w:eastAsia="Times New Roman" w:hAnsi="Times New Roman" w:cs="Times New Roman"/>
          <w:bCs/>
          <w:lang w:val="lt-LT"/>
        </w:rPr>
        <w:t>15</w:t>
      </w:r>
      <w:r w:rsidRPr="009D52C3">
        <w:rPr>
          <w:rFonts w:ascii="Times New Roman" w:eastAsia="Times New Roman" w:hAnsi="Times New Roman" w:cs="Times New Roman"/>
          <w:bCs/>
          <w:lang w:val="lt-LT"/>
        </w:rPr>
        <w:t xml:space="preserve"> kg, nes dėl </w:t>
      </w:r>
      <w:r w:rsidRPr="009D52C3">
        <w:rPr>
          <w:rFonts w:ascii="Times New Roman" w:eastAsia="Times New Roman" w:hAnsi="Times New Roman" w:cs="Times New Roman"/>
          <w:bCs/>
          <w:lang w:val="lt-LT"/>
        </w:rPr>
        <w:lastRenderedPageBreak/>
        <w:t>vartojimo tokio amžiaus vaikams duomenų nepakanka.</w:t>
      </w:r>
    </w:p>
    <w:p w14:paraId="448C63E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58E0C079"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 xml:space="preserve">Kiti vaistai ir </w:t>
      </w:r>
      <w:proofErr w:type="spellStart"/>
      <w:r w:rsidRPr="009D52C3">
        <w:rPr>
          <w:rFonts w:ascii="Times New Roman" w:eastAsia="Times New Roman" w:hAnsi="Times New Roman" w:cs="Times New Roman"/>
          <w:b/>
          <w:bCs/>
          <w:lang w:val="lt-LT"/>
        </w:rPr>
        <w:t>Opexa</w:t>
      </w:r>
      <w:proofErr w:type="spellEnd"/>
    </w:p>
    <w:p w14:paraId="4144C6F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Jūsų vaikas vartoja ar neseniai vartojo kitų vaistų, įskaitant įgytus be recepto, arba dėl to nesate tikri, apie tai pasakykite gydytojui arba vaistininkui. Kai kuriuos vaistus galima vartoti kartu, kitų dozę vartojant kartu gali reikėti pakeisti.</w:t>
      </w:r>
    </w:p>
    <w:p w14:paraId="06919F8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BA13DC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Visuomet pasitarkite su gydytoju arba vaistininku, jeigu Jūsų vaikas vartoja kurį nors žemiau išvardytą vaistą:</w:t>
      </w:r>
    </w:p>
    <w:p w14:paraId="13CAF4CD" w14:textId="77777777" w:rsidR="008E6CED" w:rsidRPr="009D52C3" w:rsidRDefault="008E6CED" w:rsidP="008E6CE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ketokonazolą</w:t>
      </w:r>
      <w:proofErr w:type="spellEnd"/>
      <w:r w:rsidRPr="009D52C3">
        <w:rPr>
          <w:rFonts w:ascii="Times New Roman" w:eastAsia="Calibri" w:hAnsi="Times New Roman" w:cs="Times New Roman"/>
          <w:lang w:val="lt-LT"/>
        </w:rPr>
        <w:t xml:space="preserve"> (vaistą grybelių sukeltoms ligoms gydyti),</w:t>
      </w:r>
    </w:p>
    <w:p w14:paraId="6C1E0E39" w14:textId="77777777" w:rsidR="008E6CED" w:rsidRPr="009D52C3" w:rsidRDefault="008E6CED" w:rsidP="008E6CE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eritromiciną</w:t>
      </w:r>
      <w:proofErr w:type="spellEnd"/>
      <w:r w:rsidRPr="009D52C3">
        <w:rPr>
          <w:rFonts w:ascii="Times New Roman" w:eastAsia="Calibri" w:hAnsi="Times New Roman" w:cs="Times New Roman"/>
          <w:lang w:val="lt-LT"/>
        </w:rPr>
        <w:t xml:space="preserve"> (antibiotiką),</w:t>
      </w:r>
    </w:p>
    <w:p w14:paraId="581491EC" w14:textId="77777777" w:rsidR="008E6CED" w:rsidRPr="009D52C3" w:rsidRDefault="008E6CED" w:rsidP="008E6CE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diltiazemą</w:t>
      </w:r>
      <w:proofErr w:type="spellEnd"/>
      <w:r w:rsidRPr="009D52C3">
        <w:rPr>
          <w:rFonts w:ascii="Times New Roman" w:eastAsia="Calibri" w:hAnsi="Times New Roman" w:cs="Times New Roman"/>
          <w:lang w:val="lt-LT"/>
        </w:rPr>
        <w:t xml:space="preserve"> (vaistą </w:t>
      </w:r>
      <w:r w:rsidRPr="0003034C">
        <w:rPr>
          <w:rFonts w:ascii="Times New Roman" w:eastAsia="Calibri" w:hAnsi="Times New Roman" w:cs="Times New Roman"/>
          <w:i/>
          <w:iCs/>
          <w:lang w:val="lt-LT"/>
        </w:rPr>
        <w:t xml:space="preserve">angina </w:t>
      </w:r>
      <w:proofErr w:type="spellStart"/>
      <w:r w:rsidRPr="0003034C">
        <w:rPr>
          <w:rFonts w:ascii="Times New Roman" w:eastAsia="Calibri" w:hAnsi="Times New Roman" w:cs="Times New Roman"/>
          <w:i/>
          <w:iCs/>
          <w:lang w:val="lt-LT"/>
        </w:rPr>
        <w:t>pectoris</w:t>
      </w:r>
      <w:proofErr w:type="spellEnd"/>
      <w:r w:rsidRPr="009D52C3">
        <w:rPr>
          <w:rFonts w:ascii="Times New Roman" w:eastAsia="Calibri" w:hAnsi="Times New Roman" w:cs="Times New Roman"/>
          <w:lang w:val="lt-LT"/>
        </w:rPr>
        <w:t xml:space="preserve"> gydyti</w:t>
      </w:r>
      <w:r w:rsidRPr="009D52C3">
        <w:rPr>
          <w:rFonts w:ascii="Times New Roman" w:hAnsi="Times New Roman" w:cs="Times New Roman"/>
          <w:lang w:val="lt-LT"/>
        </w:rPr>
        <w:t>– skausmui ar spaudimui krūtinės srityje</w:t>
      </w:r>
      <w:r w:rsidRPr="009D52C3">
        <w:rPr>
          <w:rFonts w:ascii="Times New Roman" w:eastAsia="Calibri" w:hAnsi="Times New Roman" w:cs="Times New Roman"/>
          <w:lang w:val="lt-LT"/>
        </w:rPr>
        <w:t>),</w:t>
      </w:r>
    </w:p>
    <w:p w14:paraId="282EF642" w14:textId="77777777" w:rsidR="008E6CED" w:rsidRPr="009D52C3" w:rsidRDefault="008E6CED" w:rsidP="008E6CE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ciklosporiną</w:t>
      </w:r>
      <w:proofErr w:type="spellEnd"/>
      <w:r w:rsidRPr="009D52C3">
        <w:rPr>
          <w:rFonts w:ascii="Times New Roman" w:eastAsia="Calibri" w:hAnsi="Times New Roman" w:cs="Times New Roman"/>
          <w:lang w:val="lt-LT"/>
        </w:rPr>
        <w:t xml:space="preserve"> (vaistą, mažinantį imuninės sistemos aktyvumą ir tokiu būdu padedantį išvengti persodinto organo atmetimo arba mažinantį ligos aktyvumą sergant tokiomis ligomis, kaip žvynelinė, atopinis dermatitas ar reumatoidinis artritas),</w:t>
      </w:r>
    </w:p>
    <w:p w14:paraId="2CAA0E8E" w14:textId="77777777" w:rsidR="008E6CED" w:rsidRPr="009D52C3" w:rsidRDefault="008E6CED" w:rsidP="008E6CE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ritonavirą (vaistą ŽIV infekcijai gydyti),</w:t>
      </w:r>
    </w:p>
    <w:p w14:paraId="12FD297E" w14:textId="77777777" w:rsidR="008E6CED" w:rsidRPr="009D52C3" w:rsidRDefault="008E6CED" w:rsidP="008E6CE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rifampiciną</w:t>
      </w:r>
      <w:proofErr w:type="spellEnd"/>
      <w:r w:rsidRPr="009D52C3">
        <w:rPr>
          <w:rFonts w:ascii="Times New Roman" w:eastAsia="Calibri" w:hAnsi="Times New Roman" w:cs="Times New Roman"/>
          <w:lang w:val="lt-LT"/>
        </w:rPr>
        <w:t xml:space="preserve"> (antibiotiką).</w:t>
      </w:r>
    </w:p>
    <w:p w14:paraId="152D7A5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0CBA9ACC"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vartojimas su maistu, gėrimais ir alkoholiu</w:t>
      </w:r>
    </w:p>
    <w:p w14:paraId="6DD13303"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 xml:space="preserve">Šių </w:t>
      </w:r>
      <w:r w:rsidRPr="009D52C3">
        <w:rPr>
          <w:rFonts w:ascii="Times New Roman" w:eastAsia="Times New Roman" w:hAnsi="Times New Roman" w:cs="Times New Roman"/>
          <w:color w:val="000000"/>
          <w:spacing w:val="-1"/>
          <w:lang w:val="lt-LT" w:eastAsia="lt-LT"/>
        </w:rPr>
        <w:t xml:space="preserve">burnoje disperguojamųjų </w:t>
      </w:r>
      <w:r w:rsidRPr="009D52C3">
        <w:rPr>
          <w:rFonts w:ascii="Times New Roman" w:eastAsia="Times New Roman" w:hAnsi="Times New Roman" w:cs="Times New Roman"/>
          <w:color w:val="000000"/>
          <w:lang w:val="lt-LT" w:eastAsia="lt-LT"/>
        </w:rPr>
        <w:t xml:space="preserve">tablečių </w:t>
      </w:r>
      <w:r w:rsidRPr="009D52C3">
        <w:rPr>
          <w:rFonts w:ascii="Times New Roman" w:eastAsia="Times New Roman" w:hAnsi="Times New Roman" w:cs="Times New Roman"/>
          <w:b/>
          <w:color w:val="000000"/>
          <w:lang w:val="lt-LT" w:eastAsia="lt-LT"/>
        </w:rPr>
        <w:t>negalima</w:t>
      </w:r>
      <w:r w:rsidRPr="009D52C3">
        <w:rPr>
          <w:rFonts w:ascii="Times New Roman" w:eastAsia="Times New Roman" w:hAnsi="Times New Roman" w:cs="Times New Roman"/>
          <w:color w:val="000000"/>
          <w:lang w:val="lt-LT" w:eastAsia="lt-LT"/>
        </w:rPr>
        <w:t xml:space="preserve"> vartoti kartu su </w:t>
      </w:r>
      <w:r w:rsidRPr="009D52C3">
        <w:rPr>
          <w:rFonts w:ascii="Times New Roman" w:eastAsia="Times New Roman" w:hAnsi="Times New Roman" w:cs="Times New Roman"/>
          <w:b/>
          <w:color w:val="000000"/>
          <w:lang w:val="lt-LT" w:eastAsia="lt-LT"/>
        </w:rPr>
        <w:t>maistu</w:t>
      </w:r>
      <w:r w:rsidRPr="009D52C3">
        <w:rPr>
          <w:rFonts w:ascii="Times New Roman" w:eastAsia="Times New Roman" w:hAnsi="Times New Roman" w:cs="Times New Roman"/>
          <w:color w:val="000000"/>
          <w:lang w:val="lt-LT" w:eastAsia="lt-LT"/>
        </w:rPr>
        <w:t xml:space="preserve">, </w:t>
      </w:r>
      <w:r w:rsidRPr="009D52C3">
        <w:rPr>
          <w:rFonts w:ascii="Times New Roman" w:eastAsia="Times New Roman" w:hAnsi="Times New Roman" w:cs="Times New Roman"/>
          <w:b/>
          <w:color w:val="000000"/>
          <w:lang w:val="lt-LT" w:eastAsia="lt-LT"/>
        </w:rPr>
        <w:t>greipfrutų ar kitų vaisių sultimis</w:t>
      </w:r>
      <w:r w:rsidRPr="009D52C3">
        <w:rPr>
          <w:rFonts w:ascii="Times New Roman" w:eastAsia="Times New Roman" w:hAnsi="Times New Roman" w:cs="Times New Roman"/>
          <w:color w:val="000000"/>
          <w:lang w:val="lt-LT" w:eastAsia="lt-LT"/>
        </w:rPr>
        <w:t xml:space="preserve">, nes tai sumažins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 xml:space="preserve"> veiksmingumą. Siekiant to išvengti, Jūs galite:</w:t>
      </w:r>
    </w:p>
    <w:p w14:paraId="0D9EEF0E" w14:textId="77777777" w:rsidR="008E6CED" w:rsidRPr="009D52C3" w:rsidRDefault="008E6CED" w:rsidP="008E6CED">
      <w:pPr>
        <w:pStyle w:val="Sraopastraipa"/>
        <w:widowControl w:val="0"/>
        <w:numPr>
          <w:ilvl w:val="0"/>
          <w:numId w:val="6"/>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duoti vaikui išgerti burnoje disperguojamą tabletę ir padaryti vienos valandos pertrauką iki valgymo arba sulčių gėrimo arba</w:t>
      </w:r>
    </w:p>
    <w:p w14:paraId="2545B465" w14:textId="77777777" w:rsidR="008E6CED" w:rsidRPr="009D52C3" w:rsidRDefault="008E6CED" w:rsidP="008E6CED">
      <w:pPr>
        <w:pStyle w:val="Sraopastraipa"/>
        <w:widowControl w:val="0"/>
        <w:numPr>
          <w:ilvl w:val="0"/>
          <w:numId w:val="6"/>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jeigu Jūsų vaikas pavalgė arba išgėrė sulčių, reikia palaukti dvi valandas ir tada duoti išgerti burnoje disperguojamą tabletę. </w:t>
      </w:r>
    </w:p>
    <w:p w14:paraId="7E26450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D33228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Rekomenduojama suaugusiesiems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dozė (20 mg) nesustiprina alkoholio sukelto mieguistumo.</w:t>
      </w:r>
    </w:p>
    <w:p w14:paraId="4DC0F1D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7E0B43B5"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Nėštumas, žindymo laikotarpis ir vaisingumas</w:t>
      </w:r>
    </w:p>
    <w:p w14:paraId="11317F3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Šis vaistas tinka vartoti </w:t>
      </w:r>
      <w:r>
        <w:rPr>
          <w:rFonts w:ascii="Times New Roman" w:eastAsia="Calibri" w:hAnsi="Times New Roman" w:cs="Times New Roman"/>
          <w:lang w:val="lt-LT"/>
        </w:rPr>
        <w:t>2</w:t>
      </w:r>
      <w:r w:rsidRPr="009D52C3">
        <w:rPr>
          <w:rFonts w:ascii="Times New Roman" w:eastAsia="Calibri" w:hAnsi="Times New Roman" w:cs="Times New Roman"/>
          <w:lang w:val="lt-LT"/>
        </w:rPr>
        <w:t xml:space="preserve">–11 metų vaikams, sveriantiems ne mažiau </w:t>
      </w:r>
      <w:r>
        <w:rPr>
          <w:rFonts w:ascii="Times New Roman" w:eastAsia="Calibri" w:hAnsi="Times New Roman" w:cs="Times New Roman"/>
          <w:lang w:val="lt-LT"/>
        </w:rPr>
        <w:t>15</w:t>
      </w:r>
      <w:r w:rsidRPr="009D52C3">
        <w:rPr>
          <w:rFonts w:ascii="Times New Roman" w:eastAsia="Calibri" w:hAnsi="Times New Roman" w:cs="Times New Roman"/>
          <w:lang w:val="lt-LT"/>
        </w:rPr>
        <w:t xml:space="preserve"> kg. Tačiau ši informacija yra susijusi su vaisto vartojimo saugumu. Kokių nors duomenų apie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vartojimą nėštumo ar žindymo metu, o taip pat apie jo poveikį vaisingumui nėra arba jie labai riboti.</w:t>
      </w:r>
    </w:p>
    <w:p w14:paraId="32E9988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68D341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 esate nėščia, žindote kūdikį, manote, kad galbūt esate nėščia, arba planuojate pastoti, tai prieš vartodama šį vaistą, pasitarkite su gydytoju.</w:t>
      </w:r>
    </w:p>
    <w:p w14:paraId="3213D69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E1BDA83"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Prieš pradedant vartoti bet kokį vaistą pasitarkite su gydytoju.</w:t>
      </w:r>
    </w:p>
    <w:p w14:paraId="4D9A98E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EE88A12"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Vairavimas ir mechanizmų valdymas</w:t>
      </w:r>
    </w:p>
    <w:p w14:paraId="7A05983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Nustatyta, kad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 xml:space="preserve"> 20 mg dozė nesutrikdo suaugusiųjų gebėjimo vairuoti. Tačiau kiekvieno paciento reakciją į vaistą gali būti skirtinga. Dėl to Jūs turite įsitikinti kaip šis vaistas veikia Jūsų vaiką prieš leisdami jam važiuoti dviračiu arba vairuoti, valdyti kitus mechanizmus.</w:t>
      </w:r>
    </w:p>
    <w:p w14:paraId="43ACB731"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53FCA48C" w14:textId="77777777" w:rsidR="008E6CED" w:rsidRPr="009D52C3" w:rsidRDefault="008E6CED" w:rsidP="008E6CED">
      <w:pPr>
        <w:widowControl w:val="0"/>
        <w:adjustRightInd w:val="0"/>
        <w:snapToGrid w:val="0"/>
        <w:spacing w:after="0" w:line="240" w:lineRule="auto"/>
        <w:outlineLvl w:val="3"/>
        <w:rPr>
          <w:rFonts w:ascii="Times New Roman" w:eastAsia="Times New Roman" w:hAnsi="Times New Roman" w:cs="Times New Roman"/>
          <w:b/>
          <w:iCs/>
          <w:lang w:val="lt-LT"/>
        </w:rPr>
      </w:pPr>
      <w:proofErr w:type="spellStart"/>
      <w:r w:rsidRPr="009D52C3">
        <w:rPr>
          <w:rFonts w:ascii="Times New Roman" w:eastAsia="Times New Roman" w:hAnsi="Times New Roman" w:cs="Times New Roman"/>
          <w:b/>
          <w:iCs/>
          <w:lang w:val="lt-LT"/>
        </w:rPr>
        <w:t>Opexa</w:t>
      </w:r>
      <w:proofErr w:type="spellEnd"/>
      <w:r w:rsidRPr="009D52C3">
        <w:rPr>
          <w:rFonts w:ascii="Times New Roman" w:eastAsia="Times New Roman" w:hAnsi="Times New Roman" w:cs="Times New Roman"/>
          <w:b/>
          <w:iCs/>
          <w:lang w:val="lt-LT"/>
        </w:rPr>
        <w:t xml:space="preserve"> yra etanolio ir natrio</w:t>
      </w:r>
    </w:p>
    <w:p w14:paraId="1E416F38" w14:textId="77777777" w:rsidR="008E6CED" w:rsidRPr="009D52C3" w:rsidRDefault="008E6CED" w:rsidP="008E6CED">
      <w:pPr>
        <w:widowControl w:val="0"/>
        <w:adjustRightInd w:val="0"/>
        <w:snapToGrid w:val="0"/>
        <w:spacing w:after="0" w:line="240" w:lineRule="auto"/>
        <w:rPr>
          <w:rFonts w:ascii="Times New Roman" w:hAnsi="Times New Roman" w:cs="Times New Roman"/>
          <w:iCs/>
          <w:lang w:val="lt-LT"/>
        </w:rPr>
      </w:pPr>
    </w:p>
    <w:p w14:paraId="4F548172" w14:textId="77777777" w:rsidR="008E6CED" w:rsidRPr="009D52C3" w:rsidRDefault="008E6CED" w:rsidP="008E6CED">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lang w:val="lt-LT" w:eastAsia="lt-LT"/>
        </w:rPr>
        <w:t xml:space="preserve">Kiekvienoje šio vaistinio preparato </w:t>
      </w:r>
      <w:r w:rsidRPr="009D52C3">
        <w:rPr>
          <w:rFonts w:ascii="Times New Roman" w:eastAsia="Times New Roman" w:hAnsi="Times New Roman" w:cs="Times New Roman"/>
          <w:color w:val="000000"/>
          <w:spacing w:val="-1"/>
          <w:lang w:val="lt-LT" w:eastAsia="lt-LT"/>
        </w:rPr>
        <w:t>burnoje disperguojamojoje tabletėje</w:t>
      </w:r>
      <w:r w:rsidRPr="009D52C3">
        <w:rPr>
          <w:rFonts w:ascii="Times New Roman" w:hAnsi="Times New Roman" w:cs="Times New Roman"/>
          <w:lang w:val="lt-LT" w:eastAsia="lt-LT"/>
        </w:rPr>
        <w:t xml:space="preserve"> yra 0,0015</w:t>
      </w:r>
      <w:r w:rsidRPr="009D52C3">
        <w:rPr>
          <w:rFonts w:ascii="Times New Roman" w:hAnsi="Times New Roman" w:cs="Times New Roman"/>
          <w:lang w:val="lt-LT"/>
        </w:rPr>
        <w:t> </w:t>
      </w:r>
      <w:r w:rsidRPr="009D52C3">
        <w:rPr>
          <w:rFonts w:ascii="Times New Roman" w:hAnsi="Times New Roman" w:cs="Times New Roman"/>
          <w:lang w:val="lt-LT" w:eastAsia="lt-LT"/>
        </w:rPr>
        <w:t>mg alkoholio (etanolio), tai atitinka 1</w:t>
      </w:r>
      <w:r w:rsidRPr="009D52C3">
        <w:rPr>
          <w:rFonts w:ascii="Times New Roman" w:hAnsi="Times New Roman" w:cs="Times New Roman"/>
          <w:lang w:val="lt-LT"/>
        </w:rPr>
        <w:t> </w:t>
      </w:r>
      <w:r w:rsidRPr="009D52C3">
        <w:rPr>
          <w:rFonts w:ascii="Times New Roman" w:hAnsi="Times New Roman" w:cs="Times New Roman"/>
          <w:lang w:val="lt-LT" w:eastAsia="lt-LT"/>
        </w:rPr>
        <w:t>mg/100</w:t>
      </w:r>
      <w:r w:rsidRPr="009D52C3">
        <w:rPr>
          <w:rFonts w:ascii="Times New Roman" w:hAnsi="Times New Roman" w:cs="Times New Roman"/>
          <w:lang w:val="lt-LT"/>
        </w:rPr>
        <w:t> </w:t>
      </w:r>
      <w:r w:rsidRPr="009D52C3">
        <w:rPr>
          <w:rFonts w:ascii="Times New Roman" w:hAnsi="Times New Roman" w:cs="Times New Roman"/>
          <w:lang w:val="lt-LT" w:eastAsia="lt-LT"/>
        </w:rPr>
        <w:t>g (0,001</w:t>
      </w:r>
      <w:r w:rsidRPr="009D52C3">
        <w:rPr>
          <w:rFonts w:ascii="Times New Roman" w:hAnsi="Times New Roman" w:cs="Times New Roman"/>
          <w:lang w:val="lt-LT"/>
        </w:rPr>
        <w:t> </w:t>
      </w:r>
      <w:r w:rsidRPr="009D52C3">
        <w:rPr>
          <w:rFonts w:ascii="Times New Roman" w:hAnsi="Times New Roman" w:cs="Times New Roman"/>
          <w:lang w:val="lt-LT" w:eastAsia="lt-LT"/>
        </w:rPr>
        <w:t xml:space="preserve">% m/m). Toks </w:t>
      </w:r>
      <w:r w:rsidRPr="009D52C3">
        <w:rPr>
          <w:rFonts w:ascii="Times New Roman" w:eastAsia="Times New Roman" w:hAnsi="Times New Roman" w:cs="Times New Roman"/>
          <w:color w:val="000000"/>
          <w:spacing w:val="-1"/>
          <w:lang w:val="lt-LT" w:eastAsia="lt-LT"/>
        </w:rPr>
        <w:t xml:space="preserve">burnoje disperguojamojoje tabletėje </w:t>
      </w:r>
      <w:r w:rsidRPr="009D52C3">
        <w:rPr>
          <w:rFonts w:ascii="Times New Roman" w:hAnsi="Times New Roman" w:cs="Times New Roman"/>
          <w:lang w:val="lt-LT" w:eastAsia="lt-LT"/>
        </w:rPr>
        <w:t>esantis alkoholio kiekis atitinka mažiau kaip 0,00004</w:t>
      </w:r>
      <w:r w:rsidRPr="009D52C3">
        <w:rPr>
          <w:rFonts w:ascii="Times New Roman" w:hAnsi="Times New Roman" w:cs="Times New Roman"/>
          <w:lang w:val="lt-LT"/>
        </w:rPr>
        <w:t> </w:t>
      </w:r>
      <w:r w:rsidRPr="009D52C3">
        <w:rPr>
          <w:rFonts w:ascii="Times New Roman" w:hAnsi="Times New Roman" w:cs="Times New Roman"/>
          <w:lang w:val="lt-LT" w:eastAsia="lt-LT"/>
        </w:rPr>
        <w:t>ml alaus ar 0,00002</w:t>
      </w:r>
      <w:r w:rsidRPr="009D52C3">
        <w:rPr>
          <w:rFonts w:ascii="Times New Roman" w:hAnsi="Times New Roman" w:cs="Times New Roman"/>
          <w:lang w:val="lt-LT"/>
        </w:rPr>
        <w:t> </w:t>
      </w:r>
      <w:r w:rsidRPr="009D52C3">
        <w:rPr>
          <w:rFonts w:ascii="Times New Roman" w:hAnsi="Times New Roman" w:cs="Times New Roman"/>
          <w:lang w:val="lt-LT" w:eastAsia="lt-LT"/>
        </w:rPr>
        <w:t xml:space="preserve">ml vyno. </w:t>
      </w:r>
    </w:p>
    <w:p w14:paraId="77F6E4E7" w14:textId="77777777" w:rsidR="008E6CED" w:rsidRPr="009D52C3" w:rsidRDefault="008E6CED" w:rsidP="008E6CED">
      <w:pPr>
        <w:widowControl w:val="0"/>
        <w:adjustRightInd w:val="0"/>
        <w:snapToGrid w:val="0"/>
        <w:spacing w:after="0" w:line="240" w:lineRule="auto"/>
        <w:rPr>
          <w:rFonts w:ascii="Times New Roman" w:hAnsi="Times New Roman" w:cs="Times New Roman"/>
          <w:lang w:val="lt-LT" w:eastAsia="lt-LT"/>
        </w:rPr>
      </w:pPr>
    </w:p>
    <w:p w14:paraId="55B860BC" w14:textId="77777777" w:rsidR="008E6CED" w:rsidRPr="009D52C3" w:rsidRDefault="008E6CED" w:rsidP="008E6CED">
      <w:pPr>
        <w:widowControl w:val="0"/>
        <w:adjustRightInd w:val="0"/>
        <w:snapToGrid w:val="0"/>
        <w:spacing w:after="0" w:line="240" w:lineRule="auto"/>
        <w:rPr>
          <w:rFonts w:ascii="Times New Roman" w:hAnsi="Times New Roman" w:cs="Times New Roman"/>
          <w:lang w:val="lt-LT" w:eastAsia="lt-LT"/>
        </w:rPr>
      </w:pPr>
      <w:r w:rsidRPr="009D52C3">
        <w:rPr>
          <w:rFonts w:ascii="Times New Roman" w:hAnsi="Times New Roman" w:cs="Times New Roman"/>
          <w:lang w:val="lt-LT" w:eastAsia="lt-LT"/>
        </w:rPr>
        <w:t>Mažas alkoholio kiekis, esantis šio vaisto sudėtyje, nesukelia pastebimo poveikio.</w:t>
      </w:r>
    </w:p>
    <w:p w14:paraId="1D63FF04" w14:textId="77777777" w:rsidR="008E6CED" w:rsidRPr="009D52C3" w:rsidRDefault="008E6CED" w:rsidP="008E6CED">
      <w:pPr>
        <w:widowControl w:val="0"/>
        <w:adjustRightInd w:val="0"/>
        <w:snapToGrid w:val="0"/>
        <w:spacing w:after="0" w:line="240" w:lineRule="auto"/>
        <w:rPr>
          <w:rFonts w:ascii="Times New Roman" w:hAnsi="Times New Roman" w:cs="Times New Roman"/>
          <w:iCs/>
          <w:lang w:val="lt-LT"/>
        </w:rPr>
      </w:pPr>
    </w:p>
    <w:p w14:paraId="203AF37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hAnsi="Times New Roman" w:cs="Times New Roman"/>
          <w:iCs/>
          <w:lang w:val="lt-LT"/>
        </w:rPr>
        <w:t>Šio vaisto burnoje disperguojamoje tabletėje yra mažiau kaip 1 </w:t>
      </w:r>
      <w:proofErr w:type="spellStart"/>
      <w:r w:rsidRPr="009D52C3">
        <w:rPr>
          <w:rFonts w:ascii="Times New Roman" w:hAnsi="Times New Roman" w:cs="Times New Roman"/>
          <w:iCs/>
          <w:lang w:val="lt-LT"/>
        </w:rPr>
        <w:t>mmol</w:t>
      </w:r>
      <w:proofErr w:type="spellEnd"/>
      <w:r w:rsidRPr="009D52C3">
        <w:rPr>
          <w:rFonts w:ascii="Times New Roman" w:hAnsi="Times New Roman" w:cs="Times New Roman"/>
          <w:iCs/>
          <w:lang w:val="lt-LT"/>
        </w:rPr>
        <w:t xml:space="preserve"> (23 mg) natrio, </w:t>
      </w:r>
      <w:r w:rsidRPr="009D52C3">
        <w:rPr>
          <w:rFonts w:ascii="Times New Roman" w:hAnsi="Times New Roman" w:cs="Times New Roman"/>
          <w:iCs/>
          <w:lang w:val="lt-LT" w:eastAsia="lt-LT"/>
        </w:rPr>
        <w:t>t. y. jis beveik neturi reikšmės.</w:t>
      </w:r>
    </w:p>
    <w:p w14:paraId="109A690F"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0EBD159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06F294C8" w14:textId="77777777" w:rsidR="008E6CED" w:rsidRPr="009D52C3" w:rsidRDefault="008E6CED" w:rsidP="008E6CED">
      <w:pPr>
        <w:keepNext/>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4" w:name="_Toc129243266"/>
      <w:bookmarkStart w:id="5" w:name="_Toc129243141"/>
      <w:r w:rsidRPr="009D52C3">
        <w:rPr>
          <w:rFonts w:ascii="Times New Roman" w:eastAsia="Times New Roman" w:hAnsi="Times New Roman" w:cs="Times New Roman"/>
          <w:b/>
          <w:lang w:val="lt-LT"/>
        </w:rPr>
        <w:lastRenderedPageBreak/>
        <w:t>3.</w:t>
      </w:r>
      <w:r w:rsidRPr="009D52C3">
        <w:rPr>
          <w:rFonts w:ascii="Times New Roman" w:eastAsia="Times New Roman" w:hAnsi="Times New Roman" w:cs="Times New Roman"/>
          <w:b/>
          <w:lang w:val="lt-LT"/>
        </w:rPr>
        <w:tab/>
      </w:r>
      <w:bookmarkEnd w:id="4"/>
      <w:bookmarkEnd w:id="5"/>
      <w:r w:rsidRPr="009D52C3">
        <w:rPr>
          <w:rFonts w:ascii="Times New Roman" w:eastAsia="Times New Roman" w:hAnsi="Times New Roman" w:cs="Times New Roman"/>
          <w:b/>
          <w:lang w:val="lt-LT"/>
        </w:rPr>
        <w:t xml:space="preserve">Kaip vartoti </w:t>
      </w:r>
      <w:proofErr w:type="spellStart"/>
      <w:r w:rsidRPr="009D52C3">
        <w:rPr>
          <w:rFonts w:ascii="Times New Roman" w:eastAsia="Times New Roman" w:hAnsi="Times New Roman" w:cs="Times New Roman"/>
          <w:b/>
          <w:lang w:val="lt-LT"/>
        </w:rPr>
        <w:t>Opexa</w:t>
      </w:r>
      <w:proofErr w:type="spellEnd"/>
    </w:p>
    <w:p w14:paraId="23427C59"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8A924F1"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Visada vartokite šį vaistą tiksliai kaip nurodė gydytojas. Jeigu abejojate, kreipkitės į gydytoją arba vaistininką. </w:t>
      </w:r>
    </w:p>
    <w:p w14:paraId="1BFB1DC0"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0BB10D5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Vartojimas vaikams</w:t>
      </w:r>
    </w:p>
    <w:p w14:paraId="2258A99B"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000000"/>
          <w:lang w:val="lt-LT" w:eastAsia="lt-LT"/>
        </w:rPr>
        <w:t xml:space="preserve">Rekomenduojama dozė 6–11 metų vaikams, sveriantiems ne mažiau kaip 20 kg yra 10 mg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 xml:space="preserve"> (viena </w:t>
      </w:r>
      <w:r w:rsidRPr="009D52C3">
        <w:rPr>
          <w:rFonts w:ascii="Times New Roman" w:eastAsia="Times New Roman" w:hAnsi="Times New Roman" w:cs="Times New Roman"/>
          <w:color w:val="000000"/>
          <w:spacing w:val="-1"/>
          <w:lang w:val="lt-LT" w:eastAsia="lt-LT"/>
        </w:rPr>
        <w:t xml:space="preserve">burnoje disperguojama tabletė) vieną kartą per dieną alerginio </w:t>
      </w:r>
      <w:proofErr w:type="spellStart"/>
      <w:r w:rsidRPr="009D52C3">
        <w:rPr>
          <w:rFonts w:ascii="Times New Roman" w:eastAsia="Times New Roman" w:hAnsi="Times New Roman" w:cs="Times New Roman"/>
          <w:color w:val="000000"/>
          <w:spacing w:val="-1"/>
          <w:lang w:val="lt-LT" w:eastAsia="lt-LT"/>
        </w:rPr>
        <w:t>rinokonjunktyvito</w:t>
      </w:r>
      <w:proofErr w:type="spellEnd"/>
      <w:r w:rsidRPr="009D52C3">
        <w:rPr>
          <w:rFonts w:ascii="Times New Roman" w:eastAsia="Times New Roman" w:hAnsi="Times New Roman" w:cs="Times New Roman"/>
          <w:color w:val="000000"/>
          <w:spacing w:val="-1"/>
          <w:lang w:val="lt-LT" w:eastAsia="lt-LT"/>
        </w:rPr>
        <w:t xml:space="preserve"> ir dilgėlinės simptomų lengvinimui.</w:t>
      </w:r>
    </w:p>
    <w:p w14:paraId="3E6F563B"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spacing w:val="-1"/>
          <w:lang w:val="lt-LT" w:eastAsia="lt-LT"/>
        </w:rPr>
      </w:pPr>
    </w:p>
    <w:p w14:paraId="504BF4BE"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Jaunesniems kaip 6 metų vaikams, sveriantiems mažiau kaip 20 kg, šio vaisto duoti negalima, kadangi nėra pagrindžiančių duomenų.</w:t>
      </w:r>
    </w:p>
    <w:p w14:paraId="0CF8F8AA"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46684ADA"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9D52C3">
        <w:rPr>
          <w:rFonts w:ascii="Times New Roman" w:eastAsia="Times New Roman" w:hAnsi="Times New Roman" w:cs="Times New Roman"/>
          <w:color w:val="000000"/>
          <w:lang w:val="lt-LT" w:eastAsia="lt-LT"/>
        </w:rPr>
        <w:t xml:space="preserve">Suaugusiems pacientams, įskaitant senyvus, ir vyresniems kaip 12 paaugliams rekomenduojama dozė yra 20 mg </w:t>
      </w:r>
      <w:proofErr w:type="spellStart"/>
      <w:r w:rsidRPr="009D52C3">
        <w:rPr>
          <w:rFonts w:ascii="Times New Roman" w:eastAsia="Times New Roman" w:hAnsi="Times New Roman" w:cs="Times New Roman"/>
          <w:color w:val="000000"/>
          <w:lang w:val="lt-LT" w:eastAsia="lt-LT"/>
        </w:rPr>
        <w:t>bilastino</w:t>
      </w:r>
      <w:proofErr w:type="spellEnd"/>
      <w:r w:rsidRPr="009D52C3">
        <w:rPr>
          <w:rFonts w:ascii="Times New Roman" w:eastAsia="Times New Roman" w:hAnsi="Times New Roman" w:cs="Times New Roman"/>
          <w:color w:val="000000"/>
          <w:lang w:val="lt-LT" w:eastAsia="lt-LT"/>
        </w:rPr>
        <w:t xml:space="preserve"> vieną kartą per dieną. Šiai pacientų populiacijai yra labiau tinkamų vaisto farmacinių formų – pasiteiraukite gydytojo arba vaistininko.</w:t>
      </w:r>
    </w:p>
    <w:p w14:paraId="2A0C76C5" w14:textId="77777777" w:rsidR="008E6CED" w:rsidRPr="009D52C3" w:rsidRDefault="008E6CED" w:rsidP="008E6CE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3B353AC9" w14:textId="77777777" w:rsidR="008E6CED" w:rsidRPr="009D52C3" w:rsidRDefault="008E6CED" w:rsidP="008E6CED">
      <w:pPr>
        <w:pStyle w:val="Sraopastraipa"/>
        <w:widowControl w:val="0"/>
        <w:numPr>
          <w:ilvl w:val="0"/>
          <w:numId w:val="7"/>
        </w:numPr>
        <w:autoSpaceDE w:val="0"/>
        <w:autoSpaceDN w:val="0"/>
        <w:adjustRightInd w:val="0"/>
        <w:snapToGrid w:val="0"/>
        <w:spacing w:after="0" w:line="240" w:lineRule="auto"/>
        <w:contextualSpacing w:val="0"/>
        <w:textAlignment w:val="center"/>
        <w:rPr>
          <w:rFonts w:ascii="Times New Roman" w:eastAsia="Times New Roman" w:hAnsi="Times New Roman" w:cs="Times New Roman"/>
          <w:color w:val="000000"/>
          <w:spacing w:val="-1"/>
          <w:lang w:val="lt-LT" w:eastAsia="lt-LT"/>
        </w:rPr>
      </w:pPr>
      <w:r w:rsidRPr="009D52C3">
        <w:rPr>
          <w:rFonts w:ascii="Times New Roman" w:eastAsia="Times New Roman" w:hAnsi="Times New Roman" w:cs="Times New Roman"/>
          <w:color w:val="000000"/>
          <w:spacing w:val="-1"/>
          <w:lang w:val="lt-LT" w:eastAsia="lt-LT"/>
        </w:rPr>
        <w:t>Burnoje disperguojama tabletė vartojama per burną.</w:t>
      </w:r>
    </w:p>
    <w:p w14:paraId="041CF4FC" w14:textId="77777777" w:rsidR="008E6CED" w:rsidRPr="009D52C3" w:rsidRDefault="008E6CED" w:rsidP="008E6CED">
      <w:pPr>
        <w:pStyle w:val="Sraopastraipa"/>
        <w:widowControl w:val="0"/>
        <w:numPr>
          <w:ilvl w:val="0"/>
          <w:numId w:val="7"/>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Įdėkite </w:t>
      </w:r>
      <w:r w:rsidRPr="009D52C3">
        <w:rPr>
          <w:rFonts w:ascii="Times New Roman" w:eastAsia="Calibri" w:hAnsi="Times New Roman" w:cs="Times New Roman"/>
          <w:spacing w:val="-1"/>
          <w:lang w:val="lt-LT"/>
        </w:rPr>
        <w:t>burnoje disperguojamą t</w:t>
      </w:r>
      <w:r w:rsidRPr="009D52C3">
        <w:rPr>
          <w:rFonts w:ascii="Times New Roman" w:eastAsia="Calibri" w:hAnsi="Times New Roman" w:cs="Times New Roman"/>
          <w:lang w:val="lt-LT"/>
        </w:rPr>
        <w:t>abletę vaikui į burną. Ji greitai disperguojasi seilėse ir gali būti lengvai nuryjama.</w:t>
      </w:r>
    </w:p>
    <w:p w14:paraId="65EF115B" w14:textId="77777777" w:rsidR="008E6CED" w:rsidRPr="009D52C3" w:rsidRDefault="008E6CED" w:rsidP="008E6CED">
      <w:pPr>
        <w:pStyle w:val="Sraopastraipa"/>
        <w:widowControl w:val="0"/>
        <w:numPr>
          <w:ilvl w:val="0"/>
          <w:numId w:val="7"/>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Taip pat Jūs galite prieš duodama vaisto vaikui, burnoje disperguojamą tabletę ištirpinti arbatiniame šaukštelyje vandens. </w:t>
      </w:r>
      <w:r>
        <w:rPr>
          <w:rFonts w:ascii="Times New Roman" w:eastAsia="Calibri" w:hAnsi="Times New Roman" w:cs="Times New Roman"/>
          <w:noProof/>
          <w:lang w:val="lt-LT"/>
        </w:rPr>
        <w:t xml:space="preserve">Tai yapč rekomenduojama daryti vartojant jaunesniems kaip 6 metų vaikams, nes jiems yra didesnė tikimybė įkvėpti tabletę kaip svetimkūnį. </w:t>
      </w:r>
      <w:r w:rsidRPr="009D52C3">
        <w:rPr>
          <w:rFonts w:ascii="Times New Roman" w:eastAsia="Calibri" w:hAnsi="Times New Roman" w:cs="Times New Roman"/>
          <w:lang w:val="lt-LT"/>
        </w:rPr>
        <w:t>Svarbu įsitikinti, kad vaisto likučių neliks šaukštelyje.</w:t>
      </w:r>
    </w:p>
    <w:p w14:paraId="1F79B789" w14:textId="77777777" w:rsidR="008E6CED" w:rsidRPr="009D52C3" w:rsidRDefault="008E6CED" w:rsidP="008E6CED">
      <w:pPr>
        <w:pStyle w:val="Sraopastraipa"/>
        <w:widowControl w:val="0"/>
        <w:numPr>
          <w:ilvl w:val="0"/>
          <w:numId w:val="7"/>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b/>
          <w:lang w:val="lt-LT"/>
        </w:rPr>
        <w:t>Tirpinimui galima naudoti tik vandenį</w:t>
      </w:r>
      <w:r w:rsidRPr="009D52C3">
        <w:rPr>
          <w:rFonts w:ascii="Times New Roman" w:eastAsia="Calibri" w:hAnsi="Times New Roman" w:cs="Times New Roman"/>
          <w:lang w:val="lt-LT"/>
        </w:rPr>
        <w:t>, nenaudokite greipfrutų ar kitų vaisių sulčių.</w:t>
      </w:r>
    </w:p>
    <w:p w14:paraId="1B82D6B1" w14:textId="77777777" w:rsidR="008E6CED" w:rsidRPr="009D52C3" w:rsidRDefault="008E6CED" w:rsidP="008E6CED">
      <w:pPr>
        <w:pStyle w:val="Sraopastraipa"/>
        <w:widowControl w:val="0"/>
        <w:numPr>
          <w:ilvl w:val="0"/>
          <w:numId w:val="7"/>
        </w:numPr>
        <w:adjustRightInd w:val="0"/>
        <w:snapToGrid w:val="0"/>
        <w:spacing w:after="0" w:line="240" w:lineRule="auto"/>
        <w:contextualSpacing w:val="0"/>
        <w:rPr>
          <w:rFonts w:ascii="Times New Roman" w:eastAsia="Calibri" w:hAnsi="Times New Roman" w:cs="Times New Roman"/>
          <w:lang w:val="lt-LT"/>
        </w:rPr>
      </w:pPr>
      <w:r w:rsidRPr="009D52C3">
        <w:rPr>
          <w:rFonts w:ascii="Times New Roman" w:eastAsia="Calibri" w:hAnsi="Times New Roman" w:cs="Times New Roman"/>
          <w:lang w:val="lt-LT"/>
        </w:rPr>
        <w:t>Burnoje disperguojamą tabletę reikia duoti vaikui išgerti vieną valandą iki arba praėjus dviem valandoms po valgymo arba vaisių sulčių gėrimo.</w:t>
      </w:r>
    </w:p>
    <w:p w14:paraId="05730890"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91C41FF"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Kadangi gydymo trukmė priklauso nuo Jūsų vaiko ligos ypatumų, gydytojas nuspręs kiek laiko Jūsų vaikas turi vartoti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w:t>
      </w:r>
    </w:p>
    <w:p w14:paraId="3C1CAAA1"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2CAB7E8"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 xml:space="preserve">Ką daryti pavartojus per didelę </w:t>
      </w: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dozę</w:t>
      </w:r>
    </w:p>
    <w:p w14:paraId="25FE1BD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Jeigu Jūsų vaikas arba kas nors kitas išgėrė per daug šio vaisto, </w:t>
      </w:r>
      <w:r w:rsidRPr="009D52C3">
        <w:rPr>
          <w:rFonts w:ascii="Times New Roman" w:eastAsia="Calibri" w:hAnsi="Times New Roman" w:cs="Times New Roman"/>
          <w:b/>
          <w:lang w:val="lt-LT"/>
        </w:rPr>
        <w:t xml:space="preserve">nedelsiant </w:t>
      </w:r>
      <w:r w:rsidRPr="009D52C3">
        <w:rPr>
          <w:rFonts w:ascii="Times New Roman" w:eastAsia="Calibri" w:hAnsi="Times New Roman" w:cs="Times New Roman"/>
          <w:lang w:val="lt-LT"/>
        </w:rPr>
        <w:t>kreipkitės į gydytoją arba į artimiausios ligoninės skubios pagalbos skyrių. Nepamirškite pasiimti kartu šio vaisto pakuotę arba šį informacinį lapelį.</w:t>
      </w:r>
    </w:p>
    <w:p w14:paraId="207E074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DEA0D48"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 xml:space="preserve">Pamiršus pavartoti </w:t>
      </w: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w:t>
      </w:r>
    </w:p>
    <w:p w14:paraId="370C388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 užmiršote Jūsų vaikui duoti išgerti vaisto dozę tinkamu laiku, duokite išgerkite tą pačią dieną, kai tik apie tai prisiminsite. Kitą dozę duokite išgerti kitą dieną įprasta gydytojo nurodyta tvarka.</w:t>
      </w:r>
    </w:p>
    <w:p w14:paraId="6AE0934A"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47F635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Niekada </w:t>
      </w:r>
      <w:r w:rsidRPr="009D52C3">
        <w:rPr>
          <w:rFonts w:ascii="Times New Roman" w:eastAsia="Calibri" w:hAnsi="Times New Roman" w:cs="Times New Roman"/>
          <w:b/>
          <w:lang w:val="lt-LT"/>
        </w:rPr>
        <w:t>negalima</w:t>
      </w:r>
      <w:r w:rsidRPr="009D52C3">
        <w:rPr>
          <w:rFonts w:ascii="Times New Roman" w:eastAsia="Calibri" w:hAnsi="Times New Roman" w:cs="Times New Roman"/>
          <w:lang w:val="lt-LT"/>
        </w:rPr>
        <w:t xml:space="preserve"> vartoti dvigubos dozės norint kompensuoti praleistą dozę.</w:t>
      </w:r>
    </w:p>
    <w:p w14:paraId="6612B1F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7642DEEB" w14:textId="77777777" w:rsidR="008E6CED" w:rsidRPr="009D52C3" w:rsidRDefault="008E6CED" w:rsidP="008E6CED">
      <w:pPr>
        <w:widowControl w:val="0"/>
        <w:adjustRightInd w:val="0"/>
        <w:snapToGrid w:val="0"/>
        <w:spacing w:after="0" w:line="240" w:lineRule="auto"/>
        <w:outlineLvl w:val="3"/>
        <w:rPr>
          <w:rFonts w:ascii="Times New Roman" w:eastAsiaTheme="majorEastAsia" w:hAnsi="Times New Roman" w:cs="Times New Roman"/>
          <w:b/>
          <w:iCs/>
          <w:lang w:val="lt-LT"/>
        </w:rPr>
      </w:pPr>
      <w:r w:rsidRPr="009D52C3">
        <w:rPr>
          <w:rFonts w:ascii="Times New Roman" w:eastAsiaTheme="majorEastAsia" w:hAnsi="Times New Roman" w:cs="Times New Roman"/>
          <w:b/>
          <w:iCs/>
          <w:lang w:val="lt-LT"/>
        </w:rPr>
        <w:t xml:space="preserve">Nustojus vartoti </w:t>
      </w:r>
      <w:proofErr w:type="spellStart"/>
      <w:r w:rsidRPr="009D52C3">
        <w:rPr>
          <w:rFonts w:ascii="Times New Roman" w:eastAsiaTheme="majorEastAsia" w:hAnsi="Times New Roman" w:cs="Times New Roman"/>
          <w:b/>
          <w:iCs/>
          <w:lang w:val="lt-LT"/>
        </w:rPr>
        <w:t>Opexa</w:t>
      </w:r>
      <w:proofErr w:type="spellEnd"/>
    </w:p>
    <w:p w14:paraId="7E6EDD6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Nustojus vartoti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dažniausiai neturėtų būti kokių nors sutrikimų.</w:t>
      </w:r>
    </w:p>
    <w:p w14:paraId="7E31626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799187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kiltų daugiau klausimų dėl šio vaisto vartojimo, kreipkitės į gydytoją arba vaistininką.</w:t>
      </w:r>
    </w:p>
    <w:p w14:paraId="574C10E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C3143F0"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90815BF" w14:textId="77777777" w:rsidR="008E6CED" w:rsidRPr="009D52C3" w:rsidRDefault="008E6CED" w:rsidP="008E6CED">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6" w:name="_Toc129243267"/>
      <w:bookmarkStart w:id="7" w:name="_Toc129243142"/>
      <w:r w:rsidRPr="009D52C3">
        <w:rPr>
          <w:rFonts w:ascii="Times New Roman" w:eastAsia="Times New Roman" w:hAnsi="Times New Roman" w:cs="Times New Roman"/>
          <w:b/>
          <w:lang w:val="lt-LT"/>
        </w:rPr>
        <w:t>4.</w:t>
      </w:r>
      <w:r w:rsidRPr="009D52C3">
        <w:rPr>
          <w:rFonts w:ascii="Times New Roman" w:eastAsia="Times New Roman" w:hAnsi="Times New Roman" w:cs="Times New Roman"/>
          <w:b/>
          <w:lang w:val="lt-LT"/>
        </w:rPr>
        <w:tab/>
      </w:r>
      <w:bookmarkEnd w:id="6"/>
      <w:bookmarkEnd w:id="7"/>
      <w:r w:rsidRPr="009D52C3">
        <w:rPr>
          <w:rFonts w:ascii="Times New Roman" w:eastAsia="Times New Roman" w:hAnsi="Times New Roman" w:cs="Times New Roman"/>
          <w:b/>
          <w:lang w:val="lt-LT"/>
        </w:rPr>
        <w:t>Galimas šalutinis poveikis</w:t>
      </w:r>
    </w:p>
    <w:p w14:paraId="363705C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77E5380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Šis vaistas, kaip ir visi kiti, gali sukelti šalutinį poveikį, nors jis pasireiškia ne visiems žmonėms.</w:t>
      </w:r>
    </w:p>
    <w:p w14:paraId="2FA40A43"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32A8761"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Jei Jūsų vaikui pasireiškė alerginės reakcijos, tarp kurių simptomų gali būti pasunkėjęs kvėpavimas, svaigulys, </w:t>
      </w:r>
      <w:proofErr w:type="spellStart"/>
      <w:r w:rsidRPr="009D52C3">
        <w:rPr>
          <w:rFonts w:ascii="Times New Roman" w:eastAsia="Calibri" w:hAnsi="Times New Roman" w:cs="Times New Roman"/>
          <w:lang w:val="lt-LT"/>
        </w:rPr>
        <w:t>kolapsas</w:t>
      </w:r>
      <w:proofErr w:type="spellEnd"/>
      <w:r w:rsidRPr="009D52C3">
        <w:rPr>
          <w:rFonts w:ascii="Times New Roman" w:eastAsia="Calibri" w:hAnsi="Times New Roman" w:cs="Times New Roman"/>
          <w:lang w:val="lt-LT"/>
        </w:rPr>
        <w:t xml:space="preserve"> arba sąmonės praradimas, veido, lūpų, liežuvio ar gerklės patinimas ir (arba) odos patinimas ir paraudimas, nutraukite vaisto vartojimą. ir nedelsdami kreipkitės į gydytoją.</w:t>
      </w:r>
    </w:p>
    <w:p w14:paraId="51986250"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5E007B3D" w14:textId="77777777" w:rsidR="008E6CED" w:rsidRPr="009D52C3" w:rsidRDefault="008E6CED" w:rsidP="008E6CED">
      <w:pPr>
        <w:keepNext/>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lastRenderedPageBreak/>
        <w:t>Kiti šalutinio poveikio reiškiniai, kurių gali pasireikšti vaikams</w:t>
      </w:r>
    </w:p>
    <w:p w14:paraId="5384CDBE" w14:textId="77777777" w:rsidR="008E6CED" w:rsidRPr="009D52C3" w:rsidRDefault="008E6CED" w:rsidP="008E6CED">
      <w:pPr>
        <w:keepNext/>
        <w:widowControl w:val="0"/>
        <w:adjustRightInd w:val="0"/>
        <w:snapToGrid w:val="0"/>
        <w:spacing w:after="0" w:line="240" w:lineRule="auto"/>
        <w:rPr>
          <w:rFonts w:ascii="Times New Roman" w:eastAsia="Calibri" w:hAnsi="Times New Roman" w:cs="Times New Roman"/>
          <w:lang w:val="lt-LT"/>
        </w:rPr>
      </w:pPr>
    </w:p>
    <w:p w14:paraId="28D5D22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Dažni šalutinio poveikio reiškiniai (gali pasireikšti rečiau kaip 1 iš 10 asmenų)</w:t>
      </w:r>
    </w:p>
    <w:p w14:paraId="2DEC2418" w14:textId="77777777" w:rsidR="008E6CED" w:rsidRPr="009D52C3" w:rsidRDefault="008E6CED" w:rsidP="008E6CED">
      <w:pPr>
        <w:widowControl w:val="0"/>
        <w:numPr>
          <w:ilvl w:val="0"/>
          <w:numId w:val="1"/>
        </w:numPr>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alerginis konjunktyvitas (akių sudirginimas),</w:t>
      </w:r>
    </w:p>
    <w:p w14:paraId="57318535"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galvos skausmas</w:t>
      </w:r>
      <w:r>
        <w:rPr>
          <w:rFonts w:ascii="Times New Roman" w:eastAsia="Calibri" w:hAnsi="Times New Roman" w:cs="Times New Roman"/>
          <w:lang w:val="lt-LT"/>
        </w:rPr>
        <w:t>.</w:t>
      </w:r>
    </w:p>
    <w:p w14:paraId="21D02FF3"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p>
    <w:p w14:paraId="4ACC541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BC3F0BF"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Nedažni šalutinio poveikio reiškiniai (gali pasireikšti rečiau kaip 1 iš 100 asmenų)</w:t>
      </w:r>
    </w:p>
    <w:p w14:paraId="46F78DCD"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akių sudirginimas,</w:t>
      </w:r>
    </w:p>
    <w:p w14:paraId="2207D714"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mieguistumas,</w:t>
      </w:r>
    </w:p>
    <w:p w14:paraId="21D2D96F"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sąmonės netekimas,</w:t>
      </w:r>
    </w:p>
    <w:p w14:paraId="30EC2F86"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viduriavimas,</w:t>
      </w:r>
    </w:p>
    <w:p w14:paraId="6FE7E3FF"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pykinimas,</w:t>
      </w:r>
    </w:p>
    <w:p w14:paraId="2E228FF2"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lūpų patinimas,</w:t>
      </w:r>
    </w:p>
    <w:p w14:paraId="7EF8F660"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 xml:space="preserve">egzema, </w:t>
      </w:r>
    </w:p>
    <w:p w14:paraId="3010BB4F"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dilgėlinė (pūkšlės),</w:t>
      </w:r>
    </w:p>
    <w:p w14:paraId="0CEE980D" w14:textId="77777777" w:rsidR="008E6CED"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nuovargis</w:t>
      </w:r>
      <w:r>
        <w:rPr>
          <w:rFonts w:ascii="Times New Roman" w:eastAsia="Calibri" w:hAnsi="Times New Roman" w:cs="Times New Roman"/>
          <w:lang w:val="lt-LT"/>
        </w:rPr>
        <w:t>,</w:t>
      </w:r>
    </w:p>
    <w:p w14:paraId="384BCFBD" w14:textId="77777777" w:rsidR="008E6CED"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Pr>
          <w:rFonts w:ascii="Times New Roman" w:eastAsia="Calibri" w:hAnsi="Times New Roman" w:cs="Times New Roman"/>
          <w:lang w:val="lt-LT"/>
        </w:rPr>
        <w:t>sloga (nosies dirginimas),</w:t>
      </w:r>
    </w:p>
    <w:p w14:paraId="4F6D5529" w14:textId="77777777" w:rsidR="008E6CED" w:rsidRPr="009D52C3" w:rsidRDefault="008E6CED" w:rsidP="008E6CED">
      <w:pPr>
        <w:pStyle w:val="Sraopastraipa"/>
        <w:widowControl w:val="0"/>
        <w:numPr>
          <w:ilvl w:val="0"/>
          <w:numId w:val="8"/>
        </w:numPr>
        <w:adjustRightInd w:val="0"/>
        <w:snapToGrid w:val="0"/>
        <w:spacing w:after="0" w:line="240" w:lineRule="auto"/>
        <w:ind w:left="567" w:hanging="567"/>
        <w:contextualSpacing w:val="0"/>
        <w:rPr>
          <w:rFonts w:ascii="Times New Roman" w:eastAsia="Calibri" w:hAnsi="Times New Roman" w:cs="Times New Roman"/>
          <w:lang w:val="lt-LT"/>
        </w:rPr>
      </w:pPr>
      <w:r w:rsidRPr="009D52C3">
        <w:rPr>
          <w:rFonts w:ascii="Times New Roman" w:eastAsia="Calibri" w:hAnsi="Times New Roman" w:cs="Times New Roman"/>
          <w:lang w:val="lt-LT"/>
        </w:rPr>
        <w:t>skausmas skrandžio plote (pilvo arba pilvo viršutinės dalies skausmas).</w:t>
      </w:r>
    </w:p>
    <w:p w14:paraId="3068D50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0C0F37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Šalutinio poveikio reiškiniai, kurių gali pasireikšti suaugusiesiems ir paaugliams</w:t>
      </w:r>
    </w:p>
    <w:p w14:paraId="4548DD1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757AD4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Dažni šalutinio poveikio reiškiniai (gali pasireikšti rečiau kaip 1 iš 10 asmenų)</w:t>
      </w:r>
    </w:p>
    <w:p w14:paraId="199F4D6B" w14:textId="77777777" w:rsidR="008E6CED" w:rsidRPr="009D52C3" w:rsidRDefault="008E6CED" w:rsidP="008E6CE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galvos skausmas,</w:t>
      </w:r>
    </w:p>
    <w:p w14:paraId="0F69C66F" w14:textId="77777777" w:rsidR="008E6CED" w:rsidRPr="009D52C3" w:rsidRDefault="008E6CED" w:rsidP="008E6CE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mieguistumas.</w:t>
      </w:r>
    </w:p>
    <w:p w14:paraId="67EE4B8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BD3F3D3"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bCs/>
          <w:lang w:val="lt-LT"/>
        </w:rPr>
        <w:t>Nedažni šalutinio poveikio reiškiniai (gali pasireikšti rečiau kaip 1 iš 100 asmenų)</w:t>
      </w:r>
    </w:p>
    <w:p w14:paraId="4D3DBC92"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EKG pakitimai,</w:t>
      </w:r>
    </w:p>
    <w:p w14:paraId="5477FB7D"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kraujo pakitimai, rodantys kepenų veiklos aktyvumą,</w:t>
      </w:r>
    </w:p>
    <w:p w14:paraId="19F7CB12"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svaigulys,</w:t>
      </w:r>
    </w:p>
    <w:p w14:paraId="52363127"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skrandžio skausmas,</w:t>
      </w:r>
    </w:p>
    <w:p w14:paraId="0408872E"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nuovargis,</w:t>
      </w:r>
    </w:p>
    <w:p w14:paraId="5636934D"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padidėjęs apetitas,</w:t>
      </w:r>
    </w:p>
    <w:p w14:paraId="06BDD588"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nereguliarus širdies plakimas,</w:t>
      </w:r>
    </w:p>
    <w:p w14:paraId="3BB56CBE"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 xml:space="preserve">padidėjęs svoris, </w:t>
      </w:r>
    </w:p>
    <w:p w14:paraId="3A19808D"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pykinimas,</w:t>
      </w:r>
    </w:p>
    <w:p w14:paraId="7F657EA8"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baimė,</w:t>
      </w:r>
    </w:p>
    <w:p w14:paraId="73B8E046"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nosies džiūvimas arba kitas nemalonus pojūtis,</w:t>
      </w:r>
    </w:p>
    <w:p w14:paraId="1680D757"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pilvo skausmas,</w:t>
      </w:r>
    </w:p>
    <w:p w14:paraId="67D1EC76"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 xml:space="preserve">viduriavimas, </w:t>
      </w:r>
    </w:p>
    <w:p w14:paraId="7B694C1F"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gastritas (skrandžio gleivinės uždegimas),</w:t>
      </w:r>
    </w:p>
    <w:p w14:paraId="119A38A0"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galvos svaigimas (</w:t>
      </w:r>
      <w:proofErr w:type="spellStart"/>
      <w:r w:rsidRPr="009D52C3">
        <w:rPr>
          <w:rFonts w:ascii="Times New Roman" w:eastAsia="Calibri" w:hAnsi="Times New Roman" w:cs="Times New Roman"/>
          <w:i/>
          <w:lang w:val="lt-LT"/>
        </w:rPr>
        <w:t>vertigo</w:t>
      </w:r>
      <w:proofErr w:type="spellEnd"/>
      <w:r w:rsidRPr="009D52C3">
        <w:rPr>
          <w:rFonts w:ascii="Times New Roman" w:eastAsia="Calibri" w:hAnsi="Times New Roman" w:cs="Times New Roman"/>
          <w:lang w:val="lt-LT"/>
        </w:rPr>
        <w:t>),</w:t>
      </w:r>
    </w:p>
    <w:p w14:paraId="647B133C"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silpnumas,</w:t>
      </w:r>
    </w:p>
    <w:p w14:paraId="609DDF14"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troškulys,</w:t>
      </w:r>
    </w:p>
    <w:p w14:paraId="2383ECE4"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dusulys (pasunkėjęs kvėpavimas),</w:t>
      </w:r>
    </w:p>
    <w:p w14:paraId="1723AC84"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burnos džiūvimas,</w:t>
      </w:r>
    </w:p>
    <w:p w14:paraId="4E9DF495"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sutrikęs virškinimas,</w:t>
      </w:r>
    </w:p>
    <w:p w14:paraId="1CBCCD8D"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niežulys,</w:t>
      </w:r>
    </w:p>
    <w:p w14:paraId="12265066"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pūslelinė (</w:t>
      </w:r>
      <w:proofErr w:type="spellStart"/>
      <w:r w:rsidRPr="009D52C3">
        <w:rPr>
          <w:rFonts w:ascii="Times New Roman" w:eastAsia="Calibri" w:hAnsi="Times New Roman" w:cs="Times New Roman"/>
          <w:i/>
          <w:lang w:val="lt-LT"/>
        </w:rPr>
        <w:t>herpes</w:t>
      </w:r>
      <w:proofErr w:type="spellEnd"/>
      <w:r w:rsidRPr="009D52C3">
        <w:rPr>
          <w:rFonts w:ascii="Times New Roman" w:eastAsia="Calibri" w:hAnsi="Times New Roman" w:cs="Times New Roman"/>
          <w:i/>
          <w:lang w:val="lt-LT"/>
        </w:rPr>
        <w:t>)</w:t>
      </w:r>
      <w:r w:rsidRPr="009D52C3">
        <w:rPr>
          <w:rFonts w:ascii="Times New Roman" w:eastAsia="Calibri" w:hAnsi="Times New Roman" w:cs="Times New Roman"/>
          <w:lang w:val="lt-LT"/>
        </w:rPr>
        <w:t>,</w:t>
      </w:r>
    </w:p>
    <w:p w14:paraId="62E7190B"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karščiavimas,</w:t>
      </w:r>
    </w:p>
    <w:p w14:paraId="56B8997B"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ūžesys ausyse,</w:t>
      </w:r>
    </w:p>
    <w:p w14:paraId="02E4DF66"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miego sutrikimas,</w:t>
      </w:r>
    </w:p>
    <w:p w14:paraId="215B0C1F"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kraujo tyrimai, rodantys inkstų veiklos pakitimus,</w:t>
      </w:r>
    </w:p>
    <w:p w14:paraId="3CECC05B" w14:textId="77777777" w:rsidR="008E6CED" w:rsidRPr="009D52C3" w:rsidRDefault="008E6CED" w:rsidP="008E6CE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padidėjęs riebalų kiekis kraujyje.</w:t>
      </w:r>
    </w:p>
    <w:p w14:paraId="619C2B4A"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p>
    <w:p w14:paraId="3F35939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Dažnis nežinomas (negali būti apskaičiuotas pagal turimus duomenis)</w:t>
      </w:r>
    </w:p>
    <w:p w14:paraId="056CF728" w14:textId="77777777" w:rsidR="008E6CED" w:rsidRPr="009D52C3" w:rsidRDefault="008E6CED" w:rsidP="008E6CED">
      <w:pPr>
        <w:widowControl w:val="0"/>
        <w:numPr>
          <w:ilvl w:val="0"/>
          <w:numId w:val="4"/>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 xml:space="preserve">širdies </w:t>
      </w:r>
      <w:proofErr w:type="spellStart"/>
      <w:r w:rsidRPr="009D52C3">
        <w:rPr>
          <w:rFonts w:ascii="Times New Roman" w:eastAsia="Calibri" w:hAnsi="Times New Roman" w:cs="Times New Roman"/>
          <w:lang w:val="lt-LT"/>
        </w:rPr>
        <w:t>tvinksniai</w:t>
      </w:r>
      <w:proofErr w:type="spellEnd"/>
      <w:r w:rsidRPr="009D52C3">
        <w:rPr>
          <w:rFonts w:ascii="Times New Roman" w:eastAsia="Calibri" w:hAnsi="Times New Roman" w:cs="Times New Roman"/>
          <w:lang w:val="lt-LT"/>
        </w:rPr>
        <w:t xml:space="preserve"> (pojūtis, kad jūsų širdis plaka),</w:t>
      </w:r>
    </w:p>
    <w:p w14:paraId="40527C71" w14:textId="77777777" w:rsidR="008E6CED" w:rsidRPr="009D52C3" w:rsidRDefault="008E6CED" w:rsidP="008E6CED">
      <w:pPr>
        <w:widowControl w:val="0"/>
        <w:numPr>
          <w:ilvl w:val="0"/>
          <w:numId w:val="4"/>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tachikardija (dažnas širdies plakimas),</w:t>
      </w:r>
    </w:p>
    <w:p w14:paraId="377CDCC2" w14:textId="77777777" w:rsidR="008E6CED" w:rsidRPr="009D52C3" w:rsidRDefault="008E6CED" w:rsidP="008E6CED">
      <w:pPr>
        <w:widowControl w:val="0"/>
        <w:numPr>
          <w:ilvl w:val="0"/>
          <w:numId w:val="4"/>
        </w:numPr>
        <w:tabs>
          <w:tab w:val="num" w:pos="1498"/>
        </w:tabs>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Theme="minorEastAsia" w:hAnsi="Times New Roman" w:cs="Times New Roman"/>
          <w:lang w:val="lt-LT"/>
        </w:rPr>
        <w:t>vėmimas.</w:t>
      </w:r>
    </w:p>
    <w:p w14:paraId="4C2DD2E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5017669"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lang w:val="lt-LT"/>
        </w:rPr>
        <w:t>Pranešimas apie šalutinį poveikį</w:t>
      </w:r>
    </w:p>
    <w:p w14:paraId="7428695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pasireiškė šalutinis poveikis, įskaitant šiame l</w:t>
      </w:r>
      <w:r>
        <w:rPr>
          <w:rFonts w:ascii="Times New Roman" w:eastAsia="Calibri" w:hAnsi="Times New Roman" w:cs="Times New Roman"/>
          <w:lang w:val="lt-LT"/>
        </w:rPr>
        <w:t>a</w:t>
      </w:r>
      <w:r w:rsidRPr="009D52C3">
        <w:rPr>
          <w:rFonts w:ascii="Times New Roman" w:eastAsia="Calibri" w:hAnsi="Times New Roman" w:cs="Times New Roman"/>
          <w:lang w:val="lt-LT"/>
        </w:rPr>
        <w:t xml:space="preserve">pelyje nenurodytą, pasakykite gydytojui arba vaistininkui. </w:t>
      </w:r>
      <w:bookmarkStart w:id="8" w:name="_Hlk200444258"/>
      <w:r w:rsidRPr="0083528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Pr>
          <w:rFonts w:ascii="Times New Roman" w:hAnsi="Times New Roman" w:cs="Times New Roman"/>
          <w:lang w:val="lt-LT"/>
        </w:rPr>
        <w:t>.</w:t>
      </w:r>
      <w:bookmarkEnd w:id="8"/>
    </w:p>
    <w:p w14:paraId="4D5E2E9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12DED43"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9F3E2BB" w14:textId="77777777" w:rsidR="008E6CED" w:rsidRPr="009D52C3" w:rsidRDefault="008E6CED" w:rsidP="008E6CED">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9" w:name="_Toc129243268"/>
      <w:bookmarkStart w:id="10" w:name="_Toc129243143"/>
      <w:r w:rsidRPr="009D52C3">
        <w:rPr>
          <w:rFonts w:ascii="Times New Roman" w:eastAsia="Times New Roman" w:hAnsi="Times New Roman" w:cs="Times New Roman"/>
          <w:b/>
          <w:lang w:val="lt-LT"/>
        </w:rPr>
        <w:t>5.</w:t>
      </w:r>
      <w:r w:rsidRPr="009D52C3">
        <w:rPr>
          <w:rFonts w:ascii="Times New Roman" w:eastAsia="Times New Roman" w:hAnsi="Times New Roman" w:cs="Times New Roman"/>
          <w:b/>
          <w:lang w:val="lt-LT"/>
        </w:rPr>
        <w:tab/>
      </w:r>
      <w:bookmarkEnd w:id="9"/>
      <w:bookmarkEnd w:id="10"/>
      <w:r w:rsidRPr="009D52C3">
        <w:rPr>
          <w:rFonts w:ascii="Times New Roman" w:eastAsia="Times New Roman" w:hAnsi="Times New Roman" w:cs="Times New Roman"/>
          <w:b/>
          <w:lang w:val="lt-LT"/>
        </w:rPr>
        <w:t xml:space="preserve"> Kaip laikyti </w:t>
      </w:r>
      <w:proofErr w:type="spellStart"/>
      <w:r w:rsidRPr="009D52C3">
        <w:rPr>
          <w:rFonts w:ascii="Times New Roman" w:eastAsia="Times New Roman" w:hAnsi="Times New Roman" w:cs="Times New Roman"/>
          <w:b/>
          <w:lang w:val="lt-LT"/>
        </w:rPr>
        <w:t>Opexa</w:t>
      </w:r>
      <w:proofErr w:type="spellEnd"/>
    </w:p>
    <w:p w14:paraId="2C4DED09"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48B489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Šį vaistą laikykite vaikams nepastebimoje ir nepasiekiamoje vietoje.</w:t>
      </w:r>
    </w:p>
    <w:p w14:paraId="2E6C85E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45A8A00"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Ant dėžutės ir lizdinės plokštelės po „EXP“ nurodytam tinkamumo laikui pasibaigus, šio vaisto vartoti negalima. Vaistas tinkamas vartoti iki paskutinės nurodyto mėnesio dienos.</w:t>
      </w:r>
    </w:p>
    <w:p w14:paraId="706CDE9D"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BA52B3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Šiam vaistui specialių laikymo sąlygų nereikia.</w:t>
      </w:r>
    </w:p>
    <w:p w14:paraId="2A77B253"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D00EFB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7F95051"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728B118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5C2C9401" w14:textId="77777777" w:rsidR="008E6CED" w:rsidRPr="009D52C3" w:rsidRDefault="008E6CED" w:rsidP="008E6CED">
      <w:pPr>
        <w:widowControl w:val="0"/>
        <w:tabs>
          <w:tab w:val="left" w:pos="567"/>
        </w:tabs>
        <w:adjustRightInd w:val="0"/>
        <w:snapToGrid w:val="0"/>
        <w:spacing w:after="0" w:line="240" w:lineRule="auto"/>
        <w:ind w:left="567" w:hanging="567"/>
        <w:outlineLvl w:val="1"/>
        <w:rPr>
          <w:rFonts w:ascii="Times New Roman" w:eastAsia="Times New Roman" w:hAnsi="Times New Roman" w:cs="Times New Roman"/>
          <w:b/>
          <w:lang w:val="lt-LT"/>
        </w:rPr>
      </w:pPr>
      <w:bookmarkStart w:id="11" w:name="_Toc129243269"/>
      <w:bookmarkStart w:id="12" w:name="_Toc129243144"/>
      <w:r w:rsidRPr="009D52C3">
        <w:rPr>
          <w:rFonts w:ascii="Times New Roman" w:eastAsia="Times New Roman" w:hAnsi="Times New Roman" w:cs="Times New Roman"/>
          <w:b/>
          <w:lang w:val="lt-LT"/>
        </w:rPr>
        <w:t>6.</w:t>
      </w:r>
      <w:r w:rsidRPr="009D52C3">
        <w:rPr>
          <w:rFonts w:ascii="Times New Roman" w:eastAsia="Times New Roman" w:hAnsi="Times New Roman" w:cs="Times New Roman"/>
          <w:b/>
          <w:lang w:val="lt-LT"/>
        </w:rPr>
        <w:tab/>
      </w:r>
      <w:bookmarkEnd w:id="11"/>
      <w:bookmarkEnd w:id="12"/>
      <w:r w:rsidRPr="009D52C3">
        <w:rPr>
          <w:rFonts w:ascii="Times New Roman" w:eastAsia="Times New Roman" w:hAnsi="Times New Roman" w:cs="Times New Roman"/>
          <w:b/>
          <w:lang w:val="lt-LT"/>
        </w:rPr>
        <w:t>Pakuotės turinys ir kita informacija</w:t>
      </w:r>
    </w:p>
    <w:p w14:paraId="3536BF1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04E595C"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sudėtis</w:t>
      </w:r>
    </w:p>
    <w:p w14:paraId="28C6DD23"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 xml:space="preserve">Veiklioji medžiaga yra </w:t>
      </w:r>
      <w:proofErr w:type="spellStart"/>
      <w:r w:rsidRPr="009D52C3">
        <w:rPr>
          <w:rFonts w:ascii="Times New Roman" w:eastAsia="Calibri" w:hAnsi="Times New Roman" w:cs="Times New Roman"/>
          <w:lang w:val="lt-LT"/>
        </w:rPr>
        <w:t>bilastinas</w:t>
      </w:r>
      <w:proofErr w:type="spellEnd"/>
      <w:r w:rsidRPr="009D52C3">
        <w:rPr>
          <w:rFonts w:ascii="Times New Roman" w:eastAsia="Calibri" w:hAnsi="Times New Roman" w:cs="Times New Roman"/>
          <w:lang w:val="lt-LT"/>
        </w:rPr>
        <w:t xml:space="preserve">. Kiekvienoje </w:t>
      </w:r>
      <w:r w:rsidRPr="009D52C3">
        <w:rPr>
          <w:rFonts w:ascii="Times New Roman" w:eastAsia="Calibri" w:hAnsi="Times New Roman" w:cs="Times New Roman"/>
          <w:spacing w:val="-1"/>
          <w:lang w:val="lt-LT"/>
        </w:rPr>
        <w:t xml:space="preserve">burnoje disperguojamoje </w:t>
      </w:r>
      <w:r w:rsidRPr="009D52C3">
        <w:rPr>
          <w:rFonts w:ascii="Times New Roman" w:eastAsia="Calibri" w:hAnsi="Times New Roman" w:cs="Times New Roman"/>
          <w:lang w:val="lt-LT"/>
        </w:rPr>
        <w:t xml:space="preserve">tabletėje yra 10 mg </w:t>
      </w:r>
      <w:proofErr w:type="spellStart"/>
      <w:r w:rsidRPr="009D52C3">
        <w:rPr>
          <w:rFonts w:ascii="Times New Roman" w:eastAsia="Calibri" w:hAnsi="Times New Roman" w:cs="Times New Roman"/>
          <w:lang w:val="lt-LT"/>
        </w:rPr>
        <w:t>bilastino</w:t>
      </w:r>
      <w:proofErr w:type="spellEnd"/>
      <w:r w:rsidRPr="009D52C3">
        <w:rPr>
          <w:rFonts w:ascii="Times New Roman" w:eastAsia="Calibri" w:hAnsi="Times New Roman" w:cs="Times New Roman"/>
          <w:lang w:val="lt-LT"/>
        </w:rPr>
        <w:t>.</w:t>
      </w:r>
    </w:p>
    <w:p w14:paraId="701E62D3" w14:textId="77777777" w:rsidR="008E6CED" w:rsidRPr="009D52C3" w:rsidRDefault="008E6CED" w:rsidP="008E6CED">
      <w:pPr>
        <w:widowControl w:val="0"/>
        <w:adjustRightInd w:val="0"/>
        <w:snapToGrid w:val="0"/>
        <w:spacing w:after="0" w:line="240" w:lineRule="auto"/>
        <w:ind w:left="567" w:hanging="567"/>
        <w:rPr>
          <w:rFonts w:ascii="Times New Roman" w:eastAsia="Calibri" w:hAnsi="Times New Roman" w:cs="Times New Roman"/>
          <w:lang w:val="lt-LT"/>
        </w:rPr>
      </w:pPr>
      <w:r w:rsidRPr="009D52C3">
        <w:rPr>
          <w:rFonts w:ascii="Times New Roman" w:eastAsia="Calibri" w:hAnsi="Times New Roman" w:cs="Times New Roman"/>
          <w:lang w:val="lt-LT"/>
        </w:rPr>
        <w:t>-</w:t>
      </w:r>
      <w:r w:rsidRPr="009D52C3">
        <w:rPr>
          <w:rFonts w:ascii="Times New Roman" w:eastAsia="Calibri" w:hAnsi="Times New Roman" w:cs="Times New Roman"/>
          <w:lang w:val="lt-LT"/>
        </w:rPr>
        <w:tab/>
        <w:t xml:space="preserve">Pagalbinės medžiagos yra </w:t>
      </w:r>
      <w:proofErr w:type="spellStart"/>
      <w:r w:rsidRPr="009D52C3">
        <w:rPr>
          <w:rFonts w:ascii="Times New Roman" w:eastAsia="Calibri" w:hAnsi="Times New Roman" w:cs="Times New Roman"/>
          <w:lang w:val="lt-LT"/>
        </w:rPr>
        <w:t>manitolis</w:t>
      </w:r>
      <w:proofErr w:type="spellEnd"/>
      <w:r w:rsidRPr="009D52C3">
        <w:rPr>
          <w:rFonts w:ascii="Times New Roman" w:eastAsia="Calibri" w:hAnsi="Times New Roman" w:cs="Times New Roman"/>
          <w:lang w:val="lt-LT"/>
        </w:rPr>
        <w:t xml:space="preserve"> </w:t>
      </w:r>
      <w:r w:rsidRPr="009D52C3">
        <w:rPr>
          <w:rFonts w:ascii="Times New Roman" w:hAnsi="Times New Roman" w:cs="Times New Roman"/>
          <w:lang w:val="lt-LT"/>
        </w:rPr>
        <w:t>(E 421)</w:t>
      </w:r>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kroskarmeliozės</w:t>
      </w:r>
      <w:proofErr w:type="spellEnd"/>
      <w:r w:rsidRPr="009D52C3">
        <w:rPr>
          <w:rFonts w:ascii="Times New Roman" w:eastAsia="Calibri" w:hAnsi="Times New Roman" w:cs="Times New Roman"/>
          <w:lang w:val="lt-LT"/>
        </w:rPr>
        <w:t xml:space="preserve"> natrio druska, natrio </w:t>
      </w:r>
      <w:proofErr w:type="spellStart"/>
      <w:r w:rsidRPr="009D52C3">
        <w:rPr>
          <w:rFonts w:ascii="Times New Roman" w:eastAsia="Calibri" w:hAnsi="Times New Roman" w:cs="Times New Roman"/>
          <w:lang w:val="lt-LT"/>
        </w:rPr>
        <w:t>stearilfumaratas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sukralozė</w:t>
      </w:r>
      <w:proofErr w:type="spellEnd"/>
      <w:r w:rsidRPr="009D52C3">
        <w:rPr>
          <w:rFonts w:ascii="Times New Roman" w:eastAsia="Calibri" w:hAnsi="Times New Roman" w:cs="Times New Roman"/>
          <w:lang w:val="lt-LT"/>
        </w:rPr>
        <w:t xml:space="preserve"> (E 955), raudonųjų vynuogių aromatinė medžiaga (pagrindiniai komponentai – </w:t>
      </w:r>
      <w:proofErr w:type="spellStart"/>
      <w:r w:rsidRPr="009D52C3">
        <w:rPr>
          <w:rFonts w:ascii="Times New Roman" w:eastAsia="Calibri" w:hAnsi="Times New Roman" w:cs="Times New Roman"/>
          <w:lang w:val="lt-LT"/>
        </w:rPr>
        <w:t>gumiarabikas</w:t>
      </w:r>
      <w:proofErr w:type="spellEnd"/>
      <w:r w:rsidRPr="009D52C3">
        <w:rPr>
          <w:rFonts w:ascii="Times New Roman" w:eastAsia="Calibri" w:hAnsi="Times New Roman" w:cs="Times New Roman"/>
          <w:lang w:val="lt-LT"/>
        </w:rPr>
        <w:t xml:space="preserve">, etilo </w:t>
      </w:r>
      <w:proofErr w:type="spellStart"/>
      <w:r w:rsidRPr="009D52C3">
        <w:rPr>
          <w:rFonts w:ascii="Times New Roman" w:eastAsia="Calibri" w:hAnsi="Times New Roman" w:cs="Times New Roman"/>
          <w:lang w:val="lt-LT"/>
        </w:rPr>
        <w:t>butiratas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triacetinas</w:t>
      </w:r>
      <w:proofErr w:type="spellEnd"/>
      <w:r w:rsidRPr="009D52C3">
        <w:rPr>
          <w:rFonts w:ascii="Times New Roman" w:eastAsia="Calibri" w:hAnsi="Times New Roman" w:cs="Times New Roman"/>
          <w:lang w:val="lt-LT"/>
        </w:rPr>
        <w:t xml:space="preserve">, metilo </w:t>
      </w:r>
      <w:proofErr w:type="spellStart"/>
      <w:r w:rsidRPr="009D52C3">
        <w:rPr>
          <w:rFonts w:ascii="Times New Roman" w:eastAsia="Calibri" w:hAnsi="Times New Roman" w:cs="Times New Roman"/>
          <w:lang w:val="lt-LT"/>
        </w:rPr>
        <w:t>antranilatas</w:t>
      </w:r>
      <w:proofErr w:type="spellEnd"/>
      <w:r w:rsidRPr="009D52C3">
        <w:rPr>
          <w:rFonts w:ascii="Times New Roman" w:eastAsia="Calibri" w:hAnsi="Times New Roman" w:cs="Times New Roman"/>
          <w:lang w:val="lt-LT"/>
        </w:rPr>
        <w:t>, etanolis, d-</w:t>
      </w:r>
      <w:proofErr w:type="spellStart"/>
      <w:r w:rsidRPr="009D52C3">
        <w:rPr>
          <w:rFonts w:ascii="Times New Roman" w:eastAsia="Calibri" w:hAnsi="Times New Roman" w:cs="Times New Roman"/>
          <w:lang w:val="lt-LT"/>
        </w:rPr>
        <w:t>limonenas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linalolis</w:t>
      </w:r>
      <w:proofErr w:type="spellEnd"/>
      <w:r w:rsidRPr="009D52C3">
        <w:rPr>
          <w:rFonts w:ascii="Times New Roman" w:eastAsia="Calibri" w:hAnsi="Times New Roman" w:cs="Times New Roman"/>
          <w:lang w:val="lt-LT"/>
        </w:rPr>
        <w:t>).</w:t>
      </w:r>
    </w:p>
    <w:p w14:paraId="58C2340F"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D540395"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proofErr w:type="spellStart"/>
      <w:r w:rsidRPr="009D52C3">
        <w:rPr>
          <w:rFonts w:ascii="Times New Roman" w:eastAsia="Times New Roman" w:hAnsi="Times New Roman" w:cs="Times New Roman"/>
          <w:b/>
          <w:bCs/>
          <w:lang w:val="lt-LT"/>
        </w:rPr>
        <w:t>Opexa</w:t>
      </w:r>
      <w:proofErr w:type="spellEnd"/>
      <w:r w:rsidRPr="009D52C3">
        <w:rPr>
          <w:rFonts w:ascii="Times New Roman" w:eastAsia="Times New Roman" w:hAnsi="Times New Roman" w:cs="Times New Roman"/>
          <w:b/>
          <w:bCs/>
          <w:lang w:val="lt-LT"/>
        </w:rPr>
        <w:t xml:space="preserve"> išvaizda ir kiekis pakuotėje</w:t>
      </w:r>
    </w:p>
    <w:p w14:paraId="0B1A46B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r w:rsidRPr="009D52C3">
        <w:rPr>
          <w:rFonts w:ascii="Times New Roman" w:eastAsia="Calibri" w:hAnsi="Times New Roman" w:cs="Times New Roman"/>
          <w:spacing w:val="-1"/>
          <w:lang w:val="lt-LT"/>
        </w:rPr>
        <w:t>burnoje disperguojamos tabletės</w:t>
      </w:r>
      <w:r w:rsidRPr="009D52C3">
        <w:rPr>
          <w:rFonts w:ascii="Times New Roman" w:eastAsia="Calibri" w:hAnsi="Times New Roman" w:cs="Times New Roman"/>
          <w:lang w:val="lt-LT"/>
        </w:rPr>
        <w:t xml:space="preserve"> yra baltos apvalios abipus šiek tiek išgaubtos 8 mm diametro.</w:t>
      </w:r>
    </w:p>
    <w:p w14:paraId="0A16CCC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27BB4F1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Burnoje disperguojamos tabletės tiekiamos lizdinėmis plokštelėmis po 10, 20, 30 arba 50 tablečių. </w:t>
      </w:r>
    </w:p>
    <w:p w14:paraId="57D5891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35F9BEA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Gali būti tiekiamos ne visų dydžių pakuotės.</w:t>
      </w:r>
    </w:p>
    <w:p w14:paraId="4913F17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1D228805" w14:textId="77777777" w:rsidR="008E6CED" w:rsidRPr="009D52C3" w:rsidRDefault="008E6CED" w:rsidP="008E6CED">
      <w:pPr>
        <w:widowControl w:val="0"/>
        <w:adjustRightInd w:val="0"/>
        <w:snapToGrid w:val="0"/>
        <w:spacing w:after="0" w:line="240" w:lineRule="auto"/>
        <w:rPr>
          <w:rFonts w:ascii="Times New Roman" w:eastAsia="Times New Roman" w:hAnsi="Times New Roman" w:cs="Times New Roman"/>
          <w:b/>
          <w:bCs/>
          <w:lang w:val="lt-LT"/>
        </w:rPr>
      </w:pPr>
      <w:r w:rsidRPr="009D52C3">
        <w:rPr>
          <w:rFonts w:ascii="Times New Roman" w:eastAsia="Times New Roman" w:hAnsi="Times New Roman" w:cs="Times New Roman"/>
          <w:b/>
          <w:bCs/>
          <w:lang w:val="lt-LT"/>
        </w:rPr>
        <w:t>Registruotojas ir gamintojas</w:t>
      </w:r>
    </w:p>
    <w:p w14:paraId="50C8E6FB"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i/>
          <w:lang w:val="lt-LT"/>
        </w:rPr>
      </w:pPr>
      <w:r w:rsidRPr="009D52C3">
        <w:rPr>
          <w:rFonts w:ascii="Times New Roman" w:eastAsiaTheme="minorEastAsia" w:hAnsi="Times New Roman" w:cs="Times New Roman"/>
          <w:i/>
          <w:lang w:val="lt-LT"/>
        </w:rPr>
        <w:t>Registruotojas</w:t>
      </w:r>
    </w:p>
    <w:p w14:paraId="465209BE"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Menarini International </w:t>
      </w:r>
      <w:proofErr w:type="spellStart"/>
      <w:r w:rsidRPr="009D52C3">
        <w:rPr>
          <w:rFonts w:ascii="Times New Roman" w:eastAsiaTheme="minorEastAsia" w:hAnsi="Times New Roman" w:cs="Times New Roman"/>
          <w:lang w:val="lt-LT"/>
        </w:rPr>
        <w:t>Operations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Luxembourg</w:t>
      </w:r>
      <w:proofErr w:type="spellEnd"/>
      <w:r w:rsidRPr="009D52C3">
        <w:rPr>
          <w:rFonts w:ascii="Times New Roman" w:eastAsiaTheme="minorEastAsia" w:hAnsi="Times New Roman" w:cs="Times New Roman"/>
          <w:lang w:val="lt-LT"/>
        </w:rPr>
        <w:t xml:space="preserve"> S.A.</w:t>
      </w:r>
    </w:p>
    <w:p w14:paraId="544CA0B4"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1, </w:t>
      </w:r>
      <w:proofErr w:type="spellStart"/>
      <w:r w:rsidRPr="009D52C3">
        <w:rPr>
          <w:rFonts w:ascii="Times New Roman" w:eastAsiaTheme="minorEastAsia" w:hAnsi="Times New Roman" w:cs="Times New Roman"/>
          <w:lang w:val="lt-LT"/>
        </w:rPr>
        <w:t>Avenue</w:t>
      </w:r>
      <w:proofErr w:type="spellEnd"/>
      <w:r w:rsidRPr="009D52C3">
        <w:rPr>
          <w:rFonts w:ascii="Times New Roman" w:eastAsiaTheme="minorEastAsia" w:hAnsi="Times New Roman" w:cs="Times New Roman"/>
          <w:lang w:val="lt-LT"/>
        </w:rPr>
        <w:t xml:space="preserve"> de </w:t>
      </w:r>
      <w:proofErr w:type="spellStart"/>
      <w:r w:rsidRPr="009D52C3">
        <w:rPr>
          <w:rFonts w:ascii="Times New Roman" w:eastAsiaTheme="minorEastAsia" w:hAnsi="Times New Roman" w:cs="Times New Roman"/>
          <w:lang w:val="lt-LT"/>
        </w:rPr>
        <w:t>la</w:t>
      </w:r>
      <w:proofErr w:type="spellEnd"/>
      <w:r w:rsidRPr="009D52C3">
        <w:rPr>
          <w:rFonts w:ascii="Times New Roman" w:eastAsiaTheme="minorEastAsia" w:hAnsi="Times New Roman" w:cs="Times New Roman"/>
          <w:lang w:val="lt-LT"/>
        </w:rPr>
        <w:t xml:space="preserve"> Gare</w:t>
      </w:r>
    </w:p>
    <w:p w14:paraId="1ABDFBB3"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L-1611 </w:t>
      </w:r>
      <w:proofErr w:type="spellStart"/>
      <w:r w:rsidRPr="009D52C3">
        <w:rPr>
          <w:rFonts w:ascii="Times New Roman" w:eastAsiaTheme="minorEastAsia" w:hAnsi="Times New Roman" w:cs="Times New Roman"/>
          <w:lang w:val="lt-LT"/>
        </w:rPr>
        <w:t>Luxembourg</w:t>
      </w:r>
      <w:proofErr w:type="spellEnd"/>
    </w:p>
    <w:p w14:paraId="056DC17F"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lang w:val="lt-LT"/>
        </w:rPr>
      </w:pPr>
      <w:r w:rsidRPr="009D52C3">
        <w:rPr>
          <w:rFonts w:ascii="Times New Roman" w:eastAsiaTheme="minorEastAsia" w:hAnsi="Times New Roman" w:cs="Times New Roman"/>
          <w:lang w:val="lt-LT"/>
        </w:rPr>
        <w:t>Liuksemburgas</w:t>
      </w:r>
    </w:p>
    <w:p w14:paraId="5EA4D2D7" w14:textId="77777777" w:rsidR="008E6CED" w:rsidRPr="009D52C3" w:rsidRDefault="008E6CED" w:rsidP="008E6CED">
      <w:pPr>
        <w:widowControl w:val="0"/>
        <w:adjustRightInd w:val="0"/>
        <w:snapToGrid w:val="0"/>
        <w:spacing w:after="0" w:line="240" w:lineRule="auto"/>
        <w:ind w:left="567" w:hanging="567"/>
        <w:rPr>
          <w:rFonts w:ascii="Times New Roman" w:eastAsiaTheme="minorEastAsia" w:hAnsi="Times New Roman" w:cs="Times New Roman"/>
          <w:lang w:val="lt-LT"/>
        </w:rPr>
      </w:pPr>
    </w:p>
    <w:p w14:paraId="74397AAA" w14:textId="77777777" w:rsidR="008E6CED" w:rsidRPr="009D52C3" w:rsidRDefault="008E6CED" w:rsidP="008E6CED">
      <w:pPr>
        <w:keepNext/>
        <w:widowControl w:val="0"/>
        <w:adjustRightInd w:val="0"/>
        <w:snapToGrid w:val="0"/>
        <w:spacing w:after="0" w:line="240" w:lineRule="auto"/>
        <w:ind w:left="567" w:hanging="567"/>
        <w:rPr>
          <w:rFonts w:ascii="Times New Roman" w:eastAsiaTheme="minorEastAsia" w:hAnsi="Times New Roman" w:cs="Times New Roman"/>
          <w:i/>
          <w:lang w:val="lt-LT"/>
        </w:rPr>
      </w:pPr>
      <w:r w:rsidRPr="009D52C3">
        <w:rPr>
          <w:rFonts w:ascii="Times New Roman" w:eastAsiaTheme="minorEastAsia" w:hAnsi="Times New Roman" w:cs="Times New Roman"/>
          <w:i/>
          <w:lang w:val="lt-LT"/>
        </w:rPr>
        <w:t>Gamintojas</w:t>
      </w:r>
    </w:p>
    <w:p w14:paraId="5C23AF90" w14:textId="77777777" w:rsidR="008E6CED" w:rsidRPr="009D52C3" w:rsidRDefault="008E6CED" w:rsidP="008E6CED">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FAES FARMA, S.A.</w:t>
      </w:r>
    </w:p>
    <w:p w14:paraId="6012FF0D" w14:textId="77777777" w:rsidR="008E6CED" w:rsidRPr="009D52C3" w:rsidRDefault="008E6CED" w:rsidP="008E6CED">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9D52C3">
        <w:rPr>
          <w:rFonts w:ascii="Times New Roman" w:eastAsiaTheme="minorEastAsia" w:hAnsi="Times New Roman" w:cs="Times New Roman"/>
          <w:lang w:val="lt-LT"/>
        </w:rPr>
        <w:t>Máximo</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Aguirre</w:t>
      </w:r>
      <w:proofErr w:type="spellEnd"/>
      <w:r w:rsidRPr="009D52C3">
        <w:rPr>
          <w:rFonts w:ascii="Times New Roman" w:eastAsiaTheme="minorEastAsia" w:hAnsi="Times New Roman" w:cs="Times New Roman"/>
          <w:lang w:val="lt-LT"/>
        </w:rPr>
        <w:t xml:space="preserve">, 14 </w:t>
      </w:r>
    </w:p>
    <w:p w14:paraId="53CF8A76" w14:textId="77777777" w:rsidR="008E6CED" w:rsidRPr="009D52C3" w:rsidRDefault="008E6CED" w:rsidP="008E6CED">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48940 – </w:t>
      </w:r>
      <w:proofErr w:type="spellStart"/>
      <w:r w:rsidRPr="009D52C3">
        <w:rPr>
          <w:rFonts w:ascii="Times New Roman" w:eastAsiaTheme="minorEastAsia" w:hAnsi="Times New Roman" w:cs="Times New Roman"/>
          <w:lang w:val="lt-LT"/>
        </w:rPr>
        <w:t>Lejona</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Vizcaya</w:t>
      </w:r>
      <w:proofErr w:type="spellEnd"/>
      <w:r w:rsidRPr="009D52C3">
        <w:rPr>
          <w:rFonts w:ascii="Times New Roman" w:eastAsiaTheme="minorEastAsia" w:hAnsi="Times New Roman" w:cs="Times New Roman"/>
          <w:lang w:val="lt-LT"/>
        </w:rPr>
        <w:t>)</w:t>
      </w:r>
    </w:p>
    <w:p w14:paraId="5BFFAA8E"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Ispanija</w:t>
      </w:r>
    </w:p>
    <w:p w14:paraId="7A3EF3AE"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5C176234"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lastRenderedPageBreak/>
        <w:t>arba</w:t>
      </w:r>
    </w:p>
    <w:p w14:paraId="081F58CF" w14:textId="77777777" w:rsidR="008E6CED"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359EB09A" w14:textId="77777777" w:rsidR="008E6CED" w:rsidRPr="00A9232F" w:rsidRDefault="008E6CED" w:rsidP="008E6CED">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23E9CEA7" w14:textId="77777777" w:rsidR="008E6CED" w:rsidRPr="00A9232F" w:rsidRDefault="008E6CED" w:rsidP="008E6CED">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5BA993D0" w14:textId="77777777" w:rsidR="008E6CED" w:rsidRPr="00A9232F" w:rsidRDefault="008E6CED" w:rsidP="008E6CED">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139886C8" w14:textId="77777777" w:rsidR="008E6CED" w:rsidRDefault="008E6CED" w:rsidP="008E6CED">
      <w:pPr>
        <w:autoSpaceDE w:val="0"/>
        <w:autoSpaceDN w:val="0"/>
        <w:adjustRightInd w:val="0"/>
        <w:spacing w:after="0" w:line="240" w:lineRule="auto"/>
        <w:rPr>
          <w:rFonts w:ascii="Times New Roman" w:hAnsi="Times New Roman" w:cs="Times New Roman"/>
          <w:color w:val="000000"/>
          <w:shd w:val="clear" w:color="auto" w:fill="FFFFFF"/>
          <w:lang w:val="it-IT"/>
        </w:rPr>
      </w:pPr>
      <w:r>
        <w:rPr>
          <w:rFonts w:ascii="Times New Roman" w:hAnsi="Times New Roman" w:cs="Times New Roman"/>
          <w:color w:val="000000"/>
          <w:shd w:val="clear" w:color="auto" w:fill="FFFFFF"/>
          <w:lang w:val="it-IT"/>
        </w:rPr>
        <w:t>Ispanija</w:t>
      </w:r>
    </w:p>
    <w:p w14:paraId="5D774F91" w14:textId="77777777" w:rsidR="008E6CED" w:rsidRDefault="008E6CED" w:rsidP="008E6CED">
      <w:pPr>
        <w:autoSpaceDE w:val="0"/>
        <w:autoSpaceDN w:val="0"/>
        <w:adjustRightInd w:val="0"/>
        <w:spacing w:after="0" w:line="240" w:lineRule="auto"/>
        <w:rPr>
          <w:rFonts w:ascii="Times New Roman" w:hAnsi="Times New Roman" w:cs="Times New Roman"/>
          <w:color w:val="000000"/>
          <w:shd w:val="clear" w:color="auto" w:fill="FFFFFF"/>
          <w:lang w:val="it-IT"/>
        </w:rPr>
      </w:pPr>
    </w:p>
    <w:p w14:paraId="45344E42" w14:textId="77777777" w:rsidR="008E6CED"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r>
        <w:rPr>
          <w:rFonts w:ascii="Times New Roman" w:hAnsi="Times New Roman" w:cs="Times New Roman"/>
          <w:color w:val="000000"/>
          <w:shd w:val="clear" w:color="auto" w:fill="FFFFFF"/>
          <w:lang w:val="it-IT"/>
        </w:rPr>
        <w:t>arba</w:t>
      </w:r>
    </w:p>
    <w:p w14:paraId="02AB18FD"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78EA61AC"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A. Menarini Manufacturing </w:t>
      </w:r>
      <w:proofErr w:type="spellStart"/>
      <w:r w:rsidRPr="009D52C3">
        <w:rPr>
          <w:rFonts w:ascii="Times New Roman" w:eastAsiaTheme="minorEastAsia" w:hAnsi="Times New Roman" w:cs="Times New Roman"/>
          <w:lang w:val="lt-LT"/>
        </w:rPr>
        <w:t>Logistics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and</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Services</w:t>
      </w:r>
      <w:proofErr w:type="spellEnd"/>
      <w:r w:rsidRPr="009D52C3">
        <w:rPr>
          <w:rFonts w:ascii="Times New Roman" w:eastAsiaTheme="minorEastAsia" w:hAnsi="Times New Roman" w:cs="Times New Roman"/>
          <w:lang w:val="lt-LT"/>
        </w:rPr>
        <w:t xml:space="preserve"> </w:t>
      </w:r>
      <w:proofErr w:type="spellStart"/>
      <w:r w:rsidRPr="009D52C3">
        <w:rPr>
          <w:rFonts w:ascii="Times New Roman" w:eastAsiaTheme="minorEastAsia" w:hAnsi="Times New Roman" w:cs="Times New Roman"/>
          <w:lang w:val="lt-LT"/>
        </w:rPr>
        <w:t>S.r.L</w:t>
      </w:r>
      <w:proofErr w:type="spellEnd"/>
      <w:r w:rsidRPr="009D52C3">
        <w:rPr>
          <w:rFonts w:ascii="Times New Roman" w:eastAsiaTheme="minorEastAsia" w:hAnsi="Times New Roman" w:cs="Times New Roman"/>
          <w:lang w:val="lt-LT"/>
        </w:rPr>
        <w:t>.</w:t>
      </w:r>
    </w:p>
    <w:p w14:paraId="52B1F36E"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Via </w:t>
      </w:r>
      <w:proofErr w:type="spellStart"/>
      <w:r w:rsidRPr="009D52C3">
        <w:rPr>
          <w:rFonts w:ascii="Times New Roman" w:eastAsiaTheme="minorEastAsia" w:hAnsi="Times New Roman" w:cs="Times New Roman"/>
          <w:lang w:val="lt-LT"/>
        </w:rPr>
        <w:t>Campo</w:t>
      </w:r>
      <w:proofErr w:type="spellEnd"/>
      <w:r w:rsidRPr="009D52C3">
        <w:rPr>
          <w:rFonts w:ascii="Times New Roman" w:eastAsiaTheme="minorEastAsia" w:hAnsi="Times New Roman" w:cs="Times New Roman"/>
          <w:lang w:val="lt-LT"/>
        </w:rPr>
        <w:t xml:space="preserve"> di Pile </w:t>
      </w:r>
    </w:p>
    <w:p w14:paraId="0FD49BC1" w14:textId="77777777" w:rsidR="008E6CED" w:rsidRPr="009D52C3" w:rsidRDefault="008E6CED" w:rsidP="008E6CE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9D52C3">
        <w:rPr>
          <w:rFonts w:ascii="Times New Roman" w:eastAsiaTheme="minorEastAsia" w:hAnsi="Times New Roman" w:cs="Times New Roman"/>
          <w:lang w:val="lt-LT"/>
        </w:rPr>
        <w:t xml:space="preserve">67100, </w:t>
      </w:r>
      <w:proofErr w:type="spellStart"/>
      <w:r w:rsidRPr="009D52C3">
        <w:rPr>
          <w:rFonts w:ascii="Times New Roman" w:eastAsiaTheme="minorEastAsia" w:hAnsi="Times New Roman" w:cs="Times New Roman"/>
          <w:lang w:val="lt-LT"/>
        </w:rPr>
        <w:t>L’Aquila</w:t>
      </w:r>
      <w:proofErr w:type="spellEnd"/>
      <w:r w:rsidRPr="009D52C3">
        <w:rPr>
          <w:rFonts w:ascii="Times New Roman" w:eastAsiaTheme="minorEastAsia" w:hAnsi="Times New Roman" w:cs="Times New Roman"/>
          <w:lang w:val="lt-LT"/>
        </w:rPr>
        <w:t xml:space="preserve"> (AQ)</w:t>
      </w:r>
    </w:p>
    <w:p w14:paraId="6A67F7F4" w14:textId="77777777" w:rsidR="008E6CED" w:rsidRPr="009D52C3" w:rsidRDefault="008E6CED" w:rsidP="008E6CED">
      <w:pPr>
        <w:widowControl w:val="0"/>
        <w:autoSpaceDE w:val="0"/>
        <w:autoSpaceDN w:val="0"/>
        <w:adjustRightInd w:val="0"/>
        <w:snapToGrid w:val="0"/>
        <w:spacing w:after="0" w:line="240" w:lineRule="auto"/>
        <w:rPr>
          <w:rFonts w:ascii="Times New Roman" w:eastAsia="Times New Roman" w:hAnsi="Times New Roman" w:cs="Times New Roman"/>
          <w:color w:val="000000"/>
          <w:lang w:val="lt-LT" w:eastAsia="de-DE"/>
        </w:rPr>
      </w:pPr>
      <w:r w:rsidRPr="009D52C3">
        <w:rPr>
          <w:rFonts w:ascii="Times New Roman" w:eastAsia="Times New Roman" w:hAnsi="Times New Roman" w:cs="Times New Roman"/>
          <w:color w:val="000000"/>
          <w:lang w:val="lt-LT" w:eastAsia="de-DE"/>
        </w:rPr>
        <w:t>Italija</w:t>
      </w:r>
    </w:p>
    <w:p w14:paraId="31A0385D"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6A9F10C3"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Jeigu apie šį vaistą norite sužinoti daugiau, kreipkitės į vietinį registruotojo atstovą.</w:t>
      </w:r>
    </w:p>
    <w:p w14:paraId="735305E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53160219"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UAB „BERLIN CHEMIE MENARINI BALTIC“</w:t>
      </w:r>
    </w:p>
    <w:p w14:paraId="0E5B661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J. Jasinskio g. 16a, LT-03163 Vilnius</w:t>
      </w:r>
    </w:p>
    <w:p w14:paraId="6368D84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Lietuva</w:t>
      </w:r>
    </w:p>
    <w:p w14:paraId="483EC82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Tel.: +370 5 269 19 4</w:t>
      </w:r>
      <w:r>
        <w:rPr>
          <w:rFonts w:ascii="Times New Roman" w:eastAsia="Calibri" w:hAnsi="Times New Roman" w:cs="Times New Roman"/>
          <w:lang w:val="lt-LT"/>
        </w:rPr>
        <w:t>7</w:t>
      </w:r>
    </w:p>
    <w:p w14:paraId="2B926E1F"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El. paštas: lt@berlin-chemie.com</w:t>
      </w:r>
      <w:r w:rsidRPr="009D52C3">
        <w:rPr>
          <w:rFonts w:ascii="Times New Roman" w:eastAsia="Calibri" w:hAnsi="Times New Roman" w:cs="Times New Roman"/>
          <w:lang w:val="lt-LT"/>
        </w:rPr>
        <w:cr/>
      </w:r>
    </w:p>
    <w:p w14:paraId="2B9753D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hAnsi="Times New Roman" w:cs="Times New Roman"/>
          <w:b/>
          <w:lang w:val="lt-LT"/>
        </w:rPr>
        <w:t>Šis vaistas Europos ekonominės erdvės valstybėse narėse ir Jungtinėje Karalystėje (Šiaurės Airijoje) registruotas tokiais pavadinimais</w:t>
      </w:r>
    </w:p>
    <w:p w14:paraId="6777F189"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7F7A08D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Airija: </w:t>
      </w:r>
      <w:proofErr w:type="spellStart"/>
      <w:r w:rsidRPr="009D52C3">
        <w:rPr>
          <w:rFonts w:ascii="Times New Roman" w:eastAsia="Calibri" w:hAnsi="Times New Roman" w:cs="Times New Roman"/>
          <w:lang w:val="lt-LT"/>
        </w:rPr>
        <w:t>Drynol</w:t>
      </w:r>
      <w:proofErr w:type="spellEnd"/>
      <w:r w:rsidRPr="009D52C3">
        <w:rPr>
          <w:rFonts w:ascii="Times New Roman" w:eastAsia="Calibri" w:hAnsi="Times New Roman" w:cs="Times New Roman"/>
          <w:lang w:val="lt-LT"/>
        </w:rPr>
        <w:t xml:space="preserve"> </w:t>
      </w:r>
    </w:p>
    <w:p w14:paraId="07B1BB1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Austrija: </w:t>
      </w:r>
      <w:proofErr w:type="spellStart"/>
      <w:r w:rsidRPr="009D52C3">
        <w:rPr>
          <w:rFonts w:ascii="Times New Roman" w:eastAsia="Calibri" w:hAnsi="Times New Roman" w:cs="Times New Roman"/>
          <w:lang w:val="lt-LT"/>
        </w:rPr>
        <w:t>Nasitop</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Schmelztabletten</w:t>
      </w:r>
      <w:proofErr w:type="spellEnd"/>
      <w:r w:rsidRPr="009D52C3">
        <w:rPr>
          <w:rFonts w:ascii="Times New Roman" w:eastAsia="Calibri" w:hAnsi="Times New Roman" w:cs="Times New Roman"/>
          <w:lang w:val="lt-LT"/>
        </w:rPr>
        <w:t xml:space="preserve"> </w:t>
      </w:r>
    </w:p>
    <w:p w14:paraId="4862D71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Belgija: </w:t>
      </w:r>
      <w:proofErr w:type="spellStart"/>
      <w:r w:rsidRPr="009D52C3">
        <w:rPr>
          <w:rFonts w:ascii="Times New Roman" w:eastAsia="Calibri" w:hAnsi="Times New Roman" w:cs="Times New Roman"/>
          <w:lang w:val="lt-LT"/>
        </w:rPr>
        <w:t>Bellozal</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orodispersible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tablets</w:t>
      </w:r>
      <w:proofErr w:type="spellEnd"/>
    </w:p>
    <w:p w14:paraId="12E26B9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Bulgarija: </w:t>
      </w:r>
      <w:proofErr w:type="spellStart"/>
      <w:r w:rsidRPr="009D52C3">
        <w:rPr>
          <w:rFonts w:ascii="Times New Roman" w:eastAsia="Calibri" w:hAnsi="Times New Roman" w:cs="Times New Roman"/>
          <w:bCs/>
          <w:color w:val="000000"/>
          <w:lang w:val="lt-LT"/>
        </w:rPr>
        <w:t>Фортекал</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за</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деца</w:t>
      </w:r>
      <w:proofErr w:type="spellEnd"/>
      <w:r w:rsidRPr="009D52C3">
        <w:rPr>
          <w:rFonts w:ascii="Times New Roman" w:eastAsia="Calibri" w:hAnsi="Times New Roman" w:cs="Times New Roman"/>
          <w:bCs/>
          <w:color w:val="000000"/>
          <w:lang w:val="lt-LT"/>
        </w:rPr>
        <w:t xml:space="preserve"> 10 mg </w:t>
      </w:r>
      <w:proofErr w:type="spellStart"/>
      <w:r w:rsidRPr="009D52C3">
        <w:rPr>
          <w:rFonts w:ascii="Times New Roman" w:eastAsia="Calibri" w:hAnsi="Times New Roman" w:cs="Times New Roman"/>
          <w:bCs/>
          <w:color w:val="000000"/>
          <w:lang w:val="lt-LT"/>
        </w:rPr>
        <w:t>диспергиращи</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се</w:t>
      </w:r>
      <w:proofErr w:type="spellEnd"/>
      <w:r w:rsidRPr="009D52C3">
        <w:rPr>
          <w:rFonts w:ascii="Times New Roman" w:eastAsia="Calibri" w:hAnsi="Times New Roman" w:cs="Times New Roman"/>
          <w:bCs/>
          <w:color w:val="000000"/>
          <w:lang w:val="lt-LT"/>
        </w:rPr>
        <w:t xml:space="preserve"> в </w:t>
      </w:r>
      <w:proofErr w:type="spellStart"/>
      <w:r w:rsidRPr="009D52C3">
        <w:rPr>
          <w:rFonts w:ascii="Times New Roman" w:eastAsia="Calibri" w:hAnsi="Times New Roman" w:cs="Times New Roman"/>
          <w:bCs/>
          <w:color w:val="000000"/>
          <w:lang w:val="lt-LT"/>
        </w:rPr>
        <w:t>устата</w:t>
      </w:r>
      <w:proofErr w:type="spellEnd"/>
      <w:r w:rsidRPr="009D52C3">
        <w:rPr>
          <w:rFonts w:ascii="Times New Roman" w:eastAsia="Calibri" w:hAnsi="Times New Roman" w:cs="Times New Roman"/>
          <w:bCs/>
          <w:color w:val="000000"/>
          <w:lang w:val="lt-LT"/>
        </w:rPr>
        <w:t xml:space="preserve"> </w:t>
      </w:r>
      <w:proofErr w:type="spellStart"/>
      <w:r w:rsidRPr="009D52C3">
        <w:rPr>
          <w:rFonts w:ascii="Times New Roman" w:eastAsia="Calibri" w:hAnsi="Times New Roman" w:cs="Times New Roman"/>
          <w:bCs/>
          <w:color w:val="000000"/>
          <w:lang w:val="lt-LT"/>
        </w:rPr>
        <w:t>таблетки</w:t>
      </w:r>
      <w:proofErr w:type="spellEnd"/>
      <w:r w:rsidRPr="009D52C3">
        <w:rPr>
          <w:rFonts w:ascii="Times New Roman" w:eastAsia="Calibri" w:hAnsi="Times New Roman" w:cs="Times New Roman"/>
          <w:lang w:val="lt-LT"/>
        </w:rPr>
        <w:t xml:space="preserve"> </w:t>
      </w:r>
    </w:p>
    <w:p w14:paraId="1347533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Čekija: </w:t>
      </w:r>
      <w:proofErr w:type="spellStart"/>
      <w:r w:rsidRPr="009D52C3">
        <w:rPr>
          <w:rFonts w:ascii="Times New Roman" w:eastAsia="Calibri" w:hAnsi="Times New Roman" w:cs="Times New Roman"/>
          <w:lang w:val="lt-LT"/>
        </w:rPr>
        <w:t>Xados</w:t>
      </w:r>
      <w:proofErr w:type="spellEnd"/>
      <w:r w:rsidRPr="009D52C3">
        <w:rPr>
          <w:rFonts w:ascii="Times New Roman" w:eastAsia="Calibri" w:hAnsi="Times New Roman" w:cs="Times New Roman"/>
          <w:lang w:val="lt-LT"/>
        </w:rPr>
        <w:t xml:space="preserve"> </w:t>
      </w:r>
    </w:p>
    <w:p w14:paraId="324FE4AF"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Danija: </w:t>
      </w:r>
      <w:proofErr w:type="spellStart"/>
      <w:r w:rsidRPr="009D52C3">
        <w:rPr>
          <w:rFonts w:ascii="Times New Roman" w:eastAsia="Calibri" w:hAnsi="Times New Roman" w:cs="Times New Roman"/>
          <w:lang w:val="lt-LT"/>
        </w:rPr>
        <w:t>Revitelle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smeltetabletter</w:t>
      </w:r>
      <w:proofErr w:type="spellEnd"/>
      <w:r w:rsidRPr="009D52C3">
        <w:rPr>
          <w:rFonts w:ascii="Times New Roman" w:eastAsia="Calibri" w:hAnsi="Times New Roman" w:cs="Times New Roman"/>
          <w:lang w:val="lt-LT"/>
        </w:rPr>
        <w:t xml:space="preserve"> 10 mg</w:t>
      </w:r>
    </w:p>
    <w:p w14:paraId="3E04CB8A"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Estija: </w:t>
      </w:r>
      <w:proofErr w:type="spellStart"/>
      <w:r w:rsidRPr="009D52C3">
        <w:rPr>
          <w:rFonts w:ascii="Times New Roman" w:eastAsia="Calibri" w:hAnsi="Times New Roman" w:cs="Times New Roman"/>
          <w:lang w:val="lt-LT"/>
        </w:rPr>
        <w:t>Opexa</w:t>
      </w:r>
      <w:proofErr w:type="spellEnd"/>
    </w:p>
    <w:p w14:paraId="59014F4A"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Graikija: </w:t>
      </w:r>
      <w:proofErr w:type="spellStart"/>
      <w:r w:rsidRPr="009D52C3">
        <w:rPr>
          <w:rFonts w:ascii="Times New Roman" w:eastAsia="Calibri" w:hAnsi="Times New Roman" w:cs="Times New Roman"/>
          <w:lang w:val="lt-LT"/>
        </w:rPr>
        <w:t>Bilaz</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δισκί</w:t>
      </w:r>
      <w:proofErr w:type="spellEnd"/>
      <w:r w:rsidRPr="009D52C3">
        <w:rPr>
          <w:rFonts w:ascii="Times New Roman" w:eastAsia="Calibri" w:hAnsi="Times New Roman" w:cs="Times New Roman"/>
          <w:lang w:val="lt-LT"/>
        </w:rPr>
        <w:t xml:space="preserve">α </w:t>
      </w:r>
      <w:proofErr w:type="spellStart"/>
      <w:r w:rsidRPr="009D52C3">
        <w:rPr>
          <w:rFonts w:ascii="Times New Roman" w:eastAsia="Calibri" w:hAnsi="Times New Roman" w:cs="Times New Roman"/>
          <w:lang w:val="lt-LT"/>
        </w:rPr>
        <w:t>δι</w:t>
      </w:r>
      <w:proofErr w:type="spellEnd"/>
      <w:r w:rsidRPr="009D52C3">
        <w:rPr>
          <w:rFonts w:ascii="Times New Roman" w:eastAsia="Calibri" w:hAnsi="Times New Roman" w:cs="Times New Roman"/>
          <w:lang w:val="lt-LT"/>
        </w:rPr>
        <w:t xml:space="preserve">ασπειρόμενα </w:t>
      </w:r>
      <w:proofErr w:type="spellStart"/>
      <w:r w:rsidRPr="009D52C3">
        <w:rPr>
          <w:rFonts w:ascii="Times New Roman" w:eastAsia="Calibri" w:hAnsi="Times New Roman" w:cs="Times New Roman"/>
          <w:lang w:val="lt-LT"/>
        </w:rPr>
        <w:t>στο</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στόμ</w:t>
      </w:r>
      <w:proofErr w:type="spellEnd"/>
      <w:r w:rsidRPr="009D52C3">
        <w:rPr>
          <w:rFonts w:ascii="Times New Roman" w:eastAsia="Calibri" w:hAnsi="Times New Roman" w:cs="Times New Roman"/>
          <w:lang w:val="lt-LT"/>
        </w:rPr>
        <w:t>α</w:t>
      </w:r>
    </w:p>
    <w:p w14:paraId="224BA1C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Islandija: </w:t>
      </w:r>
      <w:proofErr w:type="spellStart"/>
      <w:r w:rsidRPr="009D52C3">
        <w:rPr>
          <w:rFonts w:ascii="Times New Roman" w:eastAsia="Calibri" w:hAnsi="Times New Roman" w:cs="Times New Roman"/>
          <w:lang w:val="lt-LT"/>
        </w:rPr>
        <w:t>Bilaxten</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munndreifitöflur</w:t>
      </w:r>
      <w:proofErr w:type="spellEnd"/>
    </w:p>
    <w:p w14:paraId="4A8A053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Ispanija: Ibis 10 mg </w:t>
      </w:r>
      <w:proofErr w:type="spellStart"/>
      <w:r w:rsidRPr="009D52C3">
        <w:rPr>
          <w:rFonts w:ascii="Times New Roman" w:eastAsia="Calibri" w:hAnsi="Times New Roman" w:cs="Times New Roman"/>
          <w:lang w:val="lt-LT"/>
        </w:rPr>
        <w:t>comprimidos</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bucodispersables</w:t>
      </w:r>
      <w:proofErr w:type="spellEnd"/>
    </w:p>
    <w:p w14:paraId="2BF7ECF9"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Jungtinė Karalystė (Šiaurės Airija): </w:t>
      </w:r>
      <w:proofErr w:type="spellStart"/>
      <w:r w:rsidRPr="009D52C3">
        <w:rPr>
          <w:rFonts w:ascii="Times New Roman" w:eastAsia="Calibri" w:hAnsi="Times New Roman" w:cs="Times New Roman"/>
          <w:lang w:val="lt-LT"/>
        </w:rPr>
        <w:t>Ilaxten</w:t>
      </w:r>
      <w:proofErr w:type="spellEnd"/>
      <w:r w:rsidRPr="009D52C3">
        <w:rPr>
          <w:rFonts w:ascii="Times New Roman" w:eastAsia="Calibri" w:hAnsi="Times New Roman" w:cs="Times New Roman"/>
          <w:lang w:val="lt-LT"/>
        </w:rPr>
        <w:t xml:space="preserve"> </w:t>
      </w:r>
    </w:p>
    <w:p w14:paraId="614AD0F1"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Kipras: </w:t>
      </w:r>
      <w:proofErr w:type="spellStart"/>
      <w:r w:rsidRPr="009D52C3">
        <w:rPr>
          <w:rFonts w:ascii="Times New Roman" w:eastAsia="Calibri" w:hAnsi="Times New Roman" w:cs="Times New Roman"/>
          <w:lang w:val="lt-LT"/>
        </w:rPr>
        <w:t>Bilaz</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δισκί</w:t>
      </w:r>
      <w:proofErr w:type="spellEnd"/>
      <w:r w:rsidRPr="009D52C3">
        <w:rPr>
          <w:rFonts w:ascii="Times New Roman" w:eastAsia="Calibri" w:hAnsi="Times New Roman" w:cs="Times New Roman"/>
          <w:lang w:val="lt-LT"/>
        </w:rPr>
        <w:t xml:space="preserve">α </w:t>
      </w:r>
      <w:proofErr w:type="spellStart"/>
      <w:r w:rsidRPr="009D52C3">
        <w:rPr>
          <w:rFonts w:ascii="Times New Roman" w:eastAsia="Calibri" w:hAnsi="Times New Roman" w:cs="Times New Roman"/>
          <w:lang w:val="lt-LT"/>
        </w:rPr>
        <w:t>δι</w:t>
      </w:r>
      <w:proofErr w:type="spellEnd"/>
      <w:r w:rsidRPr="009D52C3">
        <w:rPr>
          <w:rFonts w:ascii="Times New Roman" w:eastAsia="Calibri" w:hAnsi="Times New Roman" w:cs="Times New Roman"/>
          <w:lang w:val="lt-LT"/>
        </w:rPr>
        <w:t xml:space="preserve">ασπειρόμενα </w:t>
      </w:r>
      <w:proofErr w:type="spellStart"/>
      <w:r w:rsidRPr="009D52C3">
        <w:rPr>
          <w:rFonts w:ascii="Times New Roman" w:eastAsia="Calibri" w:hAnsi="Times New Roman" w:cs="Times New Roman"/>
          <w:lang w:val="lt-LT"/>
        </w:rPr>
        <w:t>στο</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στόμ</w:t>
      </w:r>
      <w:proofErr w:type="spellEnd"/>
      <w:r w:rsidRPr="009D52C3">
        <w:rPr>
          <w:rFonts w:ascii="Times New Roman" w:eastAsia="Calibri" w:hAnsi="Times New Roman" w:cs="Times New Roman"/>
          <w:lang w:val="lt-LT"/>
        </w:rPr>
        <w:t>α</w:t>
      </w:r>
    </w:p>
    <w:p w14:paraId="0E3E882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Latvija: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r w:rsidRPr="009D52C3">
        <w:rPr>
          <w:rFonts w:ascii="Times New Roman" w:eastAsia="Calibri" w:hAnsi="Times New Roman" w:cs="Times New Roman"/>
          <w:bCs/>
          <w:lang w:val="lt-LT"/>
        </w:rPr>
        <w:t xml:space="preserve">10 mg </w:t>
      </w:r>
      <w:proofErr w:type="spellStart"/>
      <w:r w:rsidRPr="009D52C3">
        <w:rPr>
          <w:rFonts w:ascii="Times New Roman" w:eastAsia="Calibri" w:hAnsi="Times New Roman" w:cs="Times New Roman"/>
          <w:bCs/>
          <w:lang w:val="lt-LT"/>
        </w:rPr>
        <w:t>mutē</w:t>
      </w:r>
      <w:proofErr w:type="spellEnd"/>
      <w:r w:rsidRPr="009D52C3">
        <w:rPr>
          <w:rFonts w:ascii="Times New Roman" w:eastAsia="Calibri" w:hAnsi="Times New Roman" w:cs="Times New Roman"/>
          <w:bCs/>
          <w:lang w:val="lt-LT"/>
        </w:rPr>
        <w:t xml:space="preserve"> </w:t>
      </w:r>
      <w:proofErr w:type="spellStart"/>
      <w:r w:rsidRPr="009D52C3">
        <w:rPr>
          <w:rFonts w:ascii="Times New Roman" w:eastAsia="Calibri" w:hAnsi="Times New Roman" w:cs="Times New Roman"/>
          <w:bCs/>
          <w:lang w:val="lt-LT"/>
        </w:rPr>
        <w:t>disperģējamās</w:t>
      </w:r>
      <w:proofErr w:type="spellEnd"/>
      <w:r w:rsidRPr="009D52C3">
        <w:rPr>
          <w:rFonts w:ascii="Times New Roman" w:eastAsia="Calibri" w:hAnsi="Times New Roman" w:cs="Times New Roman"/>
          <w:bCs/>
          <w:lang w:val="lt-LT"/>
        </w:rPr>
        <w:t xml:space="preserve"> tabletes</w:t>
      </w:r>
    </w:p>
    <w:p w14:paraId="0FF997B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Lenkija: </w:t>
      </w:r>
      <w:proofErr w:type="spellStart"/>
      <w:r w:rsidRPr="009D52C3">
        <w:rPr>
          <w:rFonts w:ascii="Times New Roman" w:eastAsia="Calibri" w:hAnsi="Times New Roman" w:cs="Times New Roman"/>
          <w:lang w:val="lt-LT"/>
        </w:rPr>
        <w:t>Clatra</w:t>
      </w:r>
      <w:proofErr w:type="spellEnd"/>
    </w:p>
    <w:p w14:paraId="753DD14B"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Lietuva: </w:t>
      </w:r>
      <w:proofErr w:type="spellStart"/>
      <w:r w:rsidRPr="009D52C3">
        <w:rPr>
          <w:rFonts w:ascii="Times New Roman" w:eastAsia="Calibri" w:hAnsi="Times New Roman" w:cs="Times New Roman"/>
          <w:lang w:val="lt-LT"/>
        </w:rPr>
        <w:t>Opexa</w:t>
      </w:r>
      <w:proofErr w:type="spellEnd"/>
      <w:r w:rsidRPr="009D52C3">
        <w:rPr>
          <w:rFonts w:ascii="Times New Roman" w:eastAsia="Calibri" w:hAnsi="Times New Roman" w:cs="Times New Roman"/>
          <w:lang w:val="lt-LT"/>
        </w:rPr>
        <w:t xml:space="preserve"> </w:t>
      </w:r>
    </w:p>
    <w:p w14:paraId="5F93229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Cs/>
          <w:lang w:val="lt-LT"/>
        </w:rPr>
      </w:pPr>
      <w:r w:rsidRPr="009D52C3">
        <w:rPr>
          <w:rFonts w:ascii="Times New Roman" w:eastAsia="Calibri" w:hAnsi="Times New Roman" w:cs="Times New Roman"/>
          <w:lang w:val="lt-LT"/>
        </w:rPr>
        <w:t xml:space="preserve">Liuksemburgas: </w:t>
      </w:r>
      <w:proofErr w:type="spellStart"/>
      <w:r w:rsidRPr="009D52C3">
        <w:rPr>
          <w:rFonts w:ascii="Times New Roman" w:eastAsia="Calibri" w:hAnsi="Times New Roman" w:cs="Times New Roman"/>
          <w:lang w:val="lt-LT"/>
        </w:rPr>
        <w:t>Bellozal</w:t>
      </w:r>
      <w:proofErr w:type="spellEnd"/>
      <w:r w:rsidRPr="009D52C3">
        <w:rPr>
          <w:rFonts w:ascii="Times New Roman" w:eastAsia="Calibri" w:hAnsi="Times New Roman" w:cs="Times New Roman"/>
          <w:lang w:val="lt-LT"/>
        </w:rPr>
        <w:t xml:space="preserve"> </w:t>
      </w:r>
      <w:r w:rsidRPr="009D52C3">
        <w:rPr>
          <w:rFonts w:ascii="Times New Roman" w:eastAsia="Calibri" w:hAnsi="Times New Roman" w:cs="Times New Roman"/>
          <w:bCs/>
          <w:lang w:val="lt-LT"/>
        </w:rPr>
        <w:t xml:space="preserve">10 mg </w:t>
      </w:r>
      <w:proofErr w:type="spellStart"/>
      <w:r w:rsidRPr="009D52C3">
        <w:rPr>
          <w:rFonts w:ascii="Times New Roman" w:eastAsia="Calibri" w:hAnsi="Times New Roman" w:cs="Times New Roman"/>
          <w:bCs/>
          <w:lang w:val="lt-LT"/>
        </w:rPr>
        <w:t>orodispersible</w:t>
      </w:r>
      <w:proofErr w:type="spellEnd"/>
      <w:r w:rsidRPr="009D52C3">
        <w:rPr>
          <w:rFonts w:ascii="Times New Roman" w:eastAsia="Calibri" w:hAnsi="Times New Roman" w:cs="Times New Roman"/>
          <w:bCs/>
          <w:lang w:val="lt-LT"/>
        </w:rPr>
        <w:t xml:space="preserve"> </w:t>
      </w:r>
      <w:proofErr w:type="spellStart"/>
      <w:r w:rsidRPr="009D52C3">
        <w:rPr>
          <w:rFonts w:ascii="Times New Roman" w:eastAsia="Calibri" w:hAnsi="Times New Roman" w:cs="Times New Roman"/>
          <w:bCs/>
          <w:lang w:val="lt-LT"/>
        </w:rPr>
        <w:t>tablets</w:t>
      </w:r>
      <w:proofErr w:type="spellEnd"/>
    </w:p>
    <w:p w14:paraId="2AA27D2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Malta: </w:t>
      </w:r>
      <w:proofErr w:type="spellStart"/>
      <w:r w:rsidRPr="009D52C3">
        <w:rPr>
          <w:rFonts w:ascii="Times New Roman" w:eastAsia="Calibri" w:hAnsi="Times New Roman" w:cs="Times New Roman"/>
          <w:lang w:val="lt-LT"/>
        </w:rPr>
        <w:t>Gosall</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orodispersible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tablets</w:t>
      </w:r>
      <w:proofErr w:type="spellEnd"/>
    </w:p>
    <w:p w14:paraId="36A91964"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Norvegija: </w:t>
      </w:r>
      <w:proofErr w:type="spellStart"/>
      <w:r w:rsidRPr="009D52C3">
        <w:rPr>
          <w:rFonts w:ascii="Times New Roman" w:eastAsia="Calibri" w:hAnsi="Times New Roman" w:cs="Times New Roman"/>
          <w:lang w:val="lt-LT"/>
        </w:rPr>
        <w:t>Zilas</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smeltetablett</w:t>
      </w:r>
      <w:proofErr w:type="spellEnd"/>
    </w:p>
    <w:p w14:paraId="103FD65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Portugalija: </w:t>
      </w:r>
      <w:proofErr w:type="spellStart"/>
      <w:r w:rsidRPr="009D52C3">
        <w:rPr>
          <w:rFonts w:ascii="Times New Roman" w:eastAsia="Calibri" w:hAnsi="Times New Roman" w:cs="Times New Roman"/>
          <w:lang w:val="lt-LT"/>
        </w:rPr>
        <w:t>Lergonix</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comprimido</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orodispersível</w:t>
      </w:r>
      <w:proofErr w:type="spellEnd"/>
    </w:p>
    <w:p w14:paraId="7C0E863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Prancūzija: </w:t>
      </w:r>
      <w:proofErr w:type="spellStart"/>
      <w:r w:rsidRPr="009D52C3">
        <w:rPr>
          <w:rFonts w:ascii="Times New Roman" w:eastAsia="Calibri" w:hAnsi="Times New Roman" w:cs="Times New Roman"/>
          <w:lang w:val="lt-LT"/>
        </w:rPr>
        <w:t>Bilaska</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comprimé</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orodispersible</w:t>
      </w:r>
      <w:proofErr w:type="spellEnd"/>
    </w:p>
    <w:p w14:paraId="5440F30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Rumunija: </w:t>
      </w:r>
      <w:proofErr w:type="spellStart"/>
      <w:r w:rsidRPr="009D52C3">
        <w:rPr>
          <w:rFonts w:ascii="Times New Roman" w:eastAsia="Calibri" w:hAnsi="Times New Roman" w:cs="Times New Roman"/>
          <w:lang w:val="lt-LT" w:eastAsia="de-DE"/>
        </w:rPr>
        <w:t>Borenar</w:t>
      </w:r>
      <w:proofErr w:type="spellEnd"/>
      <w:r w:rsidRPr="009D52C3">
        <w:rPr>
          <w:rFonts w:ascii="Times New Roman" w:eastAsia="Calibri" w:hAnsi="Times New Roman" w:cs="Times New Roman"/>
          <w:lang w:val="lt-LT" w:eastAsia="de-DE"/>
        </w:rPr>
        <w:t xml:space="preserve"> </w:t>
      </w:r>
      <w:r w:rsidRPr="009D52C3">
        <w:rPr>
          <w:rFonts w:ascii="Times New Roman" w:eastAsia="Calibri" w:hAnsi="Times New Roman" w:cs="Times New Roman"/>
          <w:lang w:val="lt-LT"/>
        </w:rPr>
        <w:t xml:space="preserve">10 mg </w:t>
      </w:r>
      <w:proofErr w:type="spellStart"/>
      <w:r w:rsidRPr="009D52C3">
        <w:rPr>
          <w:rFonts w:ascii="Times New Roman" w:eastAsia="Calibri" w:hAnsi="Times New Roman" w:cs="Times New Roman"/>
          <w:lang w:val="lt-LT"/>
        </w:rPr>
        <w:t>comprimate</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orodispersible</w:t>
      </w:r>
      <w:proofErr w:type="spellEnd"/>
    </w:p>
    <w:p w14:paraId="5AB85325"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Slovakija: </w:t>
      </w:r>
      <w:proofErr w:type="spellStart"/>
      <w:r w:rsidRPr="009D52C3">
        <w:rPr>
          <w:rFonts w:ascii="Times New Roman" w:eastAsia="Calibri" w:hAnsi="Times New Roman" w:cs="Times New Roman"/>
          <w:lang w:val="lt-LT"/>
        </w:rPr>
        <w:t>Omarit</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orodispergovateľné</w:t>
      </w:r>
      <w:proofErr w:type="spellEnd"/>
      <w:r w:rsidRPr="009D52C3">
        <w:rPr>
          <w:rFonts w:ascii="Times New Roman" w:eastAsia="Calibri" w:hAnsi="Times New Roman" w:cs="Times New Roman"/>
          <w:lang w:val="lt-LT"/>
        </w:rPr>
        <w:t xml:space="preserve"> </w:t>
      </w:r>
      <w:proofErr w:type="spellStart"/>
      <w:r w:rsidRPr="009D52C3">
        <w:rPr>
          <w:rFonts w:ascii="Times New Roman" w:eastAsia="Calibri" w:hAnsi="Times New Roman" w:cs="Times New Roman"/>
          <w:lang w:val="lt-LT"/>
        </w:rPr>
        <w:t>tablety</w:t>
      </w:r>
      <w:proofErr w:type="spellEnd"/>
    </w:p>
    <w:p w14:paraId="6C5A9917"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Slovėnija: </w:t>
      </w:r>
      <w:proofErr w:type="spellStart"/>
      <w:r w:rsidRPr="009D52C3">
        <w:rPr>
          <w:rFonts w:ascii="Times New Roman" w:eastAsia="Calibri" w:hAnsi="Times New Roman" w:cs="Times New Roman"/>
          <w:lang w:val="lt-LT"/>
        </w:rPr>
        <w:t>Bilador</w:t>
      </w:r>
      <w:proofErr w:type="spellEnd"/>
      <w:r w:rsidRPr="009D52C3">
        <w:rPr>
          <w:rFonts w:ascii="Times New Roman" w:eastAsia="Calibri" w:hAnsi="Times New Roman" w:cs="Times New Roman"/>
          <w:lang w:val="lt-LT"/>
        </w:rPr>
        <w:t xml:space="preserve"> 10 mg</w:t>
      </w:r>
      <w:r w:rsidRPr="009D52C3">
        <w:rPr>
          <w:rFonts w:ascii="Times New Roman" w:eastAsia="Calibri" w:hAnsi="Times New Roman" w:cs="Times New Roman"/>
          <w:lang w:val="lt-LT" w:eastAsia="it-IT"/>
        </w:rPr>
        <w:t xml:space="preserve"> </w:t>
      </w:r>
      <w:proofErr w:type="spellStart"/>
      <w:r w:rsidRPr="009D52C3">
        <w:rPr>
          <w:rFonts w:ascii="Times New Roman" w:eastAsiaTheme="minorEastAsia" w:hAnsi="Times New Roman" w:cs="Times New Roman"/>
          <w:lang w:val="lt-LT" w:eastAsia="it-IT"/>
        </w:rPr>
        <w:t>orodispersibilne</w:t>
      </w:r>
      <w:proofErr w:type="spellEnd"/>
      <w:r w:rsidRPr="009D52C3">
        <w:rPr>
          <w:rFonts w:ascii="Times New Roman" w:eastAsiaTheme="minorEastAsia" w:hAnsi="Times New Roman" w:cs="Times New Roman"/>
          <w:lang w:val="lt-LT" w:eastAsia="it-IT"/>
        </w:rPr>
        <w:t xml:space="preserve"> tablete</w:t>
      </w:r>
    </w:p>
    <w:p w14:paraId="6AB001B6"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Suomija: </w:t>
      </w:r>
      <w:proofErr w:type="spellStart"/>
      <w:r w:rsidRPr="009D52C3">
        <w:rPr>
          <w:rFonts w:ascii="Times New Roman" w:eastAsia="Calibri" w:hAnsi="Times New Roman" w:cs="Times New Roman"/>
          <w:lang w:val="lt-LT"/>
        </w:rPr>
        <w:t>Revitelle</w:t>
      </w:r>
      <w:proofErr w:type="spellEnd"/>
      <w:r w:rsidRPr="009D52C3">
        <w:rPr>
          <w:rFonts w:ascii="Times New Roman" w:eastAsia="Calibri" w:hAnsi="Times New Roman" w:cs="Times New Roman"/>
          <w:lang w:val="lt-LT"/>
        </w:rPr>
        <w:t xml:space="preserve"> </w:t>
      </w:r>
    </w:p>
    <w:p w14:paraId="7D3E94C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Švedija: </w:t>
      </w:r>
      <w:proofErr w:type="spellStart"/>
      <w:r w:rsidRPr="009D52C3">
        <w:rPr>
          <w:rFonts w:ascii="Times New Roman" w:eastAsia="Calibri" w:hAnsi="Times New Roman" w:cs="Times New Roman"/>
          <w:lang w:val="lt-LT"/>
        </w:rPr>
        <w:t>Bilaxten</w:t>
      </w:r>
      <w:proofErr w:type="spellEnd"/>
      <w:r w:rsidRPr="009D52C3">
        <w:rPr>
          <w:rFonts w:ascii="Times New Roman" w:eastAsia="Calibri" w:hAnsi="Times New Roman" w:cs="Times New Roman"/>
          <w:lang w:val="lt-LT"/>
        </w:rPr>
        <w:t xml:space="preserve"> </w:t>
      </w:r>
    </w:p>
    <w:p w14:paraId="64DEAB8C"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Vengrija: </w:t>
      </w:r>
      <w:proofErr w:type="spellStart"/>
      <w:r w:rsidRPr="009D52C3">
        <w:rPr>
          <w:rFonts w:ascii="Times New Roman" w:eastAsia="Calibri" w:hAnsi="Times New Roman" w:cs="Times New Roman"/>
          <w:lang w:val="lt-LT"/>
        </w:rPr>
        <w:t>Lendin</w:t>
      </w:r>
      <w:proofErr w:type="spellEnd"/>
      <w:r w:rsidRPr="009D52C3">
        <w:rPr>
          <w:rFonts w:ascii="Times New Roman" w:eastAsia="Calibri" w:hAnsi="Times New Roman" w:cs="Times New Roman"/>
          <w:lang w:val="lt-LT"/>
        </w:rPr>
        <w:t xml:space="preserve"> </w:t>
      </w:r>
    </w:p>
    <w:p w14:paraId="4D681378"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r w:rsidRPr="009D52C3">
        <w:rPr>
          <w:rFonts w:ascii="Times New Roman" w:eastAsia="Calibri" w:hAnsi="Times New Roman" w:cs="Times New Roman"/>
          <w:lang w:val="lt-LT"/>
        </w:rPr>
        <w:t xml:space="preserve">Vokietija: </w:t>
      </w:r>
      <w:proofErr w:type="spellStart"/>
      <w:r w:rsidRPr="009D52C3">
        <w:rPr>
          <w:rFonts w:ascii="Times New Roman" w:eastAsia="Calibri" w:hAnsi="Times New Roman" w:cs="Times New Roman"/>
          <w:lang w:val="lt-LT"/>
        </w:rPr>
        <w:t>Bilaxten</w:t>
      </w:r>
      <w:proofErr w:type="spellEnd"/>
      <w:r w:rsidRPr="009D52C3">
        <w:rPr>
          <w:rFonts w:ascii="Times New Roman" w:eastAsia="Calibri" w:hAnsi="Times New Roman" w:cs="Times New Roman"/>
          <w:lang w:val="lt-LT"/>
        </w:rPr>
        <w:t xml:space="preserve"> 10 mg </w:t>
      </w:r>
      <w:proofErr w:type="spellStart"/>
      <w:r w:rsidRPr="009D52C3">
        <w:rPr>
          <w:rFonts w:ascii="Times New Roman" w:eastAsia="Calibri" w:hAnsi="Times New Roman" w:cs="Times New Roman"/>
          <w:lang w:val="lt-LT"/>
        </w:rPr>
        <w:t>Schmelztabletten</w:t>
      </w:r>
      <w:proofErr w:type="spellEnd"/>
    </w:p>
    <w:p w14:paraId="2CBFB4DE"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lang w:val="lt-LT"/>
        </w:rPr>
      </w:pPr>
    </w:p>
    <w:p w14:paraId="4686AC12" w14:textId="77777777" w:rsidR="008E6CED" w:rsidRPr="009D52C3" w:rsidRDefault="008E6CED" w:rsidP="008E6CED">
      <w:pPr>
        <w:widowControl w:val="0"/>
        <w:adjustRightInd w:val="0"/>
        <w:snapToGrid w:val="0"/>
        <w:spacing w:after="0" w:line="240" w:lineRule="auto"/>
        <w:rPr>
          <w:rFonts w:ascii="Times New Roman" w:eastAsia="Calibri" w:hAnsi="Times New Roman" w:cs="Times New Roman"/>
          <w:b/>
          <w:lang w:val="lt-LT"/>
        </w:rPr>
      </w:pPr>
      <w:r w:rsidRPr="009D52C3">
        <w:rPr>
          <w:rFonts w:ascii="Times New Roman" w:eastAsia="Calibri" w:hAnsi="Times New Roman" w:cs="Times New Roman"/>
          <w:b/>
          <w:bCs/>
          <w:lang w:val="lt-LT"/>
        </w:rPr>
        <w:t>Šis pakuotės lapelis</w:t>
      </w:r>
      <w:r w:rsidRPr="009D52C3">
        <w:rPr>
          <w:rFonts w:ascii="Times New Roman" w:eastAsia="Calibri" w:hAnsi="Times New Roman" w:cs="Times New Roman"/>
          <w:b/>
          <w:lang w:val="lt-LT"/>
        </w:rPr>
        <w:t xml:space="preserve"> paskutinį kartą peržiūrėtas 2025</w:t>
      </w:r>
      <w:r>
        <w:rPr>
          <w:rFonts w:ascii="Times New Roman" w:eastAsia="Calibri" w:hAnsi="Times New Roman" w:cs="Times New Roman"/>
          <w:b/>
          <w:lang w:val="lt-LT"/>
        </w:rPr>
        <w:t>-10-31</w:t>
      </w:r>
      <w:r w:rsidRPr="009D52C3">
        <w:rPr>
          <w:rFonts w:ascii="Times New Roman" w:eastAsia="Calibri" w:hAnsi="Times New Roman" w:cs="Times New Roman"/>
          <w:b/>
          <w:lang w:val="lt-LT"/>
        </w:rPr>
        <w:t>.</w:t>
      </w:r>
    </w:p>
    <w:p w14:paraId="3783FD4A" w14:textId="77777777" w:rsidR="008E6CED" w:rsidRPr="009D52C3" w:rsidRDefault="008E6CED" w:rsidP="008E6CED">
      <w:pPr>
        <w:widowControl w:val="0"/>
        <w:adjustRightInd w:val="0"/>
        <w:snapToGrid w:val="0"/>
        <w:spacing w:after="0" w:line="240" w:lineRule="auto"/>
        <w:rPr>
          <w:rFonts w:ascii="Times New Roman" w:eastAsiaTheme="minorEastAsia" w:hAnsi="Times New Roman" w:cs="Times New Roman"/>
          <w:lang w:val="lt-LT"/>
        </w:rPr>
      </w:pPr>
    </w:p>
    <w:p w14:paraId="027BBA8E" w14:textId="1A188E7B" w:rsidR="00222FED" w:rsidRDefault="008E6CED" w:rsidP="008E6CED">
      <w:pPr>
        <w:widowControl w:val="0"/>
        <w:adjustRightInd w:val="0"/>
        <w:snapToGrid w:val="0"/>
        <w:spacing w:after="0" w:line="240" w:lineRule="auto"/>
      </w:pPr>
      <w:r w:rsidRPr="009D52C3">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bookmarkStart w:id="13" w:name="_Hlk200444308"/>
      <w:r w:rsidRPr="001903C1">
        <w:rPr>
          <w:rFonts w:ascii="Times New Roman" w:hAnsi="Times New Roman" w:cs="Times New Roman"/>
          <w:lang w:val="lt-LT"/>
        </w:rPr>
        <w:fldChar w:fldCharType="begin"/>
      </w:r>
      <w:r w:rsidRPr="001903C1">
        <w:rPr>
          <w:rFonts w:ascii="Times New Roman" w:hAnsi="Times New Roman" w:cs="Times New Roman"/>
          <w:lang w:val="lt-LT"/>
        </w:rPr>
        <w:instrText>HYPERLINK "https://vvkt.lrv.lt/lt/"</w:instrText>
      </w:r>
      <w:r w:rsidRPr="001903C1">
        <w:rPr>
          <w:rFonts w:ascii="Times New Roman" w:hAnsi="Times New Roman" w:cs="Times New Roman"/>
          <w:lang w:val="lt-LT"/>
        </w:rPr>
      </w:r>
      <w:r w:rsidRPr="001903C1">
        <w:rPr>
          <w:rFonts w:ascii="Times New Roman" w:hAnsi="Times New Roman" w:cs="Times New Roman"/>
          <w:lang w:val="lt-LT"/>
        </w:rPr>
        <w:fldChar w:fldCharType="separate"/>
      </w:r>
      <w:r w:rsidRPr="001903C1">
        <w:rPr>
          <w:rStyle w:val="Hipersaitas"/>
          <w:rFonts w:ascii="Times New Roman" w:hAnsi="Times New Roman" w:cs="Times New Roman"/>
          <w:lang w:val="lt-LT"/>
        </w:rPr>
        <w:t>https://vvkt.lrv.lt/lt/</w:t>
      </w:r>
      <w:r w:rsidRPr="001903C1">
        <w:rPr>
          <w:rFonts w:ascii="Times New Roman" w:hAnsi="Times New Roman" w:cs="Times New Roman"/>
          <w:lang w:val="lt-LT"/>
        </w:rPr>
        <w:fldChar w:fldCharType="end"/>
      </w:r>
      <w:r w:rsidRPr="001903C1">
        <w:rPr>
          <w:rFonts w:ascii="Times New Roman" w:hAnsi="Times New Roman" w:cs="Times New Roman"/>
          <w:lang w:val="lt-LT"/>
        </w:rPr>
        <w:t>.</w:t>
      </w:r>
      <w:bookmarkEnd w:id="13"/>
      <w:r>
        <w:rPr>
          <w:rFonts w:ascii="Times New Roman" w:hAnsi="Times New Roman" w:cs="Times New Roman"/>
          <w:lang w:val="lt-LT"/>
        </w:rPr>
        <w:t xml:space="preserve">        </w:t>
      </w:r>
    </w:p>
    <w:sectPr w:rsidR="00222FED" w:rsidSect="008E6CED">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92DB" w14:textId="77777777" w:rsidR="008E6CED" w:rsidRPr="00AD623E" w:rsidRDefault="008E6CED">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1</w:t>
    </w:r>
    <w:r>
      <w:rPr>
        <w:noProof/>
        <w:sz w:val="22"/>
        <w:szCs w:val="22"/>
      </w:rPr>
      <w:t>4</w:t>
    </w:r>
    <w:r w:rsidRPr="00AD623E">
      <w:rPr>
        <w:sz w:val="22"/>
        <w:szCs w:val="22"/>
      </w:rPr>
      <w:fldChar w:fldCharType="end"/>
    </w:r>
  </w:p>
  <w:p w14:paraId="7ACAD3BE" w14:textId="77777777" w:rsidR="008E6CED" w:rsidRDefault="008E6CE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A48" w14:textId="77777777" w:rsidR="008E6CED" w:rsidRDefault="008E6C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16F69"/>
    <w:multiLevelType w:val="hybridMultilevel"/>
    <w:tmpl w:val="CA223546"/>
    <w:lvl w:ilvl="0" w:tplc="BC00E7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3"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5"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7"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30644">
    <w:abstractNumId w:val="5"/>
  </w:num>
  <w:num w:numId="2" w16cid:durableId="765424615">
    <w:abstractNumId w:val="6"/>
  </w:num>
  <w:num w:numId="3" w16cid:durableId="1468821499">
    <w:abstractNumId w:val="4"/>
  </w:num>
  <w:num w:numId="4" w16cid:durableId="456291365">
    <w:abstractNumId w:val="2"/>
  </w:num>
  <w:num w:numId="5" w16cid:durableId="469900778">
    <w:abstractNumId w:val="7"/>
  </w:num>
  <w:num w:numId="6" w16cid:durableId="1924023111">
    <w:abstractNumId w:val="0"/>
  </w:num>
  <w:num w:numId="7" w16cid:durableId="1452286890">
    <w:abstractNumId w:val="3"/>
  </w:num>
  <w:num w:numId="8" w16cid:durableId="207095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ED"/>
    <w:rsid w:val="00222FED"/>
    <w:rsid w:val="00240916"/>
    <w:rsid w:val="005F173E"/>
    <w:rsid w:val="008B3AD4"/>
    <w:rsid w:val="008E6CE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4BE7"/>
  <w15:chartTrackingRefBased/>
  <w15:docId w15:val="{139E2679-F3F2-4999-8C7A-FC4722C2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ED"/>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8E6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6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6C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6C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6C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6C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6C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6C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6C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6C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6C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6C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6C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6C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6C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6C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6C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6C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6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6C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6C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6C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6C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6CED"/>
    <w:rPr>
      <w:i/>
      <w:iCs/>
      <w:color w:val="404040" w:themeColor="text1" w:themeTint="BF"/>
    </w:rPr>
  </w:style>
  <w:style w:type="paragraph" w:styleId="Sraopastraipa">
    <w:name w:val="List Paragraph"/>
    <w:basedOn w:val="prastasis"/>
    <w:uiPriority w:val="34"/>
    <w:qFormat/>
    <w:rsid w:val="008E6CED"/>
    <w:pPr>
      <w:ind w:left="720"/>
      <w:contextualSpacing/>
    </w:pPr>
  </w:style>
  <w:style w:type="character" w:styleId="Rykuspabraukimas">
    <w:name w:val="Intense Emphasis"/>
    <w:basedOn w:val="Numatytasispastraiposriftas"/>
    <w:uiPriority w:val="21"/>
    <w:qFormat/>
    <w:rsid w:val="008E6CED"/>
    <w:rPr>
      <w:i/>
      <w:iCs/>
      <w:color w:val="0F4761" w:themeColor="accent1" w:themeShade="BF"/>
    </w:rPr>
  </w:style>
  <w:style w:type="paragraph" w:styleId="Iskirtacitata">
    <w:name w:val="Intense Quote"/>
    <w:basedOn w:val="prastasis"/>
    <w:next w:val="prastasis"/>
    <w:link w:val="IskirtacitataDiagrama"/>
    <w:uiPriority w:val="30"/>
    <w:qFormat/>
    <w:rsid w:val="008E6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6CED"/>
    <w:rPr>
      <w:i/>
      <w:iCs/>
      <w:color w:val="0F4761" w:themeColor="accent1" w:themeShade="BF"/>
    </w:rPr>
  </w:style>
  <w:style w:type="character" w:styleId="Rykinuoroda">
    <w:name w:val="Intense Reference"/>
    <w:basedOn w:val="Numatytasispastraiposriftas"/>
    <w:uiPriority w:val="32"/>
    <w:qFormat/>
    <w:rsid w:val="008E6CED"/>
    <w:rPr>
      <w:b/>
      <w:bCs/>
      <w:smallCaps/>
      <w:color w:val="0F4761" w:themeColor="accent1" w:themeShade="BF"/>
      <w:spacing w:val="5"/>
    </w:rPr>
  </w:style>
  <w:style w:type="character" w:styleId="Hipersaitas">
    <w:name w:val="Hyperlink"/>
    <w:basedOn w:val="Numatytasispastraiposriftas"/>
    <w:unhideWhenUsed/>
    <w:rsid w:val="008E6CED"/>
    <w:rPr>
      <w:color w:val="0000FF"/>
      <w:u w:val="single"/>
    </w:rPr>
  </w:style>
  <w:style w:type="paragraph" w:styleId="Porat">
    <w:name w:val="footer"/>
    <w:basedOn w:val="prastasis"/>
    <w:link w:val="PoratDiagrama"/>
    <w:uiPriority w:val="99"/>
    <w:unhideWhenUsed/>
    <w:rsid w:val="008E6CED"/>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8E6CED"/>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8E6CED"/>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8E6CE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8746</Words>
  <Characters>4986</Characters>
  <Application>Microsoft Office Word</Application>
  <DocSecurity>0</DocSecurity>
  <Lines>41</Lines>
  <Paragraphs>27</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2025-11-18T14:34:00Z</dcterms:created>
  <dcterms:modified xsi:type="dcterms:W3CDTF">2025-11-18T14:35:00Z</dcterms:modified>
</cp:coreProperties>
</file>