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44394" w14:textId="77777777" w:rsidR="006D2D23" w:rsidRPr="0046556E" w:rsidRDefault="006D2D23" w:rsidP="006D2D23">
      <w:pPr>
        <w:widowControl w:val="0"/>
        <w:tabs>
          <w:tab w:val="left" w:pos="567"/>
        </w:tabs>
        <w:rPr>
          <w:bCs/>
          <w:iCs/>
          <w:szCs w:val="22"/>
          <w:lang w:eastAsia="en-US"/>
        </w:rPr>
      </w:pPr>
    </w:p>
    <w:p w14:paraId="22B1413C" w14:textId="77777777" w:rsidR="006D2D23" w:rsidRPr="0046556E" w:rsidRDefault="006D2D23" w:rsidP="006D2D23">
      <w:pPr>
        <w:widowControl w:val="0"/>
        <w:tabs>
          <w:tab w:val="left" w:pos="567"/>
        </w:tabs>
        <w:rPr>
          <w:bCs/>
          <w:iCs/>
          <w:szCs w:val="22"/>
          <w:lang w:eastAsia="en-US"/>
        </w:rPr>
      </w:pPr>
    </w:p>
    <w:p w14:paraId="052064AE" w14:textId="77777777" w:rsidR="006D2D23" w:rsidRPr="0046556E" w:rsidRDefault="006D2D23" w:rsidP="006D2D23">
      <w:pPr>
        <w:widowControl w:val="0"/>
        <w:tabs>
          <w:tab w:val="left" w:pos="567"/>
        </w:tabs>
        <w:rPr>
          <w:bCs/>
          <w:iCs/>
          <w:szCs w:val="22"/>
          <w:lang w:eastAsia="en-US"/>
        </w:rPr>
      </w:pPr>
    </w:p>
    <w:p w14:paraId="46C31E6F" w14:textId="77777777" w:rsidR="006D2D23" w:rsidRPr="0046556E" w:rsidRDefault="006D2D23" w:rsidP="006D2D23">
      <w:pPr>
        <w:widowControl w:val="0"/>
        <w:tabs>
          <w:tab w:val="left" w:pos="567"/>
        </w:tabs>
        <w:rPr>
          <w:bCs/>
          <w:iCs/>
          <w:szCs w:val="22"/>
          <w:lang w:eastAsia="en-US"/>
        </w:rPr>
      </w:pPr>
    </w:p>
    <w:p w14:paraId="46735D25" w14:textId="77777777" w:rsidR="006D2D23" w:rsidRPr="0046556E" w:rsidRDefault="006D2D23" w:rsidP="006D2D23">
      <w:pPr>
        <w:widowControl w:val="0"/>
        <w:tabs>
          <w:tab w:val="left" w:pos="567"/>
        </w:tabs>
        <w:rPr>
          <w:bCs/>
          <w:iCs/>
          <w:szCs w:val="22"/>
          <w:lang w:eastAsia="en-US"/>
        </w:rPr>
      </w:pPr>
    </w:p>
    <w:p w14:paraId="52C91F98" w14:textId="77777777" w:rsidR="006D2D23" w:rsidRPr="0046556E" w:rsidRDefault="006D2D23" w:rsidP="006D2D23">
      <w:pPr>
        <w:widowControl w:val="0"/>
        <w:tabs>
          <w:tab w:val="left" w:pos="567"/>
        </w:tabs>
        <w:rPr>
          <w:bCs/>
          <w:iCs/>
          <w:szCs w:val="22"/>
          <w:lang w:eastAsia="en-US"/>
        </w:rPr>
      </w:pPr>
    </w:p>
    <w:p w14:paraId="08CDEB2E" w14:textId="77777777" w:rsidR="006D2D23" w:rsidRPr="0046556E" w:rsidRDefault="006D2D23" w:rsidP="006D2D23">
      <w:pPr>
        <w:widowControl w:val="0"/>
        <w:tabs>
          <w:tab w:val="left" w:pos="567"/>
        </w:tabs>
        <w:rPr>
          <w:bCs/>
          <w:iCs/>
          <w:szCs w:val="22"/>
          <w:lang w:eastAsia="en-US"/>
        </w:rPr>
      </w:pPr>
    </w:p>
    <w:p w14:paraId="5EC3F8D5" w14:textId="77777777" w:rsidR="006D2D23" w:rsidRPr="0046556E" w:rsidRDefault="006D2D23" w:rsidP="006D2D23">
      <w:pPr>
        <w:widowControl w:val="0"/>
        <w:tabs>
          <w:tab w:val="left" w:pos="567"/>
        </w:tabs>
        <w:rPr>
          <w:bCs/>
          <w:iCs/>
          <w:szCs w:val="22"/>
          <w:lang w:eastAsia="en-US"/>
        </w:rPr>
      </w:pPr>
    </w:p>
    <w:p w14:paraId="1F2DFB44" w14:textId="77777777" w:rsidR="006D2D23" w:rsidRPr="0046556E" w:rsidRDefault="006D2D23" w:rsidP="006D2D23">
      <w:pPr>
        <w:widowControl w:val="0"/>
        <w:tabs>
          <w:tab w:val="left" w:pos="567"/>
        </w:tabs>
        <w:rPr>
          <w:bCs/>
          <w:iCs/>
          <w:szCs w:val="22"/>
          <w:lang w:eastAsia="en-US"/>
        </w:rPr>
      </w:pPr>
    </w:p>
    <w:p w14:paraId="420D2B28" w14:textId="77777777" w:rsidR="006D2D23" w:rsidRPr="0046556E" w:rsidRDefault="006D2D23" w:rsidP="006D2D23">
      <w:pPr>
        <w:widowControl w:val="0"/>
        <w:tabs>
          <w:tab w:val="left" w:pos="567"/>
        </w:tabs>
        <w:rPr>
          <w:bCs/>
          <w:iCs/>
          <w:szCs w:val="22"/>
          <w:lang w:eastAsia="en-US"/>
        </w:rPr>
      </w:pPr>
    </w:p>
    <w:p w14:paraId="0E3D7400" w14:textId="77777777" w:rsidR="006D2D23" w:rsidRPr="0046556E" w:rsidRDefault="006D2D23" w:rsidP="006D2D23">
      <w:pPr>
        <w:widowControl w:val="0"/>
        <w:tabs>
          <w:tab w:val="left" w:pos="567"/>
        </w:tabs>
        <w:rPr>
          <w:bCs/>
          <w:iCs/>
          <w:szCs w:val="22"/>
          <w:lang w:eastAsia="en-US"/>
        </w:rPr>
      </w:pPr>
    </w:p>
    <w:p w14:paraId="6697EF00" w14:textId="77777777" w:rsidR="006D2D23" w:rsidRPr="0046556E" w:rsidRDefault="006D2D23" w:rsidP="006D2D23">
      <w:pPr>
        <w:widowControl w:val="0"/>
        <w:tabs>
          <w:tab w:val="left" w:pos="567"/>
        </w:tabs>
        <w:rPr>
          <w:bCs/>
          <w:iCs/>
          <w:szCs w:val="22"/>
          <w:lang w:eastAsia="en-US"/>
        </w:rPr>
      </w:pPr>
    </w:p>
    <w:p w14:paraId="6DB8CC62" w14:textId="77777777" w:rsidR="006D2D23" w:rsidRPr="0046556E" w:rsidRDefault="006D2D23" w:rsidP="006D2D23">
      <w:pPr>
        <w:widowControl w:val="0"/>
        <w:tabs>
          <w:tab w:val="left" w:pos="567"/>
        </w:tabs>
        <w:rPr>
          <w:bCs/>
          <w:iCs/>
          <w:szCs w:val="22"/>
          <w:lang w:eastAsia="en-US"/>
        </w:rPr>
      </w:pPr>
    </w:p>
    <w:p w14:paraId="6585AF54" w14:textId="77777777" w:rsidR="006D2D23" w:rsidRPr="0046556E" w:rsidRDefault="006D2D23" w:rsidP="006D2D23">
      <w:pPr>
        <w:widowControl w:val="0"/>
        <w:tabs>
          <w:tab w:val="left" w:pos="567"/>
        </w:tabs>
        <w:rPr>
          <w:bCs/>
          <w:iCs/>
          <w:szCs w:val="22"/>
          <w:lang w:eastAsia="en-US"/>
        </w:rPr>
      </w:pPr>
    </w:p>
    <w:p w14:paraId="54A420BA" w14:textId="77777777" w:rsidR="006D2D23" w:rsidRPr="0046556E" w:rsidRDefault="006D2D23" w:rsidP="006D2D23">
      <w:pPr>
        <w:widowControl w:val="0"/>
        <w:tabs>
          <w:tab w:val="left" w:pos="567"/>
        </w:tabs>
        <w:rPr>
          <w:bCs/>
          <w:iCs/>
          <w:szCs w:val="22"/>
          <w:lang w:eastAsia="en-US"/>
        </w:rPr>
      </w:pPr>
    </w:p>
    <w:p w14:paraId="37885909" w14:textId="77777777" w:rsidR="006D2D23" w:rsidRPr="0046556E" w:rsidRDefault="006D2D23" w:rsidP="006D2D23">
      <w:pPr>
        <w:widowControl w:val="0"/>
        <w:tabs>
          <w:tab w:val="left" w:pos="567"/>
        </w:tabs>
        <w:rPr>
          <w:bCs/>
          <w:iCs/>
          <w:szCs w:val="22"/>
          <w:lang w:eastAsia="en-US"/>
        </w:rPr>
      </w:pPr>
    </w:p>
    <w:p w14:paraId="04CC8378" w14:textId="77777777" w:rsidR="006D2D23" w:rsidRPr="0046556E" w:rsidRDefault="006D2D23" w:rsidP="006D2D23">
      <w:pPr>
        <w:widowControl w:val="0"/>
        <w:tabs>
          <w:tab w:val="left" w:pos="567"/>
        </w:tabs>
        <w:rPr>
          <w:bCs/>
          <w:iCs/>
          <w:szCs w:val="22"/>
          <w:lang w:eastAsia="en-US"/>
        </w:rPr>
      </w:pPr>
    </w:p>
    <w:p w14:paraId="34DC33DD" w14:textId="77777777" w:rsidR="006D2D23" w:rsidRPr="0046556E" w:rsidRDefault="006D2D23" w:rsidP="006D2D23">
      <w:pPr>
        <w:widowControl w:val="0"/>
        <w:tabs>
          <w:tab w:val="left" w:pos="567"/>
        </w:tabs>
        <w:rPr>
          <w:bCs/>
          <w:iCs/>
          <w:szCs w:val="22"/>
          <w:lang w:eastAsia="en-US"/>
        </w:rPr>
      </w:pPr>
    </w:p>
    <w:p w14:paraId="7EBE71A2" w14:textId="77777777" w:rsidR="006D2D23" w:rsidRPr="0046556E" w:rsidRDefault="006D2D23" w:rsidP="006D2D23">
      <w:pPr>
        <w:widowControl w:val="0"/>
        <w:tabs>
          <w:tab w:val="left" w:pos="567"/>
        </w:tabs>
        <w:rPr>
          <w:bCs/>
          <w:iCs/>
          <w:szCs w:val="22"/>
          <w:lang w:eastAsia="en-US"/>
        </w:rPr>
      </w:pPr>
    </w:p>
    <w:p w14:paraId="6B1A5793" w14:textId="77777777" w:rsidR="006D2D23" w:rsidRPr="0046556E" w:rsidRDefault="006D2D23" w:rsidP="006D2D23">
      <w:pPr>
        <w:widowControl w:val="0"/>
        <w:tabs>
          <w:tab w:val="left" w:pos="567"/>
        </w:tabs>
        <w:rPr>
          <w:bCs/>
          <w:iCs/>
          <w:szCs w:val="22"/>
          <w:lang w:eastAsia="en-US"/>
        </w:rPr>
      </w:pPr>
    </w:p>
    <w:p w14:paraId="6C9E88D4" w14:textId="77777777" w:rsidR="006D2D23" w:rsidRPr="0046556E" w:rsidRDefault="006D2D23" w:rsidP="006D2D23">
      <w:pPr>
        <w:widowControl w:val="0"/>
        <w:tabs>
          <w:tab w:val="left" w:pos="567"/>
        </w:tabs>
        <w:rPr>
          <w:bCs/>
          <w:iCs/>
          <w:szCs w:val="22"/>
          <w:lang w:eastAsia="en-US"/>
        </w:rPr>
      </w:pPr>
    </w:p>
    <w:p w14:paraId="18F4128C" w14:textId="77777777" w:rsidR="006D2D23" w:rsidRPr="0046556E" w:rsidRDefault="006D2D23" w:rsidP="006D2D23">
      <w:pPr>
        <w:widowControl w:val="0"/>
        <w:tabs>
          <w:tab w:val="left" w:pos="567"/>
        </w:tabs>
        <w:jc w:val="center"/>
        <w:rPr>
          <w:b/>
          <w:bCs/>
          <w:iCs/>
          <w:szCs w:val="22"/>
          <w:lang w:eastAsia="en-US"/>
        </w:rPr>
      </w:pPr>
    </w:p>
    <w:p w14:paraId="66783D21" w14:textId="77777777" w:rsidR="006D2D23" w:rsidRPr="0046556E" w:rsidRDefault="006D2D23" w:rsidP="006D2D23">
      <w:pPr>
        <w:widowControl w:val="0"/>
        <w:tabs>
          <w:tab w:val="left" w:pos="567"/>
        </w:tabs>
        <w:jc w:val="center"/>
        <w:rPr>
          <w:b/>
          <w:bCs/>
          <w:iCs/>
          <w:szCs w:val="22"/>
          <w:lang w:eastAsia="en-US"/>
        </w:rPr>
      </w:pPr>
      <w:r w:rsidRPr="0046556E">
        <w:rPr>
          <w:b/>
          <w:bCs/>
          <w:iCs/>
          <w:szCs w:val="22"/>
          <w:lang w:eastAsia="en-US"/>
        </w:rPr>
        <w:t>I PRIEDAS</w:t>
      </w:r>
    </w:p>
    <w:p w14:paraId="2DCE04A3" w14:textId="77777777" w:rsidR="006D2D23" w:rsidRPr="0046556E" w:rsidRDefault="006D2D23" w:rsidP="006D2D23">
      <w:pPr>
        <w:widowControl w:val="0"/>
        <w:tabs>
          <w:tab w:val="left" w:pos="567"/>
        </w:tabs>
        <w:jc w:val="center"/>
        <w:rPr>
          <w:bCs/>
          <w:iCs/>
          <w:szCs w:val="22"/>
          <w:lang w:eastAsia="en-US"/>
        </w:rPr>
      </w:pPr>
    </w:p>
    <w:p w14:paraId="5394BF66" w14:textId="77777777" w:rsidR="006D2D23" w:rsidRPr="0046556E" w:rsidRDefault="006D2D23" w:rsidP="006D2D23">
      <w:pPr>
        <w:widowControl w:val="0"/>
        <w:tabs>
          <w:tab w:val="left" w:pos="567"/>
        </w:tabs>
        <w:jc w:val="center"/>
        <w:rPr>
          <w:bCs/>
          <w:iCs/>
          <w:szCs w:val="22"/>
          <w:lang w:eastAsia="en-US"/>
        </w:rPr>
      </w:pPr>
      <w:r w:rsidRPr="0046556E">
        <w:rPr>
          <w:b/>
          <w:szCs w:val="22"/>
          <w:lang w:eastAsia="en-US"/>
        </w:rPr>
        <w:t>PREPARATO CHARAKTERISTIKŲ SANTRAUKA</w:t>
      </w:r>
    </w:p>
    <w:p w14:paraId="0C7F9243" w14:textId="77777777" w:rsidR="006D2D23" w:rsidRPr="0046556E" w:rsidRDefault="006D2D23" w:rsidP="006D2D23">
      <w:pPr>
        <w:widowControl w:val="0"/>
        <w:tabs>
          <w:tab w:val="left" w:pos="567"/>
        </w:tabs>
        <w:rPr>
          <w:szCs w:val="22"/>
          <w:lang w:eastAsia="en-US"/>
        </w:rPr>
      </w:pPr>
      <w:r w:rsidRPr="0046556E">
        <w:rPr>
          <w:bCs/>
          <w:iCs/>
          <w:szCs w:val="22"/>
          <w:lang w:eastAsia="en-US"/>
        </w:rPr>
        <w:br w:type="page"/>
      </w:r>
    </w:p>
    <w:p w14:paraId="151ABE87" w14:textId="77777777" w:rsidR="006D2D23" w:rsidRPr="0046556E" w:rsidRDefault="006D2D23" w:rsidP="006D2D23">
      <w:pPr>
        <w:widowControl w:val="0"/>
        <w:tabs>
          <w:tab w:val="left" w:pos="567"/>
        </w:tabs>
        <w:rPr>
          <w:b/>
          <w:szCs w:val="22"/>
          <w:lang w:eastAsia="en-US"/>
        </w:rPr>
      </w:pPr>
      <w:r w:rsidRPr="0046556E">
        <w:rPr>
          <w:b/>
          <w:bCs/>
          <w:iCs/>
          <w:szCs w:val="22"/>
          <w:lang w:eastAsia="en-US"/>
        </w:rPr>
        <w:lastRenderedPageBreak/>
        <w:t>1.</w:t>
      </w:r>
      <w:r w:rsidRPr="0046556E">
        <w:rPr>
          <w:b/>
          <w:bCs/>
          <w:iCs/>
          <w:szCs w:val="22"/>
          <w:lang w:eastAsia="en-US"/>
        </w:rPr>
        <w:tab/>
      </w:r>
      <w:r w:rsidRPr="0046556E">
        <w:rPr>
          <w:b/>
          <w:szCs w:val="22"/>
          <w:lang w:eastAsia="en-US"/>
        </w:rPr>
        <w:t>VAISTINIO PREPARATO PAVADINIMAS</w:t>
      </w:r>
    </w:p>
    <w:p w14:paraId="3E0BFEA2" w14:textId="77777777" w:rsidR="006D2D23" w:rsidRPr="0046556E" w:rsidRDefault="006D2D23" w:rsidP="006D2D23">
      <w:pPr>
        <w:tabs>
          <w:tab w:val="left" w:pos="567"/>
        </w:tabs>
        <w:rPr>
          <w:iCs/>
          <w:szCs w:val="22"/>
          <w:lang w:eastAsia="en-US"/>
        </w:rPr>
      </w:pPr>
    </w:p>
    <w:p w14:paraId="6D347287" w14:textId="77777777" w:rsidR="00914222" w:rsidRPr="00914222" w:rsidRDefault="004E443A" w:rsidP="00914222">
      <w:pPr>
        <w:widowControl w:val="0"/>
        <w:tabs>
          <w:tab w:val="left" w:pos="567"/>
        </w:tabs>
        <w:rPr>
          <w:szCs w:val="22"/>
          <w:lang w:eastAsia="en-US"/>
        </w:rPr>
      </w:pPr>
      <w:bookmarkStart w:id="0" w:name="_GoBack"/>
      <w:r>
        <w:rPr>
          <w:szCs w:val="22"/>
          <w:lang w:eastAsia="en-US"/>
        </w:rPr>
        <w:t>Tenofovir disoproxil Sandoz 24</w:t>
      </w:r>
      <w:r w:rsidR="00914222" w:rsidRPr="00914222">
        <w:rPr>
          <w:szCs w:val="22"/>
          <w:lang w:eastAsia="en-US"/>
        </w:rPr>
        <w:t>5</w:t>
      </w:r>
      <w:r w:rsidR="00212870">
        <w:rPr>
          <w:szCs w:val="22"/>
          <w:lang w:eastAsia="en-US"/>
        </w:rPr>
        <w:t> </w:t>
      </w:r>
      <w:r w:rsidR="00914222" w:rsidRPr="00914222">
        <w:rPr>
          <w:szCs w:val="22"/>
          <w:lang w:eastAsia="en-US"/>
        </w:rPr>
        <w:t>mg plėvele dengtos tabletės</w:t>
      </w:r>
    </w:p>
    <w:bookmarkEnd w:id="0"/>
    <w:p w14:paraId="101A918B" w14:textId="77777777" w:rsidR="00914222" w:rsidRDefault="00914222" w:rsidP="00914222">
      <w:pPr>
        <w:widowControl w:val="0"/>
        <w:tabs>
          <w:tab w:val="left" w:pos="567"/>
        </w:tabs>
        <w:rPr>
          <w:b/>
          <w:szCs w:val="22"/>
          <w:lang w:eastAsia="en-US"/>
        </w:rPr>
      </w:pPr>
    </w:p>
    <w:p w14:paraId="664E3592" w14:textId="77777777" w:rsidR="00914222" w:rsidRPr="0046556E" w:rsidRDefault="00914222" w:rsidP="00914222">
      <w:pPr>
        <w:widowControl w:val="0"/>
        <w:tabs>
          <w:tab w:val="left" w:pos="567"/>
        </w:tabs>
        <w:rPr>
          <w:b/>
          <w:szCs w:val="22"/>
          <w:lang w:eastAsia="en-US"/>
        </w:rPr>
      </w:pPr>
    </w:p>
    <w:p w14:paraId="616A0518" w14:textId="77777777" w:rsidR="006D2D23" w:rsidRPr="0046556E" w:rsidRDefault="006D2D23" w:rsidP="006D2D23">
      <w:pPr>
        <w:widowControl w:val="0"/>
        <w:tabs>
          <w:tab w:val="left" w:pos="567"/>
        </w:tabs>
        <w:rPr>
          <w:szCs w:val="22"/>
          <w:lang w:eastAsia="en-US"/>
        </w:rPr>
      </w:pPr>
      <w:r w:rsidRPr="0046556E">
        <w:rPr>
          <w:b/>
          <w:szCs w:val="22"/>
          <w:lang w:eastAsia="en-US"/>
        </w:rPr>
        <w:t>2.</w:t>
      </w:r>
      <w:r w:rsidRPr="0046556E">
        <w:rPr>
          <w:b/>
          <w:szCs w:val="22"/>
          <w:lang w:eastAsia="en-US"/>
        </w:rPr>
        <w:tab/>
      </w:r>
      <w:r w:rsidRPr="0046556E">
        <w:rPr>
          <w:b/>
          <w:bCs/>
          <w:szCs w:val="22"/>
          <w:lang w:eastAsia="en-US"/>
        </w:rPr>
        <w:t>KOKYBINĖ IR KIEKYBINĖ SUDĖTIS</w:t>
      </w:r>
    </w:p>
    <w:p w14:paraId="3B524881" w14:textId="77777777" w:rsidR="006D2D23" w:rsidRPr="0046556E" w:rsidRDefault="006D2D23" w:rsidP="006D2D23">
      <w:pPr>
        <w:tabs>
          <w:tab w:val="left" w:pos="567"/>
        </w:tabs>
        <w:rPr>
          <w:szCs w:val="22"/>
          <w:lang w:eastAsia="en-US"/>
        </w:rPr>
      </w:pPr>
    </w:p>
    <w:p w14:paraId="5EB44E16" w14:textId="77777777" w:rsidR="004E443A" w:rsidRPr="004E443A" w:rsidRDefault="004E443A" w:rsidP="004E443A">
      <w:pPr>
        <w:tabs>
          <w:tab w:val="left" w:pos="567"/>
        </w:tabs>
        <w:rPr>
          <w:szCs w:val="22"/>
          <w:lang w:eastAsia="en-US"/>
        </w:rPr>
      </w:pPr>
      <w:r w:rsidRPr="004E443A">
        <w:rPr>
          <w:szCs w:val="22"/>
          <w:lang w:eastAsia="en-US"/>
        </w:rPr>
        <w:t>Kiekvienoje plėvele dengtoje tabletėje yra 245</w:t>
      </w:r>
      <w:r w:rsidR="00212870">
        <w:rPr>
          <w:szCs w:val="22"/>
          <w:lang w:eastAsia="en-US"/>
        </w:rPr>
        <w:t> </w:t>
      </w:r>
      <w:r w:rsidRPr="004E443A">
        <w:rPr>
          <w:szCs w:val="22"/>
          <w:lang w:eastAsia="en-US"/>
        </w:rPr>
        <w:t>mg tenofoviro dizoproksilio.</w:t>
      </w:r>
    </w:p>
    <w:p w14:paraId="462477EF" w14:textId="77777777" w:rsidR="004E443A" w:rsidRDefault="004E443A" w:rsidP="004E443A">
      <w:pPr>
        <w:tabs>
          <w:tab w:val="left" w:pos="567"/>
        </w:tabs>
        <w:rPr>
          <w:szCs w:val="22"/>
          <w:lang w:eastAsia="en-US"/>
        </w:rPr>
      </w:pPr>
    </w:p>
    <w:p w14:paraId="0019F2C8" w14:textId="77777777" w:rsidR="004E443A" w:rsidRPr="004E443A" w:rsidRDefault="004E443A" w:rsidP="004E443A">
      <w:pPr>
        <w:tabs>
          <w:tab w:val="left" w:pos="567"/>
        </w:tabs>
        <w:rPr>
          <w:szCs w:val="22"/>
          <w:u w:val="single"/>
          <w:lang w:eastAsia="en-US"/>
        </w:rPr>
      </w:pPr>
      <w:r w:rsidRPr="004E443A">
        <w:rPr>
          <w:szCs w:val="22"/>
          <w:u w:val="single"/>
          <w:lang w:eastAsia="en-US"/>
        </w:rPr>
        <w:t>Pagalbinė medžiaga, kurios poveikis žinomas</w:t>
      </w:r>
    </w:p>
    <w:p w14:paraId="7E8385CB" w14:textId="77777777" w:rsidR="004E443A" w:rsidRPr="004E443A" w:rsidRDefault="004E443A" w:rsidP="004E443A">
      <w:pPr>
        <w:tabs>
          <w:tab w:val="left" w:pos="567"/>
        </w:tabs>
        <w:rPr>
          <w:szCs w:val="22"/>
          <w:lang w:eastAsia="en-US"/>
        </w:rPr>
      </w:pPr>
      <w:r>
        <w:rPr>
          <w:szCs w:val="22"/>
          <w:lang w:eastAsia="en-US"/>
        </w:rPr>
        <w:t>Kiekvienoje</w:t>
      </w:r>
      <w:r w:rsidRPr="004E443A">
        <w:rPr>
          <w:szCs w:val="22"/>
          <w:lang w:eastAsia="en-US"/>
        </w:rPr>
        <w:t xml:space="preserve"> tabletėje yra </w:t>
      </w:r>
      <w:r>
        <w:rPr>
          <w:szCs w:val="22"/>
          <w:lang w:eastAsia="en-US"/>
        </w:rPr>
        <w:t>220</w:t>
      </w:r>
      <w:r w:rsidR="00212870">
        <w:rPr>
          <w:szCs w:val="22"/>
          <w:lang w:eastAsia="en-US"/>
        </w:rPr>
        <w:t> </w:t>
      </w:r>
      <w:r w:rsidRPr="004E443A">
        <w:rPr>
          <w:szCs w:val="22"/>
          <w:lang w:eastAsia="en-US"/>
        </w:rPr>
        <w:t>mg laktozės (monohidrato pavidalu).</w:t>
      </w:r>
    </w:p>
    <w:p w14:paraId="16B0C438" w14:textId="77777777" w:rsidR="004E443A" w:rsidRDefault="004E443A" w:rsidP="004E443A">
      <w:pPr>
        <w:tabs>
          <w:tab w:val="left" w:pos="567"/>
        </w:tabs>
        <w:rPr>
          <w:szCs w:val="22"/>
          <w:lang w:eastAsia="en-US"/>
        </w:rPr>
      </w:pPr>
    </w:p>
    <w:p w14:paraId="16646932" w14:textId="77777777" w:rsidR="006D2D23" w:rsidRPr="0046556E" w:rsidRDefault="006D2D23" w:rsidP="006D2D23">
      <w:pPr>
        <w:tabs>
          <w:tab w:val="left" w:pos="567"/>
        </w:tabs>
        <w:rPr>
          <w:szCs w:val="22"/>
          <w:lang w:eastAsia="en-US"/>
        </w:rPr>
      </w:pPr>
      <w:r w:rsidRPr="0046556E">
        <w:rPr>
          <w:szCs w:val="22"/>
          <w:lang w:eastAsia="en-US"/>
        </w:rPr>
        <w:t>Visos pagalbinės medžiagos išvardytos 6.1 skyriuje.</w:t>
      </w:r>
    </w:p>
    <w:p w14:paraId="25245644" w14:textId="77777777" w:rsidR="006D2D23" w:rsidRPr="0046556E" w:rsidRDefault="006D2D23" w:rsidP="006D2D23">
      <w:pPr>
        <w:tabs>
          <w:tab w:val="left" w:pos="567"/>
        </w:tabs>
        <w:rPr>
          <w:szCs w:val="22"/>
          <w:lang w:eastAsia="en-US"/>
        </w:rPr>
      </w:pPr>
    </w:p>
    <w:p w14:paraId="7E0E43E5" w14:textId="77777777" w:rsidR="006D2D23" w:rsidRPr="0046556E" w:rsidRDefault="006D2D23" w:rsidP="006D2D23">
      <w:pPr>
        <w:tabs>
          <w:tab w:val="left" w:pos="567"/>
        </w:tabs>
        <w:rPr>
          <w:szCs w:val="22"/>
          <w:lang w:eastAsia="en-US"/>
        </w:rPr>
      </w:pPr>
    </w:p>
    <w:p w14:paraId="044F9631" w14:textId="77777777" w:rsidR="006D2D23" w:rsidRPr="0046556E" w:rsidRDefault="006D2D23" w:rsidP="006D2D23">
      <w:pPr>
        <w:tabs>
          <w:tab w:val="left" w:pos="567"/>
        </w:tabs>
        <w:ind w:left="567" w:hanging="567"/>
        <w:rPr>
          <w:b/>
          <w:caps/>
          <w:szCs w:val="22"/>
          <w:lang w:eastAsia="en-US"/>
        </w:rPr>
      </w:pPr>
      <w:r w:rsidRPr="0046556E">
        <w:rPr>
          <w:b/>
          <w:szCs w:val="22"/>
          <w:lang w:eastAsia="en-US"/>
        </w:rPr>
        <w:t>3.</w:t>
      </w:r>
      <w:r w:rsidRPr="0046556E">
        <w:rPr>
          <w:b/>
          <w:szCs w:val="22"/>
          <w:lang w:eastAsia="en-US"/>
        </w:rPr>
        <w:tab/>
      </w:r>
      <w:r w:rsidRPr="0046556E">
        <w:rPr>
          <w:b/>
          <w:bCs/>
          <w:szCs w:val="22"/>
          <w:lang w:eastAsia="en-US"/>
        </w:rPr>
        <w:t>FARMACINĖ FORMA</w:t>
      </w:r>
    </w:p>
    <w:p w14:paraId="7C417BC9" w14:textId="77777777" w:rsidR="006D2D23" w:rsidRPr="0046556E" w:rsidRDefault="006D2D23" w:rsidP="006D2D23">
      <w:pPr>
        <w:tabs>
          <w:tab w:val="left" w:pos="567"/>
        </w:tabs>
        <w:rPr>
          <w:szCs w:val="22"/>
          <w:lang w:eastAsia="en-US"/>
        </w:rPr>
      </w:pPr>
    </w:p>
    <w:p w14:paraId="7736D1BE" w14:textId="77777777" w:rsidR="00FD191B" w:rsidRPr="00FD191B" w:rsidRDefault="00FD191B" w:rsidP="00FD191B">
      <w:pPr>
        <w:tabs>
          <w:tab w:val="left" w:pos="567"/>
        </w:tabs>
        <w:rPr>
          <w:szCs w:val="22"/>
          <w:lang w:eastAsia="en-US"/>
        </w:rPr>
      </w:pPr>
      <w:r w:rsidRPr="00FD191B">
        <w:rPr>
          <w:szCs w:val="22"/>
          <w:lang w:eastAsia="en-US"/>
        </w:rPr>
        <w:t>Plėvele dengta tabletė.</w:t>
      </w:r>
    </w:p>
    <w:p w14:paraId="0D194C74" w14:textId="77777777" w:rsidR="00FD191B" w:rsidRDefault="00FD191B" w:rsidP="00FD191B">
      <w:pPr>
        <w:tabs>
          <w:tab w:val="left" w:pos="567"/>
        </w:tabs>
        <w:rPr>
          <w:szCs w:val="22"/>
          <w:lang w:eastAsia="en-US"/>
        </w:rPr>
      </w:pPr>
    </w:p>
    <w:p w14:paraId="1E96BD4F" w14:textId="77777777" w:rsidR="006D2D23" w:rsidRPr="0046556E" w:rsidRDefault="000433C8" w:rsidP="000433C8">
      <w:pPr>
        <w:tabs>
          <w:tab w:val="left" w:pos="567"/>
        </w:tabs>
        <w:rPr>
          <w:szCs w:val="22"/>
          <w:lang w:eastAsia="en-US"/>
        </w:rPr>
      </w:pPr>
      <w:r>
        <w:rPr>
          <w:szCs w:val="22"/>
          <w:lang w:eastAsia="en-US"/>
        </w:rPr>
        <w:t>Baltos spalvos,</w:t>
      </w:r>
      <w:r w:rsidRPr="000433C8">
        <w:rPr>
          <w:szCs w:val="22"/>
          <w:lang w:eastAsia="en-US"/>
        </w:rPr>
        <w:t xml:space="preserve"> migdolo formos</w:t>
      </w:r>
      <w:r>
        <w:rPr>
          <w:szCs w:val="22"/>
          <w:lang w:eastAsia="en-US"/>
        </w:rPr>
        <w:t>,</w:t>
      </w:r>
      <w:r w:rsidRPr="000433C8">
        <w:rPr>
          <w:szCs w:val="22"/>
          <w:lang w:eastAsia="en-US"/>
        </w:rPr>
        <w:t xml:space="preserve"> </w:t>
      </w:r>
      <w:r>
        <w:rPr>
          <w:szCs w:val="22"/>
          <w:lang w:eastAsia="en-US"/>
        </w:rPr>
        <w:t>abipus išgaubtos</w:t>
      </w:r>
      <w:r w:rsidR="00E545DF">
        <w:rPr>
          <w:szCs w:val="22"/>
          <w:lang w:eastAsia="en-US"/>
        </w:rPr>
        <w:t>,</w:t>
      </w:r>
      <w:r>
        <w:rPr>
          <w:szCs w:val="22"/>
          <w:lang w:eastAsia="en-US"/>
        </w:rPr>
        <w:t xml:space="preserve"> </w:t>
      </w:r>
      <w:r w:rsidRPr="000433C8">
        <w:rPr>
          <w:szCs w:val="22"/>
          <w:lang w:eastAsia="en-US"/>
        </w:rPr>
        <w:t>16</w:t>
      </w:r>
      <w:r w:rsidR="00212870">
        <w:rPr>
          <w:szCs w:val="22"/>
          <w:lang w:eastAsia="en-US"/>
        </w:rPr>
        <w:t> </w:t>
      </w:r>
      <w:r w:rsidRPr="000433C8">
        <w:rPr>
          <w:szCs w:val="22"/>
          <w:lang w:eastAsia="en-US"/>
        </w:rPr>
        <w:t>mm x 10</w:t>
      </w:r>
      <w:r w:rsidR="00212870">
        <w:rPr>
          <w:szCs w:val="22"/>
          <w:lang w:eastAsia="en-US"/>
        </w:rPr>
        <w:t> </w:t>
      </w:r>
      <w:r w:rsidRPr="000433C8">
        <w:rPr>
          <w:szCs w:val="22"/>
          <w:lang w:eastAsia="en-US"/>
        </w:rPr>
        <w:t>mm dydžio plėvele dengtos tabletės, kuri</w:t>
      </w:r>
      <w:r>
        <w:rPr>
          <w:szCs w:val="22"/>
          <w:lang w:eastAsia="en-US"/>
        </w:rPr>
        <w:t>ų</w:t>
      </w:r>
      <w:r w:rsidRPr="000433C8">
        <w:rPr>
          <w:szCs w:val="22"/>
          <w:lang w:eastAsia="en-US"/>
        </w:rPr>
        <w:t xml:space="preserve"> vienoje pusėje </w:t>
      </w:r>
      <w:r>
        <w:rPr>
          <w:szCs w:val="22"/>
          <w:lang w:eastAsia="en-US"/>
        </w:rPr>
        <w:t xml:space="preserve">įspausta </w:t>
      </w:r>
      <w:r w:rsidRPr="000433C8">
        <w:rPr>
          <w:szCs w:val="22"/>
          <w:lang w:eastAsia="en-US"/>
        </w:rPr>
        <w:t>„</w:t>
      </w:r>
      <w:r>
        <w:rPr>
          <w:szCs w:val="22"/>
          <w:lang w:eastAsia="en-US"/>
        </w:rPr>
        <w:t>H</w:t>
      </w:r>
      <w:r w:rsidRPr="000433C8">
        <w:rPr>
          <w:szCs w:val="22"/>
          <w:lang w:eastAsia="en-US"/>
        </w:rPr>
        <w:t>“</w:t>
      </w:r>
      <w:r>
        <w:rPr>
          <w:szCs w:val="22"/>
          <w:lang w:eastAsia="en-US"/>
        </w:rPr>
        <w:t>,</w:t>
      </w:r>
      <w:r w:rsidRPr="000433C8">
        <w:rPr>
          <w:szCs w:val="22"/>
          <w:lang w:eastAsia="en-US"/>
        </w:rPr>
        <w:t xml:space="preserve"> kitoje pusėje – „</w:t>
      </w:r>
      <w:r>
        <w:rPr>
          <w:szCs w:val="22"/>
          <w:lang w:eastAsia="en-US"/>
        </w:rPr>
        <w:t>T11</w:t>
      </w:r>
      <w:r w:rsidRPr="000433C8">
        <w:rPr>
          <w:szCs w:val="22"/>
          <w:lang w:eastAsia="en-US"/>
        </w:rPr>
        <w:t>“.</w:t>
      </w:r>
    </w:p>
    <w:p w14:paraId="17E937E6" w14:textId="77777777" w:rsidR="006D2D23" w:rsidRDefault="006D2D23" w:rsidP="006D2D23">
      <w:pPr>
        <w:tabs>
          <w:tab w:val="left" w:pos="567"/>
        </w:tabs>
        <w:rPr>
          <w:szCs w:val="22"/>
          <w:lang w:eastAsia="en-US"/>
        </w:rPr>
      </w:pPr>
    </w:p>
    <w:p w14:paraId="69122EDF" w14:textId="77777777" w:rsidR="00FD191B" w:rsidRPr="0046556E" w:rsidRDefault="00FD191B" w:rsidP="006D2D23">
      <w:pPr>
        <w:tabs>
          <w:tab w:val="left" w:pos="567"/>
        </w:tabs>
        <w:rPr>
          <w:szCs w:val="22"/>
          <w:lang w:eastAsia="en-US"/>
        </w:rPr>
      </w:pPr>
    </w:p>
    <w:p w14:paraId="799D0350" w14:textId="77777777" w:rsidR="006D2D23" w:rsidRPr="0046556E" w:rsidRDefault="006D2D23" w:rsidP="006D2D23">
      <w:pPr>
        <w:tabs>
          <w:tab w:val="left" w:pos="567"/>
        </w:tabs>
        <w:ind w:left="567" w:hanging="567"/>
        <w:rPr>
          <w:caps/>
          <w:szCs w:val="22"/>
          <w:lang w:eastAsia="en-US"/>
        </w:rPr>
      </w:pPr>
      <w:r w:rsidRPr="0046556E">
        <w:rPr>
          <w:b/>
          <w:caps/>
          <w:szCs w:val="22"/>
          <w:lang w:eastAsia="en-US"/>
        </w:rPr>
        <w:t>4.</w:t>
      </w:r>
      <w:r w:rsidRPr="0046556E">
        <w:rPr>
          <w:b/>
          <w:caps/>
          <w:szCs w:val="22"/>
          <w:lang w:eastAsia="en-US"/>
        </w:rPr>
        <w:tab/>
        <w:t>Klinikinė Informacija</w:t>
      </w:r>
    </w:p>
    <w:p w14:paraId="17952042" w14:textId="77777777" w:rsidR="006D2D23" w:rsidRPr="0046556E" w:rsidRDefault="006D2D23" w:rsidP="006D2D23">
      <w:pPr>
        <w:tabs>
          <w:tab w:val="left" w:pos="567"/>
        </w:tabs>
        <w:rPr>
          <w:szCs w:val="22"/>
          <w:lang w:eastAsia="en-US"/>
        </w:rPr>
      </w:pPr>
    </w:p>
    <w:p w14:paraId="4F0331C2" w14:textId="77777777" w:rsidR="006D2D23" w:rsidRPr="0046556E" w:rsidRDefault="006D2D23" w:rsidP="006D2D23">
      <w:pPr>
        <w:tabs>
          <w:tab w:val="left" w:pos="567"/>
        </w:tabs>
        <w:ind w:left="567" w:hanging="567"/>
        <w:rPr>
          <w:szCs w:val="22"/>
          <w:lang w:eastAsia="en-US"/>
        </w:rPr>
      </w:pPr>
      <w:r w:rsidRPr="0046556E">
        <w:rPr>
          <w:b/>
          <w:szCs w:val="22"/>
          <w:lang w:eastAsia="en-US"/>
        </w:rPr>
        <w:t>4.1</w:t>
      </w:r>
      <w:r w:rsidRPr="0046556E">
        <w:rPr>
          <w:b/>
          <w:szCs w:val="22"/>
          <w:lang w:eastAsia="en-US"/>
        </w:rPr>
        <w:tab/>
        <w:t>Terapinės indikacijos</w:t>
      </w:r>
    </w:p>
    <w:p w14:paraId="4898B8A4" w14:textId="77777777" w:rsidR="006D2D23" w:rsidRPr="0046556E" w:rsidRDefault="006D2D23" w:rsidP="006D2D23">
      <w:pPr>
        <w:tabs>
          <w:tab w:val="left" w:pos="567"/>
        </w:tabs>
        <w:rPr>
          <w:szCs w:val="22"/>
          <w:lang w:eastAsia="en-US"/>
        </w:rPr>
      </w:pPr>
    </w:p>
    <w:p w14:paraId="25F04B43" w14:textId="77777777" w:rsidR="000433C8" w:rsidRPr="000433C8" w:rsidRDefault="000433C8" w:rsidP="000433C8">
      <w:pPr>
        <w:pStyle w:val="Default"/>
        <w:rPr>
          <w:i/>
          <w:sz w:val="22"/>
          <w:szCs w:val="22"/>
        </w:rPr>
      </w:pPr>
      <w:r w:rsidRPr="000433C8">
        <w:rPr>
          <w:i/>
          <w:sz w:val="22"/>
          <w:szCs w:val="22"/>
        </w:rPr>
        <w:t>ŽIV-1 infekcija</w:t>
      </w:r>
    </w:p>
    <w:p w14:paraId="0E842175" w14:textId="77777777" w:rsidR="000433C8" w:rsidRPr="000433C8" w:rsidRDefault="000433C8" w:rsidP="000433C8">
      <w:pPr>
        <w:pStyle w:val="Default"/>
        <w:rPr>
          <w:sz w:val="22"/>
          <w:szCs w:val="22"/>
        </w:rPr>
      </w:pPr>
      <w:r w:rsidRPr="000433C8">
        <w:rPr>
          <w:sz w:val="22"/>
          <w:szCs w:val="22"/>
        </w:rPr>
        <w:t>Tenofovir disoproxil Sandoz 245</w:t>
      </w:r>
      <w:r w:rsidR="00212870">
        <w:rPr>
          <w:sz w:val="22"/>
          <w:szCs w:val="22"/>
        </w:rPr>
        <w:t> </w:t>
      </w:r>
      <w:r w:rsidRPr="000433C8">
        <w:rPr>
          <w:sz w:val="22"/>
          <w:szCs w:val="22"/>
        </w:rPr>
        <w:t xml:space="preserve">mg plėvele dengtos tabletės </w:t>
      </w:r>
      <w:r w:rsidR="00747BD0">
        <w:rPr>
          <w:sz w:val="22"/>
          <w:szCs w:val="22"/>
        </w:rPr>
        <w:t xml:space="preserve">yra </w:t>
      </w:r>
      <w:r w:rsidR="00747BD0" w:rsidRPr="000433C8">
        <w:rPr>
          <w:sz w:val="22"/>
          <w:szCs w:val="22"/>
        </w:rPr>
        <w:t xml:space="preserve">skirtos </w:t>
      </w:r>
      <w:r w:rsidRPr="000433C8">
        <w:rPr>
          <w:sz w:val="22"/>
          <w:szCs w:val="22"/>
        </w:rPr>
        <w:t>deri</w:t>
      </w:r>
      <w:r>
        <w:rPr>
          <w:sz w:val="22"/>
          <w:szCs w:val="22"/>
        </w:rPr>
        <w:t>nyje</w:t>
      </w:r>
      <w:r w:rsidRPr="000433C8">
        <w:rPr>
          <w:sz w:val="22"/>
          <w:szCs w:val="22"/>
        </w:rPr>
        <w:t xml:space="preserve"> su kitais antiretrovirusiniais vaistiniais preparatais ŽIV-1 infekuotiems suaugusie</w:t>
      </w:r>
      <w:r>
        <w:rPr>
          <w:sz w:val="22"/>
          <w:szCs w:val="22"/>
        </w:rPr>
        <w:t>sie</w:t>
      </w:r>
      <w:r w:rsidR="00747BD0">
        <w:rPr>
          <w:sz w:val="22"/>
          <w:szCs w:val="22"/>
        </w:rPr>
        <w:t>ms</w:t>
      </w:r>
      <w:r>
        <w:rPr>
          <w:sz w:val="22"/>
          <w:szCs w:val="22"/>
        </w:rPr>
        <w:t xml:space="preserve"> gydyti</w:t>
      </w:r>
      <w:r w:rsidRPr="000433C8">
        <w:rPr>
          <w:sz w:val="22"/>
          <w:szCs w:val="22"/>
        </w:rPr>
        <w:t>.</w:t>
      </w:r>
    </w:p>
    <w:p w14:paraId="7E04505B" w14:textId="77777777" w:rsidR="00747BD0" w:rsidRDefault="00747BD0" w:rsidP="000433C8">
      <w:pPr>
        <w:pStyle w:val="Default"/>
        <w:rPr>
          <w:sz w:val="22"/>
          <w:szCs w:val="22"/>
        </w:rPr>
      </w:pPr>
    </w:p>
    <w:p w14:paraId="068B9E82" w14:textId="569642EC" w:rsidR="000433C8" w:rsidRPr="000433C8" w:rsidRDefault="000433C8" w:rsidP="000433C8">
      <w:pPr>
        <w:pStyle w:val="Default"/>
        <w:rPr>
          <w:sz w:val="22"/>
          <w:szCs w:val="22"/>
        </w:rPr>
      </w:pPr>
      <w:r w:rsidRPr="000433C8">
        <w:rPr>
          <w:sz w:val="22"/>
          <w:szCs w:val="22"/>
        </w:rPr>
        <w:t xml:space="preserve">Suaugusiesiems </w:t>
      </w:r>
      <w:r w:rsidR="00747BD0">
        <w:rPr>
          <w:sz w:val="22"/>
          <w:szCs w:val="22"/>
        </w:rPr>
        <w:t>t</w:t>
      </w:r>
      <w:r w:rsidR="00747BD0" w:rsidRPr="00747BD0">
        <w:rPr>
          <w:sz w:val="22"/>
          <w:szCs w:val="22"/>
        </w:rPr>
        <w:t>enofovir</w:t>
      </w:r>
      <w:r w:rsidR="00747BD0">
        <w:rPr>
          <w:sz w:val="22"/>
          <w:szCs w:val="22"/>
        </w:rPr>
        <w:t>o</w:t>
      </w:r>
      <w:r w:rsidR="00747BD0" w:rsidRPr="00747BD0">
        <w:rPr>
          <w:sz w:val="22"/>
          <w:szCs w:val="22"/>
        </w:rPr>
        <w:t xml:space="preserve"> di</w:t>
      </w:r>
      <w:r w:rsidR="00747BD0">
        <w:rPr>
          <w:sz w:val="22"/>
          <w:szCs w:val="22"/>
        </w:rPr>
        <w:t>z</w:t>
      </w:r>
      <w:r w:rsidR="00747BD0" w:rsidRPr="00747BD0">
        <w:rPr>
          <w:sz w:val="22"/>
          <w:szCs w:val="22"/>
        </w:rPr>
        <w:t>opro</w:t>
      </w:r>
      <w:r w:rsidR="00747BD0">
        <w:rPr>
          <w:sz w:val="22"/>
          <w:szCs w:val="22"/>
        </w:rPr>
        <w:t xml:space="preserve">ksilio </w:t>
      </w:r>
      <w:r w:rsidRPr="000433C8">
        <w:rPr>
          <w:sz w:val="22"/>
          <w:szCs w:val="22"/>
        </w:rPr>
        <w:t>poveikis ŽIV-1 infekcijai nustatytas remiantis vieno tyrimo duomenimis su dar negydytais pacientais, įskaitant pacientus, kuri</w:t>
      </w:r>
      <w:r w:rsidR="00747BD0">
        <w:rPr>
          <w:sz w:val="22"/>
          <w:szCs w:val="22"/>
        </w:rPr>
        <w:t xml:space="preserve">ems yra didelis </w:t>
      </w:r>
      <w:r w:rsidR="00747BD0" w:rsidRPr="00D54257">
        <w:rPr>
          <w:sz w:val="22"/>
          <w:szCs w:val="22"/>
        </w:rPr>
        <w:t>virus</w:t>
      </w:r>
      <w:r w:rsidR="00D54257">
        <w:rPr>
          <w:sz w:val="22"/>
          <w:szCs w:val="22"/>
        </w:rPr>
        <w:t>o</w:t>
      </w:r>
      <w:r w:rsidR="00747BD0" w:rsidRPr="00D54257">
        <w:rPr>
          <w:sz w:val="22"/>
          <w:szCs w:val="22"/>
        </w:rPr>
        <w:t xml:space="preserve"> </w:t>
      </w:r>
      <w:r w:rsidR="00D54257">
        <w:rPr>
          <w:sz w:val="22"/>
          <w:szCs w:val="22"/>
        </w:rPr>
        <w:t>kopijų skaičius</w:t>
      </w:r>
      <w:r w:rsidR="00D54257" w:rsidRPr="000433C8">
        <w:rPr>
          <w:sz w:val="22"/>
          <w:szCs w:val="22"/>
        </w:rPr>
        <w:t xml:space="preserve"> </w:t>
      </w:r>
      <w:r w:rsidRPr="000433C8">
        <w:rPr>
          <w:sz w:val="22"/>
          <w:szCs w:val="22"/>
        </w:rPr>
        <w:t>(&gt;</w:t>
      </w:r>
      <w:r w:rsidR="00F84746">
        <w:rPr>
          <w:sz w:val="22"/>
          <w:szCs w:val="22"/>
        </w:rPr>
        <w:t> </w:t>
      </w:r>
      <w:r w:rsidRPr="000433C8">
        <w:rPr>
          <w:sz w:val="22"/>
          <w:szCs w:val="22"/>
        </w:rPr>
        <w:t>100</w:t>
      </w:r>
      <w:r w:rsidR="00D54257">
        <w:rPr>
          <w:sz w:val="22"/>
          <w:szCs w:val="22"/>
        </w:rPr>
        <w:t> </w:t>
      </w:r>
      <w:r w:rsidRPr="000433C8">
        <w:rPr>
          <w:sz w:val="22"/>
          <w:szCs w:val="22"/>
        </w:rPr>
        <w:t>000</w:t>
      </w:r>
      <w:r w:rsidR="00F84746">
        <w:rPr>
          <w:sz w:val="22"/>
          <w:szCs w:val="22"/>
        </w:rPr>
        <w:t> </w:t>
      </w:r>
      <w:r w:rsidRPr="000433C8">
        <w:rPr>
          <w:sz w:val="22"/>
          <w:szCs w:val="22"/>
        </w:rPr>
        <w:t xml:space="preserve">kopijų/ml), ir tyrimais, kurių metu </w:t>
      </w:r>
      <w:r w:rsidR="00A5527E">
        <w:rPr>
          <w:sz w:val="22"/>
          <w:szCs w:val="22"/>
        </w:rPr>
        <w:t xml:space="preserve">tenofoviro dizoproksilio </w:t>
      </w:r>
      <w:r w:rsidRPr="000433C8">
        <w:rPr>
          <w:sz w:val="22"/>
          <w:szCs w:val="22"/>
        </w:rPr>
        <w:t>buvo papildomai skirta prie pastovaus bazinio gydymo (dažniausiai trimis vaist</w:t>
      </w:r>
      <w:r w:rsidR="00747BD0">
        <w:rPr>
          <w:sz w:val="22"/>
          <w:szCs w:val="22"/>
        </w:rPr>
        <w:t>iniais preparatais</w:t>
      </w:r>
      <w:r w:rsidRPr="000433C8">
        <w:rPr>
          <w:sz w:val="22"/>
          <w:szCs w:val="22"/>
        </w:rPr>
        <w:t>) jau gavusiems antiretrovirusinį gydymą pacientams, kurie</w:t>
      </w:r>
      <w:r w:rsidR="00680D00">
        <w:rPr>
          <w:sz w:val="22"/>
          <w:szCs w:val="22"/>
        </w:rPr>
        <w:t xml:space="preserve"> patyrė ankstyvą virusologinio atsako nepakankamumą</w:t>
      </w:r>
      <w:r w:rsidRPr="000433C8">
        <w:rPr>
          <w:sz w:val="22"/>
          <w:szCs w:val="22"/>
        </w:rPr>
        <w:t xml:space="preserve"> (&lt;</w:t>
      </w:r>
      <w:r w:rsidR="00F84746">
        <w:rPr>
          <w:sz w:val="22"/>
          <w:szCs w:val="22"/>
        </w:rPr>
        <w:t> </w:t>
      </w:r>
      <w:r w:rsidRPr="000433C8">
        <w:rPr>
          <w:sz w:val="22"/>
          <w:szCs w:val="22"/>
        </w:rPr>
        <w:t>10</w:t>
      </w:r>
      <w:r w:rsidR="00D54257">
        <w:rPr>
          <w:sz w:val="22"/>
          <w:szCs w:val="22"/>
        </w:rPr>
        <w:t> </w:t>
      </w:r>
      <w:r w:rsidRPr="000433C8">
        <w:rPr>
          <w:sz w:val="22"/>
          <w:szCs w:val="22"/>
        </w:rPr>
        <w:t>000</w:t>
      </w:r>
      <w:r w:rsidR="00F84746">
        <w:rPr>
          <w:sz w:val="22"/>
          <w:szCs w:val="22"/>
        </w:rPr>
        <w:t> </w:t>
      </w:r>
      <w:r w:rsidRPr="000433C8">
        <w:rPr>
          <w:sz w:val="22"/>
          <w:szCs w:val="22"/>
        </w:rPr>
        <w:t>kopijų/ml, daugum</w:t>
      </w:r>
      <w:r w:rsidR="00680D00">
        <w:rPr>
          <w:sz w:val="22"/>
          <w:szCs w:val="22"/>
        </w:rPr>
        <w:t>ai</w:t>
      </w:r>
      <w:r w:rsidRPr="000433C8">
        <w:rPr>
          <w:sz w:val="22"/>
          <w:szCs w:val="22"/>
        </w:rPr>
        <w:t xml:space="preserve"> pacientų &lt;</w:t>
      </w:r>
      <w:r w:rsidR="00F84746">
        <w:rPr>
          <w:sz w:val="22"/>
          <w:szCs w:val="22"/>
        </w:rPr>
        <w:t> </w:t>
      </w:r>
      <w:r w:rsidRPr="000433C8">
        <w:rPr>
          <w:sz w:val="22"/>
          <w:szCs w:val="22"/>
        </w:rPr>
        <w:t>5</w:t>
      </w:r>
      <w:r w:rsidR="00D54257">
        <w:rPr>
          <w:sz w:val="22"/>
          <w:szCs w:val="22"/>
        </w:rPr>
        <w:t> </w:t>
      </w:r>
      <w:r w:rsidRPr="000433C8">
        <w:rPr>
          <w:sz w:val="22"/>
          <w:szCs w:val="22"/>
        </w:rPr>
        <w:t>000</w:t>
      </w:r>
      <w:r w:rsidR="00F84746">
        <w:rPr>
          <w:sz w:val="22"/>
          <w:szCs w:val="22"/>
        </w:rPr>
        <w:t> </w:t>
      </w:r>
      <w:r w:rsidRPr="000433C8">
        <w:rPr>
          <w:sz w:val="22"/>
          <w:szCs w:val="22"/>
        </w:rPr>
        <w:t>kopijų/ml).</w:t>
      </w:r>
    </w:p>
    <w:p w14:paraId="354CA6FC" w14:textId="77777777" w:rsidR="00680D00" w:rsidRDefault="00680D00" w:rsidP="000433C8">
      <w:pPr>
        <w:pStyle w:val="Default"/>
        <w:rPr>
          <w:sz w:val="22"/>
          <w:szCs w:val="22"/>
        </w:rPr>
      </w:pPr>
    </w:p>
    <w:p w14:paraId="58AEEF81" w14:textId="5AB5F8D2" w:rsidR="000433C8" w:rsidRPr="000433C8" w:rsidRDefault="00680D00" w:rsidP="000433C8">
      <w:pPr>
        <w:pStyle w:val="Default"/>
        <w:rPr>
          <w:sz w:val="22"/>
          <w:szCs w:val="22"/>
        </w:rPr>
      </w:pPr>
      <w:r w:rsidRPr="00680D00">
        <w:rPr>
          <w:sz w:val="22"/>
          <w:szCs w:val="22"/>
        </w:rPr>
        <w:t>Tenofovir disoproxil Sandoz 245</w:t>
      </w:r>
      <w:r w:rsidR="00212870">
        <w:rPr>
          <w:sz w:val="22"/>
          <w:szCs w:val="22"/>
        </w:rPr>
        <w:t> </w:t>
      </w:r>
      <w:r w:rsidRPr="00680D00">
        <w:rPr>
          <w:sz w:val="22"/>
          <w:szCs w:val="22"/>
        </w:rPr>
        <w:t xml:space="preserve">mg plėvele dengtos tabletės </w:t>
      </w:r>
      <w:r w:rsidR="000433C8" w:rsidRPr="000433C8">
        <w:rPr>
          <w:sz w:val="22"/>
          <w:szCs w:val="22"/>
        </w:rPr>
        <w:t xml:space="preserve">taip pat </w:t>
      </w:r>
      <w:r w:rsidR="006459B5">
        <w:rPr>
          <w:sz w:val="22"/>
          <w:szCs w:val="22"/>
        </w:rPr>
        <w:t xml:space="preserve">yra </w:t>
      </w:r>
      <w:r w:rsidR="000433C8" w:rsidRPr="000433C8">
        <w:rPr>
          <w:sz w:val="22"/>
          <w:szCs w:val="22"/>
        </w:rPr>
        <w:t xml:space="preserve">skirtos </w:t>
      </w:r>
      <w:r w:rsidR="00D54257">
        <w:rPr>
          <w:sz w:val="22"/>
          <w:szCs w:val="22"/>
        </w:rPr>
        <w:t>gydyti</w:t>
      </w:r>
      <w:r w:rsidR="00D54257" w:rsidRPr="000433C8">
        <w:rPr>
          <w:sz w:val="22"/>
          <w:szCs w:val="22"/>
        </w:rPr>
        <w:t xml:space="preserve"> </w:t>
      </w:r>
      <w:r w:rsidR="000433C8" w:rsidRPr="000433C8">
        <w:rPr>
          <w:sz w:val="22"/>
          <w:szCs w:val="22"/>
        </w:rPr>
        <w:t>ŽIV-1 infekuotiems paaugliams nuo 12 iki &lt;</w:t>
      </w:r>
      <w:r w:rsidR="00D54257">
        <w:rPr>
          <w:sz w:val="22"/>
          <w:szCs w:val="22"/>
        </w:rPr>
        <w:t> </w:t>
      </w:r>
      <w:r w:rsidR="000433C8" w:rsidRPr="000433C8">
        <w:rPr>
          <w:sz w:val="22"/>
          <w:szCs w:val="22"/>
        </w:rPr>
        <w:t>18 metų, kurie</w:t>
      </w:r>
      <w:r>
        <w:rPr>
          <w:sz w:val="22"/>
          <w:szCs w:val="22"/>
        </w:rPr>
        <w:t xml:space="preserve">ms </w:t>
      </w:r>
      <w:r w:rsidR="00FF6294">
        <w:rPr>
          <w:sz w:val="22"/>
          <w:szCs w:val="22"/>
        </w:rPr>
        <w:t>nu</w:t>
      </w:r>
      <w:r w:rsidR="00D54257">
        <w:rPr>
          <w:sz w:val="22"/>
          <w:szCs w:val="22"/>
        </w:rPr>
        <w:t xml:space="preserve">statytas </w:t>
      </w:r>
      <w:r w:rsidR="000433C8" w:rsidRPr="000433C8">
        <w:rPr>
          <w:sz w:val="22"/>
          <w:szCs w:val="22"/>
        </w:rPr>
        <w:t xml:space="preserve">atsparumas nukleotidų atvirkštinės transkriptazės inhibitoriams (NATI) arba toksinis poveikis, </w:t>
      </w:r>
      <w:r w:rsidR="00A91277">
        <w:rPr>
          <w:sz w:val="22"/>
          <w:szCs w:val="22"/>
        </w:rPr>
        <w:t xml:space="preserve">dėl ko negalima vartoti </w:t>
      </w:r>
      <w:r w:rsidR="000433C8" w:rsidRPr="000433C8">
        <w:rPr>
          <w:sz w:val="22"/>
          <w:szCs w:val="22"/>
        </w:rPr>
        <w:t>pirm</w:t>
      </w:r>
      <w:r w:rsidR="006459B5">
        <w:rPr>
          <w:sz w:val="22"/>
          <w:szCs w:val="22"/>
        </w:rPr>
        <w:t>aeilių</w:t>
      </w:r>
      <w:r w:rsidR="000433C8" w:rsidRPr="000433C8">
        <w:rPr>
          <w:sz w:val="22"/>
          <w:szCs w:val="22"/>
        </w:rPr>
        <w:t xml:space="preserve"> vaistinių preparatų.</w:t>
      </w:r>
    </w:p>
    <w:p w14:paraId="4A271F86" w14:textId="77777777" w:rsidR="006459B5" w:rsidRDefault="006459B5" w:rsidP="000433C8">
      <w:pPr>
        <w:pStyle w:val="Default"/>
        <w:rPr>
          <w:sz w:val="22"/>
          <w:szCs w:val="22"/>
        </w:rPr>
      </w:pPr>
    </w:p>
    <w:p w14:paraId="59F13497" w14:textId="1217670F" w:rsidR="000433C8" w:rsidRPr="000433C8" w:rsidRDefault="006459B5" w:rsidP="000433C8">
      <w:pPr>
        <w:pStyle w:val="Default"/>
        <w:rPr>
          <w:sz w:val="22"/>
          <w:szCs w:val="22"/>
        </w:rPr>
      </w:pPr>
      <w:r w:rsidRPr="00680D00">
        <w:rPr>
          <w:sz w:val="22"/>
          <w:szCs w:val="22"/>
        </w:rPr>
        <w:t>Tenofovir disoproxil Sandoz</w:t>
      </w:r>
      <w:r>
        <w:rPr>
          <w:sz w:val="22"/>
          <w:szCs w:val="22"/>
        </w:rPr>
        <w:t xml:space="preserve"> pasirinkimas </w:t>
      </w:r>
      <w:r w:rsidRPr="000433C8">
        <w:rPr>
          <w:sz w:val="22"/>
          <w:szCs w:val="22"/>
        </w:rPr>
        <w:t>ŽIV-1 infekuot</w:t>
      </w:r>
      <w:r>
        <w:rPr>
          <w:sz w:val="22"/>
          <w:szCs w:val="22"/>
        </w:rPr>
        <w:t>ų</w:t>
      </w:r>
      <w:r w:rsidRPr="000433C8">
        <w:rPr>
          <w:sz w:val="22"/>
          <w:szCs w:val="22"/>
        </w:rPr>
        <w:t xml:space="preserve"> </w:t>
      </w:r>
      <w:r>
        <w:rPr>
          <w:sz w:val="22"/>
          <w:szCs w:val="22"/>
        </w:rPr>
        <w:t>pacientų</w:t>
      </w:r>
      <w:r w:rsidR="000433C8" w:rsidRPr="000433C8">
        <w:rPr>
          <w:sz w:val="22"/>
          <w:szCs w:val="22"/>
        </w:rPr>
        <w:t xml:space="preserve">, </w:t>
      </w:r>
      <w:r>
        <w:rPr>
          <w:sz w:val="22"/>
          <w:szCs w:val="22"/>
        </w:rPr>
        <w:t xml:space="preserve">kuriems jau taikytas </w:t>
      </w:r>
      <w:r w:rsidR="000433C8" w:rsidRPr="000433C8">
        <w:rPr>
          <w:sz w:val="22"/>
          <w:szCs w:val="22"/>
        </w:rPr>
        <w:t>antiretrovirusin</w:t>
      </w:r>
      <w:r>
        <w:rPr>
          <w:sz w:val="22"/>
          <w:szCs w:val="22"/>
        </w:rPr>
        <w:t xml:space="preserve">is gydymas, </w:t>
      </w:r>
      <w:r w:rsidR="000433C8" w:rsidRPr="000433C8">
        <w:rPr>
          <w:sz w:val="22"/>
          <w:szCs w:val="22"/>
        </w:rPr>
        <w:t>gydym</w:t>
      </w:r>
      <w:r>
        <w:rPr>
          <w:sz w:val="22"/>
          <w:szCs w:val="22"/>
        </w:rPr>
        <w:t>ui turi būti pagrįstas</w:t>
      </w:r>
      <w:r w:rsidR="000433C8" w:rsidRPr="000433C8">
        <w:rPr>
          <w:sz w:val="22"/>
          <w:szCs w:val="22"/>
        </w:rPr>
        <w:t xml:space="preserve"> individualiu viruso atsparumo tyrimu ir/arba pacientams </w:t>
      </w:r>
      <w:r>
        <w:rPr>
          <w:sz w:val="22"/>
          <w:szCs w:val="22"/>
        </w:rPr>
        <w:t xml:space="preserve">anksčiau </w:t>
      </w:r>
      <w:r w:rsidR="000433C8" w:rsidRPr="000433C8">
        <w:rPr>
          <w:sz w:val="22"/>
          <w:szCs w:val="22"/>
        </w:rPr>
        <w:t>taikytu gydymu.</w:t>
      </w:r>
    </w:p>
    <w:p w14:paraId="157B67B0" w14:textId="77777777" w:rsidR="006459B5" w:rsidRDefault="006459B5" w:rsidP="000433C8">
      <w:pPr>
        <w:pStyle w:val="Default"/>
        <w:rPr>
          <w:sz w:val="22"/>
          <w:szCs w:val="22"/>
        </w:rPr>
      </w:pPr>
    </w:p>
    <w:p w14:paraId="3A4594D1" w14:textId="77777777" w:rsidR="000433C8" w:rsidRPr="006459B5" w:rsidRDefault="000433C8" w:rsidP="000433C8">
      <w:pPr>
        <w:pStyle w:val="Default"/>
        <w:rPr>
          <w:i/>
          <w:sz w:val="22"/>
          <w:szCs w:val="22"/>
        </w:rPr>
      </w:pPr>
      <w:r w:rsidRPr="006459B5">
        <w:rPr>
          <w:i/>
          <w:sz w:val="22"/>
          <w:szCs w:val="22"/>
        </w:rPr>
        <w:t>Hepatito B infekcija</w:t>
      </w:r>
    </w:p>
    <w:p w14:paraId="1A6AF384" w14:textId="77777777" w:rsidR="000433C8" w:rsidRPr="000433C8" w:rsidRDefault="00BC58E2" w:rsidP="000433C8">
      <w:pPr>
        <w:pStyle w:val="Default"/>
        <w:rPr>
          <w:sz w:val="22"/>
          <w:szCs w:val="22"/>
        </w:rPr>
      </w:pPr>
      <w:r w:rsidRPr="00680D00">
        <w:rPr>
          <w:sz w:val="22"/>
          <w:szCs w:val="22"/>
        </w:rPr>
        <w:t>Tenofovir disoproxil Sandoz 245</w:t>
      </w:r>
      <w:r w:rsidR="00212870">
        <w:rPr>
          <w:sz w:val="22"/>
          <w:szCs w:val="22"/>
        </w:rPr>
        <w:t> </w:t>
      </w:r>
      <w:r w:rsidRPr="00680D00">
        <w:rPr>
          <w:sz w:val="22"/>
          <w:szCs w:val="22"/>
        </w:rPr>
        <w:t xml:space="preserve">mg </w:t>
      </w:r>
      <w:r w:rsidR="000433C8" w:rsidRPr="000433C8">
        <w:rPr>
          <w:sz w:val="22"/>
          <w:szCs w:val="22"/>
        </w:rPr>
        <w:t>plėvele dengtos tabletės yra skirtos gydyti lėtiniu hepatitu B sergančius suaugusiuosius, kuriems yra:</w:t>
      </w:r>
    </w:p>
    <w:p w14:paraId="140CBD69" w14:textId="7DE94843" w:rsidR="000433C8" w:rsidRPr="000433C8" w:rsidRDefault="000433C8" w:rsidP="00F9423F">
      <w:pPr>
        <w:pStyle w:val="Default"/>
        <w:numPr>
          <w:ilvl w:val="0"/>
          <w:numId w:val="15"/>
        </w:numPr>
        <w:ind w:left="567" w:hanging="567"/>
        <w:rPr>
          <w:sz w:val="22"/>
          <w:szCs w:val="22"/>
        </w:rPr>
      </w:pPr>
      <w:r w:rsidRPr="000433C8">
        <w:rPr>
          <w:sz w:val="22"/>
          <w:szCs w:val="22"/>
        </w:rPr>
        <w:t>kompensuota kepenų liga</w:t>
      </w:r>
      <w:r w:rsidR="00BC58E2">
        <w:rPr>
          <w:sz w:val="22"/>
          <w:szCs w:val="22"/>
        </w:rPr>
        <w:t xml:space="preserve"> su</w:t>
      </w:r>
      <w:r w:rsidRPr="000433C8">
        <w:rPr>
          <w:sz w:val="22"/>
          <w:szCs w:val="22"/>
        </w:rPr>
        <w:t xml:space="preserve"> aktyv</w:t>
      </w:r>
      <w:r w:rsidR="00BC58E2">
        <w:rPr>
          <w:sz w:val="22"/>
          <w:szCs w:val="22"/>
        </w:rPr>
        <w:t>ios</w:t>
      </w:r>
      <w:r w:rsidRPr="000433C8">
        <w:rPr>
          <w:sz w:val="22"/>
          <w:szCs w:val="22"/>
        </w:rPr>
        <w:t xml:space="preserve"> viruso replikacij</w:t>
      </w:r>
      <w:r w:rsidR="00BC58E2">
        <w:rPr>
          <w:sz w:val="22"/>
          <w:szCs w:val="22"/>
        </w:rPr>
        <w:t>os požymiais</w:t>
      </w:r>
      <w:r w:rsidRPr="000433C8">
        <w:rPr>
          <w:sz w:val="22"/>
          <w:szCs w:val="22"/>
        </w:rPr>
        <w:t xml:space="preserve">, nuolat padidėjęs alaninaminotransferazės (ALT) </w:t>
      </w:r>
      <w:r w:rsidR="00896047">
        <w:rPr>
          <w:sz w:val="22"/>
          <w:szCs w:val="22"/>
        </w:rPr>
        <w:t xml:space="preserve">aktyvumas  kraujo </w:t>
      </w:r>
      <w:r w:rsidR="00BC58E2" w:rsidRPr="000433C8">
        <w:rPr>
          <w:sz w:val="22"/>
          <w:szCs w:val="22"/>
        </w:rPr>
        <w:t>serum</w:t>
      </w:r>
      <w:r w:rsidR="00BC58E2">
        <w:rPr>
          <w:sz w:val="22"/>
          <w:szCs w:val="22"/>
        </w:rPr>
        <w:t>e</w:t>
      </w:r>
      <w:r w:rsidR="00BC58E2" w:rsidRPr="000433C8">
        <w:rPr>
          <w:sz w:val="22"/>
          <w:szCs w:val="22"/>
        </w:rPr>
        <w:t xml:space="preserve"> </w:t>
      </w:r>
      <w:r w:rsidRPr="000433C8">
        <w:rPr>
          <w:sz w:val="22"/>
          <w:szCs w:val="22"/>
        </w:rPr>
        <w:t xml:space="preserve">ir </w:t>
      </w:r>
      <w:r w:rsidR="00BC58E2">
        <w:rPr>
          <w:sz w:val="22"/>
          <w:szCs w:val="22"/>
        </w:rPr>
        <w:t xml:space="preserve">yra </w:t>
      </w:r>
      <w:r w:rsidRPr="000433C8">
        <w:rPr>
          <w:sz w:val="22"/>
          <w:szCs w:val="22"/>
        </w:rPr>
        <w:t>aktyv</w:t>
      </w:r>
      <w:r w:rsidR="00212870">
        <w:rPr>
          <w:sz w:val="22"/>
          <w:szCs w:val="22"/>
        </w:rPr>
        <w:t>a</w:t>
      </w:r>
      <w:r w:rsidRPr="000433C8">
        <w:rPr>
          <w:sz w:val="22"/>
          <w:szCs w:val="22"/>
        </w:rPr>
        <w:t>us uždegim</w:t>
      </w:r>
      <w:r w:rsidR="00BC58E2">
        <w:rPr>
          <w:sz w:val="22"/>
          <w:szCs w:val="22"/>
        </w:rPr>
        <w:t>o</w:t>
      </w:r>
      <w:r w:rsidRPr="000433C8">
        <w:rPr>
          <w:sz w:val="22"/>
          <w:szCs w:val="22"/>
        </w:rPr>
        <w:t xml:space="preserve"> ir (arba) fibrozė</w:t>
      </w:r>
      <w:r w:rsidR="00BC58E2">
        <w:rPr>
          <w:sz w:val="22"/>
          <w:szCs w:val="22"/>
        </w:rPr>
        <w:t>s histologinių požymių</w:t>
      </w:r>
      <w:r w:rsidRPr="000433C8">
        <w:rPr>
          <w:sz w:val="22"/>
          <w:szCs w:val="22"/>
        </w:rPr>
        <w:t xml:space="preserve"> (žr. 5.1 skyrių);</w:t>
      </w:r>
    </w:p>
    <w:p w14:paraId="47CB304C" w14:textId="77777777" w:rsidR="000433C8" w:rsidRPr="000433C8" w:rsidRDefault="000433C8" w:rsidP="00F9423F">
      <w:pPr>
        <w:pStyle w:val="Default"/>
        <w:numPr>
          <w:ilvl w:val="0"/>
          <w:numId w:val="15"/>
        </w:numPr>
        <w:ind w:left="567" w:hanging="567"/>
        <w:rPr>
          <w:sz w:val="22"/>
          <w:szCs w:val="22"/>
        </w:rPr>
      </w:pPr>
      <w:r w:rsidRPr="000433C8">
        <w:rPr>
          <w:sz w:val="22"/>
          <w:szCs w:val="22"/>
        </w:rPr>
        <w:t xml:space="preserve">įrodytas lamivudinui </w:t>
      </w:r>
      <w:r w:rsidR="00BC58E2">
        <w:rPr>
          <w:sz w:val="22"/>
          <w:szCs w:val="22"/>
        </w:rPr>
        <w:t>atsparus</w:t>
      </w:r>
      <w:r w:rsidRPr="000433C8">
        <w:rPr>
          <w:sz w:val="22"/>
          <w:szCs w:val="22"/>
        </w:rPr>
        <w:t xml:space="preserve"> hepatito B virusas (žr. 4.8 ir 5.1 skyrius);</w:t>
      </w:r>
    </w:p>
    <w:p w14:paraId="5908B491" w14:textId="77777777" w:rsidR="000433C8" w:rsidRPr="000433C8" w:rsidRDefault="000433C8" w:rsidP="00F9423F">
      <w:pPr>
        <w:pStyle w:val="Default"/>
        <w:numPr>
          <w:ilvl w:val="0"/>
          <w:numId w:val="15"/>
        </w:numPr>
        <w:ind w:left="567" w:hanging="567"/>
        <w:rPr>
          <w:sz w:val="22"/>
          <w:szCs w:val="22"/>
        </w:rPr>
      </w:pPr>
      <w:r w:rsidRPr="000433C8">
        <w:rPr>
          <w:sz w:val="22"/>
          <w:szCs w:val="22"/>
        </w:rPr>
        <w:t>dekompensuota kepenų liga (žr. 4.4, 4.8 ir 5.1 skyrius).</w:t>
      </w:r>
    </w:p>
    <w:p w14:paraId="3E03FA2A" w14:textId="79863DEE" w:rsidR="000433C8" w:rsidRPr="000433C8" w:rsidRDefault="00BC58E2" w:rsidP="000433C8">
      <w:pPr>
        <w:pStyle w:val="Default"/>
        <w:rPr>
          <w:sz w:val="22"/>
          <w:szCs w:val="22"/>
        </w:rPr>
      </w:pPr>
      <w:r w:rsidRPr="00680D00">
        <w:rPr>
          <w:sz w:val="22"/>
          <w:szCs w:val="22"/>
        </w:rPr>
        <w:t>Tenofovir disoproxil Sandoz 245</w:t>
      </w:r>
      <w:r w:rsidR="00212870">
        <w:rPr>
          <w:sz w:val="22"/>
          <w:szCs w:val="22"/>
        </w:rPr>
        <w:t> </w:t>
      </w:r>
      <w:r w:rsidRPr="00680D00">
        <w:rPr>
          <w:sz w:val="22"/>
          <w:szCs w:val="22"/>
        </w:rPr>
        <w:t xml:space="preserve">mg </w:t>
      </w:r>
      <w:r w:rsidR="000433C8" w:rsidRPr="000433C8">
        <w:rPr>
          <w:sz w:val="22"/>
          <w:szCs w:val="22"/>
        </w:rPr>
        <w:t>plėvele dengtos tabletės yra skirtos gydyti lėtiniu hepatitu B sergančius paauglius nuo 12 iki &lt;</w:t>
      </w:r>
      <w:r w:rsidR="00F0325C">
        <w:rPr>
          <w:sz w:val="22"/>
          <w:szCs w:val="22"/>
        </w:rPr>
        <w:t> </w:t>
      </w:r>
      <w:r w:rsidR="000433C8" w:rsidRPr="000433C8">
        <w:rPr>
          <w:sz w:val="22"/>
          <w:szCs w:val="22"/>
        </w:rPr>
        <w:t>18 metų, kuriems yra:</w:t>
      </w:r>
    </w:p>
    <w:p w14:paraId="39A0EEC8" w14:textId="66FE5474" w:rsidR="00A7442F" w:rsidRPr="00AD76FC" w:rsidRDefault="000433C8" w:rsidP="00F56E4B">
      <w:pPr>
        <w:pStyle w:val="Default"/>
        <w:numPr>
          <w:ilvl w:val="0"/>
          <w:numId w:val="16"/>
        </w:numPr>
        <w:rPr>
          <w:sz w:val="22"/>
          <w:szCs w:val="22"/>
        </w:rPr>
      </w:pPr>
      <w:r w:rsidRPr="00AD76FC">
        <w:rPr>
          <w:sz w:val="22"/>
          <w:szCs w:val="22"/>
        </w:rPr>
        <w:lastRenderedPageBreak/>
        <w:t>kompensuota kepenų liga</w:t>
      </w:r>
      <w:r w:rsidR="00BC58E2" w:rsidRPr="00AD76FC">
        <w:rPr>
          <w:sz w:val="22"/>
          <w:szCs w:val="22"/>
        </w:rPr>
        <w:t xml:space="preserve"> ir </w:t>
      </w:r>
      <w:r w:rsidR="00F0325C" w:rsidRPr="00AD76FC">
        <w:rPr>
          <w:sz w:val="22"/>
          <w:szCs w:val="22"/>
        </w:rPr>
        <w:t xml:space="preserve">įrodyta </w:t>
      </w:r>
      <w:r w:rsidRPr="00AD76FC">
        <w:rPr>
          <w:sz w:val="22"/>
          <w:szCs w:val="22"/>
        </w:rPr>
        <w:t>aktyv</w:t>
      </w:r>
      <w:r w:rsidR="00BC58E2" w:rsidRPr="00AD76FC">
        <w:rPr>
          <w:sz w:val="22"/>
          <w:szCs w:val="22"/>
        </w:rPr>
        <w:t>i</w:t>
      </w:r>
      <w:r w:rsidRPr="00AD76FC">
        <w:rPr>
          <w:sz w:val="22"/>
          <w:szCs w:val="22"/>
        </w:rPr>
        <w:t xml:space="preserve"> imuninė lig</w:t>
      </w:r>
      <w:r w:rsidR="00F0325C" w:rsidRPr="00AD76FC">
        <w:rPr>
          <w:sz w:val="22"/>
          <w:szCs w:val="22"/>
        </w:rPr>
        <w:t>a</w:t>
      </w:r>
      <w:r w:rsidRPr="00AD76FC">
        <w:rPr>
          <w:sz w:val="22"/>
          <w:szCs w:val="22"/>
        </w:rPr>
        <w:t>, t. y., aktyvi viruso replikacija</w:t>
      </w:r>
      <w:r w:rsidR="00AD76FC" w:rsidRPr="00AD76FC">
        <w:rPr>
          <w:sz w:val="22"/>
          <w:szCs w:val="22"/>
        </w:rPr>
        <w:t xml:space="preserve"> ir</w:t>
      </w:r>
      <w:r w:rsidRPr="00AD76FC">
        <w:rPr>
          <w:sz w:val="22"/>
          <w:szCs w:val="22"/>
        </w:rPr>
        <w:t xml:space="preserve"> nuolat padidėjęs ALT </w:t>
      </w:r>
      <w:r w:rsidR="00896047" w:rsidRPr="00AD76FC">
        <w:rPr>
          <w:sz w:val="22"/>
          <w:szCs w:val="22"/>
        </w:rPr>
        <w:t xml:space="preserve">aktyvumas  kraujo </w:t>
      </w:r>
      <w:r w:rsidR="00BC58E2" w:rsidRPr="00AD76FC">
        <w:rPr>
          <w:sz w:val="22"/>
          <w:szCs w:val="22"/>
        </w:rPr>
        <w:t xml:space="preserve">serume </w:t>
      </w:r>
      <w:r w:rsidR="00AD76FC" w:rsidRPr="00AD76FC">
        <w:rPr>
          <w:sz w:val="22"/>
          <w:szCs w:val="22"/>
        </w:rPr>
        <w:t xml:space="preserve">arba </w:t>
      </w:r>
      <w:r w:rsidRPr="00AD76FC">
        <w:rPr>
          <w:sz w:val="22"/>
          <w:szCs w:val="22"/>
        </w:rPr>
        <w:t xml:space="preserve">histologiškai įrodytas </w:t>
      </w:r>
      <w:r w:rsidR="00AD76FC" w:rsidRPr="00AD76FC">
        <w:rPr>
          <w:sz w:val="22"/>
          <w:szCs w:val="22"/>
        </w:rPr>
        <w:t xml:space="preserve">vidutinio sunkumo arba sunkus </w:t>
      </w:r>
      <w:r w:rsidR="00AD76FC" w:rsidRPr="00DB61E9">
        <w:rPr>
          <w:sz w:val="22"/>
          <w:szCs w:val="22"/>
        </w:rPr>
        <w:t xml:space="preserve"> </w:t>
      </w:r>
      <w:r w:rsidRPr="00DB61E9">
        <w:rPr>
          <w:sz w:val="22"/>
          <w:szCs w:val="22"/>
        </w:rPr>
        <w:t>uždegimas ir (arba) fibrozė</w:t>
      </w:r>
      <w:r w:rsidR="00AD76FC" w:rsidRPr="00DB61E9">
        <w:rPr>
          <w:sz w:val="22"/>
          <w:szCs w:val="22"/>
        </w:rPr>
        <w:t>.</w:t>
      </w:r>
      <w:r w:rsidRPr="00DB61E9">
        <w:rPr>
          <w:sz w:val="22"/>
          <w:szCs w:val="22"/>
        </w:rPr>
        <w:t xml:space="preserve"> </w:t>
      </w:r>
      <w:r w:rsidR="00AD76FC" w:rsidRPr="00DB61E9">
        <w:rPr>
          <w:sz w:val="22"/>
          <w:szCs w:val="22"/>
        </w:rPr>
        <w:t>Dėl sprendimo, ar pradėti gydyti pacientus vaikus, žr. 4.2, 4.4, 4.8 ir</w:t>
      </w:r>
      <w:r w:rsidR="00AD76FC">
        <w:rPr>
          <w:sz w:val="22"/>
          <w:szCs w:val="22"/>
        </w:rPr>
        <w:t xml:space="preserve"> </w:t>
      </w:r>
      <w:r w:rsidR="00AD76FC" w:rsidRPr="00AD76FC">
        <w:rPr>
          <w:sz w:val="22"/>
          <w:szCs w:val="22"/>
        </w:rPr>
        <w:t>5.1 skyrius</w:t>
      </w:r>
      <w:r w:rsidRPr="00AD76FC">
        <w:rPr>
          <w:sz w:val="22"/>
          <w:szCs w:val="22"/>
        </w:rPr>
        <w:t>.</w:t>
      </w:r>
    </w:p>
    <w:p w14:paraId="6DF53A1B" w14:textId="77777777" w:rsidR="00FD191B" w:rsidRDefault="00FD191B" w:rsidP="00FD191B">
      <w:pPr>
        <w:pStyle w:val="Default"/>
        <w:rPr>
          <w:sz w:val="22"/>
          <w:szCs w:val="22"/>
        </w:rPr>
      </w:pPr>
    </w:p>
    <w:p w14:paraId="73C31AA3" w14:textId="77777777" w:rsidR="007F3982" w:rsidRPr="00612262" w:rsidRDefault="007F3982" w:rsidP="00FD191B">
      <w:pPr>
        <w:pStyle w:val="Default"/>
        <w:rPr>
          <w:sz w:val="22"/>
          <w:szCs w:val="22"/>
        </w:rPr>
      </w:pPr>
      <w:r w:rsidRPr="00612262">
        <w:rPr>
          <w:b/>
          <w:bCs/>
          <w:sz w:val="22"/>
          <w:szCs w:val="22"/>
        </w:rPr>
        <w:t>4.2</w:t>
      </w:r>
      <w:r w:rsidR="000C1E64" w:rsidRPr="00612262">
        <w:rPr>
          <w:b/>
          <w:bCs/>
          <w:sz w:val="22"/>
          <w:szCs w:val="22"/>
        </w:rPr>
        <w:tab/>
      </w:r>
      <w:r w:rsidRPr="00612262">
        <w:rPr>
          <w:b/>
          <w:bCs/>
          <w:sz w:val="22"/>
          <w:szCs w:val="22"/>
        </w:rPr>
        <w:t xml:space="preserve">Dozavimas ir vartojimo metodas </w:t>
      </w:r>
    </w:p>
    <w:p w14:paraId="1EE1D0BC" w14:textId="77777777" w:rsidR="000C1E64" w:rsidRDefault="000C1E64" w:rsidP="007F3982">
      <w:pPr>
        <w:pStyle w:val="Default"/>
        <w:rPr>
          <w:sz w:val="22"/>
          <w:szCs w:val="22"/>
        </w:rPr>
      </w:pPr>
    </w:p>
    <w:p w14:paraId="581176F7" w14:textId="77777777" w:rsidR="00612262" w:rsidRPr="00612262" w:rsidRDefault="00612262" w:rsidP="00612262">
      <w:pPr>
        <w:pStyle w:val="Default"/>
        <w:rPr>
          <w:sz w:val="22"/>
          <w:szCs w:val="22"/>
        </w:rPr>
      </w:pPr>
      <w:r w:rsidRPr="00612262">
        <w:rPr>
          <w:sz w:val="22"/>
          <w:szCs w:val="22"/>
        </w:rPr>
        <w:t>Gydymą turi pradėti gydytojas, turintis patirties gydant ligonius, sergančius ŽIV infekcija</w:t>
      </w:r>
      <w:r>
        <w:rPr>
          <w:sz w:val="22"/>
          <w:szCs w:val="22"/>
        </w:rPr>
        <w:t xml:space="preserve"> ir (arba) lėtiniu hepatitu B</w:t>
      </w:r>
      <w:r w:rsidRPr="00612262">
        <w:rPr>
          <w:sz w:val="22"/>
          <w:szCs w:val="22"/>
        </w:rPr>
        <w:t>.</w:t>
      </w:r>
    </w:p>
    <w:p w14:paraId="310DC430" w14:textId="77777777" w:rsidR="00612262" w:rsidRDefault="00612262" w:rsidP="00612262">
      <w:pPr>
        <w:pStyle w:val="Default"/>
        <w:rPr>
          <w:sz w:val="22"/>
          <w:szCs w:val="22"/>
        </w:rPr>
      </w:pPr>
    </w:p>
    <w:p w14:paraId="782C32D6" w14:textId="77777777" w:rsidR="00612262" w:rsidRPr="00612262" w:rsidRDefault="00612262" w:rsidP="00612262">
      <w:pPr>
        <w:pStyle w:val="Default"/>
        <w:rPr>
          <w:sz w:val="22"/>
          <w:szCs w:val="22"/>
          <w:u w:val="single"/>
        </w:rPr>
      </w:pPr>
      <w:r w:rsidRPr="00612262">
        <w:rPr>
          <w:sz w:val="22"/>
          <w:szCs w:val="22"/>
          <w:u w:val="single"/>
        </w:rPr>
        <w:t>Dozavimas</w:t>
      </w:r>
    </w:p>
    <w:p w14:paraId="2F2CF3AF" w14:textId="77777777" w:rsidR="00AD76FC" w:rsidRDefault="00AD76FC" w:rsidP="00612262">
      <w:pPr>
        <w:pStyle w:val="Default"/>
        <w:rPr>
          <w:i/>
          <w:sz w:val="22"/>
          <w:szCs w:val="22"/>
        </w:rPr>
      </w:pPr>
    </w:p>
    <w:p w14:paraId="7CC5A9CA" w14:textId="77777777" w:rsidR="00AD76FC" w:rsidRDefault="00AD76FC" w:rsidP="00612262">
      <w:pPr>
        <w:pStyle w:val="Default"/>
        <w:rPr>
          <w:i/>
          <w:sz w:val="22"/>
          <w:szCs w:val="22"/>
        </w:rPr>
      </w:pPr>
      <w:r w:rsidRPr="00AD76FC">
        <w:rPr>
          <w:i/>
          <w:sz w:val="22"/>
          <w:szCs w:val="22"/>
        </w:rPr>
        <w:t>ŽIV</w:t>
      </w:r>
      <w:r>
        <w:rPr>
          <w:i/>
          <w:sz w:val="22"/>
          <w:szCs w:val="22"/>
        </w:rPr>
        <w:t>-1 ir</w:t>
      </w:r>
      <w:r w:rsidRPr="00AD76FC">
        <w:rPr>
          <w:i/>
          <w:sz w:val="22"/>
          <w:szCs w:val="22"/>
        </w:rPr>
        <w:t xml:space="preserve"> lėtini</w:t>
      </w:r>
      <w:r>
        <w:rPr>
          <w:i/>
          <w:sz w:val="22"/>
          <w:szCs w:val="22"/>
        </w:rPr>
        <w:t>s</w:t>
      </w:r>
      <w:r w:rsidRPr="00AD76FC">
        <w:rPr>
          <w:i/>
          <w:sz w:val="22"/>
          <w:szCs w:val="22"/>
        </w:rPr>
        <w:t xml:space="preserve"> hepatit</w:t>
      </w:r>
      <w:r>
        <w:rPr>
          <w:i/>
          <w:sz w:val="22"/>
          <w:szCs w:val="22"/>
        </w:rPr>
        <w:t>as</w:t>
      </w:r>
      <w:r w:rsidRPr="00AD76FC">
        <w:rPr>
          <w:i/>
          <w:sz w:val="22"/>
          <w:szCs w:val="22"/>
        </w:rPr>
        <w:t xml:space="preserve"> B </w:t>
      </w:r>
    </w:p>
    <w:p w14:paraId="61E4F01A" w14:textId="77777777" w:rsidR="00AD76FC" w:rsidRDefault="00AD76FC" w:rsidP="00612262">
      <w:pPr>
        <w:pStyle w:val="Default"/>
        <w:rPr>
          <w:i/>
          <w:sz w:val="22"/>
          <w:szCs w:val="22"/>
        </w:rPr>
      </w:pPr>
    </w:p>
    <w:p w14:paraId="25B82EEE" w14:textId="77777777" w:rsidR="00DB61E9" w:rsidRDefault="00DB61E9" w:rsidP="00612262">
      <w:pPr>
        <w:pStyle w:val="Default"/>
        <w:rPr>
          <w:i/>
          <w:sz w:val="22"/>
          <w:szCs w:val="22"/>
        </w:rPr>
      </w:pPr>
      <w:r w:rsidRPr="00DB61E9">
        <w:rPr>
          <w:i/>
          <w:sz w:val="22"/>
          <w:szCs w:val="22"/>
        </w:rPr>
        <w:t>Suaugusiesiems ir paaugliams nuo 12 iki &lt; 18 metų, sveriantiems ≥ 35 kg</w:t>
      </w:r>
    </w:p>
    <w:p w14:paraId="7299FCC4" w14:textId="77777777" w:rsidR="00612262" w:rsidRPr="00612262" w:rsidRDefault="00612262" w:rsidP="00612262">
      <w:pPr>
        <w:pStyle w:val="Default"/>
        <w:rPr>
          <w:sz w:val="22"/>
          <w:szCs w:val="22"/>
        </w:rPr>
      </w:pPr>
      <w:r w:rsidRPr="00612262">
        <w:rPr>
          <w:sz w:val="22"/>
          <w:szCs w:val="22"/>
        </w:rPr>
        <w:t xml:space="preserve">ŽIV ar lėtinio hepatito B gydymui rekomenduojama </w:t>
      </w:r>
      <w:r w:rsidR="00335E55" w:rsidRPr="00335E55">
        <w:rPr>
          <w:sz w:val="22"/>
          <w:szCs w:val="22"/>
        </w:rPr>
        <w:t>Tenofovir disoproxil Sandoz</w:t>
      </w:r>
      <w:r w:rsidRPr="00612262">
        <w:rPr>
          <w:sz w:val="22"/>
          <w:szCs w:val="22"/>
        </w:rPr>
        <w:t xml:space="preserve"> dozė yra 245</w:t>
      </w:r>
      <w:r w:rsidR="00212870">
        <w:rPr>
          <w:sz w:val="22"/>
          <w:szCs w:val="22"/>
        </w:rPr>
        <w:t> </w:t>
      </w:r>
      <w:r w:rsidRPr="00612262">
        <w:rPr>
          <w:sz w:val="22"/>
          <w:szCs w:val="22"/>
        </w:rPr>
        <w:t>mg (1 tabletė), išgeriama 1 kartą per parą su maistu.</w:t>
      </w:r>
    </w:p>
    <w:p w14:paraId="1882EE55" w14:textId="77777777" w:rsidR="00335E55" w:rsidRPr="00CE2BE1" w:rsidRDefault="00335E55" w:rsidP="00612262">
      <w:pPr>
        <w:pStyle w:val="Default"/>
        <w:rPr>
          <w:sz w:val="22"/>
          <w:szCs w:val="22"/>
        </w:rPr>
      </w:pPr>
    </w:p>
    <w:p w14:paraId="71D977FB" w14:textId="45FAE00D" w:rsidR="00DB61E9" w:rsidRPr="006704AD" w:rsidRDefault="00DB61E9" w:rsidP="00DB61E9">
      <w:pPr>
        <w:pStyle w:val="Default"/>
        <w:rPr>
          <w:sz w:val="22"/>
          <w:szCs w:val="22"/>
        </w:rPr>
      </w:pPr>
      <w:r w:rsidRPr="00474AE1">
        <w:rPr>
          <w:sz w:val="22"/>
          <w:szCs w:val="22"/>
        </w:rPr>
        <w:t xml:space="preserve">Sprendimą, ar gydyti pacientus vaikus (paauglius), reikia priimti atidžiai apsvarsčius konkretaus paciento poreikius ir vadovaujantis </w:t>
      </w:r>
      <w:r w:rsidRPr="00CE2BE1">
        <w:rPr>
          <w:sz w:val="22"/>
          <w:szCs w:val="22"/>
        </w:rPr>
        <w:t>dabartinėmis pediatrinių pacientų gydymo rekomendacijomis, įskaitant pradinės histologinės informacijos vertę. Ilgalaik</w:t>
      </w:r>
      <w:r w:rsidR="006704AD">
        <w:rPr>
          <w:sz w:val="22"/>
          <w:szCs w:val="22"/>
        </w:rPr>
        <w:t>io virusologinio slopinimo</w:t>
      </w:r>
      <w:r w:rsidRPr="006704AD">
        <w:rPr>
          <w:sz w:val="22"/>
          <w:szCs w:val="22"/>
        </w:rPr>
        <w:t xml:space="preserve"> tęsiant gydymą naudą reikia įvertinti lyginant su ilgalaikio gydymo rizika, įskaitant atsparaus hepatito B viruso atsiradimo galimybę ir neapibrėžtumą dėl ilgalaikio toksinio poveikio kaulams bei inkstams (žr. 4.4 skyrių).</w:t>
      </w:r>
    </w:p>
    <w:p w14:paraId="6B3EC4AB" w14:textId="2DCE4567" w:rsidR="00DB61E9" w:rsidRPr="00CE2BE1" w:rsidRDefault="00DB61E9" w:rsidP="00DB61E9">
      <w:pPr>
        <w:pStyle w:val="Default"/>
        <w:rPr>
          <w:sz w:val="22"/>
          <w:szCs w:val="22"/>
        </w:rPr>
      </w:pPr>
      <w:r w:rsidRPr="00CE2BE1">
        <w:rPr>
          <w:sz w:val="22"/>
          <w:szCs w:val="22"/>
        </w:rPr>
        <w:t>Prieš pradedant gydyti pediatrinius pacientus, sergančius kompensuota kepenų liga dėl HBeAg teigiamo lėtinio hepatito B, ALT aktyvumas serume turi būti nuolat padidėjęs mažiausiai 6 mėnesius, o pacientams, sergantiems HBeAg neigiama liga, tai turi būti mažiausiai 12 mėnesių.</w:t>
      </w:r>
    </w:p>
    <w:p w14:paraId="01FECD84" w14:textId="77777777" w:rsidR="00B97A95" w:rsidRPr="00CE2BE1" w:rsidRDefault="00B97A95" w:rsidP="00612262">
      <w:pPr>
        <w:pStyle w:val="Default"/>
        <w:rPr>
          <w:i/>
          <w:sz w:val="22"/>
          <w:szCs w:val="22"/>
        </w:rPr>
      </w:pPr>
    </w:p>
    <w:p w14:paraId="2566E4EE" w14:textId="06AD76E5" w:rsidR="00B97A95" w:rsidRPr="00EE7979" w:rsidRDefault="00B97A95" w:rsidP="00EE7979">
      <w:pPr>
        <w:rPr>
          <w:i/>
          <w:szCs w:val="22"/>
          <w:u w:val="single"/>
        </w:rPr>
      </w:pPr>
      <w:r w:rsidRPr="00EE7979">
        <w:rPr>
          <w:szCs w:val="22"/>
          <w:u w:val="single"/>
        </w:rPr>
        <w:t>Gydymo trukmė suaugusiesiems ir paaugliams, sergantiems lėtiniu hepatitu B</w:t>
      </w:r>
    </w:p>
    <w:p w14:paraId="1F001890" w14:textId="77777777" w:rsidR="00B97A95" w:rsidRPr="00CE2BE1" w:rsidRDefault="00B97A95" w:rsidP="00612262">
      <w:pPr>
        <w:pStyle w:val="Default"/>
        <w:rPr>
          <w:i/>
          <w:sz w:val="22"/>
          <w:szCs w:val="22"/>
        </w:rPr>
      </w:pPr>
    </w:p>
    <w:p w14:paraId="33C30B02" w14:textId="77777777" w:rsidR="00612262" w:rsidRPr="00612262" w:rsidRDefault="00612262" w:rsidP="00612262">
      <w:pPr>
        <w:pStyle w:val="Default"/>
        <w:rPr>
          <w:sz w:val="22"/>
          <w:szCs w:val="22"/>
        </w:rPr>
      </w:pPr>
      <w:r w:rsidRPr="00612262">
        <w:rPr>
          <w:sz w:val="22"/>
          <w:szCs w:val="22"/>
        </w:rPr>
        <w:t>Optimali gydymo trukmė nežinoma. Gydym</w:t>
      </w:r>
      <w:r w:rsidR="00335E55">
        <w:rPr>
          <w:sz w:val="22"/>
          <w:szCs w:val="22"/>
        </w:rPr>
        <w:t>o nutraukimas gali būti pasvarstytas</w:t>
      </w:r>
      <w:r w:rsidRPr="00612262">
        <w:rPr>
          <w:sz w:val="22"/>
          <w:szCs w:val="22"/>
        </w:rPr>
        <w:t xml:space="preserve"> šiais atvejais:</w:t>
      </w:r>
    </w:p>
    <w:p w14:paraId="5C8A2078" w14:textId="1D862A4A" w:rsidR="00612262" w:rsidRPr="00612262" w:rsidRDefault="000D76BF" w:rsidP="003E6859">
      <w:pPr>
        <w:pStyle w:val="Default"/>
        <w:numPr>
          <w:ilvl w:val="1"/>
          <w:numId w:val="18"/>
        </w:numPr>
        <w:ind w:left="851"/>
        <w:rPr>
          <w:sz w:val="22"/>
          <w:szCs w:val="22"/>
        </w:rPr>
      </w:pPr>
      <w:r>
        <w:rPr>
          <w:sz w:val="22"/>
          <w:szCs w:val="22"/>
        </w:rPr>
        <w:t>Kepenų c</w:t>
      </w:r>
      <w:r w:rsidR="00612262" w:rsidRPr="00612262">
        <w:rPr>
          <w:sz w:val="22"/>
          <w:szCs w:val="22"/>
        </w:rPr>
        <w:t xml:space="preserve">iroze nesergantiems HBeAg teigiamiems pacientams gydymą reikia skirti ne mažiau kaip 12 </w:t>
      </w:r>
      <w:r w:rsidR="00F56E4B">
        <w:rPr>
          <w:sz w:val="22"/>
          <w:szCs w:val="22"/>
        </w:rPr>
        <w:t>mėnesi</w:t>
      </w:r>
      <w:r w:rsidR="00111E01">
        <w:rPr>
          <w:sz w:val="22"/>
          <w:szCs w:val="22"/>
        </w:rPr>
        <w:t>ų</w:t>
      </w:r>
      <w:r w:rsidR="00612262" w:rsidRPr="00612262">
        <w:rPr>
          <w:sz w:val="22"/>
          <w:szCs w:val="22"/>
        </w:rPr>
        <w:t xml:space="preserve"> po HBe serokonversijos (HBeAg išnykimo ir HBV DNR išnykimo su anti-HBe aptikimu</w:t>
      </w:r>
      <w:r w:rsidR="00B97A95" w:rsidRPr="00B97A95">
        <w:t xml:space="preserve"> </w:t>
      </w:r>
      <w:r w:rsidR="00B97A95" w:rsidRPr="00B97A95">
        <w:rPr>
          <w:sz w:val="22"/>
          <w:szCs w:val="22"/>
        </w:rPr>
        <w:t xml:space="preserve">dviejuose iš eilės serumo mėginiuose, </w:t>
      </w:r>
      <w:r w:rsidR="00B97A95">
        <w:rPr>
          <w:sz w:val="22"/>
          <w:szCs w:val="22"/>
        </w:rPr>
        <w:t xml:space="preserve">tarp kurių yra </w:t>
      </w:r>
      <w:r w:rsidR="00B97A95" w:rsidRPr="00B97A95">
        <w:rPr>
          <w:sz w:val="22"/>
          <w:szCs w:val="22"/>
        </w:rPr>
        <w:t xml:space="preserve"> mažiausiai 3–6 mėnesių </w:t>
      </w:r>
      <w:r w:rsidR="00B97A95">
        <w:rPr>
          <w:sz w:val="22"/>
          <w:szCs w:val="22"/>
        </w:rPr>
        <w:t>pertrauka</w:t>
      </w:r>
      <w:r w:rsidR="00B97A95" w:rsidRPr="00B97A95">
        <w:rPr>
          <w:sz w:val="22"/>
          <w:szCs w:val="22"/>
        </w:rPr>
        <w:t>)</w:t>
      </w:r>
      <w:r w:rsidR="00612262" w:rsidRPr="00612262">
        <w:rPr>
          <w:sz w:val="22"/>
          <w:szCs w:val="22"/>
        </w:rPr>
        <w:t xml:space="preserve"> patvirtinimo, arba iki HBs serokonversijos, arba iki veiksmingumo išnykimo (žr. 4.4 skyrių). Nutraukus gydymą, reikia reguliariai stebėti ALT </w:t>
      </w:r>
      <w:r w:rsidR="00335E55">
        <w:rPr>
          <w:sz w:val="22"/>
          <w:szCs w:val="22"/>
        </w:rPr>
        <w:t xml:space="preserve">aktyvumą </w:t>
      </w:r>
      <w:r w:rsidR="00612262" w:rsidRPr="00612262">
        <w:rPr>
          <w:sz w:val="22"/>
          <w:szCs w:val="22"/>
        </w:rPr>
        <w:t xml:space="preserve">ir HBV DNR lygį </w:t>
      </w:r>
      <w:r>
        <w:rPr>
          <w:sz w:val="22"/>
          <w:szCs w:val="22"/>
        </w:rPr>
        <w:t xml:space="preserve">kraujo </w:t>
      </w:r>
      <w:r w:rsidR="00612262" w:rsidRPr="00612262">
        <w:rPr>
          <w:sz w:val="22"/>
          <w:szCs w:val="22"/>
        </w:rPr>
        <w:t>serume, kad būtų aptiktas bet koks vėlyvas virusologinis atkrytis.</w:t>
      </w:r>
    </w:p>
    <w:p w14:paraId="3A0C8624" w14:textId="02736E0F" w:rsidR="00612262" w:rsidRPr="00612262" w:rsidRDefault="000D76BF" w:rsidP="003E6859">
      <w:pPr>
        <w:pStyle w:val="Default"/>
        <w:numPr>
          <w:ilvl w:val="1"/>
          <w:numId w:val="18"/>
        </w:numPr>
        <w:ind w:left="851" w:hanging="567"/>
        <w:rPr>
          <w:sz w:val="22"/>
          <w:szCs w:val="22"/>
        </w:rPr>
      </w:pPr>
      <w:r>
        <w:rPr>
          <w:sz w:val="22"/>
          <w:szCs w:val="22"/>
        </w:rPr>
        <w:t>Kepenų c</w:t>
      </w:r>
      <w:r w:rsidR="00612262" w:rsidRPr="00612262">
        <w:rPr>
          <w:sz w:val="22"/>
          <w:szCs w:val="22"/>
        </w:rPr>
        <w:t xml:space="preserve">iroze nesergantiems HBeAg neigiamiems pacientams gydymą reikia skirti bent iki HBs serokonversijos arba kol nustatomas veiksmingumo nebuvimas. </w:t>
      </w:r>
      <w:r w:rsidR="00B97A95" w:rsidRPr="00EE7979">
        <w:rPr>
          <w:sz w:val="22"/>
          <w:szCs w:val="22"/>
        </w:rPr>
        <w:t>Galimybę nutraukti gydymą taip pat galima apsvarstyti, jeigu pasiekiama</w:t>
      </w:r>
      <w:r w:rsidR="006704AD">
        <w:rPr>
          <w:sz w:val="22"/>
          <w:szCs w:val="22"/>
        </w:rPr>
        <w:t>s</w:t>
      </w:r>
      <w:r w:rsidR="00B97A95" w:rsidRPr="00EE7979">
        <w:rPr>
          <w:sz w:val="22"/>
          <w:szCs w:val="22"/>
        </w:rPr>
        <w:t xml:space="preserve"> stabil</w:t>
      </w:r>
      <w:r w:rsidR="006704AD">
        <w:rPr>
          <w:sz w:val="22"/>
          <w:szCs w:val="22"/>
        </w:rPr>
        <w:t>us virusologinis slopinimas</w:t>
      </w:r>
      <w:r w:rsidR="00B97A95" w:rsidRPr="00EE7979">
        <w:rPr>
          <w:sz w:val="22"/>
          <w:szCs w:val="22"/>
        </w:rPr>
        <w:t xml:space="preserve"> (t. y. mažiausiai 3 metus) – su sąlyga, kad nutraukus gydymą bus reguliariai stebimas ALT aktyvumas ir HBV DNR kiekis serume, kad būtų aptiktas bet koks vėlyvas virusologinis atkrytis.</w:t>
      </w:r>
      <w:r w:rsidR="00B97A95" w:rsidRPr="00612262">
        <w:rPr>
          <w:sz w:val="22"/>
          <w:szCs w:val="22"/>
        </w:rPr>
        <w:t xml:space="preserve"> </w:t>
      </w:r>
      <w:r w:rsidR="00612262" w:rsidRPr="00612262">
        <w:rPr>
          <w:sz w:val="22"/>
          <w:szCs w:val="22"/>
        </w:rPr>
        <w:t>Taikant ilgalaikį, ilgesnį nei 2 metai gydymą, rekomenduojama reguliariai įvertinti, ar tolesnis pasirinkto gydymo taikymas išlieka tinkamas pacientui.</w:t>
      </w:r>
    </w:p>
    <w:p w14:paraId="0D82F829" w14:textId="77777777" w:rsidR="00335E55" w:rsidRDefault="00335E55" w:rsidP="00612262">
      <w:pPr>
        <w:pStyle w:val="Default"/>
        <w:rPr>
          <w:sz w:val="22"/>
          <w:szCs w:val="22"/>
        </w:rPr>
      </w:pPr>
    </w:p>
    <w:p w14:paraId="7476F1A4" w14:textId="77777777" w:rsidR="00612262" w:rsidRDefault="00335E55" w:rsidP="00612262">
      <w:pPr>
        <w:pStyle w:val="Default"/>
        <w:rPr>
          <w:sz w:val="22"/>
          <w:szCs w:val="22"/>
        </w:rPr>
      </w:pPr>
      <w:r w:rsidRPr="00335E55">
        <w:rPr>
          <w:sz w:val="22"/>
          <w:szCs w:val="22"/>
        </w:rPr>
        <w:t>Tenofovir disoproxil Sandoz</w:t>
      </w:r>
      <w:r w:rsidR="00612262" w:rsidRPr="00612262">
        <w:rPr>
          <w:sz w:val="22"/>
          <w:szCs w:val="22"/>
        </w:rPr>
        <w:t xml:space="preserve"> taip pat </w:t>
      </w:r>
      <w:r>
        <w:rPr>
          <w:sz w:val="22"/>
          <w:szCs w:val="22"/>
        </w:rPr>
        <w:t>gali būti tiekiamas kitų formuluočių pavidalu</w:t>
      </w:r>
      <w:r w:rsidR="00612262" w:rsidRPr="00612262">
        <w:rPr>
          <w:sz w:val="22"/>
          <w:szCs w:val="22"/>
        </w:rPr>
        <w:t xml:space="preserve"> suaugusiųjų, kuriems netinka kietoji vaist</w:t>
      </w:r>
      <w:r w:rsidR="00212870">
        <w:rPr>
          <w:sz w:val="22"/>
          <w:szCs w:val="22"/>
        </w:rPr>
        <w:t>inio preparat</w:t>
      </w:r>
      <w:r w:rsidR="00612262" w:rsidRPr="00612262">
        <w:rPr>
          <w:sz w:val="22"/>
          <w:szCs w:val="22"/>
        </w:rPr>
        <w:t>o forma,</w:t>
      </w:r>
      <w:r w:rsidR="007C43E5" w:rsidRPr="007C43E5">
        <w:rPr>
          <w:sz w:val="22"/>
          <w:szCs w:val="22"/>
        </w:rPr>
        <w:t xml:space="preserve"> </w:t>
      </w:r>
      <w:r w:rsidR="007C43E5" w:rsidRPr="00612262">
        <w:rPr>
          <w:sz w:val="22"/>
          <w:szCs w:val="22"/>
        </w:rPr>
        <w:t>ŽIV-1 infekcijos ir lėtinio hepatito B gydymui</w:t>
      </w:r>
      <w:r w:rsidR="007C43E5">
        <w:rPr>
          <w:sz w:val="22"/>
          <w:szCs w:val="22"/>
        </w:rPr>
        <w:t xml:space="preserve">. Prašom remtis </w:t>
      </w:r>
      <w:r w:rsidR="000A2957">
        <w:rPr>
          <w:sz w:val="22"/>
          <w:szCs w:val="22"/>
        </w:rPr>
        <w:t>atitinkam</w:t>
      </w:r>
      <w:r w:rsidR="00ED4C2E">
        <w:rPr>
          <w:sz w:val="22"/>
          <w:szCs w:val="22"/>
        </w:rPr>
        <w:t>oms</w:t>
      </w:r>
      <w:r w:rsidR="007C43E5">
        <w:rPr>
          <w:sz w:val="22"/>
          <w:szCs w:val="22"/>
        </w:rPr>
        <w:t xml:space="preserve"> formuluo</w:t>
      </w:r>
      <w:r w:rsidR="00ED4C2E">
        <w:rPr>
          <w:sz w:val="22"/>
          <w:szCs w:val="22"/>
        </w:rPr>
        <w:t>tėms parengta</w:t>
      </w:r>
      <w:r w:rsidR="000A2957">
        <w:rPr>
          <w:sz w:val="22"/>
          <w:szCs w:val="22"/>
        </w:rPr>
        <w:t xml:space="preserve"> Preparato charakteristikų santrauka</w:t>
      </w:r>
      <w:r w:rsidR="00ED4C2E">
        <w:rPr>
          <w:sz w:val="22"/>
          <w:szCs w:val="22"/>
        </w:rPr>
        <w:t>.</w:t>
      </w:r>
    </w:p>
    <w:p w14:paraId="12211BFD" w14:textId="77777777" w:rsidR="007C43E5" w:rsidRDefault="007C43E5" w:rsidP="00612262">
      <w:pPr>
        <w:pStyle w:val="Default"/>
        <w:rPr>
          <w:sz w:val="22"/>
          <w:szCs w:val="22"/>
        </w:rPr>
      </w:pPr>
    </w:p>
    <w:p w14:paraId="2E7DC750" w14:textId="0306C31B" w:rsidR="00CE2BE1" w:rsidRDefault="00474AE1" w:rsidP="00CE2BE1">
      <w:pPr>
        <w:pStyle w:val="Default"/>
        <w:rPr>
          <w:sz w:val="22"/>
          <w:szCs w:val="22"/>
        </w:rPr>
      </w:pPr>
      <w:r>
        <w:rPr>
          <w:sz w:val="22"/>
          <w:szCs w:val="22"/>
        </w:rPr>
        <w:t>S</w:t>
      </w:r>
      <w:r w:rsidRPr="00CE2BE1">
        <w:rPr>
          <w:sz w:val="22"/>
          <w:szCs w:val="22"/>
        </w:rPr>
        <w:t>uaugusiems pacientams, kurie</w:t>
      </w:r>
      <w:r>
        <w:rPr>
          <w:sz w:val="22"/>
          <w:szCs w:val="22"/>
        </w:rPr>
        <w:t>ms yra</w:t>
      </w:r>
      <w:r w:rsidRPr="00CE2BE1">
        <w:rPr>
          <w:sz w:val="22"/>
          <w:szCs w:val="22"/>
        </w:rPr>
        <w:t xml:space="preserve"> dekompensuota kepenų</w:t>
      </w:r>
      <w:r>
        <w:rPr>
          <w:sz w:val="22"/>
          <w:szCs w:val="22"/>
        </w:rPr>
        <w:t xml:space="preserve"> </w:t>
      </w:r>
      <w:r w:rsidRPr="00CE2BE1">
        <w:rPr>
          <w:sz w:val="22"/>
          <w:szCs w:val="22"/>
        </w:rPr>
        <w:t>liga arba ciroz</w:t>
      </w:r>
      <w:r>
        <w:rPr>
          <w:sz w:val="22"/>
          <w:szCs w:val="22"/>
        </w:rPr>
        <w:t>ė, gydymo nutraukimas yra nerekomenduojamas</w:t>
      </w:r>
      <w:r w:rsidR="00CE2BE1" w:rsidRPr="00CE2BE1">
        <w:rPr>
          <w:sz w:val="22"/>
          <w:szCs w:val="22"/>
        </w:rPr>
        <w:t>.</w:t>
      </w:r>
    </w:p>
    <w:p w14:paraId="2A540C53" w14:textId="77777777" w:rsidR="00CE2BE1" w:rsidRPr="00612262" w:rsidRDefault="00CE2BE1" w:rsidP="00612262">
      <w:pPr>
        <w:pStyle w:val="Default"/>
        <w:rPr>
          <w:sz w:val="22"/>
          <w:szCs w:val="22"/>
        </w:rPr>
      </w:pPr>
    </w:p>
    <w:p w14:paraId="1B3B72AF" w14:textId="77777777" w:rsidR="00612262" w:rsidRPr="000A2957" w:rsidRDefault="00612262" w:rsidP="00612262">
      <w:pPr>
        <w:pStyle w:val="Default"/>
        <w:rPr>
          <w:i/>
          <w:sz w:val="22"/>
          <w:szCs w:val="22"/>
        </w:rPr>
      </w:pPr>
      <w:r w:rsidRPr="000A2957">
        <w:rPr>
          <w:i/>
          <w:sz w:val="22"/>
          <w:szCs w:val="22"/>
        </w:rPr>
        <w:t>Vaikų populiacija</w:t>
      </w:r>
    </w:p>
    <w:p w14:paraId="6671CAA3" w14:textId="713585DF" w:rsidR="00474AE1" w:rsidRDefault="00474AE1" w:rsidP="001D1977">
      <w:pPr>
        <w:pStyle w:val="Default"/>
        <w:rPr>
          <w:sz w:val="22"/>
          <w:szCs w:val="22"/>
        </w:rPr>
      </w:pPr>
      <w:r w:rsidRPr="00335E55">
        <w:rPr>
          <w:sz w:val="22"/>
          <w:szCs w:val="22"/>
        </w:rPr>
        <w:t>Tenofovir</w:t>
      </w:r>
      <w:r w:rsidR="00BE4EED">
        <w:rPr>
          <w:sz w:val="22"/>
          <w:szCs w:val="22"/>
        </w:rPr>
        <w:t>o</w:t>
      </w:r>
      <w:r w:rsidRPr="00335E55">
        <w:rPr>
          <w:sz w:val="22"/>
          <w:szCs w:val="22"/>
        </w:rPr>
        <w:t xml:space="preserve"> </w:t>
      </w:r>
      <w:r w:rsidR="00BE4EED" w:rsidRPr="00335E55">
        <w:rPr>
          <w:sz w:val="22"/>
          <w:szCs w:val="22"/>
        </w:rPr>
        <w:t>di</w:t>
      </w:r>
      <w:r w:rsidR="00BE4EED">
        <w:rPr>
          <w:sz w:val="22"/>
          <w:szCs w:val="22"/>
        </w:rPr>
        <w:t>z</w:t>
      </w:r>
      <w:r w:rsidR="00BE4EED" w:rsidRPr="00335E55">
        <w:rPr>
          <w:sz w:val="22"/>
          <w:szCs w:val="22"/>
        </w:rPr>
        <w:t>opro</w:t>
      </w:r>
      <w:r w:rsidR="00BE4EED">
        <w:rPr>
          <w:sz w:val="22"/>
          <w:szCs w:val="22"/>
        </w:rPr>
        <w:t>ks</w:t>
      </w:r>
      <w:r w:rsidR="00BE4EED" w:rsidRPr="00335E55">
        <w:rPr>
          <w:sz w:val="22"/>
          <w:szCs w:val="22"/>
        </w:rPr>
        <w:t>il</w:t>
      </w:r>
      <w:r w:rsidR="00BE4EED">
        <w:rPr>
          <w:sz w:val="22"/>
          <w:szCs w:val="22"/>
        </w:rPr>
        <w:t>is</w:t>
      </w:r>
      <w:r w:rsidRPr="00612262">
        <w:rPr>
          <w:sz w:val="22"/>
          <w:szCs w:val="22"/>
        </w:rPr>
        <w:t xml:space="preserve"> taip pat </w:t>
      </w:r>
      <w:r>
        <w:rPr>
          <w:sz w:val="22"/>
          <w:szCs w:val="22"/>
        </w:rPr>
        <w:t>gali būti tiekiamas kit</w:t>
      </w:r>
      <w:r w:rsidR="001D1977">
        <w:rPr>
          <w:sz w:val="22"/>
          <w:szCs w:val="22"/>
        </w:rPr>
        <w:t>omis formuluotėmis</w:t>
      </w:r>
      <w:r w:rsidRPr="00612262">
        <w:rPr>
          <w:sz w:val="22"/>
          <w:szCs w:val="22"/>
        </w:rPr>
        <w:t xml:space="preserve"> </w:t>
      </w:r>
      <w:r w:rsidR="001D1977">
        <w:rPr>
          <w:sz w:val="22"/>
          <w:szCs w:val="22"/>
        </w:rPr>
        <w:t xml:space="preserve">pacientams vaikams </w:t>
      </w:r>
      <w:r w:rsidRPr="00612262">
        <w:rPr>
          <w:sz w:val="22"/>
          <w:szCs w:val="22"/>
        </w:rPr>
        <w:t>nuo 2 iki &lt; 1</w:t>
      </w:r>
      <w:r>
        <w:rPr>
          <w:sz w:val="22"/>
          <w:szCs w:val="22"/>
        </w:rPr>
        <w:t>2</w:t>
      </w:r>
      <w:r w:rsidRPr="00612262">
        <w:rPr>
          <w:sz w:val="22"/>
          <w:szCs w:val="22"/>
        </w:rPr>
        <w:t xml:space="preserve"> metų</w:t>
      </w:r>
      <w:r w:rsidR="001D1977">
        <w:rPr>
          <w:sz w:val="22"/>
          <w:szCs w:val="22"/>
        </w:rPr>
        <w:t xml:space="preserve"> </w:t>
      </w:r>
      <w:r w:rsidR="001D1977" w:rsidRPr="001D1977">
        <w:rPr>
          <w:sz w:val="22"/>
          <w:szCs w:val="22"/>
        </w:rPr>
        <w:t>ir mažesnio stiprumo table</w:t>
      </w:r>
      <w:r w:rsidR="001D1977">
        <w:rPr>
          <w:sz w:val="22"/>
          <w:szCs w:val="22"/>
        </w:rPr>
        <w:t>tėmis</w:t>
      </w:r>
      <w:r w:rsidR="001D1977" w:rsidRPr="001D1977">
        <w:rPr>
          <w:sz w:val="22"/>
          <w:szCs w:val="22"/>
        </w:rPr>
        <w:t xml:space="preserve"> pacientams vaikams nuo 6 iki &lt; 12 metų</w:t>
      </w:r>
      <w:r w:rsidR="001D1977">
        <w:rPr>
          <w:sz w:val="22"/>
          <w:szCs w:val="22"/>
        </w:rPr>
        <w:t>, skirtomis gydyti nuo</w:t>
      </w:r>
      <w:r w:rsidR="001D1977" w:rsidRPr="001D1977">
        <w:rPr>
          <w:sz w:val="22"/>
          <w:szCs w:val="22"/>
        </w:rPr>
        <w:t xml:space="preserve">  ŽIV-1 infekcijos ir lėtinio hepatito B (žr. 5.1 skyrių)</w:t>
      </w:r>
      <w:r w:rsidR="001D1977">
        <w:rPr>
          <w:sz w:val="22"/>
          <w:szCs w:val="22"/>
        </w:rPr>
        <w:t>.</w:t>
      </w:r>
      <w:r>
        <w:rPr>
          <w:sz w:val="22"/>
          <w:szCs w:val="22"/>
        </w:rPr>
        <w:t xml:space="preserve"> Prašom remtis atitinkamoms formuluotėms parengta Preparato charakteristikų santrauka.</w:t>
      </w:r>
    </w:p>
    <w:p w14:paraId="771A4B84" w14:textId="77777777" w:rsidR="00B949E4" w:rsidRDefault="00B949E4" w:rsidP="00612262">
      <w:pPr>
        <w:pStyle w:val="Default"/>
        <w:rPr>
          <w:sz w:val="22"/>
          <w:szCs w:val="22"/>
        </w:rPr>
      </w:pPr>
    </w:p>
    <w:p w14:paraId="46CFF4CC" w14:textId="2D5DB3C0" w:rsidR="00612262" w:rsidRPr="00612262" w:rsidRDefault="00A5527E" w:rsidP="00612262">
      <w:pPr>
        <w:pStyle w:val="Default"/>
        <w:rPr>
          <w:sz w:val="22"/>
          <w:szCs w:val="22"/>
        </w:rPr>
      </w:pPr>
      <w:r>
        <w:rPr>
          <w:sz w:val="22"/>
          <w:szCs w:val="22"/>
        </w:rPr>
        <w:t xml:space="preserve">Tenofoviro dizoproksilio </w:t>
      </w:r>
      <w:r w:rsidR="00612262" w:rsidRPr="00612262">
        <w:rPr>
          <w:sz w:val="22"/>
          <w:szCs w:val="22"/>
        </w:rPr>
        <w:t>saugumas ir veiksmingumas infekuotiems</w:t>
      </w:r>
      <w:r w:rsidR="00DA2C2A">
        <w:rPr>
          <w:sz w:val="22"/>
          <w:szCs w:val="22"/>
        </w:rPr>
        <w:t xml:space="preserve"> </w:t>
      </w:r>
      <w:r w:rsidR="00DA2C2A" w:rsidRPr="00612262">
        <w:rPr>
          <w:sz w:val="22"/>
          <w:szCs w:val="22"/>
        </w:rPr>
        <w:t xml:space="preserve">ŽIV-1 </w:t>
      </w:r>
      <w:r w:rsidR="00DA2C2A">
        <w:rPr>
          <w:sz w:val="22"/>
          <w:szCs w:val="22"/>
        </w:rPr>
        <w:t>arba sergantiems lėtiniu hepatitu</w:t>
      </w:r>
      <w:r w:rsidR="00BE4EED">
        <w:rPr>
          <w:sz w:val="22"/>
          <w:szCs w:val="22"/>
        </w:rPr>
        <w:t xml:space="preserve"> B</w:t>
      </w:r>
      <w:r w:rsidR="00612262" w:rsidRPr="00612262">
        <w:rPr>
          <w:sz w:val="22"/>
          <w:szCs w:val="22"/>
        </w:rPr>
        <w:t xml:space="preserve"> </w:t>
      </w:r>
      <w:r w:rsidR="00DA2C2A">
        <w:rPr>
          <w:sz w:val="22"/>
          <w:szCs w:val="22"/>
        </w:rPr>
        <w:t xml:space="preserve">vaikams </w:t>
      </w:r>
      <w:r w:rsidR="00B949E4">
        <w:rPr>
          <w:sz w:val="22"/>
          <w:szCs w:val="22"/>
        </w:rPr>
        <w:t>jaunesniems kaip 2 metų neištirtas</w:t>
      </w:r>
      <w:r w:rsidR="00612262" w:rsidRPr="00612262">
        <w:rPr>
          <w:sz w:val="22"/>
          <w:szCs w:val="22"/>
        </w:rPr>
        <w:t>. Duomenų nėra.</w:t>
      </w:r>
    </w:p>
    <w:p w14:paraId="32EF1B0A" w14:textId="77777777" w:rsidR="00B949E4" w:rsidRDefault="00B949E4" w:rsidP="00612262">
      <w:pPr>
        <w:pStyle w:val="Default"/>
        <w:rPr>
          <w:sz w:val="22"/>
          <w:szCs w:val="22"/>
        </w:rPr>
      </w:pPr>
    </w:p>
    <w:p w14:paraId="775F1DFC" w14:textId="77777777" w:rsidR="008222A5" w:rsidRDefault="008222A5" w:rsidP="00612262">
      <w:pPr>
        <w:pStyle w:val="Default"/>
        <w:rPr>
          <w:sz w:val="22"/>
          <w:szCs w:val="22"/>
        </w:rPr>
      </w:pPr>
    </w:p>
    <w:p w14:paraId="170E31C7" w14:textId="77777777" w:rsidR="00612262" w:rsidRPr="008222A5" w:rsidRDefault="00612262" w:rsidP="00612262">
      <w:pPr>
        <w:pStyle w:val="Default"/>
        <w:rPr>
          <w:i/>
          <w:sz w:val="22"/>
          <w:szCs w:val="22"/>
        </w:rPr>
      </w:pPr>
      <w:r w:rsidRPr="008222A5">
        <w:rPr>
          <w:i/>
          <w:sz w:val="22"/>
          <w:szCs w:val="22"/>
        </w:rPr>
        <w:t>Praleista dozė</w:t>
      </w:r>
    </w:p>
    <w:p w14:paraId="1698620F" w14:textId="77777777" w:rsidR="008222A5" w:rsidRPr="008222A5" w:rsidRDefault="00612262" w:rsidP="008222A5">
      <w:pPr>
        <w:pStyle w:val="Default"/>
        <w:rPr>
          <w:sz w:val="22"/>
          <w:szCs w:val="22"/>
        </w:rPr>
      </w:pPr>
      <w:r w:rsidRPr="00612262">
        <w:rPr>
          <w:sz w:val="22"/>
          <w:szCs w:val="22"/>
        </w:rPr>
        <w:t xml:space="preserve">Jeigu pacientas praleido </w:t>
      </w:r>
      <w:r w:rsidR="008222A5" w:rsidRPr="008222A5">
        <w:rPr>
          <w:sz w:val="22"/>
          <w:szCs w:val="22"/>
        </w:rPr>
        <w:t>Tenofovir disoproxil Sandoz</w:t>
      </w:r>
      <w:r w:rsidRPr="00612262">
        <w:rPr>
          <w:sz w:val="22"/>
          <w:szCs w:val="22"/>
        </w:rPr>
        <w:t xml:space="preserve"> dozę ir praėjo ne daugiau kaip 12 valandų nuo įprasto vartojimo laiko, praleistą </w:t>
      </w:r>
      <w:r w:rsidR="008222A5" w:rsidRPr="008222A5">
        <w:rPr>
          <w:sz w:val="22"/>
          <w:szCs w:val="22"/>
        </w:rPr>
        <w:t>Tenofovir disoproxil Sandoz</w:t>
      </w:r>
      <w:r w:rsidRPr="00612262">
        <w:rPr>
          <w:sz w:val="22"/>
          <w:szCs w:val="22"/>
        </w:rPr>
        <w:t xml:space="preserve"> dozę jis turi suvartoti su maistu kiek galima greičiau ir </w:t>
      </w:r>
      <w:r w:rsidR="008222A5">
        <w:rPr>
          <w:sz w:val="22"/>
          <w:szCs w:val="22"/>
        </w:rPr>
        <w:t xml:space="preserve">tęsti dozavimą </w:t>
      </w:r>
      <w:r w:rsidRPr="00612262">
        <w:rPr>
          <w:sz w:val="22"/>
          <w:szCs w:val="22"/>
        </w:rPr>
        <w:t xml:space="preserve">pagal įprastą grafiką. Jeigu pacientas praleido </w:t>
      </w:r>
      <w:r w:rsidR="008222A5" w:rsidRPr="008222A5">
        <w:rPr>
          <w:sz w:val="22"/>
          <w:szCs w:val="22"/>
        </w:rPr>
        <w:t>Tenofovir disoproxil Sandoz</w:t>
      </w:r>
      <w:r w:rsidRPr="00612262">
        <w:rPr>
          <w:sz w:val="22"/>
          <w:szCs w:val="22"/>
        </w:rPr>
        <w:t xml:space="preserve"> dozę ir praėjo daugiau kaip 12 valandų bei netrukus</w:t>
      </w:r>
      <w:r w:rsidR="008222A5" w:rsidRPr="008222A5">
        <w:t xml:space="preserve"> </w:t>
      </w:r>
      <w:r w:rsidR="008222A5" w:rsidRPr="008222A5">
        <w:rPr>
          <w:sz w:val="22"/>
          <w:szCs w:val="22"/>
        </w:rPr>
        <w:t xml:space="preserve">reikės vartoti kitą dozę, praleistos dozės </w:t>
      </w:r>
      <w:r w:rsidR="008222A5">
        <w:rPr>
          <w:sz w:val="22"/>
          <w:szCs w:val="22"/>
        </w:rPr>
        <w:t>pacientas turi ne</w:t>
      </w:r>
      <w:r w:rsidR="008222A5" w:rsidRPr="008222A5">
        <w:rPr>
          <w:sz w:val="22"/>
          <w:szCs w:val="22"/>
        </w:rPr>
        <w:t>vartoti</w:t>
      </w:r>
      <w:r w:rsidR="008222A5">
        <w:rPr>
          <w:sz w:val="22"/>
          <w:szCs w:val="22"/>
        </w:rPr>
        <w:t xml:space="preserve"> ir tiesiog </w:t>
      </w:r>
      <w:r w:rsidR="008222A5" w:rsidRPr="008222A5">
        <w:rPr>
          <w:sz w:val="22"/>
          <w:szCs w:val="22"/>
        </w:rPr>
        <w:t>tęsti dozavimą pagal įprastą grafiką.</w:t>
      </w:r>
    </w:p>
    <w:p w14:paraId="6EF686DA" w14:textId="77777777" w:rsidR="008222A5" w:rsidRDefault="008222A5" w:rsidP="008222A5">
      <w:pPr>
        <w:pStyle w:val="Default"/>
        <w:rPr>
          <w:sz w:val="22"/>
          <w:szCs w:val="22"/>
        </w:rPr>
      </w:pPr>
    </w:p>
    <w:p w14:paraId="02A05C40" w14:textId="77777777" w:rsidR="008222A5" w:rsidRPr="008222A5" w:rsidRDefault="008222A5" w:rsidP="008222A5">
      <w:pPr>
        <w:pStyle w:val="Default"/>
        <w:rPr>
          <w:sz w:val="22"/>
          <w:szCs w:val="22"/>
        </w:rPr>
      </w:pPr>
      <w:r w:rsidRPr="008222A5">
        <w:rPr>
          <w:sz w:val="22"/>
          <w:szCs w:val="22"/>
        </w:rPr>
        <w:t>Jeigu per 1 valandą nuo Tenofovir disoproxil Sandoz vartojimo pacientas vėmė, jis turi suvartoti dar vieną tabletę. Jeigu pacientas vėmė praėjus daugiau kaip 1 valandai nuo Tenofovir disoproxil Sandoz vartojimo, dar vienos dozės vartoti nereikia.</w:t>
      </w:r>
    </w:p>
    <w:p w14:paraId="5CFFAAE3" w14:textId="77777777" w:rsidR="008222A5" w:rsidRDefault="008222A5" w:rsidP="008222A5">
      <w:pPr>
        <w:pStyle w:val="Default"/>
        <w:rPr>
          <w:sz w:val="22"/>
          <w:szCs w:val="22"/>
        </w:rPr>
      </w:pPr>
    </w:p>
    <w:p w14:paraId="574BA3AD" w14:textId="77777777" w:rsidR="008222A5" w:rsidRPr="009D4F20" w:rsidRDefault="008222A5" w:rsidP="008222A5">
      <w:pPr>
        <w:pStyle w:val="Default"/>
        <w:rPr>
          <w:i/>
          <w:sz w:val="22"/>
          <w:szCs w:val="22"/>
          <w:u w:val="single"/>
        </w:rPr>
      </w:pPr>
      <w:r w:rsidRPr="009D4F20">
        <w:rPr>
          <w:i/>
          <w:sz w:val="22"/>
          <w:szCs w:val="22"/>
          <w:u w:val="single"/>
        </w:rPr>
        <w:t xml:space="preserve">Ypatingos </w:t>
      </w:r>
      <w:r w:rsidR="009D4F20" w:rsidRPr="009D4F20">
        <w:rPr>
          <w:i/>
          <w:sz w:val="22"/>
          <w:szCs w:val="22"/>
          <w:u w:val="single"/>
        </w:rPr>
        <w:t>populiacijos</w:t>
      </w:r>
    </w:p>
    <w:p w14:paraId="0BD31332" w14:textId="3AB5B457" w:rsidR="008222A5" w:rsidRPr="009D4F20" w:rsidRDefault="008222A5" w:rsidP="008222A5">
      <w:pPr>
        <w:pStyle w:val="Default"/>
        <w:rPr>
          <w:i/>
          <w:sz w:val="22"/>
          <w:szCs w:val="22"/>
        </w:rPr>
      </w:pPr>
      <w:r w:rsidRPr="009D4F20">
        <w:rPr>
          <w:i/>
          <w:sz w:val="22"/>
          <w:szCs w:val="22"/>
        </w:rPr>
        <w:t xml:space="preserve">Senyviems </w:t>
      </w:r>
      <w:r w:rsidR="00A57802">
        <w:rPr>
          <w:i/>
          <w:sz w:val="22"/>
          <w:szCs w:val="22"/>
        </w:rPr>
        <w:t xml:space="preserve">pacientams </w:t>
      </w:r>
    </w:p>
    <w:p w14:paraId="3B94157E" w14:textId="77777777" w:rsidR="008222A5" w:rsidRPr="008222A5" w:rsidRDefault="009D4F20" w:rsidP="008222A5">
      <w:pPr>
        <w:pStyle w:val="Default"/>
        <w:rPr>
          <w:sz w:val="22"/>
          <w:szCs w:val="22"/>
        </w:rPr>
      </w:pPr>
      <w:r>
        <w:rPr>
          <w:sz w:val="22"/>
          <w:szCs w:val="22"/>
        </w:rPr>
        <w:t>D</w:t>
      </w:r>
      <w:r w:rsidR="008222A5" w:rsidRPr="008222A5">
        <w:rPr>
          <w:sz w:val="22"/>
          <w:szCs w:val="22"/>
        </w:rPr>
        <w:t xml:space="preserve">uomenų, kuriais remiantis būtų galima </w:t>
      </w:r>
      <w:r>
        <w:rPr>
          <w:sz w:val="22"/>
          <w:szCs w:val="22"/>
        </w:rPr>
        <w:t>paruošti dozavimo rekomendacijas</w:t>
      </w:r>
      <w:r w:rsidR="008222A5" w:rsidRPr="008222A5">
        <w:rPr>
          <w:sz w:val="22"/>
          <w:szCs w:val="22"/>
        </w:rPr>
        <w:t xml:space="preserve"> vyresniems nei 65 metų amžiaus pacientams</w:t>
      </w:r>
      <w:r>
        <w:rPr>
          <w:sz w:val="22"/>
          <w:szCs w:val="22"/>
        </w:rPr>
        <w:t>, nėra</w:t>
      </w:r>
      <w:r w:rsidR="008222A5" w:rsidRPr="008222A5">
        <w:rPr>
          <w:sz w:val="22"/>
          <w:szCs w:val="22"/>
        </w:rPr>
        <w:t xml:space="preserve"> (žr. 4.4 skyrių).</w:t>
      </w:r>
    </w:p>
    <w:p w14:paraId="3B0962AF" w14:textId="77777777" w:rsidR="009D4F20" w:rsidRDefault="009D4F20" w:rsidP="008222A5">
      <w:pPr>
        <w:pStyle w:val="Default"/>
        <w:rPr>
          <w:sz w:val="22"/>
          <w:szCs w:val="22"/>
        </w:rPr>
      </w:pPr>
    </w:p>
    <w:p w14:paraId="721B9A3B" w14:textId="77777777" w:rsidR="008222A5" w:rsidRPr="009D4F20" w:rsidRDefault="009D4F20" w:rsidP="008222A5">
      <w:pPr>
        <w:pStyle w:val="Default"/>
        <w:rPr>
          <w:i/>
          <w:sz w:val="22"/>
          <w:szCs w:val="22"/>
        </w:rPr>
      </w:pPr>
      <w:r w:rsidRPr="009D4F20">
        <w:rPr>
          <w:i/>
          <w:sz w:val="22"/>
          <w:szCs w:val="22"/>
        </w:rPr>
        <w:t>Pacientams, kurių inkstų funkcija sutrikusi</w:t>
      </w:r>
    </w:p>
    <w:p w14:paraId="27F8AE4A" w14:textId="77777777" w:rsidR="008222A5" w:rsidRPr="008222A5" w:rsidRDefault="008222A5" w:rsidP="008222A5">
      <w:pPr>
        <w:pStyle w:val="Default"/>
        <w:rPr>
          <w:sz w:val="22"/>
          <w:szCs w:val="22"/>
        </w:rPr>
      </w:pPr>
      <w:r w:rsidRPr="008222A5">
        <w:rPr>
          <w:sz w:val="22"/>
          <w:szCs w:val="22"/>
        </w:rPr>
        <w:t xml:space="preserve">Tenofoviras yra šalinamas pro inkstus, todėl jo </w:t>
      </w:r>
      <w:r w:rsidR="009D4F20">
        <w:rPr>
          <w:sz w:val="22"/>
          <w:szCs w:val="22"/>
        </w:rPr>
        <w:t>ekspozicija pacientams, kurių inkstų funkcija sutrikusi, būna didesnė</w:t>
      </w:r>
      <w:r w:rsidRPr="008222A5">
        <w:rPr>
          <w:sz w:val="22"/>
          <w:szCs w:val="22"/>
        </w:rPr>
        <w:t>.</w:t>
      </w:r>
    </w:p>
    <w:p w14:paraId="0A43133E" w14:textId="77777777" w:rsidR="009D4F20" w:rsidRDefault="009D4F20" w:rsidP="008222A5">
      <w:pPr>
        <w:pStyle w:val="Default"/>
        <w:rPr>
          <w:sz w:val="22"/>
          <w:szCs w:val="22"/>
        </w:rPr>
      </w:pPr>
    </w:p>
    <w:p w14:paraId="4A45FA81" w14:textId="77777777" w:rsidR="008222A5" w:rsidRPr="009D4F20" w:rsidRDefault="008222A5" w:rsidP="008222A5">
      <w:pPr>
        <w:pStyle w:val="Default"/>
        <w:rPr>
          <w:sz w:val="22"/>
          <w:szCs w:val="22"/>
          <w:u w:val="single"/>
        </w:rPr>
      </w:pPr>
      <w:r w:rsidRPr="009D4F20">
        <w:rPr>
          <w:sz w:val="22"/>
          <w:szCs w:val="22"/>
          <w:u w:val="single"/>
        </w:rPr>
        <w:t>Suaugusieji</w:t>
      </w:r>
    </w:p>
    <w:p w14:paraId="79A7FD8D" w14:textId="77777777" w:rsidR="004246BB" w:rsidRDefault="009D4F20" w:rsidP="008222A5">
      <w:pPr>
        <w:pStyle w:val="Default"/>
        <w:rPr>
          <w:sz w:val="22"/>
          <w:szCs w:val="22"/>
        </w:rPr>
      </w:pPr>
      <w:r>
        <w:rPr>
          <w:sz w:val="22"/>
          <w:szCs w:val="22"/>
        </w:rPr>
        <w:t>D</w:t>
      </w:r>
      <w:r w:rsidR="008222A5" w:rsidRPr="008222A5">
        <w:rPr>
          <w:sz w:val="22"/>
          <w:szCs w:val="22"/>
        </w:rPr>
        <w:t>uomenų</w:t>
      </w:r>
      <w:r>
        <w:rPr>
          <w:sz w:val="22"/>
          <w:szCs w:val="22"/>
        </w:rPr>
        <w:t xml:space="preserve"> apie </w:t>
      </w:r>
      <w:r w:rsidR="008222A5" w:rsidRPr="008222A5">
        <w:rPr>
          <w:sz w:val="22"/>
          <w:szCs w:val="22"/>
        </w:rPr>
        <w:t>tenofoviro dizoproksilio saugu</w:t>
      </w:r>
      <w:r>
        <w:rPr>
          <w:sz w:val="22"/>
          <w:szCs w:val="22"/>
        </w:rPr>
        <w:t>mą</w:t>
      </w:r>
      <w:r w:rsidR="008222A5" w:rsidRPr="008222A5">
        <w:rPr>
          <w:sz w:val="22"/>
          <w:szCs w:val="22"/>
        </w:rPr>
        <w:t xml:space="preserve"> ir veiksming</w:t>
      </w:r>
      <w:r>
        <w:rPr>
          <w:sz w:val="22"/>
          <w:szCs w:val="22"/>
        </w:rPr>
        <w:t>umą</w:t>
      </w:r>
      <w:r w:rsidR="008222A5" w:rsidRPr="008222A5">
        <w:rPr>
          <w:sz w:val="22"/>
          <w:szCs w:val="22"/>
        </w:rPr>
        <w:t xml:space="preserve"> suaugusiems pacientams, kuriems nustatytas vidutinio sunkumo ar sunkus inkstų funkcijos sutrikimas (kreatinino klirensas &lt;</w:t>
      </w:r>
      <w:r w:rsidR="00212870">
        <w:rPr>
          <w:sz w:val="22"/>
          <w:szCs w:val="22"/>
        </w:rPr>
        <w:t> </w:t>
      </w:r>
      <w:r w:rsidR="008222A5" w:rsidRPr="008222A5">
        <w:rPr>
          <w:sz w:val="22"/>
          <w:szCs w:val="22"/>
        </w:rPr>
        <w:t>50</w:t>
      </w:r>
      <w:r w:rsidR="00212870">
        <w:rPr>
          <w:sz w:val="22"/>
          <w:szCs w:val="22"/>
        </w:rPr>
        <w:t> </w:t>
      </w:r>
      <w:r w:rsidR="008222A5" w:rsidRPr="008222A5">
        <w:rPr>
          <w:sz w:val="22"/>
          <w:szCs w:val="22"/>
        </w:rPr>
        <w:t>ml/min.),</w:t>
      </w:r>
      <w:r>
        <w:rPr>
          <w:sz w:val="22"/>
          <w:szCs w:val="22"/>
        </w:rPr>
        <w:t xml:space="preserve"> yra nedaug</w:t>
      </w:r>
      <w:r w:rsidR="004246BB">
        <w:rPr>
          <w:sz w:val="22"/>
          <w:szCs w:val="22"/>
        </w:rPr>
        <w:t xml:space="preserve"> ir nėra ilgalaikio saugumo duomenų įvertinimo</w:t>
      </w:r>
      <w:r w:rsidR="008222A5" w:rsidRPr="008222A5">
        <w:rPr>
          <w:sz w:val="22"/>
          <w:szCs w:val="22"/>
        </w:rPr>
        <w:t xml:space="preserve"> lengv</w:t>
      </w:r>
      <w:r w:rsidR="004246BB">
        <w:rPr>
          <w:sz w:val="22"/>
          <w:szCs w:val="22"/>
        </w:rPr>
        <w:t>o</w:t>
      </w:r>
      <w:r w:rsidR="008222A5" w:rsidRPr="008222A5">
        <w:rPr>
          <w:sz w:val="22"/>
          <w:szCs w:val="22"/>
        </w:rPr>
        <w:t xml:space="preserve"> inkstų funkcijos sutrikim</w:t>
      </w:r>
      <w:r w:rsidR="004246BB">
        <w:rPr>
          <w:sz w:val="22"/>
          <w:szCs w:val="22"/>
        </w:rPr>
        <w:t>o</w:t>
      </w:r>
      <w:r w:rsidR="008222A5" w:rsidRPr="008222A5">
        <w:rPr>
          <w:sz w:val="22"/>
          <w:szCs w:val="22"/>
        </w:rPr>
        <w:t xml:space="preserve"> (kreatinino klirensas 50-80</w:t>
      </w:r>
      <w:r w:rsidR="00212870">
        <w:rPr>
          <w:sz w:val="22"/>
          <w:szCs w:val="22"/>
        </w:rPr>
        <w:t> </w:t>
      </w:r>
      <w:r w:rsidR="008222A5" w:rsidRPr="008222A5">
        <w:rPr>
          <w:sz w:val="22"/>
          <w:szCs w:val="22"/>
        </w:rPr>
        <w:t>ml/min.)</w:t>
      </w:r>
      <w:r w:rsidR="004246BB">
        <w:rPr>
          <w:sz w:val="22"/>
          <w:szCs w:val="22"/>
        </w:rPr>
        <w:t xml:space="preserve"> atveju</w:t>
      </w:r>
      <w:r w:rsidR="008222A5" w:rsidRPr="008222A5">
        <w:rPr>
          <w:sz w:val="22"/>
          <w:szCs w:val="22"/>
        </w:rPr>
        <w:t xml:space="preserve">. Todėl suaugusiems pacientams, kurių inkstų funkcija sutrikusi, tenofoviro dizoproksilio </w:t>
      </w:r>
      <w:r w:rsidR="004246BB">
        <w:rPr>
          <w:sz w:val="22"/>
          <w:szCs w:val="22"/>
        </w:rPr>
        <w:t>turi būti vartojama</w:t>
      </w:r>
      <w:r w:rsidR="008222A5" w:rsidRPr="008222A5">
        <w:rPr>
          <w:sz w:val="22"/>
          <w:szCs w:val="22"/>
        </w:rPr>
        <w:t xml:space="preserve">i tik tuo atveju, jei </w:t>
      </w:r>
      <w:r w:rsidR="004246BB">
        <w:rPr>
          <w:sz w:val="22"/>
          <w:szCs w:val="22"/>
        </w:rPr>
        <w:t xml:space="preserve">potenciali </w:t>
      </w:r>
      <w:r w:rsidR="008222A5" w:rsidRPr="008222A5">
        <w:rPr>
          <w:sz w:val="22"/>
          <w:szCs w:val="22"/>
        </w:rPr>
        <w:t>gydymo nauda viršija galimą riziką. Suaugusiems pacientams, kurių kreatinino klirensas &lt;</w:t>
      </w:r>
      <w:r w:rsidR="00212870">
        <w:rPr>
          <w:sz w:val="22"/>
          <w:szCs w:val="22"/>
        </w:rPr>
        <w:t> </w:t>
      </w:r>
      <w:r w:rsidR="008222A5" w:rsidRPr="008222A5">
        <w:rPr>
          <w:sz w:val="22"/>
          <w:szCs w:val="22"/>
        </w:rPr>
        <w:t>50</w:t>
      </w:r>
      <w:r w:rsidR="00212870">
        <w:rPr>
          <w:sz w:val="22"/>
          <w:szCs w:val="22"/>
        </w:rPr>
        <w:t> </w:t>
      </w:r>
      <w:r w:rsidR="008222A5" w:rsidRPr="008222A5">
        <w:rPr>
          <w:sz w:val="22"/>
          <w:szCs w:val="22"/>
        </w:rPr>
        <w:t xml:space="preserve">ml/min., įskaitant hemodializuojamus pacientus, rekomenduojama </w:t>
      </w:r>
      <w:r w:rsidR="004246BB">
        <w:rPr>
          <w:sz w:val="22"/>
          <w:szCs w:val="22"/>
        </w:rPr>
        <w:t xml:space="preserve">vartoti kitų </w:t>
      </w:r>
      <w:r w:rsidR="004246BB" w:rsidRPr="008222A5">
        <w:rPr>
          <w:sz w:val="22"/>
          <w:szCs w:val="22"/>
        </w:rPr>
        <w:t xml:space="preserve">tenofoviro dizoproksilio </w:t>
      </w:r>
      <w:r w:rsidR="004246BB">
        <w:rPr>
          <w:sz w:val="22"/>
          <w:szCs w:val="22"/>
        </w:rPr>
        <w:t>formuluočių</w:t>
      </w:r>
      <w:r w:rsidR="008222A5" w:rsidRPr="008222A5">
        <w:rPr>
          <w:sz w:val="22"/>
          <w:szCs w:val="22"/>
        </w:rPr>
        <w:t xml:space="preserve">, kad būtų sumažinta tenofoviro dizoproksilio paros dozė. </w:t>
      </w:r>
      <w:r w:rsidR="004246BB" w:rsidRPr="004246BB">
        <w:rPr>
          <w:sz w:val="22"/>
          <w:szCs w:val="22"/>
        </w:rPr>
        <w:t>Prašom remtis atitinkamoms formuluotėms parengta Preparato charakteristikų santrauka.</w:t>
      </w:r>
    </w:p>
    <w:p w14:paraId="3CB7107F" w14:textId="77777777" w:rsidR="008222A5" w:rsidRPr="008222A5" w:rsidRDefault="008222A5" w:rsidP="008222A5">
      <w:pPr>
        <w:pStyle w:val="Default"/>
        <w:rPr>
          <w:sz w:val="22"/>
          <w:szCs w:val="22"/>
        </w:rPr>
      </w:pPr>
    </w:p>
    <w:p w14:paraId="56009ECB" w14:textId="77777777" w:rsidR="008222A5" w:rsidRPr="004246BB" w:rsidRDefault="008222A5" w:rsidP="008222A5">
      <w:pPr>
        <w:pStyle w:val="Default"/>
        <w:rPr>
          <w:i/>
          <w:sz w:val="22"/>
          <w:szCs w:val="22"/>
        </w:rPr>
      </w:pPr>
      <w:r w:rsidRPr="004246BB">
        <w:rPr>
          <w:i/>
          <w:sz w:val="22"/>
          <w:szCs w:val="22"/>
        </w:rPr>
        <w:t>Lengvas inkstų funkcijos sutrikimas (kreatinino klirensas 50-80</w:t>
      </w:r>
      <w:r w:rsidR="00212870">
        <w:rPr>
          <w:i/>
          <w:sz w:val="22"/>
          <w:szCs w:val="22"/>
        </w:rPr>
        <w:t> </w:t>
      </w:r>
      <w:r w:rsidRPr="004246BB">
        <w:rPr>
          <w:i/>
          <w:sz w:val="22"/>
          <w:szCs w:val="22"/>
        </w:rPr>
        <w:t>ml/min.)</w:t>
      </w:r>
    </w:p>
    <w:p w14:paraId="70D8B699" w14:textId="67D44545" w:rsidR="008222A5" w:rsidRPr="008222A5" w:rsidRDefault="00C3343E" w:rsidP="008222A5">
      <w:pPr>
        <w:pStyle w:val="Default"/>
        <w:rPr>
          <w:sz w:val="22"/>
          <w:szCs w:val="22"/>
        </w:rPr>
      </w:pPr>
      <w:r>
        <w:rPr>
          <w:sz w:val="22"/>
          <w:szCs w:val="22"/>
        </w:rPr>
        <w:t>Nedideli</w:t>
      </w:r>
      <w:r w:rsidR="008222A5" w:rsidRPr="008222A5">
        <w:rPr>
          <w:sz w:val="22"/>
          <w:szCs w:val="22"/>
        </w:rPr>
        <w:t xml:space="preserve"> klinikinių tyrimų duomenys pa</w:t>
      </w:r>
      <w:r>
        <w:rPr>
          <w:sz w:val="22"/>
          <w:szCs w:val="22"/>
        </w:rPr>
        <w:t xml:space="preserve">tvirtina </w:t>
      </w:r>
      <w:r w:rsidRPr="008222A5">
        <w:rPr>
          <w:sz w:val="22"/>
          <w:szCs w:val="22"/>
        </w:rPr>
        <w:t xml:space="preserve">tenofoviro </w:t>
      </w:r>
      <w:r>
        <w:rPr>
          <w:sz w:val="22"/>
          <w:szCs w:val="22"/>
        </w:rPr>
        <w:t xml:space="preserve">dizoproksilio dozavimą po </w:t>
      </w:r>
      <w:r w:rsidRPr="008222A5">
        <w:rPr>
          <w:sz w:val="22"/>
          <w:szCs w:val="22"/>
        </w:rPr>
        <w:t>245</w:t>
      </w:r>
      <w:r w:rsidR="00212870">
        <w:rPr>
          <w:sz w:val="22"/>
          <w:szCs w:val="22"/>
        </w:rPr>
        <w:t> </w:t>
      </w:r>
      <w:r w:rsidRPr="008222A5">
        <w:rPr>
          <w:sz w:val="22"/>
          <w:szCs w:val="22"/>
        </w:rPr>
        <w:t xml:space="preserve">mg vieną kartą per parą </w:t>
      </w:r>
      <w:r w:rsidR="008222A5" w:rsidRPr="008222A5">
        <w:rPr>
          <w:sz w:val="22"/>
          <w:szCs w:val="22"/>
        </w:rPr>
        <w:t>pacientams</w:t>
      </w:r>
      <w:r>
        <w:rPr>
          <w:sz w:val="22"/>
          <w:szCs w:val="22"/>
        </w:rPr>
        <w:t xml:space="preserve">, kuriems yra </w:t>
      </w:r>
      <w:r w:rsidR="008222A5" w:rsidRPr="008222A5">
        <w:rPr>
          <w:sz w:val="22"/>
          <w:szCs w:val="22"/>
        </w:rPr>
        <w:t>lengv</w:t>
      </w:r>
      <w:r>
        <w:rPr>
          <w:sz w:val="22"/>
          <w:szCs w:val="22"/>
        </w:rPr>
        <w:t>as</w:t>
      </w:r>
      <w:r w:rsidR="008222A5" w:rsidRPr="008222A5">
        <w:rPr>
          <w:sz w:val="22"/>
          <w:szCs w:val="22"/>
        </w:rPr>
        <w:t xml:space="preserve"> inkstų funkcijos sutrikim</w:t>
      </w:r>
      <w:r>
        <w:rPr>
          <w:sz w:val="22"/>
          <w:szCs w:val="22"/>
        </w:rPr>
        <w:t>as</w:t>
      </w:r>
      <w:r w:rsidR="008222A5" w:rsidRPr="008222A5">
        <w:rPr>
          <w:sz w:val="22"/>
          <w:szCs w:val="22"/>
        </w:rPr>
        <w:t>.</w:t>
      </w:r>
    </w:p>
    <w:p w14:paraId="44E1F827" w14:textId="77777777" w:rsidR="00C3343E" w:rsidRDefault="00C3343E" w:rsidP="008222A5">
      <w:pPr>
        <w:pStyle w:val="Default"/>
        <w:rPr>
          <w:sz w:val="22"/>
          <w:szCs w:val="22"/>
        </w:rPr>
      </w:pPr>
    </w:p>
    <w:p w14:paraId="2BF9D1A7" w14:textId="77777777" w:rsidR="008222A5" w:rsidRPr="00C3343E" w:rsidRDefault="008222A5" w:rsidP="008222A5">
      <w:pPr>
        <w:pStyle w:val="Default"/>
        <w:rPr>
          <w:i/>
          <w:sz w:val="22"/>
          <w:szCs w:val="22"/>
        </w:rPr>
      </w:pPr>
      <w:r w:rsidRPr="00C3343E">
        <w:rPr>
          <w:i/>
          <w:sz w:val="22"/>
          <w:szCs w:val="22"/>
        </w:rPr>
        <w:t>Vidutinio sunkumo inkstų funkcijos sutrikimas (kreatinino klirensas 30-49</w:t>
      </w:r>
      <w:r w:rsidR="00212870">
        <w:rPr>
          <w:i/>
          <w:sz w:val="22"/>
          <w:szCs w:val="22"/>
        </w:rPr>
        <w:t> </w:t>
      </w:r>
      <w:r w:rsidRPr="00C3343E">
        <w:rPr>
          <w:i/>
          <w:sz w:val="22"/>
          <w:szCs w:val="22"/>
        </w:rPr>
        <w:t>ml/min.)</w:t>
      </w:r>
    </w:p>
    <w:p w14:paraId="29ECB335" w14:textId="2FB8969D" w:rsidR="008222A5" w:rsidRPr="008222A5" w:rsidRDefault="008222A5" w:rsidP="008222A5">
      <w:pPr>
        <w:pStyle w:val="Default"/>
        <w:rPr>
          <w:sz w:val="22"/>
          <w:szCs w:val="22"/>
        </w:rPr>
      </w:pPr>
      <w:r w:rsidRPr="008222A5">
        <w:rPr>
          <w:sz w:val="22"/>
          <w:szCs w:val="22"/>
        </w:rPr>
        <w:t>Pacientams, kurie negali vartoti</w:t>
      </w:r>
      <w:r w:rsidR="004472A1">
        <w:rPr>
          <w:sz w:val="22"/>
          <w:szCs w:val="22"/>
        </w:rPr>
        <w:t xml:space="preserve"> kitų formų</w:t>
      </w:r>
      <w:r w:rsidR="00550323">
        <w:rPr>
          <w:sz w:val="22"/>
          <w:szCs w:val="22"/>
        </w:rPr>
        <w:t>,</w:t>
      </w:r>
      <w:r w:rsidRPr="008222A5">
        <w:rPr>
          <w:sz w:val="22"/>
          <w:szCs w:val="22"/>
        </w:rPr>
        <w:t xml:space="preserve"> </w:t>
      </w:r>
      <w:r w:rsidR="004472A1">
        <w:rPr>
          <w:sz w:val="22"/>
          <w:szCs w:val="22"/>
        </w:rPr>
        <w:t xml:space="preserve">tokių kaip </w:t>
      </w:r>
      <w:r w:rsidR="00550323" w:rsidRPr="008222A5">
        <w:rPr>
          <w:sz w:val="22"/>
          <w:szCs w:val="22"/>
        </w:rPr>
        <w:t xml:space="preserve">tenofoviro dizoproksilio </w:t>
      </w:r>
      <w:r w:rsidRPr="008222A5">
        <w:rPr>
          <w:sz w:val="22"/>
          <w:szCs w:val="22"/>
        </w:rPr>
        <w:t>granul</w:t>
      </w:r>
      <w:r w:rsidR="004472A1">
        <w:rPr>
          <w:sz w:val="22"/>
          <w:szCs w:val="22"/>
        </w:rPr>
        <w:t>ės</w:t>
      </w:r>
      <w:r w:rsidRPr="008222A5">
        <w:rPr>
          <w:sz w:val="22"/>
          <w:szCs w:val="22"/>
        </w:rPr>
        <w:t xml:space="preserve">, gali būti </w:t>
      </w:r>
      <w:r w:rsidR="00C3343E">
        <w:rPr>
          <w:sz w:val="22"/>
          <w:szCs w:val="22"/>
        </w:rPr>
        <w:t>taikomas pailgintas</w:t>
      </w:r>
      <w:r w:rsidRPr="008222A5">
        <w:rPr>
          <w:sz w:val="22"/>
          <w:szCs w:val="22"/>
        </w:rPr>
        <w:t xml:space="preserve"> dozavimo interval</w:t>
      </w:r>
      <w:r w:rsidR="00C3343E">
        <w:rPr>
          <w:sz w:val="22"/>
          <w:szCs w:val="22"/>
        </w:rPr>
        <w:t>as vartojant</w:t>
      </w:r>
      <w:r w:rsidRPr="008222A5">
        <w:rPr>
          <w:sz w:val="22"/>
          <w:szCs w:val="22"/>
        </w:rPr>
        <w:t xml:space="preserve"> 245</w:t>
      </w:r>
      <w:r w:rsidR="00212870">
        <w:rPr>
          <w:sz w:val="22"/>
          <w:szCs w:val="22"/>
        </w:rPr>
        <w:t> </w:t>
      </w:r>
      <w:r w:rsidRPr="008222A5">
        <w:rPr>
          <w:sz w:val="22"/>
          <w:szCs w:val="22"/>
        </w:rPr>
        <w:t>mg plėvele dengt</w:t>
      </w:r>
      <w:r w:rsidR="00C3343E">
        <w:rPr>
          <w:sz w:val="22"/>
          <w:szCs w:val="22"/>
        </w:rPr>
        <w:t>ų</w:t>
      </w:r>
      <w:r w:rsidRPr="008222A5">
        <w:rPr>
          <w:sz w:val="22"/>
          <w:szCs w:val="22"/>
        </w:rPr>
        <w:t xml:space="preserve"> table</w:t>
      </w:r>
      <w:r w:rsidR="00C3343E">
        <w:rPr>
          <w:sz w:val="22"/>
          <w:szCs w:val="22"/>
        </w:rPr>
        <w:t>čių</w:t>
      </w:r>
      <w:r w:rsidRPr="008222A5">
        <w:rPr>
          <w:sz w:val="22"/>
          <w:szCs w:val="22"/>
        </w:rPr>
        <w:t>. 245</w:t>
      </w:r>
      <w:r w:rsidR="00212870">
        <w:rPr>
          <w:sz w:val="22"/>
          <w:szCs w:val="22"/>
        </w:rPr>
        <w:t> </w:t>
      </w:r>
      <w:r w:rsidRPr="008222A5">
        <w:rPr>
          <w:sz w:val="22"/>
          <w:szCs w:val="22"/>
        </w:rPr>
        <w:t xml:space="preserve">mg tenofoviro dizoproksilio dozę galima </w:t>
      </w:r>
      <w:r w:rsidR="00C3343E">
        <w:rPr>
          <w:sz w:val="22"/>
          <w:szCs w:val="22"/>
        </w:rPr>
        <w:t>vartot</w:t>
      </w:r>
      <w:r w:rsidRPr="008222A5">
        <w:rPr>
          <w:sz w:val="22"/>
          <w:szCs w:val="22"/>
        </w:rPr>
        <w:t>i kas 48 valand</w:t>
      </w:r>
      <w:r w:rsidR="00D527DC">
        <w:rPr>
          <w:sz w:val="22"/>
          <w:szCs w:val="22"/>
        </w:rPr>
        <w:t>a</w:t>
      </w:r>
      <w:r w:rsidRPr="008222A5">
        <w:rPr>
          <w:sz w:val="22"/>
          <w:szCs w:val="22"/>
        </w:rPr>
        <w:t xml:space="preserve">s, remiantis vienkartinės dozės farmakokinetinių duomenų modeliavimu ŽIV neužkrėstiems ir HBV neinfekuotiems asmenims su įvairaus laipsnio inkstų funkcijos sutrikimu, įskaitant galutinės </w:t>
      </w:r>
      <w:r w:rsidR="00284893">
        <w:rPr>
          <w:sz w:val="22"/>
          <w:szCs w:val="22"/>
        </w:rPr>
        <w:t xml:space="preserve">stadijos </w:t>
      </w:r>
      <w:r w:rsidRPr="008222A5">
        <w:rPr>
          <w:sz w:val="22"/>
          <w:szCs w:val="22"/>
        </w:rPr>
        <w:t xml:space="preserve">inkstų </w:t>
      </w:r>
      <w:r w:rsidR="00284893">
        <w:rPr>
          <w:sz w:val="22"/>
          <w:szCs w:val="22"/>
        </w:rPr>
        <w:t>ligą</w:t>
      </w:r>
      <w:r w:rsidRPr="008222A5">
        <w:rPr>
          <w:sz w:val="22"/>
          <w:szCs w:val="22"/>
        </w:rPr>
        <w:t xml:space="preserve">, </w:t>
      </w:r>
      <w:r w:rsidR="00284893">
        <w:rPr>
          <w:sz w:val="22"/>
          <w:szCs w:val="22"/>
        </w:rPr>
        <w:t xml:space="preserve">kada reikalinga </w:t>
      </w:r>
      <w:r w:rsidRPr="008222A5">
        <w:rPr>
          <w:sz w:val="22"/>
          <w:szCs w:val="22"/>
        </w:rPr>
        <w:t>hemodializė, bet tai nėra patvirtinta klinikiniais tyrimais. Todėl tokiems pacientams reikia atidžiai stebėti klinikinį atsaką į gydymą ir inkstų funkciją (žr. 4.4 ir 5.2 skyri</w:t>
      </w:r>
      <w:r w:rsidR="00C3343E">
        <w:rPr>
          <w:sz w:val="22"/>
          <w:szCs w:val="22"/>
        </w:rPr>
        <w:t>us</w:t>
      </w:r>
      <w:r w:rsidRPr="008222A5">
        <w:rPr>
          <w:sz w:val="22"/>
          <w:szCs w:val="22"/>
        </w:rPr>
        <w:t>).</w:t>
      </w:r>
    </w:p>
    <w:p w14:paraId="78A3D34A" w14:textId="77777777" w:rsidR="00C3343E" w:rsidRDefault="00C3343E" w:rsidP="008222A5">
      <w:pPr>
        <w:pStyle w:val="Default"/>
        <w:rPr>
          <w:sz w:val="22"/>
          <w:szCs w:val="22"/>
        </w:rPr>
      </w:pPr>
    </w:p>
    <w:p w14:paraId="3FEDB252" w14:textId="77777777" w:rsidR="008222A5" w:rsidRPr="00C3343E" w:rsidRDefault="008222A5" w:rsidP="008222A5">
      <w:pPr>
        <w:pStyle w:val="Default"/>
        <w:rPr>
          <w:i/>
          <w:sz w:val="22"/>
          <w:szCs w:val="22"/>
        </w:rPr>
      </w:pPr>
      <w:r w:rsidRPr="00C3343E">
        <w:rPr>
          <w:i/>
          <w:sz w:val="22"/>
          <w:szCs w:val="22"/>
        </w:rPr>
        <w:t>Sunkus inkstų funkcijos sutrikimas (kreatinino klirensas &lt; 30</w:t>
      </w:r>
      <w:r w:rsidR="00212870">
        <w:rPr>
          <w:i/>
          <w:sz w:val="22"/>
          <w:szCs w:val="22"/>
        </w:rPr>
        <w:t> </w:t>
      </w:r>
      <w:r w:rsidRPr="00C3343E">
        <w:rPr>
          <w:i/>
          <w:sz w:val="22"/>
          <w:szCs w:val="22"/>
        </w:rPr>
        <w:t>ml/min.) ir hemodializuojami pacientai</w:t>
      </w:r>
    </w:p>
    <w:p w14:paraId="1CDED81F" w14:textId="2F9377F3" w:rsidR="008222A5" w:rsidRPr="008222A5" w:rsidRDefault="008222A5" w:rsidP="008222A5">
      <w:pPr>
        <w:pStyle w:val="Default"/>
        <w:rPr>
          <w:sz w:val="22"/>
          <w:szCs w:val="22"/>
        </w:rPr>
      </w:pPr>
      <w:r w:rsidRPr="008222A5">
        <w:rPr>
          <w:sz w:val="22"/>
          <w:szCs w:val="22"/>
        </w:rPr>
        <w:t>Pacientams, kurie negali vartoti</w:t>
      </w:r>
      <w:r w:rsidR="004472A1">
        <w:rPr>
          <w:sz w:val="22"/>
          <w:szCs w:val="22"/>
        </w:rPr>
        <w:t xml:space="preserve"> kitų formų</w:t>
      </w:r>
      <w:r w:rsidR="00550323">
        <w:rPr>
          <w:sz w:val="22"/>
          <w:szCs w:val="22"/>
        </w:rPr>
        <w:t>,</w:t>
      </w:r>
      <w:r w:rsidR="004472A1">
        <w:rPr>
          <w:sz w:val="22"/>
          <w:szCs w:val="22"/>
        </w:rPr>
        <w:t xml:space="preserve"> tokių kaip </w:t>
      </w:r>
      <w:r w:rsidR="00550323" w:rsidRPr="008222A5">
        <w:rPr>
          <w:sz w:val="22"/>
          <w:szCs w:val="22"/>
        </w:rPr>
        <w:t xml:space="preserve">tenofoviro dizoproksilio </w:t>
      </w:r>
      <w:r w:rsidRPr="008222A5">
        <w:rPr>
          <w:sz w:val="22"/>
          <w:szCs w:val="22"/>
        </w:rPr>
        <w:t>granul</w:t>
      </w:r>
      <w:r w:rsidR="004472A1">
        <w:rPr>
          <w:sz w:val="22"/>
          <w:szCs w:val="22"/>
        </w:rPr>
        <w:t>ės</w:t>
      </w:r>
      <w:r w:rsidR="000F6203">
        <w:rPr>
          <w:sz w:val="22"/>
          <w:szCs w:val="22"/>
        </w:rPr>
        <w:t>,</w:t>
      </w:r>
      <w:r w:rsidRPr="008222A5">
        <w:rPr>
          <w:sz w:val="22"/>
          <w:szCs w:val="22"/>
        </w:rPr>
        <w:t xml:space="preserve"> ir kuriems </w:t>
      </w:r>
      <w:r w:rsidR="00C3343E">
        <w:rPr>
          <w:sz w:val="22"/>
          <w:szCs w:val="22"/>
        </w:rPr>
        <w:t>alternatyvaus</w:t>
      </w:r>
      <w:r w:rsidRPr="008222A5">
        <w:rPr>
          <w:sz w:val="22"/>
          <w:szCs w:val="22"/>
        </w:rPr>
        <w:t xml:space="preserve"> gydymo nėra, gali būti </w:t>
      </w:r>
      <w:r w:rsidR="00C3343E">
        <w:rPr>
          <w:sz w:val="22"/>
          <w:szCs w:val="22"/>
        </w:rPr>
        <w:t>taikomas</w:t>
      </w:r>
      <w:r w:rsidRPr="008222A5">
        <w:rPr>
          <w:sz w:val="22"/>
          <w:szCs w:val="22"/>
        </w:rPr>
        <w:t xml:space="preserve"> toliau nurodyt</w:t>
      </w:r>
      <w:r w:rsidR="00C3343E">
        <w:rPr>
          <w:sz w:val="22"/>
          <w:szCs w:val="22"/>
        </w:rPr>
        <w:t>as</w:t>
      </w:r>
      <w:r w:rsidRPr="008222A5">
        <w:rPr>
          <w:sz w:val="22"/>
          <w:szCs w:val="22"/>
        </w:rPr>
        <w:t xml:space="preserve"> ilgesni</w:t>
      </w:r>
      <w:r w:rsidR="00C3343E">
        <w:rPr>
          <w:sz w:val="22"/>
          <w:szCs w:val="22"/>
        </w:rPr>
        <w:t>s</w:t>
      </w:r>
      <w:r w:rsidRPr="008222A5">
        <w:rPr>
          <w:sz w:val="22"/>
          <w:szCs w:val="22"/>
        </w:rPr>
        <w:t xml:space="preserve"> dozavimo interval</w:t>
      </w:r>
      <w:r w:rsidR="00C3343E">
        <w:rPr>
          <w:sz w:val="22"/>
          <w:szCs w:val="22"/>
        </w:rPr>
        <w:t>as vartojant</w:t>
      </w:r>
      <w:r w:rsidRPr="008222A5">
        <w:rPr>
          <w:sz w:val="22"/>
          <w:szCs w:val="22"/>
        </w:rPr>
        <w:t xml:space="preserve"> 245</w:t>
      </w:r>
      <w:r w:rsidR="00212870">
        <w:rPr>
          <w:sz w:val="22"/>
          <w:szCs w:val="22"/>
        </w:rPr>
        <w:t> </w:t>
      </w:r>
      <w:r w:rsidRPr="008222A5">
        <w:rPr>
          <w:sz w:val="22"/>
          <w:szCs w:val="22"/>
        </w:rPr>
        <w:t>mg plėvele dengt</w:t>
      </w:r>
      <w:r w:rsidR="00C3343E">
        <w:rPr>
          <w:sz w:val="22"/>
          <w:szCs w:val="22"/>
        </w:rPr>
        <w:t>ų</w:t>
      </w:r>
      <w:r w:rsidRPr="008222A5">
        <w:rPr>
          <w:sz w:val="22"/>
          <w:szCs w:val="22"/>
        </w:rPr>
        <w:t xml:space="preserve"> table</w:t>
      </w:r>
      <w:r w:rsidR="00C3343E">
        <w:rPr>
          <w:sz w:val="22"/>
          <w:szCs w:val="22"/>
        </w:rPr>
        <w:t>čių</w:t>
      </w:r>
      <w:r w:rsidRPr="008222A5">
        <w:rPr>
          <w:sz w:val="22"/>
          <w:szCs w:val="22"/>
        </w:rPr>
        <w:t>.</w:t>
      </w:r>
    </w:p>
    <w:p w14:paraId="2C15D90E" w14:textId="77777777" w:rsidR="00A529FD" w:rsidRDefault="00A529FD" w:rsidP="008222A5">
      <w:pPr>
        <w:pStyle w:val="Default"/>
        <w:rPr>
          <w:sz w:val="22"/>
          <w:szCs w:val="22"/>
        </w:rPr>
      </w:pPr>
    </w:p>
    <w:p w14:paraId="5D34C5FA" w14:textId="77777777" w:rsidR="008222A5" w:rsidRPr="008222A5" w:rsidRDefault="008222A5" w:rsidP="008222A5">
      <w:pPr>
        <w:pStyle w:val="Default"/>
        <w:rPr>
          <w:sz w:val="22"/>
          <w:szCs w:val="22"/>
        </w:rPr>
      </w:pPr>
      <w:r w:rsidRPr="008222A5">
        <w:rPr>
          <w:sz w:val="22"/>
          <w:szCs w:val="22"/>
        </w:rPr>
        <w:t>Sunkus inkstų funkcijos sutrikimas: 245</w:t>
      </w:r>
      <w:r w:rsidR="00212870">
        <w:rPr>
          <w:sz w:val="22"/>
          <w:szCs w:val="22"/>
        </w:rPr>
        <w:t> </w:t>
      </w:r>
      <w:r w:rsidRPr="008222A5">
        <w:rPr>
          <w:sz w:val="22"/>
          <w:szCs w:val="22"/>
        </w:rPr>
        <w:t>mg tenofoviro dizoproksilio galima skirti kas 72-96 valandas (du kartus per savaitę).</w:t>
      </w:r>
    </w:p>
    <w:p w14:paraId="4C9BE422" w14:textId="77777777" w:rsidR="00A529FD" w:rsidRDefault="00A529FD" w:rsidP="008222A5">
      <w:pPr>
        <w:pStyle w:val="Default"/>
        <w:rPr>
          <w:sz w:val="22"/>
          <w:szCs w:val="22"/>
        </w:rPr>
      </w:pPr>
    </w:p>
    <w:p w14:paraId="138BBDCD" w14:textId="77777777" w:rsidR="00612262" w:rsidRDefault="008222A5" w:rsidP="008222A5">
      <w:pPr>
        <w:pStyle w:val="Default"/>
        <w:rPr>
          <w:sz w:val="22"/>
          <w:szCs w:val="22"/>
        </w:rPr>
      </w:pPr>
      <w:r w:rsidRPr="008222A5">
        <w:rPr>
          <w:sz w:val="22"/>
          <w:szCs w:val="22"/>
        </w:rPr>
        <w:lastRenderedPageBreak/>
        <w:t>Hemodializuojami pacientai: 245</w:t>
      </w:r>
      <w:r w:rsidR="00212870">
        <w:rPr>
          <w:sz w:val="22"/>
          <w:szCs w:val="22"/>
        </w:rPr>
        <w:t> </w:t>
      </w:r>
      <w:r w:rsidRPr="008222A5">
        <w:rPr>
          <w:sz w:val="22"/>
          <w:szCs w:val="22"/>
        </w:rPr>
        <w:t>mg tenofoviro dizoproksilio gali</w:t>
      </w:r>
      <w:r w:rsidR="00A529FD">
        <w:rPr>
          <w:sz w:val="22"/>
          <w:szCs w:val="22"/>
        </w:rPr>
        <w:t xml:space="preserve"> būti vartojama</w:t>
      </w:r>
      <w:r w:rsidRPr="008222A5">
        <w:rPr>
          <w:sz w:val="22"/>
          <w:szCs w:val="22"/>
        </w:rPr>
        <w:t xml:space="preserve"> kas 7 </w:t>
      </w:r>
      <w:r w:rsidR="00CD59DD">
        <w:rPr>
          <w:sz w:val="22"/>
          <w:szCs w:val="22"/>
        </w:rPr>
        <w:t>par</w:t>
      </w:r>
      <w:r w:rsidR="00D527DC">
        <w:rPr>
          <w:sz w:val="22"/>
          <w:szCs w:val="22"/>
        </w:rPr>
        <w:t>a</w:t>
      </w:r>
      <w:r w:rsidR="00CD59DD">
        <w:rPr>
          <w:sz w:val="22"/>
          <w:szCs w:val="22"/>
        </w:rPr>
        <w:t>s</w:t>
      </w:r>
      <w:r w:rsidRPr="008222A5">
        <w:rPr>
          <w:sz w:val="22"/>
          <w:szCs w:val="22"/>
        </w:rPr>
        <w:t xml:space="preserve"> </w:t>
      </w:r>
      <w:r w:rsidR="00A529FD">
        <w:rPr>
          <w:sz w:val="22"/>
          <w:szCs w:val="22"/>
        </w:rPr>
        <w:t>po</w:t>
      </w:r>
      <w:r w:rsidRPr="008222A5">
        <w:rPr>
          <w:sz w:val="22"/>
          <w:szCs w:val="22"/>
        </w:rPr>
        <w:t xml:space="preserve"> hemodializės procedūr</w:t>
      </w:r>
      <w:r w:rsidR="00A529FD">
        <w:rPr>
          <w:sz w:val="22"/>
          <w:szCs w:val="22"/>
        </w:rPr>
        <w:t>os užbaigimo</w:t>
      </w:r>
      <w:r w:rsidRPr="008222A5">
        <w:rPr>
          <w:sz w:val="22"/>
          <w:szCs w:val="22"/>
        </w:rPr>
        <w:t>*.</w:t>
      </w:r>
    </w:p>
    <w:p w14:paraId="72FD25F4" w14:textId="77777777" w:rsidR="00612262" w:rsidRDefault="00612262" w:rsidP="007F3982">
      <w:pPr>
        <w:pStyle w:val="Default"/>
        <w:rPr>
          <w:sz w:val="22"/>
          <w:szCs w:val="22"/>
        </w:rPr>
      </w:pPr>
    </w:p>
    <w:p w14:paraId="74A60297" w14:textId="77777777" w:rsidR="00A529FD" w:rsidRPr="00A529FD" w:rsidRDefault="00A529FD" w:rsidP="00A529FD">
      <w:pPr>
        <w:pStyle w:val="Default"/>
        <w:rPr>
          <w:sz w:val="22"/>
          <w:szCs w:val="22"/>
        </w:rPr>
      </w:pPr>
      <w:r w:rsidRPr="00A529FD">
        <w:rPr>
          <w:sz w:val="22"/>
          <w:szCs w:val="22"/>
        </w:rPr>
        <w:t xml:space="preserve">Šie dozavimo intervalo koregavimai nėra patvirtinti klinikiniais tyrimais. Modeliavimas rodo, kad ilgesnis dozavimo intervalas </w:t>
      </w:r>
      <w:r>
        <w:rPr>
          <w:sz w:val="22"/>
          <w:szCs w:val="22"/>
        </w:rPr>
        <w:t xml:space="preserve">vartojant </w:t>
      </w:r>
      <w:r w:rsidRPr="00A529FD">
        <w:rPr>
          <w:sz w:val="22"/>
          <w:szCs w:val="22"/>
        </w:rPr>
        <w:t>Tenofovir disoproxil Sandoz 245</w:t>
      </w:r>
      <w:r w:rsidR="00212870">
        <w:rPr>
          <w:sz w:val="22"/>
          <w:szCs w:val="22"/>
        </w:rPr>
        <w:t> </w:t>
      </w:r>
      <w:r w:rsidRPr="00A529FD">
        <w:rPr>
          <w:sz w:val="22"/>
          <w:szCs w:val="22"/>
        </w:rPr>
        <w:t>mg plėvele dengt</w:t>
      </w:r>
      <w:r>
        <w:rPr>
          <w:sz w:val="22"/>
          <w:szCs w:val="22"/>
        </w:rPr>
        <w:t>ų</w:t>
      </w:r>
      <w:r w:rsidRPr="00A529FD">
        <w:rPr>
          <w:sz w:val="22"/>
          <w:szCs w:val="22"/>
        </w:rPr>
        <w:t xml:space="preserve"> table</w:t>
      </w:r>
      <w:r>
        <w:rPr>
          <w:sz w:val="22"/>
          <w:szCs w:val="22"/>
        </w:rPr>
        <w:t>čių</w:t>
      </w:r>
      <w:r w:rsidRPr="00A529FD">
        <w:rPr>
          <w:sz w:val="22"/>
          <w:szCs w:val="22"/>
        </w:rPr>
        <w:t xml:space="preserve"> nėra optimalus ir gali </w:t>
      </w:r>
      <w:r>
        <w:rPr>
          <w:sz w:val="22"/>
          <w:szCs w:val="22"/>
        </w:rPr>
        <w:t>sukelti didesnį</w:t>
      </w:r>
      <w:r w:rsidRPr="00A529FD">
        <w:rPr>
          <w:sz w:val="22"/>
          <w:szCs w:val="22"/>
        </w:rPr>
        <w:t xml:space="preserve"> toksinį poveikį bei </w:t>
      </w:r>
      <w:r>
        <w:rPr>
          <w:sz w:val="22"/>
          <w:szCs w:val="22"/>
        </w:rPr>
        <w:t>galbūt nepakankamą</w:t>
      </w:r>
      <w:r w:rsidRPr="00A529FD">
        <w:rPr>
          <w:sz w:val="22"/>
          <w:szCs w:val="22"/>
        </w:rPr>
        <w:t xml:space="preserve"> atsaką, todėl </w:t>
      </w:r>
      <w:r>
        <w:rPr>
          <w:sz w:val="22"/>
          <w:szCs w:val="22"/>
        </w:rPr>
        <w:t xml:space="preserve">turi būti </w:t>
      </w:r>
      <w:r w:rsidRPr="00A529FD">
        <w:rPr>
          <w:sz w:val="22"/>
          <w:szCs w:val="22"/>
        </w:rPr>
        <w:t>atidžiai steb</w:t>
      </w:r>
      <w:r>
        <w:rPr>
          <w:sz w:val="22"/>
          <w:szCs w:val="22"/>
        </w:rPr>
        <w:t>imas</w:t>
      </w:r>
      <w:r w:rsidRPr="00A529FD">
        <w:rPr>
          <w:sz w:val="22"/>
          <w:szCs w:val="22"/>
        </w:rPr>
        <w:t xml:space="preserve"> klinikin</w:t>
      </w:r>
      <w:r>
        <w:rPr>
          <w:sz w:val="22"/>
          <w:szCs w:val="22"/>
        </w:rPr>
        <w:t>is</w:t>
      </w:r>
      <w:r w:rsidRPr="00A529FD">
        <w:rPr>
          <w:sz w:val="22"/>
          <w:szCs w:val="22"/>
        </w:rPr>
        <w:t xml:space="preserve"> atsak</w:t>
      </w:r>
      <w:r>
        <w:rPr>
          <w:sz w:val="22"/>
          <w:szCs w:val="22"/>
        </w:rPr>
        <w:t>as</w:t>
      </w:r>
      <w:r w:rsidRPr="00A529FD">
        <w:rPr>
          <w:sz w:val="22"/>
          <w:szCs w:val="22"/>
        </w:rPr>
        <w:t xml:space="preserve"> į gydymą ir inkstų funkcij</w:t>
      </w:r>
      <w:r>
        <w:rPr>
          <w:sz w:val="22"/>
          <w:szCs w:val="22"/>
        </w:rPr>
        <w:t>a</w:t>
      </w:r>
      <w:r w:rsidRPr="00A529FD">
        <w:rPr>
          <w:sz w:val="22"/>
          <w:szCs w:val="22"/>
        </w:rPr>
        <w:t xml:space="preserve"> (žr. 4.4 ir 5.2 skyrius).</w:t>
      </w:r>
    </w:p>
    <w:p w14:paraId="1FBE4BED" w14:textId="77777777" w:rsidR="00A529FD" w:rsidRDefault="00A529FD" w:rsidP="00A529FD">
      <w:pPr>
        <w:pStyle w:val="Default"/>
        <w:rPr>
          <w:sz w:val="22"/>
          <w:szCs w:val="22"/>
        </w:rPr>
      </w:pPr>
    </w:p>
    <w:p w14:paraId="62737A51" w14:textId="5A9FA0FC" w:rsidR="00A529FD" w:rsidRPr="00A529FD" w:rsidRDefault="00A529FD" w:rsidP="00A529FD">
      <w:pPr>
        <w:pStyle w:val="Default"/>
        <w:rPr>
          <w:sz w:val="22"/>
          <w:szCs w:val="22"/>
        </w:rPr>
      </w:pPr>
      <w:r w:rsidRPr="00A529FD">
        <w:rPr>
          <w:sz w:val="22"/>
          <w:szCs w:val="22"/>
        </w:rPr>
        <w:t xml:space="preserve">* Paprastai </w:t>
      </w:r>
      <w:r>
        <w:rPr>
          <w:sz w:val="22"/>
          <w:szCs w:val="22"/>
        </w:rPr>
        <w:t>dozavimas</w:t>
      </w:r>
      <w:r w:rsidRPr="00A529FD">
        <w:rPr>
          <w:sz w:val="22"/>
          <w:szCs w:val="22"/>
        </w:rPr>
        <w:t xml:space="preserve"> vieną kartą per savaitę</w:t>
      </w:r>
      <w:r w:rsidR="000357DE">
        <w:rPr>
          <w:sz w:val="22"/>
          <w:szCs w:val="22"/>
        </w:rPr>
        <w:t xml:space="preserve"> taikomas</w:t>
      </w:r>
      <w:r w:rsidRPr="00A529FD">
        <w:rPr>
          <w:sz w:val="22"/>
          <w:szCs w:val="22"/>
        </w:rPr>
        <w:t xml:space="preserve">, </w:t>
      </w:r>
      <w:r w:rsidR="000357DE">
        <w:rPr>
          <w:sz w:val="22"/>
          <w:szCs w:val="22"/>
        </w:rPr>
        <w:t xml:space="preserve">kai būna trys </w:t>
      </w:r>
      <w:r w:rsidRPr="00A529FD">
        <w:rPr>
          <w:sz w:val="22"/>
          <w:szCs w:val="22"/>
        </w:rPr>
        <w:t>hemodializ</w:t>
      </w:r>
      <w:r w:rsidR="00AC275D">
        <w:rPr>
          <w:sz w:val="22"/>
          <w:szCs w:val="22"/>
        </w:rPr>
        <w:t>ės</w:t>
      </w:r>
      <w:r w:rsidRPr="00A529FD">
        <w:rPr>
          <w:sz w:val="22"/>
          <w:szCs w:val="22"/>
        </w:rPr>
        <w:t xml:space="preserve"> per savaitę, kurių kiekviena trunka vidutiniškai 4 valandas, arba po 12 valandų bendrojo hemodializės laiko.</w:t>
      </w:r>
    </w:p>
    <w:p w14:paraId="0328709D" w14:textId="77777777" w:rsidR="000357DE" w:rsidRDefault="000357DE" w:rsidP="00A529FD">
      <w:pPr>
        <w:pStyle w:val="Default"/>
        <w:rPr>
          <w:sz w:val="22"/>
          <w:szCs w:val="22"/>
        </w:rPr>
      </w:pPr>
    </w:p>
    <w:p w14:paraId="4174DBD3" w14:textId="77777777" w:rsidR="00A529FD" w:rsidRPr="00A529FD" w:rsidRDefault="000357DE" w:rsidP="00A529FD">
      <w:pPr>
        <w:pStyle w:val="Default"/>
        <w:rPr>
          <w:sz w:val="22"/>
          <w:szCs w:val="22"/>
        </w:rPr>
      </w:pPr>
      <w:r>
        <w:rPr>
          <w:sz w:val="22"/>
          <w:szCs w:val="22"/>
        </w:rPr>
        <w:t>D</w:t>
      </w:r>
      <w:r w:rsidR="00A529FD" w:rsidRPr="00A529FD">
        <w:rPr>
          <w:sz w:val="22"/>
          <w:szCs w:val="22"/>
        </w:rPr>
        <w:t>ozavimo rekomendacijų nehemodializuojamiems pacientams, kurių kreatinino klirensas &lt;</w:t>
      </w:r>
      <w:r w:rsidR="00212870">
        <w:rPr>
          <w:sz w:val="22"/>
          <w:szCs w:val="22"/>
        </w:rPr>
        <w:t> </w:t>
      </w:r>
      <w:r w:rsidR="00A529FD" w:rsidRPr="00A529FD">
        <w:rPr>
          <w:sz w:val="22"/>
          <w:szCs w:val="22"/>
        </w:rPr>
        <w:t>10</w:t>
      </w:r>
      <w:r w:rsidR="00212870">
        <w:rPr>
          <w:sz w:val="22"/>
          <w:szCs w:val="22"/>
        </w:rPr>
        <w:t> </w:t>
      </w:r>
      <w:r w:rsidR="00A529FD" w:rsidRPr="00A529FD">
        <w:rPr>
          <w:sz w:val="22"/>
          <w:szCs w:val="22"/>
        </w:rPr>
        <w:t>ml/min., negalima pateikti.</w:t>
      </w:r>
    </w:p>
    <w:p w14:paraId="3B220E9D" w14:textId="77777777" w:rsidR="000357DE" w:rsidRDefault="000357DE" w:rsidP="00A529FD">
      <w:pPr>
        <w:pStyle w:val="Default"/>
        <w:rPr>
          <w:sz w:val="22"/>
          <w:szCs w:val="22"/>
        </w:rPr>
      </w:pPr>
    </w:p>
    <w:p w14:paraId="2497692A" w14:textId="77777777" w:rsidR="000357DE" w:rsidRPr="000357DE" w:rsidRDefault="00A529FD" w:rsidP="00A529FD">
      <w:pPr>
        <w:pStyle w:val="Default"/>
        <w:rPr>
          <w:sz w:val="22"/>
          <w:szCs w:val="22"/>
          <w:u w:val="single"/>
        </w:rPr>
      </w:pPr>
      <w:r w:rsidRPr="000357DE">
        <w:rPr>
          <w:sz w:val="22"/>
          <w:szCs w:val="22"/>
          <w:u w:val="single"/>
        </w:rPr>
        <w:t>Vaik</w:t>
      </w:r>
      <w:r w:rsidR="000357DE">
        <w:rPr>
          <w:sz w:val="22"/>
          <w:szCs w:val="22"/>
          <w:u w:val="single"/>
        </w:rPr>
        <w:t>ų populiacija</w:t>
      </w:r>
    </w:p>
    <w:p w14:paraId="5FAA38B6" w14:textId="77777777" w:rsidR="00A529FD" w:rsidRPr="00A529FD" w:rsidRDefault="00A529FD" w:rsidP="00A529FD">
      <w:pPr>
        <w:pStyle w:val="Default"/>
        <w:rPr>
          <w:sz w:val="22"/>
          <w:szCs w:val="22"/>
        </w:rPr>
      </w:pPr>
      <w:r w:rsidRPr="00A529FD">
        <w:rPr>
          <w:sz w:val="22"/>
          <w:szCs w:val="22"/>
        </w:rPr>
        <w:t xml:space="preserve">Vaikams ir paaugliams, </w:t>
      </w:r>
      <w:r w:rsidR="000357DE">
        <w:rPr>
          <w:sz w:val="22"/>
          <w:szCs w:val="22"/>
        </w:rPr>
        <w:t>kurių</w:t>
      </w:r>
      <w:r w:rsidRPr="00A529FD">
        <w:rPr>
          <w:sz w:val="22"/>
          <w:szCs w:val="22"/>
        </w:rPr>
        <w:t xml:space="preserve"> inkstų funkcij</w:t>
      </w:r>
      <w:r w:rsidR="000357DE">
        <w:rPr>
          <w:sz w:val="22"/>
          <w:szCs w:val="22"/>
        </w:rPr>
        <w:t>a sutrikusi</w:t>
      </w:r>
      <w:r w:rsidRPr="00A529FD">
        <w:rPr>
          <w:sz w:val="22"/>
          <w:szCs w:val="22"/>
        </w:rPr>
        <w:t xml:space="preserve">, </w:t>
      </w:r>
      <w:r w:rsidR="000357DE">
        <w:rPr>
          <w:sz w:val="22"/>
          <w:szCs w:val="22"/>
        </w:rPr>
        <w:t>vartoti</w:t>
      </w:r>
      <w:r w:rsidRPr="00A529FD">
        <w:rPr>
          <w:sz w:val="22"/>
          <w:szCs w:val="22"/>
        </w:rPr>
        <w:t xml:space="preserve"> tenofoviro dizoproksilio nerekomenduojama (žr. 4.4 skyrių).</w:t>
      </w:r>
    </w:p>
    <w:p w14:paraId="204E90C2" w14:textId="77777777" w:rsidR="000357DE" w:rsidRDefault="000357DE" w:rsidP="00A529FD">
      <w:pPr>
        <w:pStyle w:val="Default"/>
        <w:rPr>
          <w:sz w:val="22"/>
          <w:szCs w:val="22"/>
        </w:rPr>
      </w:pPr>
    </w:p>
    <w:p w14:paraId="011438E0" w14:textId="77777777" w:rsidR="00A529FD" w:rsidRPr="000357DE" w:rsidRDefault="000357DE" w:rsidP="00A529FD">
      <w:pPr>
        <w:pStyle w:val="Default"/>
        <w:rPr>
          <w:i/>
          <w:sz w:val="22"/>
          <w:szCs w:val="22"/>
        </w:rPr>
      </w:pPr>
      <w:r w:rsidRPr="000357DE">
        <w:rPr>
          <w:i/>
          <w:sz w:val="22"/>
          <w:szCs w:val="22"/>
        </w:rPr>
        <w:t>Pacientams, kurių k</w:t>
      </w:r>
      <w:r w:rsidR="00A529FD" w:rsidRPr="000357DE">
        <w:rPr>
          <w:i/>
          <w:sz w:val="22"/>
          <w:szCs w:val="22"/>
        </w:rPr>
        <w:t>epenų funkcij</w:t>
      </w:r>
      <w:r w:rsidRPr="000357DE">
        <w:rPr>
          <w:i/>
          <w:sz w:val="22"/>
          <w:szCs w:val="22"/>
        </w:rPr>
        <w:t>a sutrikusi</w:t>
      </w:r>
    </w:p>
    <w:p w14:paraId="7FD6870B" w14:textId="77777777" w:rsidR="00A529FD" w:rsidRPr="00A529FD" w:rsidRDefault="000357DE" w:rsidP="00A529FD">
      <w:pPr>
        <w:pStyle w:val="Default"/>
        <w:rPr>
          <w:sz w:val="22"/>
          <w:szCs w:val="22"/>
        </w:rPr>
      </w:pPr>
      <w:r>
        <w:rPr>
          <w:sz w:val="22"/>
          <w:szCs w:val="22"/>
        </w:rPr>
        <w:t>Pacientams, kurių k</w:t>
      </w:r>
      <w:r w:rsidRPr="00A529FD">
        <w:rPr>
          <w:sz w:val="22"/>
          <w:szCs w:val="22"/>
        </w:rPr>
        <w:t>epenų funkcij</w:t>
      </w:r>
      <w:r>
        <w:rPr>
          <w:sz w:val="22"/>
          <w:szCs w:val="22"/>
        </w:rPr>
        <w:t>a sutrikusi</w:t>
      </w:r>
      <w:r w:rsidR="00A529FD" w:rsidRPr="00A529FD">
        <w:rPr>
          <w:sz w:val="22"/>
          <w:szCs w:val="22"/>
        </w:rPr>
        <w:t>, dozės koreguoti nereikia (žr. 4.4 ir 5.2 skyrius).</w:t>
      </w:r>
    </w:p>
    <w:p w14:paraId="6407AE80" w14:textId="77777777" w:rsidR="000357DE" w:rsidRDefault="000357DE" w:rsidP="00A529FD">
      <w:pPr>
        <w:pStyle w:val="Default"/>
        <w:rPr>
          <w:sz w:val="22"/>
          <w:szCs w:val="22"/>
        </w:rPr>
      </w:pPr>
    </w:p>
    <w:p w14:paraId="15BE5379" w14:textId="77777777" w:rsidR="00A529FD" w:rsidRPr="00A529FD" w:rsidRDefault="00A529FD" w:rsidP="00A529FD">
      <w:pPr>
        <w:pStyle w:val="Default"/>
        <w:rPr>
          <w:sz w:val="22"/>
          <w:szCs w:val="22"/>
        </w:rPr>
      </w:pPr>
      <w:r w:rsidRPr="00A529FD">
        <w:rPr>
          <w:sz w:val="22"/>
          <w:szCs w:val="22"/>
        </w:rPr>
        <w:t>Jei</w:t>
      </w:r>
      <w:r w:rsidR="000357DE">
        <w:rPr>
          <w:sz w:val="22"/>
          <w:szCs w:val="22"/>
        </w:rPr>
        <w:t>gu</w:t>
      </w:r>
      <w:r w:rsidRPr="00A529FD">
        <w:rPr>
          <w:sz w:val="22"/>
          <w:szCs w:val="22"/>
        </w:rPr>
        <w:t xml:space="preserve"> lėtiniu hepatitu B sergančių pacientų, infekuotų ar neinfekuotų ŽIV, gydymas </w:t>
      </w:r>
      <w:r w:rsidR="003A26AF" w:rsidRPr="003A26AF">
        <w:rPr>
          <w:sz w:val="22"/>
          <w:szCs w:val="22"/>
        </w:rPr>
        <w:t>Tenofovir disoproxil Sandoz</w:t>
      </w:r>
      <w:r w:rsidRPr="00A529FD">
        <w:rPr>
          <w:sz w:val="22"/>
          <w:szCs w:val="22"/>
        </w:rPr>
        <w:t xml:space="preserve"> nutraukiamas, šiuos pacientus reikia atidžiai stebėti dėl hepatito paūmėjimo</w:t>
      </w:r>
      <w:r w:rsidR="003A26AF">
        <w:rPr>
          <w:sz w:val="22"/>
          <w:szCs w:val="22"/>
        </w:rPr>
        <w:t xml:space="preserve"> požymių</w:t>
      </w:r>
      <w:r w:rsidRPr="00A529FD">
        <w:rPr>
          <w:sz w:val="22"/>
          <w:szCs w:val="22"/>
        </w:rPr>
        <w:t xml:space="preserve"> (žr. 4.4 skyrių).</w:t>
      </w:r>
    </w:p>
    <w:p w14:paraId="4194FCCF" w14:textId="77777777" w:rsidR="003A26AF" w:rsidRDefault="003A26AF" w:rsidP="00A529FD">
      <w:pPr>
        <w:pStyle w:val="Default"/>
        <w:rPr>
          <w:sz w:val="22"/>
          <w:szCs w:val="22"/>
        </w:rPr>
      </w:pPr>
    </w:p>
    <w:p w14:paraId="0BB35F5A" w14:textId="77777777" w:rsidR="00A529FD" w:rsidRPr="003A26AF" w:rsidRDefault="00A529FD" w:rsidP="00A529FD">
      <w:pPr>
        <w:pStyle w:val="Default"/>
        <w:rPr>
          <w:sz w:val="22"/>
          <w:szCs w:val="22"/>
          <w:u w:val="single"/>
        </w:rPr>
      </w:pPr>
      <w:r w:rsidRPr="003A26AF">
        <w:rPr>
          <w:sz w:val="22"/>
          <w:szCs w:val="22"/>
          <w:u w:val="single"/>
        </w:rPr>
        <w:t>Vartojimo metodas</w:t>
      </w:r>
    </w:p>
    <w:p w14:paraId="7B5DC47A" w14:textId="77777777" w:rsidR="00A529FD" w:rsidRPr="00A529FD" w:rsidRDefault="003A26AF" w:rsidP="00A529FD">
      <w:pPr>
        <w:pStyle w:val="Default"/>
        <w:rPr>
          <w:sz w:val="22"/>
          <w:szCs w:val="22"/>
        </w:rPr>
      </w:pPr>
      <w:r w:rsidRPr="003A26AF">
        <w:rPr>
          <w:sz w:val="22"/>
          <w:szCs w:val="22"/>
        </w:rPr>
        <w:t>Tenofovir disoproxil Sandoz</w:t>
      </w:r>
      <w:r w:rsidR="00A529FD" w:rsidRPr="00A529FD">
        <w:rPr>
          <w:sz w:val="22"/>
          <w:szCs w:val="22"/>
        </w:rPr>
        <w:t xml:space="preserve"> tabletės </w:t>
      </w:r>
      <w:r>
        <w:rPr>
          <w:sz w:val="22"/>
          <w:szCs w:val="22"/>
        </w:rPr>
        <w:t xml:space="preserve">turi būti vartojamos </w:t>
      </w:r>
      <w:r w:rsidRPr="00A529FD">
        <w:rPr>
          <w:sz w:val="22"/>
          <w:szCs w:val="22"/>
        </w:rPr>
        <w:t>kartą per parą</w:t>
      </w:r>
      <w:r>
        <w:rPr>
          <w:sz w:val="22"/>
          <w:szCs w:val="22"/>
        </w:rPr>
        <w:t>, per burną</w:t>
      </w:r>
      <w:r w:rsidR="00A529FD" w:rsidRPr="00A529FD">
        <w:rPr>
          <w:sz w:val="22"/>
          <w:szCs w:val="22"/>
        </w:rPr>
        <w:t xml:space="preserve"> su maistu.</w:t>
      </w:r>
    </w:p>
    <w:p w14:paraId="574772C8" w14:textId="77777777" w:rsidR="00923AE1" w:rsidRDefault="00923AE1" w:rsidP="00A529FD">
      <w:pPr>
        <w:pStyle w:val="Default"/>
        <w:rPr>
          <w:sz w:val="22"/>
          <w:szCs w:val="22"/>
        </w:rPr>
      </w:pPr>
    </w:p>
    <w:p w14:paraId="4A72130C" w14:textId="473AB814" w:rsidR="0000416B" w:rsidRDefault="00923AE1" w:rsidP="00A529FD">
      <w:pPr>
        <w:pStyle w:val="Default"/>
        <w:rPr>
          <w:sz w:val="22"/>
          <w:szCs w:val="22"/>
        </w:rPr>
      </w:pPr>
      <w:r>
        <w:rPr>
          <w:sz w:val="22"/>
          <w:szCs w:val="22"/>
        </w:rPr>
        <w:t>P</w:t>
      </w:r>
      <w:r w:rsidRPr="00A529FD">
        <w:rPr>
          <w:sz w:val="22"/>
          <w:szCs w:val="22"/>
        </w:rPr>
        <w:t xml:space="preserve">acientams, kuriems sunku </w:t>
      </w:r>
      <w:r>
        <w:rPr>
          <w:sz w:val="22"/>
          <w:szCs w:val="22"/>
        </w:rPr>
        <w:t>nu</w:t>
      </w:r>
      <w:r w:rsidRPr="00A529FD">
        <w:rPr>
          <w:sz w:val="22"/>
          <w:szCs w:val="22"/>
        </w:rPr>
        <w:t>ryti plėvele dengtas tabletes</w:t>
      </w:r>
      <w:r>
        <w:rPr>
          <w:sz w:val="22"/>
          <w:szCs w:val="22"/>
        </w:rPr>
        <w:t xml:space="preserve">, </w:t>
      </w:r>
      <w:r w:rsidR="00550323">
        <w:rPr>
          <w:sz w:val="22"/>
          <w:szCs w:val="22"/>
        </w:rPr>
        <w:t>gali būti tinkama</w:t>
      </w:r>
      <w:r w:rsidR="00550323" w:rsidRPr="00A529FD">
        <w:rPr>
          <w:sz w:val="22"/>
          <w:szCs w:val="22"/>
        </w:rPr>
        <w:t xml:space="preserve"> </w:t>
      </w:r>
      <w:r w:rsidR="00550323">
        <w:rPr>
          <w:sz w:val="22"/>
          <w:szCs w:val="22"/>
        </w:rPr>
        <w:t xml:space="preserve">tenofoviro dizoproksilio </w:t>
      </w:r>
      <w:r w:rsidR="00A529FD" w:rsidRPr="00A529FD">
        <w:rPr>
          <w:sz w:val="22"/>
          <w:szCs w:val="22"/>
        </w:rPr>
        <w:t xml:space="preserve">granulių </w:t>
      </w:r>
      <w:r w:rsidR="00550323">
        <w:rPr>
          <w:sz w:val="22"/>
          <w:szCs w:val="22"/>
        </w:rPr>
        <w:t xml:space="preserve">farmacinė </w:t>
      </w:r>
      <w:r w:rsidR="00A529FD" w:rsidRPr="00A529FD">
        <w:rPr>
          <w:sz w:val="22"/>
          <w:szCs w:val="22"/>
        </w:rPr>
        <w:t>for</w:t>
      </w:r>
      <w:r w:rsidR="000F6203">
        <w:rPr>
          <w:sz w:val="22"/>
          <w:szCs w:val="22"/>
        </w:rPr>
        <w:t>ma</w:t>
      </w:r>
      <w:r w:rsidR="00A529FD" w:rsidRPr="00A529FD">
        <w:rPr>
          <w:sz w:val="22"/>
          <w:szCs w:val="22"/>
        </w:rPr>
        <w:t xml:space="preserve">. </w:t>
      </w:r>
      <w:r w:rsidR="00AC275D" w:rsidRPr="00AC275D">
        <w:rPr>
          <w:sz w:val="22"/>
          <w:szCs w:val="22"/>
        </w:rPr>
        <w:t>Prašom</w:t>
      </w:r>
      <w:r w:rsidR="00C33019">
        <w:rPr>
          <w:sz w:val="22"/>
          <w:szCs w:val="22"/>
        </w:rPr>
        <w:t>e</w:t>
      </w:r>
      <w:r w:rsidR="00AC275D" w:rsidRPr="00AC275D">
        <w:rPr>
          <w:sz w:val="22"/>
          <w:szCs w:val="22"/>
        </w:rPr>
        <w:t xml:space="preserve"> remtis </w:t>
      </w:r>
      <w:r w:rsidR="0000416B">
        <w:rPr>
          <w:sz w:val="22"/>
          <w:szCs w:val="22"/>
        </w:rPr>
        <w:t>p</w:t>
      </w:r>
      <w:r w:rsidR="0000416B" w:rsidRPr="00AC275D">
        <w:rPr>
          <w:sz w:val="22"/>
          <w:szCs w:val="22"/>
        </w:rPr>
        <w:t>reparato charakteristikų santrauka</w:t>
      </w:r>
      <w:r w:rsidR="0000416B">
        <w:rPr>
          <w:sz w:val="22"/>
          <w:szCs w:val="22"/>
        </w:rPr>
        <w:t xml:space="preserve"> </w:t>
      </w:r>
      <w:r w:rsidR="00AC275D" w:rsidRPr="00AC275D">
        <w:rPr>
          <w:sz w:val="22"/>
          <w:szCs w:val="22"/>
        </w:rPr>
        <w:t>tinkam</w:t>
      </w:r>
      <w:r w:rsidR="003B55F4">
        <w:rPr>
          <w:sz w:val="22"/>
          <w:szCs w:val="22"/>
        </w:rPr>
        <w:t>os farmacinės formos</w:t>
      </w:r>
      <w:r w:rsidR="0000416B">
        <w:rPr>
          <w:sz w:val="22"/>
          <w:szCs w:val="22"/>
        </w:rPr>
        <w:t>.</w:t>
      </w:r>
    </w:p>
    <w:p w14:paraId="6B0B433D" w14:textId="7B5BF127" w:rsidR="00612262" w:rsidRDefault="00A529FD" w:rsidP="00A529FD">
      <w:pPr>
        <w:pStyle w:val="Default"/>
        <w:rPr>
          <w:sz w:val="22"/>
          <w:szCs w:val="22"/>
        </w:rPr>
      </w:pPr>
      <w:r w:rsidRPr="00A529FD">
        <w:rPr>
          <w:sz w:val="22"/>
          <w:szCs w:val="22"/>
        </w:rPr>
        <w:t xml:space="preserve">Tačiau išskirtiniais atvejais </w:t>
      </w:r>
      <w:r w:rsidR="003A26AF" w:rsidRPr="003A26AF">
        <w:rPr>
          <w:sz w:val="22"/>
          <w:szCs w:val="22"/>
        </w:rPr>
        <w:t>Tenofovir disoproxil Sandoz</w:t>
      </w:r>
      <w:r w:rsidRPr="00A529FD">
        <w:rPr>
          <w:sz w:val="22"/>
          <w:szCs w:val="22"/>
        </w:rPr>
        <w:t xml:space="preserve"> 245</w:t>
      </w:r>
      <w:r w:rsidR="00212870">
        <w:rPr>
          <w:sz w:val="22"/>
          <w:szCs w:val="22"/>
        </w:rPr>
        <w:t> </w:t>
      </w:r>
      <w:r w:rsidRPr="00A529FD">
        <w:rPr>
          <w:sz w:val="22"/>
          <w:szCs w:val="22"/>
        </w:rPr>
        <w:t>mg plėvele dengt</w:t>
      </w:r>
      <w:r w:rsidR="00923AE1">
        <w:rPr>
          <w:sz w:val="22"/>
          <w:szCs w:val="22"/>
        </w:rPr>
        <w:t>ų</w:t>
      </w:r>
      <w:r w:rsidRPr="00A529FD">
        <w:rPr>
          <w:sz w:val="22"/>
          <w:szCs w:val="22"/>
        </w:rPr>
        <w:t xml:space="preserve"> table</w:t>
      </w:r>
      <w:r w:rsidR="00923AE1">
        <w:rPr>
          <w:sz w:val="22"/>
          <w:szCs w:val="22"/>
        </w:rPr>
        <w:t>čių</w:t>
      </w:r>
      <w:r w:rsidRPr="00A529FD">
        <w:rPr>
          <w:sz w:val="22"/>
          <w:szCs w:val="22"/>
        </w:rPr>
        <w:t xml:space="preserve"> gali</w:t>
      </w:r>
      <w:r w:rsidR="00923AE1">
        <w:rPr>
          <w:sz w:val="22"/>
          <w:szCs w:val="22"/>
        </w:rPr>
        <w:t xml:space="preserve">ma vartoti </w:t>
      </w:r>
      <w:r w:rsidR="003A26AF">
        <w:rPr>
          <w:sz w:val="22"/>
          <w:szCs w:val="22"/>
        </w:rPr>
        <w:t>po tabletės su</w:t>
      </w:r>
      <w:r w:rsidR="00923AE1">
        <w:rPr>
          <w:sz w:val="22"/>
          <w:szCs w:val="22"/>
        </w:rPr>
        <w:t>skaidymo</w:t>
      </w:r>
      <w:r w:rsidRPr="00A529FD">
        <w:rPr>
          <w:sz w:val="22"/>
          <w:szCs w:val="22"/>
        </w:rPr>
        <w:t xml:space="preserve"> mažiausiai 100</w:t>
      </w:r>
      <w:r w:rsidR="00212870">
        <w:rPr>
          <w:sz w:val="22"/>
          <w:szCs w:val="22"/>
        </w:rPr>
        <w:t> </w:t>
      </w:r>
      <w:r w:rsidRPr="00A529FD">
        <w:rPr>
          <w:sz w:val="22"/>
          <w:szCs w:val="22"/>
        </w:rPr>
        <w:t>ml vande</w:t>
      </w:r>
      <w:r w:rsidR="00653D08">
        <w:rPr>
          <w:sz w:val="22"/>
          <w:szCs w:val="22"/>
        </w:rPr>
        <w:t xml:space="preserve">ns, apelsinų </w:t>
      </w:r>
      <w:r w:rsidR="00306657">
        <w:rPr>
          <w:sz w:val="22"/>
          <w:szCs w:val="22"/>
        </w:rPr>
        <w:t xml:space="preserve">sulčių </w:t>
      </w:r>
      <w:r w:rsidR="00653D08">
        <w:rPr>
          <w:sz w:val="22"/>
          <w:szCs w:val="22"/>
        </w:rPr>
        <w:t>ar vynuogių sulčių.</w:t>
      </w:r>
    </w:p>
    <w:p w14:paraId="2A1F5A2C" w14:textId="77777777" w:rsidR="002646BE" w:rsidRDefault="002646BE" w:rsidP="00C56BCF">
      <w:pPr>
        <w:tabs>
          <w:tab w:val="left" w:pos="567"/>
        </w:tabs>
        <w:rPr>
          <w:szCs w:val="22"/>
        </w:rPr>
      </w:pPr>
    </w:p>
    <w:p w14:paraId="0FD309C0" w14:textId="77777777" w:rsidR="006D2D23" w:rsidRPr="0046556E" w:rsidRDefault="006D2D23" w:rsidP="006D2D23">
      <w:pPr>
        <w:tabs>
          <w:tab w:val="left" w:pos="567"/>
        </w:tabs>
        <w:ind w:left="567" w:hanging="567"/>
        <w:rPr>
          <w:szCs w:val="22"/>
          <w:lang w:eastAsia="en-US"/>
        </w:rPr>
      </w:pPr>
      <w:r w:rsidRPr="0046556E">
        <w:rPr>
          <w:b/>
          <w:szCs w:val="22"/>
          <w:lang w:eastAsia="en-US"/>
        </w:rPr>
        <w:t>4.3</w:t>
      </w:r>
      <w:r w:rsidRPr="0046556E">
        <w:rPr>
          <w:b/>
          <w:szCs w:val="22"/>
          <w:lang w:eastAsia="en-US"/>
        </w:rPr>
        <w:tab/>
        <w:t>Kontraindikacijos</w:t>
      </w:r>
    </w:p>
    <w:p w14:paraId="2E29D455" w14:textId="77777777" w:rsidR="006D2D23" w:rsidRPr="0046556E" w:rsidRDefault="006D2D23" w:rsidP="006D2D23">
      <w:pPr>
        <w:tabs>
          <w:tab w:val="left" w:pos="567"/>
        </w:tabs>
        <w:rPr>
          <w:szCs w:val="22"/>
          <w:lang w:eastAsia="en-US"/>
        </w:rPr>
      </w:pPr>
    </w:p>
    <w:p w14:paraId="15C38298" w14:textId="77777777" w:rsidR="00AE42DB" w:rsidRDefault="00AE42DB" w:rsidP="00923AE1">
      <w:pPr>
        <w:pStyle w:val="Default"/>
        <w:rPr>
          <w:sz w:val="22"/>
          <w:szCs w:val="22"/>
        </w:rPr>
      </w:pPr>
      <w:r>
        <w:rPr>
          <w:sz w:val="22"/>
          <w:szCs w:val="22"/>
        </w:rPr>
        <w:t xml:space="preserve">Padidėjęs jautrumas veikliajai arba bet kuriai 6.1 skyriuje nurodytai pagalbinei medžiagai. </w:t>
      </w:r>
    </w:p>
    <w:p w14:paraId="0875C02A" w14:textId="77777777" w:rsidR="00923AE1" w:rsidRDefault="00923AE1" w:rsidP="006D2D23">
      <w:pPr>
        <w:tabs>
          <w:tab w:val="left" w:pos="567"/>
        </w:tabs>
        <w:ind w:left="567" w:hanging="567"/>
        <w:rPr>
          <w:b/>
          <w:szCs w:val="22"/>
          <w:lang w:eastAsia="en-US"/>
        </w:rPr>
      </w:pPr>
    </w:p>
    <w:p w14:paraId="2859AE8D" w14:textId="77777777" w:rsidR="006D2D23" w:rsidRPr="0046556E" w:rsidRDefault="006D2D23" w:rsidP="006D2D23">
      <w:pPr>
        <w:tabs>
          <w:tab w:val="left" w:pos="567"/>
        </w:tabs>
        <w:ind w:left="567" w:hanging="567"/>
        <w:rPr>
          <w:b/>
          <w:szCs w:val="22"/>
          <w:lang w:eastAsia="en-US"/>
        </w:rPr>
      </w:pPr>
      <w:r w:rsidRPr="0046556E">
        <w:rPr>
          <w:b/>
          <w:szCs w:val="22"/>
          <w:lang w:eastAsia="en-US"/>
        </w:rPr>
        <w:t>4.4</w:t>
      </w:r>
      <w:r w:rsidRPr="0046556E">
        <w:rPr>
          <w:b/>
          <w:szCs w:val="22"/>
          <w:lang w:eastAsia="en-US"/>
        </w:rPr>
        <w:tab/>
      </w:r>
      <w:r w:rsidRPr="0046556E">
        <w:rPr>
          <w:b/>
          <w:bCs/>
          <w:szCs w:val="22"/>
          <w:lang w:eastAsia="en-US"/>
        </w:rPr>
        <w:t>Specialūs įspėjimai ir atsargumo priemonės</w:t>
      </w:r>
    </w:p>
    <w:p w14:paraId="138A1FE8" w14:textId="77777777" w:rsidR="006D2D23" w:rsidRDefault="006D2D23" w:rsidP="006D2D23">
      <w:pPr>
        <w:tabs>
          <w:tab w:val="left" w:pos="567"/>
        </w:tabs>
        <w:ind w:left="567" w:hanging="567"/>
        <w:rPr>
          <w:szCs w:val="22"/>
          <w:lang w:eastAsia="en-US"/>
        </w:rPr>
      </w:pPr>
    </w:p>
    <w:p w14:paraId="34F6C21A" w14:textId="77777777" w:rsidR="00923AE1" w:rsidRPr="00923AE1" w:rsidRDefault="00923AE1" w:rsidP="00923AE1">
      <w:pPr>
        <w:tabs>
          <w:tab w:val="left" w:pos="567"/>
        </w:tabs>
        <w:ind w:left="567" w:hanging="567"/>
        <w:rPr>
          <w:szCs w:val="22"/>
          <w:u w:val="single"/>
          <w:lang w:eastAsia="en-US"/>
        </w:rPr>
      </w:pPr>
      <w:r w:rsidRPr="00923AE1">
        <w:rPr>
          <w:szCs w:val="22"/>
          <w:u w:val="single"/>
          <w:lang w:eastAsia="en-US"/>
        </w:rPr>
        <w:t>Bendri</w:t>
      </w:r>
    </w:p>
    <w:p w14:paraId="79812979" w14:textId="77777777" w:rsidR="00923AE1" w:rsidRPr="00923AE1" w:rsidRDefault="00923AE1" w:rsidP="00AE7204">
      <w:pPr>
        <w:tabs>
          <w:tab w:val="left" w:pos="0"/>
        </w:tabs>
        <w:rPr>
          <w:szCs w:val="22"/>
          <w:lang w:eastAsia="en-US"/>
        </w:rPr>
      </w:pPr>
      <w:r w:rsidRPr="00923AE1">
        <w:rPr>
          <w:szCs w:val="22"/>
          <w:lang w:eastAsia="en-US"/>
        </w:rPr>
        <w:t>Prieš pradedant</w:t>
      </w:r>
      <w:r w:rsidR="002F5C61">
        <w:rPr>
          <w:szCs w:val="22"/>
          <w:lang w:eastAsia="en-US"/>
        </w:rPr>
        <w:t xml:space="preserve"> gydymą tenofoviro dizoproksiliu</w:t>
      </w:r>
      <w:r w:rsidRPr="00923AE1">
        <w:rPr>
          <w:szCs w:val="22"/>
          <w:lang w:eastAsia="en-US"/>
        </w:rPr>
        <w:t xml:space="preserve">, visiems HBV infekuotiems pacientams turi būti pasiūlyta atlikti ŽIV antikūnų </w:t>
      </w:r>
      <w:r w:rsidR="00AE7204">
        <w:rPr>
          <w:szCs w:val="22"/>
          <w:lang w:eastAsia="en-US"/>
        </w:rPr>
        <w:t>tyrimą</w:t>
      </w:r>
      <w:r w:rsidRPr="00923AE1">
        <w:rPr>
          <w:szCs w:val="22"/>
          <w:lang w:eastAsia="en-US"/>
        </w:rPr>
        <w:t xml:space="preserve"> (žr. toliau </w:t>
      </w:r>
      <w:r w:rsidR="00AE7204" w:rsidRPr="00923AE1">
        <w:rPr>
          <w:szCs w:val="22"/>
          <w:lang w:eastAsia="en-US"/>
        </w:rPr>
        <w:t xml:space="preserve">koinfekcija </w:t>
      </w:r>
      <w:r w:rsidRPr="00923AE1">
        <w:rPr>
          <w:szCs w:val="22"/>
          <w:lang w:eastAsia="en-US"/>
        </w:rPr>
        <w:t>ŽIV-1 ir hepatito B virus</w:t>
      </w:r>
      <w:r w:rsidR="00AE7204">
        <w:rPr>
          <w:szCs w:val="22"/>
          <w:lang w:eastAsia="en-US"/>
        </w:rPr>
        <w:t>u</w:t>
      </w:r>
      <w:r w:rsidRPr="00923AE1">
        <w:rPr>
          <w:szCs w:val="22"/>
          <w:lang w:eastAsia="en-US"/>
        </w:rPr>
        <w:t>).</w:t>
      </w:r>
    </w:p>
    <w:p w14:paraId="6B20F27A" w14:textId="77777777" w:rsidR="00AE7204" w:rsidRDefault="00AE7204" w:rsidP="00923AE1">
      <w:pPr>
        <w:tabs>
          <w:tab w:val="left" w:pos="567"/>
        </w:tabs>
        <w:ind w:left="567" w:hanging="567"/>
        <w:rPr>
          <w:szCs w:val="22"/>
          <w:lang w:eastAsia="en-US"/>
        </w:rPr>
      </w:pPr>
    </w:p>
    <w:p w14:paraId="6A032555" w14:textId="77777777" w:rsidR="00923AE1" w:rsidRPr="00AE7204" w:rsidRDefault="00923AE1" w:rsidP="00923AE1">
      <w:pPr>
        <w:tabs>
          <w:tab w:val="left" w:pos="567"/>
        </w:tabs>
        <w:ind w:left="567" w:hanging="567"/>
        <w:rPr>
          <w:i/>
          <w:szCs w:val="22"/>
          <w:lang w:eastAsia="en-US"/>
        </w:rPr>
      </w:pPr>
      <w:r w:rsidRPr="00AE7204">
        <w:rPr>
          <w:i/>
          <w:szCs w:val="22"/>
          <w:lang w:eastAsia="en-US"/>
        </w:rPr>
        <w:t>ŽIV-1</w:t>
      </w:r>
    </w:p>
    <w:p w14:paraId="15BC2731" w14:textId="77777777" w:rsidR="00923AE1" w:rsidRPr="00923AE1" w:rsidRDefault="00923AE1" w:rsidP="00AE7204">
      <w:pPr>
        <w:rPr>
          <w:szCs w:val="22"/>
          <w:lang w:eastAsia="en-US"/>
        </w:rPr>
      </w:pPr>
      <w:r w:rsidRPr="00923AE1">
        <w:rPr>
          <w:szCs w:val="22"/>
          <w:lang w:eastAsia="en-US"/>
        </w:rPr>
        <w:t>Nors įrodytas antiretrovirusinio gydymo virusų slopinimo veiksmingumas reikšmingai sumažinant kitų asmenų užkrėtimo virusais lytiniu keliu riziką, liekamosios rizikos paneigti negalima. Kad būtų išvengta kitų asmenų užkrėtimo virusais, reikia laikytis atsargumo priemonių pagal nacionalines rekomendacijas.</w:t>
      </w:r>
    </w:p>
    <w:p w14:paraId="6E383932" w14:textId="77777777" w:rsidR="00AE7204" w:rsidRDefault="00AE7204" w:rsidP="00923AE1">
      <w:pPr>
        <w:tabs>
          <w:tab w:val="left" w:pos="567"/>
        </w:tabs>
        <w:ind w:left="567" w:hanging="567"/>
        <w:rPr>
          <w:szCs w:val="22"/>
          <w:lang w:eastAsia="en-US"/>
        </w:rPr>
      </w:pPr>
    </w:p>
    <w:p w14:paraId="7DF72E6B" w14:textId="592088CC" w:rsidR="00923AE1" w:rsidRPr="00AE7204" w:rsidRDefault="00306657" w:rsidP="00923AE1">
      <w:pPr>
        <w:tabs>
          <w:tab w:val="left" w:pos="567"/>
        </w:tabs>
        <w:ind w:left="567" w:hanging="567"/>
        <w:rPr>
          <w:i/>
          <w:szCs w:val="22"/>
          <w:lang w:eastAsia="en-US"/>
        </w:rPr>
      </w:pPr>
      <w:r>
        <w:rPr>
          <w:i/>
          <w:szCs w:val="22"/>
          <w:lang w:eastAsia="en-US"/>
        </w:rPr>
        <w:t>H</w:t>
      </w:r>
      <w:r w:rsidR="00923AE1" w:rsidRPr="00AE7204">
        <w:rPr>
          <w:i/>
          <w:szCs w:val="22"/>
          <w:lang w:eastAsia="en-US"/>
        </w:rPr>
        <w:t>epatitas B</w:t>
      </w:r>
    </w:p>
    <w:p w14:paraId="0EBCB76F" w14:textId="77777777" w:rsidR="00923AE1" w:rsidRPr="00923AE1" w:rsidRDefault="00923AE1" w:rsidP="00AE7204">
      <w:pPr>
        <w:tabs>
          <w:tab w:val="left" w:pos="0"/>
        </w:tabs>
        <w:rPr>
          <w:szCs w:val="22"/>
          <w:lang w:eastAsia="en-US"/>
        </w:rPr>
      </w:pPr>
      <w:r w:rsidRPr="00923AE1">
        <w:rPr>
          <w:szCs w:val="22"/>
          <w:lang w:eastAsia="en-US"/>
        </w:rPr>
        <w:t>Pacient</w:t>
      </w:r>
      <w:r w:rsidR="00AE7204">
        <w:rPr>
          <w:szCs w:val="22"/>
          <w:lang w:eastAsia="en-US"/>
        </w:rPr>
        <w:t>ai turi būti</w:t>
      </w:r>
      <w:r w:rsidRPr="00923AE1">
        <w:rPr>
          <w:szCs w:val="22"/>
          <w:lang w:eastAsia="en-US"/>
        </w:rPr>
        <w:t xml:space="preserve"> informuoti, kad </w:t>
      </w:r>
      <w:r w:rsidR="00AE7204">
        <w:rPr>
          <w:szCs w:val="22"/>
          <w:lang w:eastAsia="en-US"/>
        </w:rPr>
        <w:t>nepatvirtinta, jog</w:t>
      </w:r>
      <w:r w:rsidR="002F5C61">
        <w:rPr>
          <w:szCs w:val="22"/>
          <w:lang w:eastAsia="en-US"/>
        </w:rPr>
        <w:t xml:space="preserve"> tenofoviro dizoproksilis</w:t>
      </w:r>
      <w:r w:rsidRPr="00923AE1">
        <w:rPr>
          <w:szCs w:val="22"/>
          <w:lang w:eastAsia="en-US"/>
        </w:rPr>
        <w:t xml:space="preserve"> </w:t>
      </w:r>
      <w:r w:rsidR="00AE7204">
        <w:rPr>
          <w:szCs w:val="22"/>
          <w:lang w:eastAsia="en-US"/>
        </w:rPr>
        <w:t xml:space="preserve">užkerta kelią rizikai </w:t>
      </w:r>
      <w:r w:rsidRPr="00923AE1">
        <w:rPr>
          <w:szCs w:val="22"/>
          <w:lang w:eastAsia="en-US"/>
        </w:rPr>
        <w:t xml:space="preserve">perduoti HBV kitiems asmenims lytiniu būdu ar per kraują. </w:t>
      </w:r>
      <w:r w:rsidR="00C7043A">
        <w:rPr>
          <w:szCs w:val="22"/>
          <w:lang w:eastAsia="en-US"/>
        </w:rPr>
        <w:t>Turi būti</w:t>
      </w:r>
      <w:r w:rsidRPr="00923AE1">
        <w:rPr>
          <w:szCs w:val="22"/>
          <w:lang w:eastAsia="en-US"/>
        </w:rPr>
        <w:t xml:space="preserve"> </w:t>
      </w:r>
      <w:r w:rsidR="00C7043A">
        <w:rPr>
          <w:szCs w:val="22"/>
          <w:lang w:eastAsia="en-US"/>
        </w:rPr>
        <w:t>tęsiamas tinkamų atsargumo priemonių taikymas</w:t>
      </w:r>
      <w:r w:rsidRPr="00923AE1">
        <w:rPr>
          <w:szCs w:val="22"/>
          <w:lang w:eastAsia="en-US"/>
        </w:rPr>
        <w:t>.</w:t>
      </w:r>
    </w:p>
    <w:p w14:paraId="78D5DAD6" w14:textId="77777777" w:rsidR="00C7043A" w:rsidRDefault="00C7043A" w:rsidP="00923AE1">
      <w:pPr>
        <w:tabs>
          <w:tab w:val="left" w:pos="567"/>
        </w:tabs>
        <w:ind w:left="567" w:hanging="567"/>
        <w:rPr>
          <w:szCs w:val="22"/>
          <w:lang w:eastAsia="en-US"/>
        </w:rPr>
      </w:pPr>
    </w:p>
    <w:p w14:paraId="3F3948D1" w14:textId="77777777" w:rsidR="00923AE1" w:rsidRPr="00C7043A" w:rsidRDefault="00923AE1" w:rsidP="00923AE1">
      <w:pPr>
        <w:tabs>
          <w:tab w:val="left" w:pos="567"/>
        </w:tabs>
        <w:ind w:left="567" w:hanging="567"/>
        <w:rPr>
          <w:szCs w:val="22"/>
          <w:u w:val="single"/>
          <w:lang w:eastAsia="en-US"/>
        </w:rPr>
      </w:pPr>
      <w:r w:rsidRPr="00C7043A">
        <w:rPr>
          <w:szCs w:val="22"/>
          <w:u w:val="single"/>
          <w:lang w:eastAsia="en-US"/>
        </w:rPr>
        <w:t>Kitų vaistinių preparatų vartojimas</w:t>
      </w:r>
    </w:p>
    <w:p w14:paraId="13AB442F" w14:textId="77777777" w:rsidR="00923AE1" w:rsidRDefault="00C7043A" w:rsidP="00C7043A">
      <w:pPr>
        <w:numPr>
          <w:ilvl w:val="0"/>
          <w:numId w:val="16"/>
        </w:numPr>
        <w:tabs>
          <w:tab w:val="left" w:pos="567"/>
        </w:tabs>
        <w:ind w:left="567" w:hanging="567"/>
        <w:rPr>
          <w:szCs w:val="22"/>
          <w:lang w:eastAsia="en-US"/>
        </w:rPr>
      </w:pPr>
      <w:r w:rsidRPr="003A26AF">
        <w:rPr>
          <w:szCs w:val="22"/>
        </w:rPr>
        <w:lastRenderedPageBreak/>
        <w:t>Tenofovir disoproxil Sandoz</w:t>
      </w:r>
      <w:r w:rsidR="00923AE1" w:rsidRPr="00923AE1">
        <w:rPr>
          <w:szCs w:val="22"/>
          <w:lang w:eastAsia="en-US"/>
        </w:rPr>
        <w:t xml:space="preserve"> negalima </w:t>
      </w:r>
      <w:r>
        <w:rPr>
          <w:szCs w:val="22"/>
          <w:lang w:eastAsia="en-US"/>
        </w:rPr>
        <w:t>vartoti</w:t>
      </w:r>
      <w:r w:rsidR="00923AE1" w:rsidRPr="00923AE1">
        <w:rPr>
          <w:szCs w:val="22"/>
          <w:lang w:eastAsia="en-US"/>
        </w:rPr>
        <w:t xml:space="preserve"> kartu su kitais vaistiniais preparatais, kuriuose yra tenofoviro dizoproksilio.</w:t>
      </w:r>
    </w:p>
    <w:p w14:paraId="2C6372C7" w14:textId="77777777" w:rsidR="00923AE1" w:rsidRPr="00923AE1" w:rsidRDefault="00C7043A" w:rsidP="00C7043A">
      <w:pPr>
        <w:numPr>
          <w:ilvl w:val="0"/>
          <w:numId w:val="16"/>
        </w:numPr>
        <w:tabs>
          <w:tab w:val="left" w:pos="567"/>
        </w:tabs>
        <w:ind w:left="567" w:hanging="567"/>
        <w:rPr>
          <w:szCs w:val="22"/>
          <w:lang w:eastAsia="en-US"/>
        </w:rPr>
      </w:pPr>
      <w:r w:rsidRPr="003A26AF">
        <w:rPr>
          <w:szCs w:val="22"/>
        </w:rPr>
        <w:t>Tenofovir disoproxil Sandoz</w:t>
      </w:r>
      <w:r w:rsidR="00923AE1" w:rsidRPr="00923AE1">
        <w:rPr>
          <w:szCs w:val="22"/>
          <w:lang w:eastAsia="en-US"/>
        </w:rPr>
        <w:t xml:space="preserve"> negalima </w:t>
      </w:r>
      <w:r>
        <w:rPr>
          <w:szCs w:val="22"/>
          <w:lang w:eastAsia="en-US"/>
        </w:rPr>
        <w:t>vartoti</w:t>
      </w:r>
      <w:r w:rsidR="00923AE1" w:rsidRPr="00923AE1">
        <w:rPr>
          <w:szCs w:val="22"/>
          <w:lang w:eastAsia="en-US"/>
        </w:rPr>
        <w:t xml:space="preserve"> kartu su adefoviro dipivoksiliu.</w:t>
      </w:r>
    </w:p>
    <w:p w14:paraId="7E36FC81" w14:textId="77777777" w:rsidR="00923AE1" w:rsidRPr="00C7043A" w:rsidRDefault="00923AE1" w:rsidP="00923AE1">
      <w:pPr>
        <w:numPr>
          <w:ilvl w:val="0"/>
          <w:numId w:val="16"/>
        </w:numPr>
        <w:tabs>
          <w:tab w:val="left" w:pos="567"/>
        </w:tabs>
        <w:ind w:left="567" w:hanging="567"/>
        <w:rPr>
          <w:szCs w:val="22"/>
          <w:lang w:eastAsia="en-US"/>
        </w:rPr>
      </w:pPr>
      <w:r w:rsidRPr="00C7043A">
        <w:rPr>
          <w:szCs w:val="22"/>
          <w:lang w:eastAsia="en-US"/>
        </w:rPr>
        <w:t>Tenofoviro dizoproksilio ir didanozino vartojimas kartu nerekomenduojamas. Kartu vartojant tenofoviro dizoproksilio ir didanozino, 40-60</w:t>
      </w:r>
      <w:r w:rsidR="00002A9E">
        <w:rPr>
          <w:szCs w:val="22"/>
          <w:lang w:eastAsia="en-US"/>
        </w:rPr>
        <w:t> </w:t>
      </w:r>
      <w:r w:rsidRPr="00C7043A">
        <w:rPr>
          <w:szCs w:val="22"/>
          <w:lang w:eastAsia="en-US"/>
        </w:rPr>
        <w:t xml:space="preserve">% padidėja sisteminė didanozino ekspozicija, tai gali padidinti su didanozino vartojimu susijusių nepageidaujamų reakcijų riziką (žr. 4.5 skyrių). Retai buvo pranešimų apie pankreatito ir </w:t>
      </w:r>
      <w:r w:rsidR="00C7043A" w:rsidRPr="00C7043A">
        <w:rPr>
          <w:szCs w:val="22"/>
          <w:lang w:eastAsia="en-US"/>
        </w:rPr>
        <w:t>pieno rūgšties acidozės</w:t>
      </w:r>
      <w:r w:rsidRPr="00C7043A">
        <w:rPr>
          <w:szCs w:val="22"/>
          <w:lang w:eastAsia="en-US"/>
        </w:rPr>
        <w:t xml:space="preserve"> atvejus,</w:t>
      </w:r>
      <w:r w:rsidR="00C7043A">
        <w:rPr>
          <w:szCs w:val="22"/>
          <w:lang w:eastAsia="en-US"/>
        </w:rPr>
        <w:t xml:space="preserve"> </w:t>
      </w:r>
      <w:r w:rsidRPr="00C7043A">
        <w:rPr>
          <w:szCs w:val="22"/>
          <w:lang w:eastAsia="en-US"/>
        </w:rPr>
        <w:t xml:space="preserve">iš kurių keli buvo mirtini. </w:t>
      </w:r>
      <w:r w:rsidR="00C7043A">
        <w:rPr>
          <w:szCs w:val="22"/>
          <w:lang w:eastAsia="en-US"/>
        </w:rPr>
        <w:t>T</w:t>
      </w:r>
      <w:r w:rsidRPr="00C7043A">
        <w:rPr>
          <w:szCs w:val="22"/>
          <w:lang w:eastAsia="en-US"/>
        </w:rPr>
        <w:t xml:space="preserve">enofoviro dizoproksilio </w:t>
      </w:r>
      <w:r w:rsidR="00C7043A">
        <w:rPr>
          <w:szCs w:val="22"/>
          <w:lang w:eastAsia="en-US"/>
        </w:rPr>
        <w:t>vartojimas kartu su kasdien vartojama</w:t>
      </w:r>
      <w:r w:rsidR="00EF4C22">
        <w:rPr>
          <w:szCs w:val="22"/>
          <w:lang w:eastAsia="en-US"/>
        </w:rPr>
        <w:t xml:space="preserve"> </w:t>
      </w:r>
      <w:r w:rsidRPr="00C7043A">
        <w:rPr>
          <w:szCs w:val="22"/>
          <w:lang w:eastAsia="en-US"/>
        </w:rPr>
        <w:t>400</w:t>
      </w:r>
      <w:r w:rsidR="00002A9E">
        <w:rPr>
          <w:szCs w:val="22"/>
          <w:lang w:eastAsia="en-US"/>
        </w:rPr>
        <w:t> </w:t>
      </w:r>
      <w:r w:rsidRPr="00C7043A">
        <w:rPr>
          <w:szCs w:val="22"/>
          <w:lang w:eastAsia="en-US"/>
        </w:rPr>
        <w:t>mg didanozino doz</w:t>
      </w:r>
      <w:r w:rsidR="00C7043A">
        <w:rPr>
          <w:szCs w:val="22"/>
          <w:lang w:eastAsia="en-US"/>
        </w:rPr>
        <w:t>e</w:t>
      </w:r>
      <w:r w:rsidRPr="00C7043A">
        <w:rPr>
          <w:szCs w:val="22"/>
          <w:lang w:eastAsia="en-US"/>
        </w:rPr>
        <w:t xml:space="preserve"> buvo </w:t>
      </w:r>
      <w:r w:rsidR="00C7043A">
        <w:rPr>
          <w:szCs w:val="22"/>
          <w:lang w:eastAsia="en-US"/>
        </w:rPr>
        <w:t>susijęs su</w:t>
      </w:r>
      <w:r w:rsidRPr="00C7043A">
        <w:rPr>
          <w:szCs w:val="22"/>
          <w:lang w:eastAsia="en-US"/>
        </w:rPr>
        <w:t xml:space="preserve"> reikšming</w:t>
      </w:r>
      <w:r w:rsidR="00C7043A">
        <w:rPr>
          <w:szCs w:val="22"/>
          <w:lang w:eastAsia="en-US"/>
        </w:rPr>
        <w:t>u</w:t>
      </w:r>
      <w:r w:rsidRPr="00C7043A">
        <w:rPr>
          <w:szCs w:val="22"/>
          <w:lang w:eastAsia="en-US"/>
        </w:rPr>
        <w:t xml:space="preserve"> CD4 ląstelių kiekio sumažėjim</w:t>
      </w:r>
      <w:r w:rsidR="00C7043A">
        <w:rPr>
          <w:szCs w:val="22"/>
          <w:lang w:eastAsia="en-US"/>
        </w:rPr>
        <w:t>u</w:t>
      </w:r>
      <w:r w:rsidRPr="00C7043A">
        <w:rPr>
          <w:szCs w:val="22"/>
          <w:lang w:eastAsia="en-US"/>
        </w:rPr>
        <w:t>, galimai dėl intral</w:t>
      </w:r>
      <w:r w:rsidR="00EF4C22">
        <w:rPr>
          <w:szCs w:val="22"/>
          <w:lang w:eastAsia="en-US"/>
        </w:rPr>
        <w:t>ą</w:t>
      </w:r>
      <w:r w:rsidRPr="00C7043A">
        <w:rPr>
          <w:szCs w:val="22"/>
          <w:lang w:eastAsia="en-US"/>
        </w:rPr>
        <w:t xml:space="preserve">stelinės sąveikos, </w:t>
      </w:r>
      <w:r w:rsidR="002416F6">
        <w:rPr>
          <w:szCs w:val="22"/>
          <w:lang w:eastAsia="en-US"/>
        </w:rPr>
        <w:t>didinančios</w:t>
      </w:r>
      <w:r w:rsidRPr="00C7043A">
        <w:rPr>
          <w:szCs w:val="22"/>
          <w:lang w:eastAsia="en-US"/>
        </w:rPr>
        <w:t xml:space="preserve"> fosforilinto (t.y. aktyvaus) didanozino kiek</w:t>
      </w:r>
      <w:r w:rsidR="002416F6">
        <w:rPr>
          <w:szCs w:val="22"/>
          <w:lang w:eastAsia="en-US"/>
        </w:rPr>
        <w:t>į</w:t>
      </w:r>
      <w:r w:rsidRPr="00C7043A">
        <w:rPr>
          <w:szCs w:val="22"/>
          <w:lang w:eastAsia="en-US"/>
        </w:rPr>
        <w:t xml:space="preserve">. </w:t>
      </w:r>
      <w:r w:rsidR="002416F6">
        <w:rPr>
          <w:szCs w:val="22"/>
          <w:lang w:eastAsia="en-US"/>
        </w:rPr>
        <w:t>Sumažintos</w:t>
      </w:r>
      <w:r w:rsidRPr="00C7043A">
        <w:rPr>
          <w:szCs w:val="22"/>
          <w:lang w:eastAsia="en-US"/>
        </w:rPr>
        <w:t xml:space="preserve"> iki 250</w:t>
      </w:r>
      <w:r w:rsidR="00002A9E">
        <w:rPr>
          <w:szCs w:val="22"/>
          <w:lang w:eastAsia="en-US"/>
        </w:rPr>
        <w:t> </w:t>
      </w:r>
      <w:r w:rsidRPr="00C7043A">
        <w:rPr>
          <w:szCs w:val="22"/>
          <w:lang w:eastAsia="en-US"/>
        </w:rPr>
        <w:t>mg didanozino doz</w:t>
      </w:r>
      <w:r w:rsidR="002416F6">
        <w:rPr>
          <w:szCs w:val="22"/>
          <w:lang w:eastAsia="en-US"/>
        </w:rPr>
        <w:t>ės vartojimas</w:t>
      </w:r>
      <w:r w:rsidRPr="00C7043A">
        <w:rPr>
          <w:szCs w:val="22"/>
          <w:lang w:eastAsia="en-US"/>
        </w:rPr>
        <w:t xml:space="preserve"> k</w:t>
      </w:r>
      <w:r w:rsidR="002F5C61">
        <w:rPr>
          <w:szCs w:val="22"/>
          <w:lang w:eastAsia="en-US"/>
        </w:rPr>
        <w:t xml:space="preserve">artu su tenofoviro dizoproksiliu </w:t>
      </w:r>
      <w:r w:rsidRPr="00C7043A">
        <w:rPr>
          <w:szCs w:val="22"/>
          <w:lang w:eastAsia="en-US"/>
        </w:rPr>
        <w:t xml:space="preserve">keliuose bandytuose ŽIV-1 infekcijos gydymo deriniuose, buvo </w:t>
      </w:r>
      <w:r w:rsidR="002416F6">
        <w:rPr>
          <w:szCs w:val="22"/>
          <w:lang w:eastAsia="en-US"/>
        </w:rPr>
        <w:t xml:space="preserve">susijęs pranešimais apie didelius virusologinio nepakankamumo dažnius. </w:t>
      </w:r>
    </w:p>
    <w:p w14:paraId="1E81D441" w14:textId="77777777" w:rsidR="002416F6" w:rsidRDefault="002416F6" w:rsidP="00923AE1">
      <w:pPr>
        <w:tabs>
          <w:tab w:val="left" w:pos="567"/>
        </w:tabs>
        <w:ind w:left="567" w:hanging="567"/>
        <w:rPr>
          <w:szCs w:val="22"/>
          <w:lang w:eastAsia="en-US"/>
        </w:rPr>
      </w:pPr>
    </w:p>
    <w:p w14:paraId="75B890F6" w14:textId="77777777" w:rsidR="00923AE1" w:rsidRPr="00B50FDB" w:rsidRDefault="00923AE1" w:rsidP="00923AE1">
      <w:pPr>
        <w:tabs>
          <w:tab w:val="left" w:pos="567"/>
        </w:tabs>
        <w:ind w:left="567" w:hanging="567"/>
        <w:rPr>
          <w:szCs w:val="22"/>
          <w:u w:val="single"/>
          <w:lang w:eastAsia="en-US"/>
        </w:rPr>
      </w:pPr>
      <w:r w:rsidRPr="00B50FDB">
        <w:rPr>
          <w:szCs w:val="22"/>
          <w:u w:val="single"/>
          <w:lang w:eastAsia="en-US"/>
        </w:rPr>
        <w:t>Gydymas trimis nukleozidais ir (arba) nukleotidais</w:t>
      </w:r>
    </w:p>
    <w:p w14:paraId="449E14EB" w14:textId="77777777" w:rsidR="00923AE1" w:rsidRPr="00923AE1" w:rsidRDefault="00923AE1" w:rsidP="00B50FDB">
      <w:pPr>
        <w:tabs>
          <w:tab w:val="left" w:pos="0"/>
        </w:tabs>
        <w:rPr>
          <w:szCs w:val="22"/>
          <w:lang w:eastAsia="en-US"/>
        </w:rPr>
      </w:pPr>
      <w:r w:rsidRPr="00B50FDB">
        <w:rPr>
          <w:szCs w:val="22"/>
          <w:lang w:eastAsia="en-US"/>
        </w:rPr>
        <w:t xml:space="preserve">Gauta pranešimų apie </w:t>
      </w:r>
      <w:r w:rsidR="00B50FDB">
        <w:rPr>
          <w:szCs w:val="22"/>
          <w:lang w:eastAsia="en-US"/>
        </w:rPr>
        <w:t>didelį</w:t>
      </w:r>
      <w:r w:rsidRPr="00B50FDB">
        <w:rPr>
          <w:szCs w:val="22"/>
          <w:lang w:eastAsia="en-US"/>
        </w:rPr>
        <w:t xml:space="preserve"> virusologinio </w:t>
      </w:r>
      <w:r w:rsidR="00B50FDB">
        <w:rPr>
          <w:szCs w:val="22"/>
          <w:lang w:eastAsia="en-US"/>
        </w:rPr>
        <w:t>nepakankamumo dažnį</w:t>
      </w:r>
      <w:r w:rsidRPr="00B50FDB">
        <w:rPr>
          <w:szCs w:val="22"/>
          <w:lang w:eastAsia="en-US"/>
        </w:rPr>
        <w:t xml:space="preserve"> ir atsparumo atsiradim</w:t>
      </w:r>
      <w:r w:rsidR="00B50FDB">
        <w:rPr>
          <w:szCs w:val="22"/>
          <w:lang w:eastAsia="en-US"/>
        </w:rPr>
        <w:t>ą</w:t>
      </w:r>
      <w:r w:rsidRPr="00B50FDB">
        <w:rPr>
          <w:szCs w:val="22"/>
          <w:lang w:eastAsia="en-US"/>
        </w:rPr>
        <w:t xml:space="preserve"> ankstyvoje stadijoje</w:t>
      </w:r>
      <w:r w:rsidR="00B50FDB">
        <w:rPr>
          <w:szCs w:val="22"/>
          <w:lang w:eastAsia="en-US"/>
        </w:rPr>
        <w:t xml:space="preserve"> </w:t>
      </w:r>
      <w:r w:rsidRPr="00B50FDB">
        <w:rPr>
          <w:szCs w:val="22"/>
          <w:lang w:eastAsia="en-US"/>
        </w:rPr>
        <w:t>ŽIV infekuot</w:t>
      </w:r>
      <w:r w:rsidR="00B50FDB">
        <w:rPr>
          <w:szCs w:val="22"/>
          <w:lang w:eastAsia="en-US"/>
        </w:rPr>
        <w:t>iems pacientams, jeigu</w:t>
      </w:r>
      <w:r w:rsidRPr="00B50FDB">
        <w:rPr>
          <w:szCs w:val="22"/>
          <w:lang w:eastAsia="en-US"/>
        </w:rPr>
        <w:t xml:space="preserve"> tenofoviro dizoproksilio </w:t>
      </w:r>
      <w:r w:rsidR="00B50FDB">
        <w:rPr>
          <w:szCs w:val="22"/>
          <w:lang w:eastAsia="en-US"/>
        </w:rPr>
        <w:t xml:space="preserve">buvo vartojama derinyje </w:t>
      </w:r>
      <w:r w:rsidRPr="00B50FDB">
        <w:rPr>
          <w:szCs w:val="22"/>
          <w:lang w:eastAsia="en-US"/>
        </w:rPr>
        <w:t>su lamivudinu ir abakaviru, taip pat kartu su lamivudinu ir</w:t>
      </w:r>
      <w:r w:rsidRPr="00923AE1">
        <w:rPr>
          <w:szCs w:val="22"/>
          <w:lang w:eastAsia="en-US"/>
        </w:rPr>
        <w:t xml:space="preserve"> didanozinu</w:t>
      </w:r>
      <w:r w:rsidR="00B50FDB">
        <w:rPr>
          <w:szCs w:val="22"/>
          <w:lang w:eastAsia="en-US"/>
        </w:rPr>
        <w:t xml:space="preserve"> buvo vartojama kartą per parą</w:t>
      </w:r>
      <w:r w:rsidRPr="00923AE1">
        <w:rPr>
          <w:szCs w:val="22"/>
          <w:lang w:eastAsia="en-US"/>
        </w:rPr>
        <w:t>.</w:t>
      </w:r>
    </w:p>
    <w:p w14:paraId="7F955668" w14:textId="77777777" w:rsidR="00B50FDB" w:rsidRDefault="00B50FDB" w:rsidP="00923AE1">
      <w:pPr>
        <w:tabs>
          <w:tab w:val="left" w:pos="567"/>
        </w:tabs>
        <w:ind w:left="567" w:hanging="567"/>
        <w:rPr>
          <w:szCs w:val="22"/>
          <w:lang w:eastAsia="en-US"/>
        </w:rPr>
      </w:pPr>
    </w:p>
    <w:p w14:paraId="1F20C839" w14:textId="77777777" w:rsidR="00923AE1" w:rsidRPr="00B50FDB" w:rsidRDefault="00923AE1" w:rsidP="00923AE1">
      <w:pPr>
        <w:tabs>
          <w:tab w:val="left" w:pos="567"/>
        </w:tabs>
        <w:ind w:left="567" w:hanging="567"/>
        <w:rPr>
          <w:szCs w:val="22"/>
          <w:u w:val="single"/>
          <w:lang w:eastAsia="en-US"/>
        </w:rPr>
      </w:pPr>
      <w:r w:rsidRPr="00B50FDB">
        <w:rPr>
          <w:szCs w:val="22"/>
          <w:u w:val="single"/>
          <w:lang w:eastAsia="en-US"/>
        </w:rPr>
        <w:t>Poveikis inkstams ir kaulams suaugusiųjų populiacijoje</w:t>
      </w:r>
    </w:p>
    <w:p w14:paraId="47ADF0AC" w14:textId="77777777" w:rsidR="00923AE1" w:rsidRPr="00B50FDB" w:rsidRDefault="00923AE1" w:rsidP="00923AE1">
      <w:pPr>
        <w:tabs>
          <w:tab w:val="left" w:pos="567"/>
        </w:tabs>
        <w:ind w:left="567" w:hanging="567"/>
        <w:rPr>
          <w:i/>
          <w:szCs w:val="22"/>
          <w:lang w:eastAsia="en-US"/>
        </w:rPr>
      </w:pPr>
      <w:r w:rsidRPr="00B50FDB">
        <w:rPr>
          <w:i/>
          <w:szCs w:val="22"/>
          <w:lang w:eastAsia="en-US"/>
        </w:rPr>
        <w:t>Poveikis inkstams</w:t>
      </w:r>
    </w:p>
    <w:p w14:paraId="76F6D8A3" w14:textId="77777777" w:rsidR="00923AE1" w:rsidRPr="00923AE1" w:rsidRDefault="00923AE1" w:rsidP="00B50FDB">
      <w:pPr>
        <w:tabs>
          <w:tab w:val="left" w:pos="0"/>
        </w:tabs>
        <w:rPr>
          <w:szCs w:val="22"/>
          <w:lang w:eastAsia="en-US"/>
        </w:rPr>
      </w:pPr>
      <w:r w:rsidRPr="00923AE1">
        <w:rPr>
          <w:szCs w:val="22"/>
          <w:lang w:eastAsia="en-US"/>
        </w:rPr>
        <w:t xml:space="preserve">Tenofoviras daugiausia šalinamas pro inkstus. </w:t>
      </w:r>
      <w:r w:rsidR="0072166E">
        <w:rPr>
          <w:szCs w:val="22"/>
          <w:lang w:eastAsia="en-US"/>
        </w:rPr>
        <w:t>K</w:t>
      </w:r>
      <w:r w:rsidR="0072166E" w:rsidRPr="00923AE1">
        <w:rPr>
          <w:szCs w:val="22"/>
          <w:lang w:eastAsia="en-US"/>
        </w:rPr>
        <w:t xml:space="preserve">linikinėje praktikoje vartojant tenofoviro dizoproksilio </w:t>
      </w:r>
      <w:r w:rsidR="0072166E">
        <w:rPr>
          <w:szCs w:val="22"/>
          <w:lang w:eastAsia="en-US"/>
        </w:rPr>
        <w:t>gauta pranešimų apie i</w:t>
      </w:r>
      <w:r w:rsidRPr="00923AE1">
        <w:rPr>
          <w:szCs w:val="22"/>
          <w:lang w:eastAsia="en-US"/>
        </w:rPr>
        <w:t>nkstų nepakankamum</w:t>
      </w:r>
      <w:r w:rsidR="0072166E">
        <w:rPr>
          <w:szCs w:val="22"/>
          <w:lang w:eastAsia="en-US"/>
        </w:rPr>
        <w:t>ą</w:t>
      </w:r>
      <w:r w:rsidRPr="00923AE1">
        <w:rPr>
          <w:szCs w:val="22"/>
          <w:lang w:eastAsia="en-US"/>
        </w:rPr>
        <w:t>, inkstų funkcijos sutrikim</w:t>
      </w:r>
      <w:r w:rsidR="0072166E">
        <w:rPr>
          <w:szCs w:val="22"/>
          <w:lang w:eastAsia="en-US"/>
        </w:rPr>
        <w:t>ą</w:t>
      </w:r>
      <w:r w:rsidRPr="00923AE1">
        <w:rPr>
          <w:szCs w:val="22"/>
          <w:lang w:eastAsia="en-US"/>
        </w:rPr>
        <w:t>, padidėj</w:t>
      </w:r>
      <w:r w:rsidR="0072166E">
        <w:rPr>
          <w:szCs w:val="22"/>
          <w:lang w:eastAsia="en-US"/>
        </w:rPr>
        <w:t>usį</w:t>
      </w:r>
      <w:r w:rsidRPr="00923AE1">
        <w:rPr>
          <w:szCs w:val="22"/>
          <w:lang w:eastAsia="en-US"/>
        </w:rPr>
        <w:t xml:space="preserve"> kreatinino kiek</w:t>
      </w:r>
      <w:r w:rsidR="0072166E">
        <w:rPr>
          <w:szCs w:val="22"/>
          <w:lang w:eastAsia="en-US"/>
        </w:rPr>
        <w:t>į</w:t>
      </w:r>
      <w:r w:rsidRPr="00923AE1">
        <w:rPr>
          <w:szCs w:val="22"/>
          <w:lang w:eastAsia="en-US"/>
        </w:rPr>
        <w:t>, hipofosfatemij</w:t>
      </w:r>
      <w:r w:rsidR="0072166E">
        <w:rPr>
          <w:szCs w:val="22"/>
          <w:lang w:eastAsia="en-US"/>
        </w:rPr>
        <w:t>ą</w:t>
      </w:r>
      <w:r w:rsidRPr="00923AE1">
        <w:rPr>
          <w:szCs w:val="22"/>
          <w:lang w:eastAsia="en-US"/>
        </w:rPr>
        <w:t xml:space="preserve"> ir proksimalin</w:t>
      </w:r>
      <w:r w:rsidR="0072166E">
        <w:rPr>
          <w:szCs w:val="22"/>
          <w:lang w:eastAsia="en-US"/>
        </w:rPr>
        <w:t>ę</w:t>
      </w:r>
      <w:r w:rsidRPr="00923AE1">
        <w:rPr>
          <w:szCs w:val="22"/>
          <w:lang w:eastAsia="en-US"/>
        </w:rPr>
        <w:t xml:space="preserve"> tubulopatij</w:t>
      </w:r>
      <w:r w:rsidR="0072166E">
        <w:rPr>
          <w:szCs w:val="22"/>
          <w:lang w:eastAsia="en-US"/>
        </w:rPr>
        <w:t>ą</w:t>
      </w:r>
      <w:r w:rsidRPr="00923AE1">
        <w:rPr>
          <w:szCs w:val="22"/>
          <w:lang w:eastAsia="en-US"/>
        </w:rPr>
        <w:t xml:space="preserve"> (įskaitant </w:t>
      </w:r>
      <w:r w:rsidR="00A03545">
        <w:rPr>
          <w:szCs w:val="22"/>
          <w:lang w:eastAsia="en-US"/>
        </w:rPr>
        <w:t>Fankoni (</w:t>
      </w:r>
      <w:r w:rsidRPr="00CA49A8">
        <w:rPr>
          <w:i/>
          <w:szCs w:val="22"/>
          <w:lang w:eastAsia="en-US"/>
        </w:rPr>
        <w:t>Fanconi</w:t>
      </w:r>
      <w:r w:rsidR="00A03545">
        <w:rPr>
          <w:szCs w:val="22"/>
          <w:lang w:eastAsia="en-US"/>
        </w:rPr>
        <w:t>)</w:t>
      </w:r>
      <w:r w:rsidRPr="00923AE1">
        <w:rPr>
          <w:szCs w:val="22"/>
          <w:lang w:eastAsia="en-US"/>
        </w:rPr>
        <w:t xml:space="preserve"> sindromą) (žr. 4.8 skyrių).</w:t>
      </w:r>
    </w:p>
    <w:p w14:paraId="76E1E377" w14:textId="77777777" w:rsidR="0072166E" w:rsidRDefault="0072166E" w:rsidP="00B50FDB">
      <w:pPr>
        <w:tabs>
          <w:tab w:val="left" w:pos="0"/>
        </w:tabs>
        <w:rPr>
          <w:szCs w:val="22"/>
          <w:lang w:eastAsia="en-US"/>
        </w:rPr>
      </w:pPr>
    </w:p>
    <w:p w14:paraId="52E04EFB" w14:textId="77777777" w:rsidR="00923AE1" w:rsidRPr="0072166E" w:rsidRDefault="00923AE1" w:rsidP="00B50FDB">
      <w:pPr>
        <w:tabs>
          <w:tab w:val="left" w:pos="0"/>
        </w:tabs>
        <w:rPr>
          <w:i/>
          <w:szCs w:val="22"/>
          <w:lang w:eastAsia="en-US"/>
        </w:rPr>
      </w:pPr>
      <w:r w:rsidRPr="0072166E">
        <w:rPr>
          <w:i/>
          <w:szCs w:val="22"/>
          <w:lang w:eastAsia="en-US"/>
        </w:rPr>
        <w:t>Inkstų funkcijos stebėjimas</w:t>
      </w:r>
    </w:p>
    <w:p w14:paraId="0242CBAE" w14:textId="77777777" w:rsidR="00923AE1" w:rsidRPr="00923AE1" w:rsidRDefault="00923AE1" w:rsidP="00B50FDB">
      <w:pPr>
        <w:tabs>
          <w:tab w:val="left" w:pos="0"/>
        </w:tabs>
        <w:rPr>
          <w:szCs w:val="22"/>
          <w:lang w:eastAsia="en-US"/>
        </w:rPr>
      </w:pPr>
      <w:r w:rsidRPr="00923AE1">
        <w:rPr>
          <w:szCs w:val="22"/>
          <w:lang w:eastAsia="en-US"/>
        </w:rPr>
        <w:t>P</w:t>
      </w:r>
      <w:r w:rsidR="002F5C61">
        <w:rPr>
          <w:szCs w:val="22"/>
          <w:lang w:eastAsia="en-US"/>
        </w:rPr>
        <w:t>rieš pradedant gydymą tenofoviru dizoproksiliu</w:t>
      </w:r>
      <w:r w:rsidRPr="00923AE1">
        <w:rPr>
          <w:szCs w:val="22"/>
          <w:lang w:eastAsia="en-US"/>
        </w:rPr>
        <w:t xml:space="preserve">, rekomenduojama visiems pacientams apskaičiuoti kreatinino klirensą bei pacientams, kuriems nėra inkstų funkcijos sutrikimo rizikos faktorių, </w:t>
      </w:r>
      <w:r w:rsidR="0072166E">
        <w:rPr>
          <w:szCs w:val="22"/>
          <w:lang w:eastAsia="en-US"/>
        </w:rPr>
        <w:t xml:space="preserve">stebėti </w:t>
      </w:r>
      <w:r w:rsidRPr="00923AE1">
        <w:rPr>
          <w:szCs w:val="22"/>
          <w:lang w:eastAsia="en-US"/>
        </w:rPr>
        <w:t xml:space="preserve">inkstų funkciją (kreatinino klirensą ir fosfatų kiekį </w:t>
      </w:r>
      <w:r w:rsidR="002D72A0">
        <w:rPr>
          <w:szCs w:val="22"/>
          <w:lang w:eastAsia="en-US"/>
        </w:rPr>
        <w:t xml:space="preserve">kraujo </w:t>
      </w:r>
      <w:r w:rsidRPr="00923AE1">
        <w:rPr>
          <w:szCs w:val="22"/>
          <w:lang w:eastAsia="en-US"/>
        </w:rPr>
        <w:t>serume) po dviejų – keturių gydymo savaičių, po trijų gydymo mėnesių ir p</w:t>
      </w:r>
      <w:r w:rsidR="0072166E">
        <w:rPr>
          <w:szCs w:val="22"/>
          <w:lang w:eastAsia="en-US"/>
        </w:rPr>
        <w:t>o to</w:t>
      </w:r>
      <w:r w:rsidRPr="00923AE1">
        <w:rPr>
          <w:szCs w:val="22"/>
          <w:lang w:eastAsia="en-US"/>
        </w:rPr>
        <w:t xml:space="preserve"> kas tris – šešis mėnesius. Pacientams</w:t>
      </w:r>
      <w:r w:rsidR="0072166E">
        <w:rPr>
          <w:szCs w:val="22"/>
          <w:lang w:eastAsia="en-US"/>
        </w:rPr>
        <w:t>, kuriems yra</w:t>
      </w:r>
      <w:r w:rsidRPr="00923AE1">
        <w:rPr>
          <w:szCs w:val="22"/>
          <w:lang w:eastAsia="en-US"/>
        </w:rPr>
        <w:t xml:space="preserve"> inkstų funkcijos sutrikimo rizika</w:t>
      </w:r>
      <w:r w:rsidR="0072166E">
        <w:rPr>
          <w:szCs w:val="22"/>
          <w:lang w:eastAsia="en-US"/>
        </w:rPr>
        <w:t>,</w:t>
      </w:r>
      <w:r w:rsidRPr="00923AE1">
        <w:rPr>
          <w:szCs w:val="22"/>
          <w:lang w:eastAsia="en-US"/>
        </w:rPr>
        <w:t xml:space="preserve"> reikalingas dažnesnis inkstų funkcijos stebėjimas.</w:t>
      </w:r>
    </w:p>
    <w:p w14:paraId="578C732E" w14:textId="77777777" w:rsidR="0072166E" w:rsidRDefault="0072166E" w:rsidP="00923AE1">
      <w:pPr>
        <w:tabs>
          <w:tab w:val="left" w:pos="567"/>
        </w:tabs>
        <w:ind w:left="567" w:hanging="567"/>
        <w:rPr>
          <w:szCs w:val="22"/>
          <w:lang w:eastAsia="en-US"/>
        </w:rPr>
      </w:pPr>
    </w:p>
    <w:p w14:paraId="422B828E" w14:textId="77777777" w:rsidR="00923AE1" w:rsidRPr="0072166E" w:rsidRDefault="00923AE1" w:rsidP="00923AE1">
      <w:pPr>
        <w:tabs>
          <w:tab w:val="left" w:pos="567"/>
        </w:tabs>
        <w:ind w:left="567" w:hanging="567"/>
        <w:rPr>
          <w:i/>
          <w:szCs w:val="22"/>
          <w:lang w:eastAsia="en-US"/>
        </w:rPr>
      </w:pPr>
      <w:r w:rsidRPr="0072166E">
        <w:rPr>
          <w:i/>
          <w:szCs w:val="22"/>
          <w:lang w:eastAsia="en-US"/>
        </w:rPr>
        <w:t>Inkstų funkcijos gydymas</w:t>
      </w:r>
    </w:p>
    <w:p w14:paraId="1A3C6013" w14:textId="64B0BD8D" w:rsidR="00923AE1" w:rsidRPr="00923AE1" w:rsidRDefault="00923AE1" w:rsidP="0072166E">
      <w:pPr>
        <w:tabs>
          <w:tab w:val="left" w:pos="0"/>
        </w:tabs>
        <w:rPr>
          <w:szCs w:val="22"/>
          <w:lang w:eastAsia="en-US"/>
        </w:rPr>
      </w:pPr>
      <w:r w:rsidRPr="00923AE1">
        <w:rPr>
          <w:szCs w:val="22"/>
          <w:lang w:eastAsia="en-US"/>
        </w:rPr>
        <w:t xml:space="preserve">Jeigu fosfatų kiekis </w:t>
      </w:r>
      <w:r w:rsidR="0072166E">
        <w:rPr>
          <w:szCs w:val="22"/>
          <w:lang w:eastAsia="en-US"/>
        </w:rPr>
        <w:t xml:space="preserve">kraujo </w:t>
      </w:r>
      <w:r w:rsidR="0072166E" w:rsidRPr="00923AE1">
        <w:rPr>
          <w:szCs w:val="22"/>
          <w:lang w:eastAsia="en-US"/>
        </w:rPr>
        <w:t>serum</w:t>
      </w:r>
      <w:r w:rsidR="0072166E">
        <w:rPr>
          <w:szCs w:val="22"/>
          <w:lang w:eastAsia="en-US"/>
        </w:rPr>
        <w:t>e</w:t>
      </w:r>
      <w:r w:rsidR="0072166E" w:rsidRPr="00923AE1">
        <w:rPr>
          <w:szCs w:val="22"/>
          <w:lang w:eastAsia="en-US"/>
        </w:rPr>
        <w:t xml:space="preserve"> </w:t>
      </w:r>
      <w:r w:rsidRPr="00923AE1">
        <w:rPr>
          <w:szCs w:val="22"/>
          <w:lang w:eastAsia="en-US"/>
        </w:rPr>
        <w:t>yra &lt;</w:t>
      </w:r>
      <w:r w:rsidR="00090679">
        <w:rPr>
          <w:szCs w:val="22"/>
          <w:lang w:eastAsia="en-US"/>
        </w:rPr>
        <w:t> </w:t>
      </w:r>
      <w:r w:rsidRPr="00923AE1">
        <w:rPr>
          <w:szCs w:val="22"/>
          <w:lang w:eastAsia="en-US"/>
        </w:rPr>
        <w:t>1,5</w:t>
      </w:r>
      <w:r w:rsidR="00090679">
        <w:rPr>
          <w:szCs w:val="22"/>
          <w:lang w:eastAsia="en-US"/>
        </w:rPr>
        <w:t> </w:t>
      </w:r>
      <w:r w:rsidRPr="00923AE1">
        <w:rPr>
          <w:szCs w:val="22"/>
          <w:lang w:eastAsia="en-US"/>
        </w:rPr>
        <w:t>mg/dl (0,48</w:t>
      </w:r>
      <w:r w:rsidR="00090679">
        <w:rPr>
          <w:szCs w:val="22"/>
          <w:lang w:eastAsia="en-US"/>
        </w:rPr>
        <w:t> </w:t>
      </w:r>
      <w:r w:rsidRPr="00923AE1">
        <w:rPr>
          <w:szCs w:val="22"/>
          <w:lang w:eastAsia="en-US"/>
        </w:rPr>
        <w:t xml:space="preserve">mmol/l) ar kreatinino klirensas </w:t>
      </w:r>
      <w:r w:rsidR="0072166E">
        <w:rPr>
          <w:szCs w:val="22"/>
          <w:lang w:eastAsia="en-US"/>
        </w:rPr>
        <w:t>tampa mažesnis negu</w:t>
      </w:r>
      <w:r w:rsidRPr="00923AE1">
        <w:rPr>
          <w:szCs w:val="22"/>
          <w:lang w:eastAsia="en-US"/>
        </w:rPr>
        <w:t xml:space="preserve"> &lt;</w:t>
      </w:r>
      <w:r w:rsidR="00090679">
        <w:rPr>
          <w:szCs w:val="22"/>
          <w:lang w:eastAsia="en-US"/>
        </w:rPr>
        <w:t> </w:t>
      </w:r>
      <w:r w:rsidRPr="00923AE1">
        <w:rPr>
          <w:szCs w:val="22"/>
          <w:lang w:eastAsia="en-US"/>
        </w:rPr>
        <w:t>50</w:t>
      </w:r>
      <w:r w:rsidR="00090679">
        <w:rPr>
          <w:szCs w:val="22"/>
          <w:lang w:eastAsia="en-US"/>
        </w:rPr>
        <w:t> </w:t>
      </w:r>
      <w:r w:rsidRPr="00923AE1">
        <w:rPr>
          <w:szCs w:val="22"/>
          <w:lang w:eastAsia="en-US"/>
        </w:rPr>
        <w:t xml:space="preserve">ml/min. bet kuriam suaugusiam pacientui, </w:t>
      </w:r>
      <w:r w:rsidR="0072166E">
        <w:rPr>
          <w:szCs w:val="22"/>
          <w:lang w:eastAsia="en-US"/>
        </w:rPr>
        <w:t>gydomam</w:t>
      </w:r>
      <w:r w:rsidRPr="00923AE1">
        <w:rPr>
          <w:szCs w:val="22"/>
          <w:lang w:eastAsia="en-US"/>
        </w:rPr>
        <w:t xml:space="preserve"> tenofoviro dizoproksili</w:t>
      </w:r>
      <w:r w:rsidR="00090679">
        <w:rPr>
          <w:szCs w:val="22"/>
          <w:lang w:eastAsia="en-US"/>
        </w:rPr>
        <w:t>u</w:t>
      </w:r>
      <w:r w:rsidRPr="00923AE1">
        <w:rPr>
          <w:szCs w:val="22"/>
          <w:lang w:eastAsia="en-US"/>
        </w:rPr>
        <w:t>, vienos savaitės laikotarp</w:t>
      </w:r>
      <w:r w:rsidR="0072166E">
        <w:rPr>
          <w:szCs w:val="22"/>
          <w:lang w:eastAsia="en-US"/>
        </w:rPr>
        <w:t>iu reikia iš naujo įvertinti</w:t>
      </w:r>
      <w:r w:rsidRPr="00923AE1">
        <w:rPr>
          <w:szCs w:val="22"/>
          <w:lang w:eastAsia="en-US"/>
        </w:rPr>
        <w:t xml:space="preserve"> inkstų funkciją, įskaitant ir gliukozės koncentracijos kraujyje, kalio koncentracijos kraujyje ir gliukozės koncentracij</w:t>
      </w:r>
      <w:r w:rsidR="00AB715E">
        <w:rPr>
          <w:szCs w:val="22"/>
          <w:lang w:eastAsia="en-US"/>
        </w:rPr>
        <w:t>ų</w:t>
      </w:r>
      <w:r w:rsidRPr="00923AE1">
        <w:rPr>
          <w:szCs w:val="22"/>
          <w:lang w:eastAsia="en-US"/>
        </w:rPr>
        <w:t xml:space="preserve"> šlapime </w:t>
      </w:r>
      <w:r w:rsidR="00AB715E">
        <w:rPr>
          <w:szCs w:val="22"/>
          <w:lang w:eastAsia="en-US"/>
        </w:rPr>
        <w:t>matavimus</w:t>
      </w:r>
      <w:r w:rsidRPr="00923AE1">
        <w:rPr>
          <w:szCs w:val="22"/>
          <w:lang w:eastAsia="en-US"/>
        </w:rPr>
        <w:t xml:space="preserve"> (žr. 4.8 skyrių, </w:t>
      </w:r>
      <w:r w:rsidRPr="00AE3AFC">
        <w:rPr>
          <w:szCs w:val="22"/>
          <w:lang w:eastAsia="en-US"/>
        </w:rPr>
        <w:t>proksimalinė tubulopatija</w:t>
      </w:r>
      <w:r w:rsidRPr="00923AE1">
        <w:rPr>
          <w:szCs w:val="22"/>
          <w:lang w:eastAsia="en-US"/>
        </w:rPr>
        <w:t xml:space="preserve">). Jeigu suaugusio paciento kreatinino klirensas </w:t>
      </w:r>
      <w:r w:rsidR="00AB715E">
        <w:rPr>
          <w:szCs w:val="22"/>
          <w:lang w:eastAsia="en-US"/>
        </w:rPr>
        <w:t>tampa mažesnis negu</w:t>
      </w:r>
      <w:r w:rsidRPr="00923AE1">
        <w:rPr>
          <w:szCs w:val="22"/>
          <w:lang w:eastAsia="en-US"/>
        </w:rPr>
        <w:t xml:space="preserve"> &lt;</w:t>
      </w:r>
      <w:r w:rsidR="00090679">
        <w:rPr>
          <w:szCs w:val="22"/>
          <w:lang w:eastAsia="en-US"/>
        </w:rPr>
        <w:t> </w:t>
      </w:r>
      <w:r w:rsidRPr="00923AE1">
        <w:rPr>
          <w:szCs w:val="22"/>
          <w:lang w:eastAsia="en-US"/>
        </w:rPr>
        <w:t>50</w:t>
      </w:r>
      <w:r w:rsidR="00090679">
        <w:rPr>
          <w:szCs w:val="22"/>
          <w:lang w:eastAsia="en-US"/>
        </w:rPr>
        <w:t> </w:t>
      </w:r>
      <w:r w:rsidRPr="00923AE1">
        <w:rPr>
          <w:szCs w:val="22"/>
          <w:lang w:eastAsia="en-US"/>
        </w:rPr>
        <w:t xml:space="preserve">ml/min. ar fosfatų kiekis </w:t>
      </w:r>
      <w:r w:rsidR="00AB715E">
        <w:rPr>
          <w:szCs w:val="22"/>
          <w:lang w:eastAsia="en-US"/>
        </w:rPr>
        <w:t>kraujo serume tampa mažesnis negu</w:t>
      </w:r>
      <w:r w:rsidRPr="00923AE1">
        <w:rPr>
          <w:szCs w:val="22"/>
          <w:lang w:eastAsia="en-US"/>
        </w:rPr>
        <w:t xml:space="preserve"> &lt;</w:t>
      </w:r>
      <w:r w:rsidR="00090679">
        <w:rPr>
          <w:szCs w:val="22"/>
          <w:lang w:eastAsia="en-US"/>
        </w:rPr>
        <w:t> </w:t>
      </w:r>
      <w:r w:rsidRPr="00923AE1">
        <w:rPr>
          <w:szCs w:val="22"/>
          <w:lang w:eastAsia="en-US"/>
        </w:rPr>
        <w:t>1,0</w:t>
      </w:r>
      <w:r w:rsidR="00090679">
        <w:rPr>
          <w:szCs w:val="22"/>
          <w:lang w:eastAsia="en-US"/>
        </w:rPr>
        <w:t> </w:t>
      </w:r>
      <w:r w:rsidRPr="00923AE1">
        <w:rPr>
          <w:szCs w:val="22"/>
          <w:lang w:eastAsia="en-US"/>
        </w:rPr>
        <w:t>mg/dl (0,32</w:t>
      </w:r>
      <w:r w:rsidR="00090679">
        <w:rPr>
          <w:szCs w:val="22"/>
          <w:lang w:eastAsia="en-US"/>
        </w:rPr>
        <w:t> </w:t>
      </w:r>
      <w:r w:rsidRPr="00923AE1">
        <w:rPr>
          <w:szCs w:val="22"/>
          <w:lang w:eastAsia="en-US"/>
        </w:rPr>
        <w:t xml:space="preserve">mmol/l), reikia </w:t>
      </w:r>
      <w:r w:rsidR="00AB715E">
        <w:rPr>
          <w:szCs w:val="22"/>
          <w:lang w:eastAsia="en-US"/>
        </w:rPr>
        <w:t>apgalvoti gy</w:t>
      </w:r>
      <w:r w:rsidR="004B4323">
        <w:rPr>
          <w:szCs w:val="22"/>
          <w:lang w:eastAsia="en-US"/>
        </w:rPr>
        <w:t>d</w:t>
      </w:r>
      <w:r w:rsidR="00AB715E">
        <w:rPr>
          <w:szCs w:val="22"/>
          <w:lang w:eastAsia="en-US"/>
        </w:rPr>
        <w:t>ymo</w:t>
      </w:r>
      <w:r w:rsidRPr="00923AE1">
        <w:rPr>
          <w:szCs w:val="22"/>
          <w:lang w:eastAsia="en-US"/>
        </w:rPr>
        <w:t xml:space="preserve"> tenofoviro dizoproksili</w:t>
      </w:r>
      <w:r w:rsidR="002D72A0">
        <w:rPr>
          <w:szCs w:val="22"/>
          <w:lang w:eastAsia="en-US"/>
        </w:rPr>
        <w:t xml:space="preserve">u </w:t>
      </w:r>
      <w:r w:rsidR="00AB715E">
        <w:rPr>
          <w:szCs w:val="22"/>
          <w:lang w:eastAsia="en-US"/>
        </w:rPr>
        <w:t>nutraukimą</w:t>
      </w:r>
      <w:r w:rsidRPr="00923AE1">
        <w:rPr>
          <w:szCs w:val="22"/>
          <w:lang w:eastAsia="en-US"/>
        </w:rPr>
        <w:t xml:space="preserve">. </w:t>
      </w:r>
      <w:r w:rsidR="00AB715E">
        <w:rPr>
          <w:szCs w:val="22"/>
          <w:lang w:eastAsia="en-US"/>
        </w:rPr>
        <w:t>Apgalvoti</w:t>
      </w:r>
      <w:r w:rsidRPr="00923AE1">
        <w:rPr>
          <w:szCs w:val="22"/>
          <w:lang w:eastAsia="en-US"/>
        </w:rPr>
        <w:t xml:space="preserve"> gydym</w:t>
      </w:r>
      <w:r w:rsidR="00AB715E">
        <w:rPr>
          <w:szCs w:val="22"/>
          <w:lang w:eastAsia="en-US"/>
        </w:rPr>
        <w:t>o</w:t>
      </w:r>
      <w:r w:rsidRPr="00923AE1">
        <w:rPr>
          <w:szCs w:val="22"/>
          <w:lang w:eastAsia="en-US"/>
        </w:rPr>
        <w:t xml:space="preserve"> tenofoviro dizoproksili</w:t>
      </w:r>
      <w:r w:rsidR="00090679">
        <w:rPr>
          <w:szCs w:val="22"/>
          <w:lang w:eastAsia="en-US"/>
        </w:rPr>
        <w:t xml:space="preserve">u </w:t>
      </w:r>
      <w:r w:rsidR="00AB715E">
        <w:rPr>
          <w:szCs w:val="22"/>
          <w:lang w:eastAsia="en-US"/>
        </w:rPr>
        <w:t xml:space="preserve">nutraukimą </w:t>
      </w:r>
      <w:r w:rsidRPr="00923AE1">
        <w:rPr>
          <w:szCs w:val="22"/>
          <w:lang w:eastAsia="en-US"/>
        </w:rPr>
        <w:t>taip pat reikia esant progresuojančiam inkstų funkcijos silpnėjimui, kai nenustatyta jokia kita priežastis.</w:t>
      </w:r>
    </w:p>
    <w:p w14:paraId="193E6E41" w14:textId="77777777" w:rsidR="00AB715E" w:rsidRDefault="00AB715E" w:rsidP="00923AE1">
      <w:pPr>
        <w:tabs>
          <w:tab w:val="left" w:pos="567"/>
        </w:tabs>
        <w:ind w:left="567" w:hanging="567"/>
        <w:rPr>
          <w:szCs w:val="22"/>
          <w:lang w:eastAsia="en-US"/>
        </w:rPr>
      </w:pPr>
    </w:p>
    <w:p w14:paraId="0B1873AE" w14:textId="77777777" w:rsidR="00923AE1" w:rsidRPr="00AB715E" w:rsidRDefault="00923AE1" w:rsidP="00923AE1">
      <w:pPr>
        <w:tabs>
          <w:tab w:val="left" w:pos="567"/>
        </w:tabs>
        <w:ind w:left="567" w:hanging="567"/>
        <w:rPr>
          <w:i/>
          <w:szCs w:val="22"/>
          <w:lang w:eastAsia="en-US"/>
        </w:rPr>
      </w:pPr>
      <w:r w:rsidRPr="00AB715E">
        <w:rPr>
          <w:i/>
          <w:szCs w:val="22"/>
          <w:lang w:eastAsia="en-US"/>
        </w:rPr>
        <w:t>Vartojimas kartu su kitais vaistiniais preparatais ir toksinio poveikio inkstams rizika</w:t>
      </w:r>
    </w:p>
    <w:p w14:paraId="441A994D" w14:textId="77777777" w:rsidR="00923AE1" w:rsidRPr="00923AE1" w:rsidRDefault="00923AE1" w:rsidP="00AB715E">
      <w:pPr>
        <w:tabs>
          <w:tab w:val="left" w:pos="0"/>
        </w:tabs>
        <w:rPr>
          <w:szCs w:val="22"/>
          <w:lang w:eastAsia="en-US"/>
        </w:rPr>
      </w:pPr>
      <w:r w:rsidRPr="00923AE1">
        <w:rPr>
          <w:szCs w:val="22"/>
          <w:lang w:eastAsia="en-US"/>
        </w:rPr>
        <w:t xml:space="preserve">Reikia vengti skirti tenofoviro dizoproksilio </w:t>
      </w:r>
      <w:r w:rsidR="00CB65FF" w:rsidRPr="00923AE1">
        <w:rPr>
          <w:szCs w:val="22"/>
          <w:lang w:eastAsia="en-US"/>
        </w:rPr>
        <w:t xml:space="preserve">kartu </w:t>
      </w:r>
      <w:r w:rsidRPr="00923AE1">
        <w:rPr>
          <w:szCs w:val="22"/>
          <w:lang w:eastAsia="en-US"/>
        </w:rPr>
        <w:t xml:space="preserve">su </w:t>
      </w:r>
      <w:r w:rsidR="00CB65FF">
        <w:rPr>
          <w:szCs w:val="22"/>
          <w:lang w:eastAsia="en-US"/>
        </w:rPr>
        <w:t xml:space="preserve">vartojamais ar neseniai vartotais </w:t>
      </w:r>
      <w:r w:rsidRPr="00923AE1">
        <w:rPr>
          <w:szCs w:val="22"/>
          <w:lang w:eastAsia="en-US"/>
        </w:rPr>
        <w:t>nefrotoksiniais vaist</w:t>
      </w:r>
      <w:r w:rsidR="00CB65FF">
        <w:rPr>
          <w:szCs w:val="22"/>
          <w:lang w:eastAsia="en-US"/>
        </w:rPr>
        <w:t>iniais preparatais</w:t>
      </w:r>
      <w:r w:rsidRPr="00923AE1">
        <w:rPr>
          <w:szCs w:val="22"/>
          <w:lang w:eastAsia="en-US"/>
        </w:rPr>
        <w:t xml:space="preserve"> (pvz.: aminoglikozidais, amfotericinu B, foskarnetu, gancikloviru, pentamidinu, vankomicinu, cidofoviru ar interleukinu-2)</w:t>
      </w:r>
      <w:r w:rsidR="00CB65FF">
        <w:rPr>
          <w:szCs w:val="22"/>
          <w:lang w:eastAsia="en-US"/>
        </w:rPr>
        <w:t>.</w:t>
      </w:r>
      <w:r w:rsidR="00CB65FF" w:rsidRPr="00923AE1">
        <w:rPr>
          <w:szCs w:val="22"/>
          <w:lang w:eastAsia="en-US"/>
        </w:rPr>
        <w:t xml:space="preserve"> </w:t>
      </w:r>
      <w:r w:rsidRPr="00923AE1">
        <w:rPr>
          <w:szCs w:val="22"/>
          <w:lang w:eastAsia="en-US"/>
        </w:rPr>
        <w:t>Jeigu tenofoviro dizoproksilio yra būtina skirti kartu su nefrotoksiniais vaist</w:t>
      </w:r>
      <w:r w:rsidR="00CB65FF">
        <w:rPr>
          <w:szCs w:val="22"/>
          <w:lang w:eastAsia="en-US"/>
        </w:rPr>
        <w:t>iniais preparatais</w:t>
      </w:r>
      <w:r w:rsidRPr="00923AE1">
        <w:rPr>
          <w:szCs w:val="22"/>
          <w:lang w:eastAsia="en-US"/>
        </w:rPr>
        <w:t xml:space="preserve">, inkstų funkciją reikia </w:t>
      </w:r>
      <w:r w:rsidR="00284248">
        <w:rPr>
          <w:szCs w:val="22"/>
          <w:lang w:eastAsia="en-US"/>
        </w:rPr>
        <w:t>stebėti</w:t>
      </w:r>
      <w:r w:rsidRPr="00923AE1">
        <w:rPr>
          <w:szCs w:val="22"/>
          <w:lang w:eastAsia="en-US"/>
        </w:rPr>
        <w:t xml:space="preserve"> kas savaitę.</w:t>
      </w:r>
    </w:p>
    <w:p w14:paraId="4B77F690" w14:textId="77777777" w:rsidR="00284248" w:rsidRDefault="00284248" w:rsidP="00AB715E">
      <w:pPr>
        <w:tabs>
          <w:tab w:val="left" w:pos="0"/>
        </w:tabs>
        <w:rPr>
          <w:szCs w:val="22"/>
          <w:lang w:eastAsia="en-US"/>
        </w:rPr>
      </w:pPr>
    </w:p>
    <w:p w14:paraId="543AD91D" w14:textId="77777777" w:rsidR="00923AE1" w:rsidRDefault="00CB65FF" w:rsidP="00AB715E">
      <w:pPr>
        <w:tabs>
          <w:tab w:val="left" w:pos="0"/>
        </w:tabs>
        <w:rPr>
          <w:szCs w:val="22"/>
          <w:lang w:eastAsia="en-US"/>
        </w:rPr>
      </w:pPr>
      <w:r>
        <w:rPr>
          <w:szCs w:val="22"/>
          <w:lang w:eastAsia="en-US"/>
        </w:rPr>
        <w:t>Buvo pranešta apie ūminio</w:t>
      </w:r>
      <w:r w:rsidR="00284248">
        <w:rPr>
          <w:szCs w:val="22"/>
          <w:lang w:eastAsia="en-US"/>
        </w:rPr>
        <w:t xml:space="preserve"> </w:t>
      </w:r>
      <w:r>
        <w:rPr>
          <w:szCs w:val="22"/>
          <w:lang w:eastAsia="en-US"/>
        </w:rPr>
        <w:t>inkstų nepakankamumo atvejus</w:t>
      </w:r>
      <w:r w:rsidR="00923AE1" w:rsidRPr="00923AE1">
        <w:rPr>
          <w:szCs w:val="22"/>
          <w:lang w:eastAsia="en-US"/>
        </w:rPr>
        <w:t xml:space="preserve"> </w:t>
      </w:r>
      <w:r w:rsidRPr="00923AE1">
        <w:rPr>
          <w:szCs w:val="22"/>
          <w:lang w:eastAsia="en-US"/>
        </w:rPr>
        <w:t>pacientams, kurie buvo gydomi tenofoviro dizoproksili</w:t>
      </w:r>
      <w:r w:rsidR="00090679">
        <w:rPr>
          <w:szCs w:val="22"/>
          <w:lang w:eastAsia="en-US"/>
        </w:rPr>
        <w:t xml:space="preserve">u </w:t>
      </w:r>
      <w:r w:rsidRPr="00923AE1">
        <w:rPr>
          <w:szCs w:val="22"/>
          <w:lang w:eastAsia="en-US"/>
        </w:rPr>
        <w:t>ir kuriems yra inkstų funkcijos sutrikimo rizikos faktorių</w:t>
      </w:r>
      <w:r w:rsidR="00284248">
        <w:rPr>
          <w:szCs w:val="22"/>
          <w:lang w:eastAsia="en-US"/>
        </w:rPr>
        <w:t>, pradėjus vartoti</w:t>
      </w:r>
      <w:r w:rsidR="00923AE1" w:rsidRPr="00923AE1">
        <w:rPr>
          <w:szCs w:val="22"/>
          <w:lang w:eastAsia="en-US"/>
        </w:rPr>
        <w:t xml:space="preserve"> didel</w:t>
      </w:r>
      <w:r>
        <w:rPr>
          <w:szCs w:val="22"/>
          <w:lang w:eastAsia="en-US"/>
        </w:rPr>
        <w:t>ę</w:t>
      </w:r>
      <w:r w:rsidR="00923AE1" w:rsidRPr="00923AE1">
        <w:rPr>
          <w:szCs w:val="22"/>
          <w:lang w:eastAsia="en-US"/>
        </w:rPr>
        <w:t xml:space="preserve"> doz</w:t>
      </w:r>
      <w:r>
        <w:rPr>
          <w:szCs w:val="22"/>
          <w:lang w:eastAsia="en-US"/>
        </w:rPr>
        <w:t>ę</w:t>
      </w:r>
      <w:r w:rsidR="00923AE1" w:rsidRPr="00923AE1">
        <w:rPr>
          <w:szCs w:val="22"/>
          <w:lang w:eastAsia="en-US"/>
        </w:rPr>
        <w:t xml:space="preserve"> arba kartotinai vartoja</w:t>
      </w:r>
      <w:r>
        <w:rPr>
          <w:szCs w:val="22"/>
          <w:lang w:eastAsia="en-US"/>
        </w:rPr>
        <w:t>nt</w:t>
      </w:r>
      <w:r w:rsidR="00923AE1" w:rsidRPr="00923AE1">
        <w:rPr>
          <w:szCs w:val="22"/>
          <w:lang w:eastAsia="en-US"/>
        </w:rPr>
        <w:t xml:space="preserve"> nesteroidini</w:t>
      </w:r>
      <w:r>
        <w:rPr>
          <w:szCs w:val="22"/>
          <w:lang w:eastAsia="en-US"/>
        </w:rPr>
        <w:t>ų</w:t>
      </w:r>
      <w:r w:rsidR="00923AE1" w:rsidRPr="00923AE1">
        <w:rPr>
          <w:szCs w:val="22"/>
          <w:lang w:eastAsia="en-US"/>
        </w:rPr>
        <w:t xml:space="preserve"> vaist</w:t>
      </w:r>
      <w:r>
        <w:rPr>
          <w:szCs w:val="22"/>
          <w:lang w:eastAsia="en-US"/>
        </w:rPr>
        <w:t>inių preparatų</w:t>
      </w:r>
      <w:r w:rsidR="00923AE1" w:rsidRPr="00923AE1">
        <w:rPr>
          <w:szCs w:val="22"/>
          <w:lang w:eastAsia="en-US"/>
        </w:rPr>
        <w:t xml:space="preserve"> nuo uždegimo (NVNU)</w:t>
      </w:r>
      <w:r w:rsidR="00284248">
        <w:rPr>
          <w:szCs w:val="22"/>
          <w:lang w:eastAsia="en-US"/>
        </w:rPr>
        <w:t>.</w:t>
      </w:r>
      <w:r w:rsidR="00923AE1" w:rsidRPr="00923AE1">
        <w:rPr>
          <w:szCs w:val="22"/>
          <w:lang w:eastAsia="en-US"/>
        </w:rPr>
        <w:t xml:space="preserve"> Jei tenofoviro dizoproksilio </w:t>
      </w:r>
      <w:r w:rsidR="00284248">
        <w:rPr>
          <w:szCs w:val="22"/>
          <w:lang w:eastAsia="en-US"/>
        </w:rPr>
        <w:t>vartojama</w:t>
      </w:r>
      <w:r w:rsidR="00923AE1" w:rsidRPr="00923AE1">
        <w:rPr>
          <w:szCs w:val="22"/>
          <w:lang w:eastAsia="en-US"/>
        </w:rPr>
        <w:t xml:space="preserve"> kartu su NVNU, reikia tinkamai </w:t>
      </w:r>
      <w:r w:rsidR="00284248">
        <w:rPr>
          <w:szCs w:val="22"/>
          <w:lang w:eastAsia="en-US"/>
        </w:rPr>
        <w:t xml:space="preserve">stebėti </w:t>
      </w:r>
      <w:r w:rsidR="00923AE1" w:rsidRPr="00923AE1">
        <w:rPr>
          <w:szCs w:val="22"/>
          <w:lang w:eastAsia="en-US"/>
        </w:rPr>
        <w:t>inkstų funkciją.</w:t>
      </w:r>
    </w:p>
    <w:p w14:paraId="70A80F77" w14:textId="77777777" w:rsidR="00923AE1" w:rsidRDefault="00923AE1" w:rsidP="006D2D23">
      <w:pPr>
        <w:tabs>
          <w:tab w:val="left" w:pos="567"/>
        </w:tabs>
        <w:ind w:left="567" w:hanging="567"/>
        <w:rPr>
          <w:szCs w:val="22"/>
          <w:lang w:eastAsia="en-US"/>
        </w:rPr>
      </w:pPr>
    </w:p>
    <w:p w14:paraId="7A663194" w14:textId="77777777" w:rsidR="00284248" w:rsidRDefault="00284248" w:rsidP="00284248">
      <w:pPr>
        <w:pStyle w:val="Default"/>
        <w:rPr>
          <w:color w:val="auto"/>
          <w:sz w:val="22"/>
          <w:szCs w:val="22"/>
        </w:rPr>
      </w:pPr>
      <w:r>
        <w:rPr>
          <w:color w:val="auto"/>
          <w:sz w:val="22"/>
          <w:szCs w:val="22"/>
        </w:rPr>
        <w:t xml:space="preserve">Didesnė inkstų funkcijos sutrikimo rizika nustatyta pacientams, vartojantiems tenofoviro dizoproksilio kartu su proteazės inhibitoriumi, sustiprintu ritonaviru arba kobicistatu. Šiems pacientams reikia </w:t>
      </w:r>
      <w:r>
        <w:rPr>
          <w:color w:val="auto"/>
          <w:sz w:val="22"/>
          <w:szCs w:val="22"/>
        </w:rPr>
        <w:lastRenderedPageBreak/>
        <w:t xml:space="preserve">atidžiai stebėti inkstų funkciją (žr. 4.5 skyrių). Pacientams, kuriems yra inkstų funkcijos sutrikimo rizikos faktorių, tenofoviro dizoproksilio vartojimas kartu su sustiprintu proteazių inhibitoriumi turi būti atidžiai įvertintas. </w:t>
      </w:r>
    </w:p>
    <w:p w14:paraId="3D88E397" w14:textId="77777777" w:rsidR="00284248" w:rsidRDefault="00284248" w:rsidP="00284248">
      <w:pPr>
        <w:pStyle w:val="Default"/>
        <w:rPr>
          <w:color w:val="auto"/>
          <w:sz w:val="22"/>
          <w:szCs w:val="22"/>
        </w:rPr>
      </w:pPr>
    </w:p>
    <w:p w14:paraId="478FF631" w14:textId="6B64B96A" w:rsidR="00284248" w:rsidRDefault="00284248" w:rsidP="00284248">
      <w:pPr>
        <w:pStyle w:val="Default"/>
        <w:rPr>
          <w:color w:val="auto"/>
          <w:sz w:val="22"/>
          <w:szCs w:val="22"/>
        </w:rPr>
      </w:pPr>
      <w:r>
        <w:rPr>
          <w:color w:val="auto"/>
          <w:sz w:val="22"/>
          <w:szCs w:val="22"/>
        </w:rPr>
        <w:t>Tenofoviro dizoproksili</w:t>
      </w:r>
      <w:r w:rsidR="00090679">
        <w:rPr>
          <w:color w:val="auto"/>
          <w:sz w:val="22"/>
          <w:szCs w:val="22"/>
        </w:rPr>
        <w:t>s</w:t>
      </w:r>
      <w:r>
        <w:rPr>
          <w:color w:val="auto"/>
          <w:sz w:val="22"/>
          <w:szCs w:val="22"/>
        </w:rPr>
        <w:t xml:space="preserve"> nebuvo kliniškai įvertintas pacientams, gydomiems vaistiniais preparatais, kurie yra išskiriami inkstuose tuo pačiu keliu, dalyvaujant pernašos baltymams – žmogaus organinių anijonų pernešėjui 1 ir 3 </w:t>
      </w:r>
      <w:r>
        <w:rPr>
          <w:i/>
          <w:iCs/>
          <w:color w:val="auto"/>
          <w:sz w:val="22"/>
          <w:szCs w:val="22"/>
        </w:rPr>
        <w:t>(</w:t>
      </w:r>
      <w:r w:rsidR="002D72A0">
        <w:rPr>
          <w:iCs/>
          <w:color w:val="auto"/>
          <w:sz w:val="22"/>
          <w:szCs w:val="22"/>
        </w:rPr>
        <w:t xml:space="preserve">angl. </w:t>
      </w:r>
      <w:r>
        <w:rPr>
          <w:i/>
          <w:iCs/>
          <w:color w:val="auto"/>
          <w:sz w:val="22"/>
          <w:szCs w:val="22"/>
        </w:rPr>
        <w:t xml:space="preserve">human organic anion transporter, hOAT) </w:t>
      </w:r>
      <w:r>
        <w:rPr>
          <w:color w:val="auto"/>
          <w:sz w:val="22"/>
          <w:szCs w:val="22"/>
        </w:rPr>
        <w:t>arba daugumai vaistinių preparatų atspariam proteinui 4 (</w:t>
      </w:r>
      <w:r w:rsidR="002D72A0">
        <w:rPr>
          <w:color w:val="auto"/>
          <w:sz w:val="22"/>
          <w:szCs w:val="22"/>
        </w:rPr>
        <w:t xml:space="preserve">angl. </w:t>
      </w:r>
      <w:r>
        <w:rPr>
          <w:i/>
          <w:iCs/>
          <w:color w:val="auto"/>
          <w:sz w:val="22"/>
          <w:szCs w:val="22"/>
        </w:rPr>
        <w:t>multidrug resistant protein 4, MRP 4</w:t>
      </w:r>
      <w:r>
        <w:rPr>
          <w:color w:val="auto"/>
          <w:sz w:val="22"/>
          <w:szCs w:val="22"/>
        </w:rPr>
        <w:t xml:space="preserve">) (pvz., žinomas nefrotoksinis vaistinis preparatas cidofoviras). Šie pernašos </w:t>
      </w:r>
      <w:r w:rsidR="00BE36D0">
        <w:rPr>
          <w:color w:val="auto"/>
          <w:sz w:val="22"/>
          <w:szCs w:val="22"/>
        </w:rPr>
        <w:t xml:space="preserve">baltymai </w:t>
      </w:r>
      <w:r>
        <w:rPr>
          <w:color w:val="auto"/>
          <w:sz w:val="22"/>
          <w:szCs w:val="22"/>
        </w:rPr>
        <w:t>inkstuose gali būti atsakingi už sekreciją kanalėliuose ir iš dalies už tenofoviro ir cidofoviro šalinimą pro inkstus. Todėl skiriant ši</w:t>
      </w:r>
      <w:r w:rsidR="00B31577">
        <w:rPr>
          <w:color w:val="auto"/>
          <w:sz w:val="22"/>
          <w:szCs w:val="22"/>
        </w:rPr>
        <w:t>ų</w:t>
      </w:r>
      <w:r>
        <w:rPr>
          <w:color w:val="auto"/>
          <w:sz w:val="22"/>
          <w:szCs w:val="22"/>
        </w:rPr>
        <w:t xml:space="preserve"> vaistini</w:t>
      </w:r>
      <w:r w:rsidR="00B31577">
        <w:rPr>
          <w:color w:val="auto"/>
          <w:sz w:val="22"/>
          <w:szCs w:val="22"/>
        </w:rPr>
        <w:t>ų</w:t>
      </w:r>
      <w:r>
        <w:rPr>
          <w:color w:val="auto"/>
          <w:sz w:val="22"/>
          <w:szCs w:val="22"/>
        </w:rPr>
        <w:t xml:space="preserve"> preparat</w:t>
      </w:r>
      <w:r w:rsidR="00B31577">
        <w:rPr>
          <w:color w:val="auto"/>
          <w:sz w:val="22"/>
          <w:szCs w:val="22"/>
        </w:rPr>
        <w:t>ų</w:t>
      </w:r>
      <w:r>
        <w:rPr>
          <w:color w:val="auto"/>
          <w:sz w:val="22"/>
          <w:szCs w:val="22"/>
        </w:rPr>
        <w:t xml:space="preserve"> kartu, šių vaistinių preparatų, išskiriamų inkstuose tuo pačiu keliu, dalyvaujant pern</w:t>
      </w:r>
      <w:r w:rsidR="00B31577">
        <w:rPr>
          <w:color w:val="auto"/>
          <w:sz w:val="22"/>
          <w:szCs w:val="22"/>
        </w:rPr>
        <w:t>aš</w:t>
      </w:r>
      <w:r>
        <w:rPr>
          <w:color w:val="auto"/>
          <w:sz w:val="22"/>
          <w:szCs w:val="22"/>
        </w:rPr>
        <w:t>o</w:t>
      </w:r>
      <w:r w:rsidR="00B31577">
        <w:rPr>
          <w:color w:val="auto"/>
          <w:sz w:val="22"/>
          <w:szCs w:val="22"/>
        </w:rPr>
        <w:t>s</w:t>
      </w:r>
      <w:r>
        <w:rPr>
          <w:color w:val="auto"/>
          <w:sz w:val="22"/>
          <w:szCs w:val="22"/>
        </w:rPr>
        <w:t xml:space="preserve"> baltymams – hOAT 1 ir 3 arba MRP 4, farmakokinetika gali kisti. Nerekomenduojama šių vaistinių preparatų, išskiriamų inkstuose tuo pačiu keliu, </w:t>
      </w:r>
      <w:r w:rsidR="00B31577">
        <w:rPr>
          <w:color w:val="auto"/>
          <w:sz w:val="22"/>
          <w:szCs w:val="22"/>
        </w:rPr>
        <w:t>vartoti</w:t>
      </w:r>
      <w:r>
        <w:rPr>
          <w:color w:val="auto"/>
          <w:sz w:val="22"/>
          <w:szCs w:val="22"/>
        </w:rPr>
        <w:t xml:space="preserve"> kartu, nebent tai yra būtina. Tokiu atveju inkstų funkciją reikia </w:t>
      </w:r>
      <w:r w:rsidR="00B31577">
        <w:rPr>
          <w:color w:val="auto"/>
          <w:sz w:val="22"/>
          <w:szCs w:val="22"/>
        </w:rPr>
        <w:t>stebėti</w:t>
      </w:r>
      <w:r>
        <w:rPr>
          <w:color w:val="auto"/>
          <w:sz w:val="22"/>
          <w:szCs w:val="22"/>
        </w:rPr>
        <w:t xml:space="preserve"> kas savaitę (žr. 4.5 skyrių). </w:t>
      </w:r>
    </w:p>
    <w:p w14:paraId="78E48393" w14:textId="77777777" w:rsidR="00B31577" w:rsidRDefault="00B31577" w:rsidP="00284248">
      <w:pPr>
        <w:pStyle w:val="Default"/>
        <w:rPr>
          <w:i/>
          <w:iCs/>
          <w:color w:val="auto"/>
          <w:sz w:val="22"/>
          <w:szCs w:val="22"/>
        </w:rPr>
      </w:pPr>
    </w:p>
    <w:p w14:paraId="71988D12" w14:textId="77777777" w:rsidR="00284248" w:rsidRDefault="00284248" w:rsidP="00284248">
      <w:pPr>
        <w:pStyle w:val="Default"/>
        <w:rPr>
          <w:color w:val="auto"/>
          <w:sz w:val="22"/>
          <w:szCs w:val="22"/>
        </w:rPr>
      </w:pPr>
      <w:r>
        <w:rPr>
          <w:i/>
          <w:iCs/>
          <w:color w:val="auto"/>
          <w:sz w:val="22"/>
          <w:szCs w:val="22"/>
        </w:rPr>
        <w:t xml:space="preserve">Inkstų funkcijos sutrikimas </w:t>
      </w:r>
    </w:p>
    <w:p w14:paraId="0468D052" w14:textId="77777777" w:rsidR="00B31577" w:rsidRDefault="00B31577" w:rsidP="00B31577">
      <w:pPr>
        <w:pStyle w:val="Default"/>
        <w:rPr>
          <w:color w:val="auto"/>
          <w:sz w:val="22"/>
          <w:szCs w:val="22"/>
        </w:rPr>
      </w:pPr>
      <w:r>
        <w:rPr>
          <w:color w:val="auto"/>
          <w:sz w:val="22"/>
          <w:szCs w:val="22"/>
        </w:rPr>
        <w:t>Suaugusi</w:t>
      </w:r>
      <w:r w:rsidR="0031102E">
        <w:rPr>
          <w:color w:val="auto"/>
          <w:sz w:val="22"/>
          <w:szCs w:val="22"/>
        </w:rPr>
        <w:t>ems</w:t>
      </w:r>
      <w:r>
        <w:rPr>
          <w:color w:val="auto"/>
          <w:sz w:val="22"/>
          <w:szCs w:val="22"/>
        </w:rPr>
        <w:t xml:space="preserve"> pacienta</w:t>
      </w:r>
      <w:r w:rsidR="0031102E">
        <w:rPr>
          <w:color w:val="auto"/>
          <w:sz w:val="22"/>
          <w:szCs w:val="22"/>
        </w:rPr>
        <w:t>m</w:t>
      </w:r>
      <w:r>
        <w:rPr>
          <w:color w:val="auto"/>
          <w:sz w:val="22"/>
          <w:szCs w:val="22"/>
        </w:rPr>
        <w:t>s, kuriems yra inkstų funkcijos sutrikimas (kreatinino klirensas &lt;</w:t>
      </w:r>
      <w:r w:rsidR="0031102E">
        <w:rPr>
          <w:color w:val="auto"/>
          <w:sz w:val="22"/>
          <w:szCs w:val="22"/>
        </w:rPr>
        <w:t> </w:t>
      </w:r>
      <w:r>
        <w:rPr>
          <w:color w:val="auto"/>
          <w:sz w:val="22"/>
          <w:szCs w:val="22"/>
        </w:rPr>
        <w:t>80</w:t>
      </w:r>
      <w:r w:rsidR="0031102E">
        <w:rPr>
          <w:color w:val="auto"/>
          <w:sz w:val="22"/>
          <w:szCs w:val="22"/>
        </w:rPr>
        <w:t> </w:t>
      </w:r>
      <w:r>
        <w:rPr>
          <w:color w:val="auto"/>
          <w:sz w:val="22"/>
          <w:szCs w:val="22"/>
        </w:rPr>
        <w:t xml:space="preserve">ml/min.), tenofoviro  saugumas inkstams ištirtas labai mažu laipsniu. </w:t>
      </w:r>
    </w:p>
    <w:p w14:paraId="440C991B" w14:textId="77777777" w:rsidR="00B31577" w:rsidRDefault="00B31577" w:rsidP="00B31577">
      <w:pPr>
        <w:pStyle w:val="Default"/>
        <w:rPr>
          <w:color w:val="auto"/>
          <w:sz w:val="22"/>
          <w:szCs w:val="22"/>
        </w:rPr>
      </w:pPr>
    </w:p>
    <w:p w14:paraId="325A66F1" w14:textId="77777777" w:rsidR="00B31577" w:rsidRDefault="00B31577" w:rsidP="00B31577">
      <w:pPr>
        <w:pStyle w:val="Default"/>
        <w:rPr>
          <w:color w:val="auto"/>
          <w:sz w:val="22"/>
          <w:szCs w:val="22"/>
        </w:rPr>
      </w:pPr>
      <w:r>
        <w:rPr>
          <w:i/>
          <w:iCs/>
          <w:color w:val="auto"/>
          <w:sz w:val="22"/>
          <w:szCs w:val="22"/>
        </w:rPr>
        <w:t>Suaugę pacienta</w:t>
      </w:r>
      <w:r w:rsidR="0031102E">
        <w:rPr>
          <w:i/>
          <w:iCs/>
          <w:color w:val="auto"/>
          <w:sz w:val="22"/>
          <w:szCs w:val="22"/>
        </w:rPr>
        <w:t>i</w:t>
      </w:r>
      <w:r w:rsidR="00F93343">
        <w:rPr>
          <w:i/>
          <w:iCs/>
          <w:color w:val="auto"/>
          <w:sz w:val="22"/>
          <w:szCs w:val="22"/>
        </w:rPr>
        <w:t>, kuriems kreatinino klirensas</w:t>
      </w:r>
      <w:r>
        <w:rPr>
          <w:i/>
          <w:iCs/>
          <w:color w:val="auto"/>
          <w:sz w:val="22"/>
          <w:szCs w:val="22"/>
        </w:rPr>
        <w:t xml:space="preserve"> &lt;</w:t>
      </w:r>
      <w:r w:rsidR="0031102E">
        <w:rPr>
          <w:i/>
          <w:iCs/>
          <w:color w:val="auto"/>
          <w:sz w:val="22"/>
          <w:szCs w:val="22"/>
        </w:rPr>
        <w:t> </w:t>
      </w:r>
      <w:r>
        <w:rPr>
          <w:i/>
          <w:iCs/>
          <w:color w:val="auto"/>
          <w:sz w:val="22"/>
          <w:szCs w:val="22"/>
        </w:rPr>
        <w:t>50</w:t>
      </w:r>
      <w:r w:rsidR="0031102E">
        <w:rPr>
          <w:i/>
          <w:iCs/>
          <w:color w:val="auto"/>
          <w:sz w:val="22"/>
          <w:szCs w:val="22"/>
        </w:rPr>
        <w:t> </w:t>
      </w:r>
      <w:r>
        <w:rPr>
          <w:i/>
          <w:iCs/>
          <w:color w:val="auto"/>
          <w:sz w:val="22"/>
          <w:szCs w:val="22"/>
        </w:rPr>
        <w:t xml:space="preserve">ml/min., įskaitant hemodializuojamus pacientus </w:t>
      </w:r>
    </w:p>
    <w:p w14:paraId="512C05FD" w14:textId="77777777" w:rsidR="00B31577" w:rsidRDefault="00B31577" w:rsidP="00B31577">
      <w:pPr>
        <w:pStyle w:val="Default"/>
        <w:rPr>
          <w:color w:val="auto"/>
          <w:sz w:val="22"/>
          <w:szCs w:val="22"/>
        </w:rPr>
      </w:pPr>
      <w:r>
        <w:rPr>
          <w:color w:val="auto"/>
          <w:sz w:val="22"/>
          <w:szCs w:val="22"/>
        </w:rPr>
        <w:t xml:space="preserve">Nėra pakankamai duomenų, kad tenofoviro dizoproksilio yra saugus ir veiksmingas pacientams, kurių inkstų funkcija sutrikusi. </w:t>
      </w:r>
      <w:r w:rsidR="00F93343">
        <w:rPr>
          <w:color w:val="auto"/>
          <w:sz w:val="22"/>
          <w:szCs w:val="22"/>
        </w:rPr>
        <w:t>Dėl to</w:t>
      </w:r>
      <w:r>
        <w:rPr>
          <w:color w:val="auto"/>
          <w:sz w:val="22"/>
          <w:szCs w:val="22"/>
        </w:rPr>
        <w:t xml:space="preserve"> tenofoviro dizoproksilio</w:t>
      </w:r>
      <w:r w:rsidR="0031102E">
        <w:rPr>
          <w:color w:val="auto"/>
          <w:sz w:val="22"/>
          <w:szCs w:val="22"/>
        </w:rPr>
        <w:t xml:space="preserve"> </w:t>
      </w:r>
      <w:r>
        <w:rPr>
          <w:color w:val="auto"/>
          <w:sz w:val="22"/>
          <w:szCs w:val="22"/>
        </w:rPr>
        <w:t xml:space="preserve">galima vartoti tik </w:t>
      </w:r>
      <w:r w:rsidR="00F93343">
        <w:rPr>
          <w:color w:val="auto"/>
          <w:sz w:val="22"/>
          <w:szCs w:val="22"/>
        </w:rPr>
        <w:t xml:space="preserve">jeigu manoma, jog galima </w:t>
      </w:r>
      <w:r>
        <w:rPr>
          <w:color w:val="auto"/>
          <w:sz w:val="22"/>
          <w:szCs w:val="22"/>
        </w:rPr>
        <w:t>gydymo nauda viršija galimą riziką. Pacientams</w:t>
      </w:r>
      <w:r w:rsidR="00F93343">
        <w:rPr>
          <w:color w:val="auto"/>
          <w:sz w:val="22"/>
          <w:szCs w:val="22"/>
        </w:rPr>
        <w:t>, kuriems yra sunkus</w:t>
      </w:r>
      <w:r>
        <w:rPr>
          <w:color w:val="auto"/>
          <w:sz w:val="22"/>
          <w:szCs w:val="22"/>
        </w:rPr>
        <w:t xml:space="preserve"> inkstų funkcijos sutrikim</w:t>
      </w:r>
      <w:r w:rsidR="00F93343">
        <w:rPr>
          <w:color w:val="auto"/>
          <w:sz w:val="22"/>
          <w:szCs w:val="22"/>
        </w:rPr>
        <w:t>as</w:t>
      </w:r>
      <w:r>
        <w:rPr>
          <w:color w:val="auto"/>
          <w:sz w:val="22"/>
          <w:szCs w:val="22"/>
        </w:rPr>
        <w:t xml:space="preserve"> (kreatinino klirensas &lt;</w:t>
      </w:r>
      <w:r w:rsidR="0031102E">
        <w:rPr>
          <w:color w:val="auto"/>
          <w:sz w:val="22"/>
          <w:szCs w:val="22"/>
        </w:rPr>
        <w:t> </w:t>
      </w:r>
      <w:r>
        <w:rPr>
          <w:color w:val="auto"/>
          <w:sz w:val="22"/>
          <w:szCs w:val="22"/>
        </w:rPr>
        <w:t>30</w:t>
      </w:r>
      <w:r w:rsidR="0031102E">
        <w:rPr>
          <w:color w:val="auto"/>
          <w:sz w:val="22"/>
          <w:szCs w:val="22"/>
        </w:rPr>
        <w:t> </w:t>
      </w:r>
      <w:r>
        <w:rPr>
          <w:color w:val="auto"/>
          <w:sz w:val="22"/>
          <w:szCs w:val="22"/>
        </w:rPr>
        <w:t>ml/min.) ir pacientams, kuriems reikalinga hemodializė, skirti tenofoviro dizoproksilio</w:t>
      </w:r>
      <w:r w:rsidR="0031102E">
        <w:rPr>
          <w:color w:val="auto"/>
          <w:sz w:val="22"/>
          <w:szCs w:val="22"/>
        </w:rPr>
        <w:t xml:space="preserve"> </w:t>
      </w:r>
      <w:r>
        <w:rPr>
          <w:color w:val="auto"/>
          <w:sz w:val="22"/>
          <w:szCs w:val="22"/>
        </w:rPr>
        <w:t xml:space="preserve">nerekomenduojama. Jei </w:t>
      </w:r>
      <w:r w:rsidR="00F93343">
        <w:rPr>
          <w:color w:val="auto"/>
          <w:sz w:val="22"/>
          <w:szCs w:val="22"/>
        </w:rPr>
        <w:t>alternatyvaus</w:t>
      </w:r>
      <w:r>
        <w:rPr>
          <w:color w:val="auto"/>
          <w:sz w:val="22"/>
          <w:szCs w:val="22"/>
        </w:rPr>
        <w:t xml:space="preserve"> gydymo nėra, turi būti </w:t>
      </w:r>
      <w:r w:rsidR="00F93343">
        <w:rPr>
          <w:color w:val="auto"/>
          <w:sz w:val="22"/>
          <w:szCs w:val="22"/>
        </w:rPr>
        <w:t>pri</w:t>
      </w:r>
      <w:r>
        <w:rPr>
          <w:color w:val="auto"/>
          <w:sz w:val="22"/>
          <w:szCs w:val="22"/>
        </w:rPr>
        <w:t>derintas dozavimo intervalas ir atidžiai steb</w:t>
      </w:r>
      <w:r w:rsidR="00F93343">
        <w:rPr>
          <w:color w:val="auto"/>
          <w:sz w:val="22"/>
          <w:szCs w:val="22"/>
        </w:rPr>
        <w:t>ima</w:t>
      </w:r>
      <w:r>
        <w:rPr>
          <w:color w:val="auto"/>
          <w:sz w:val="22"/>
          <w:szCs w:val="22"/>
        </w:rPr>
        <w:t xml:space="preserve"> inkstų funkcij</w:t>
      </w:r>
      <w:r w:rsidR="00F93343">
        <w:rPr>
          <w:color w:val="auto"/>
          <w:sz w:val="22"/>
          <w:szCs w:val="22"/>
        </w:rPr>
        <w:t>a</w:t>
      </w:r>
      <w:r>
        <w:rPr>
          <w:color w:val="auto"/>
          <w:sz w:val="22"/>
          <w:szCs w:val="22"/>
        </w:rPr>
        <w:t xml:space="preserve"> (žr. 4.2 ir 5.2 skyrius). </w:t>
      </w:r>
    </w:p>
    <w:p w14:paraId="20EE9DF8" w14:textId="77777777" w:rsidR="00F93343" w:rsidRDefault="00F93343" w:rsidP="00B31577">
      <w:pPr>
        <w:pStyle w:val="Default"/>
        <w:rPr>
          <w:i/>
          <w:iCs/>
          <w:color w:val="auto"/>
          <w:sz w:val="22"/>
          <w:szCs w:val="22"/>
        </w:rPr>
      </w:pPr>
    </w:p>
    <w:p w14:paraId="7D2EEB83" w14:textId="77777777" w:rsidR="00B31577" w:rsidRDefault="00B31577" w:rsidP="00B31577">
      <w:pPr>
        <w:pStyle w:val="Default"/>
        <w:rPr>
          <w:color w:val="auto"/>
          <w:sz w:val="22"/>
          <w:szCs w:val="22"/>
        </w:rPr>
      </w:pPr>
      <w:r>
        <w:rPr>
          <w:i/>
          <w:iCs/>
          <w:color w:val="auto"/>
          <w:sz w:val="22"/>
          <w:szCs w:val="22"/>
        </w:rPr>
        <w:t xml:space="preserve">Poveikis kaulams </w:t>
      </w:r>
    </w:p>
    <w:p w14:paraId="0C0DF82E" w14:textId="77777777" w:rsidR="00F53B24" w:rsidRDefault="00B31577" w:rsidP="00B31577">
      <w:pPr>
        <w:pStyle w:val="Default"/>
        <w:rPr>
          <w:color w:val="auto"/>
          <w:sz w:val="22"/>
          <w:szCs w:val="22"/>
        </w:rPr>
      </w:pPr>
      <w:r>
        <w:rPr>
          <w:color w:val="auto"/>
          <w:sz w:val="22"/>
          <w:szCs w:val="22"/>
        </w:rPr>
        <w:t>144 savaičių trukmės kontroliuo</w:t>
      </w:r>
      <w:r w:rsidR="00F93343">
        <w:rPr>
          <w:color w:val="auto"/>
          <w:sz w:val="22"/>
          <w:szCs w:val="22"/>
        </w:rPr>
        <w:t>jamo</w:t>
      </w:r>
      <w:r>
        <w:rPr>
          <w:color w:val="auto"/>
          <w:sz w:val="22"/>
          <w:szCs w:val="22"/>
        </w:rPr>
        <w:t xml:space="preserve"> klinikinio tyrimo</w:t>
      </w:r>
      <w:r w:rsidR="00F93343">
        <w:rPr>
          <w:color w:val="auto"/>
          <w:sz w:val="22"/>
          <w:szCs w:val="22"/>
        </w:rPr>
        <w:t>, kuriame dalyvavusiems</w:t>
      </w:r>
      <w:r>
        <w:rPr>
          <w:color w:val="auto"/>
          <w:sz w:val="22"/>
          <w:szCs w:val="22"/>
        </w:rPr>
        <w:t xml:space="preserve"> antiretrovirusiniais vaist</w:t>
      </w:r>
      <w:r w:rsidR="00F93343">
        <w:rPr>
          <w:color w:val="auto"/>
          <w:sz w:val="22"/>
          <w:szCs w:val="22"/>
        </w:rPr>
        <w:t>iniais preparatais</w:t>
      </w:r>
      <w:r>
        <w:rPr>
          <w:color w:val="auto"/>
          <w:sz w:val="22"/>
          <w:szCs w:val="22"/>
        </w:rPr>
        <w:t xml:space="preserve"> negydyt</w:t>
      </w:r>
      <w:r w:rsidR="00F93343">
        <w:rPr>
          <w:color w:val="auto"/>
          <w:sz w:val="22"/>
          <w:szCs w:val="22"/>
        </w:rPr>
        <w:t>iems</w:t>
      </w:r>
      <w:r>
        <w:rPr>
          <w:color w:val="auto"/>
          <w:sz w:val="22"/>
          <w:szCs w:val="22"/>
        </w:rPr>
        <w:t xml:space="preserve"> ŽIV-1 infekuot</w:t>
      </w:r>
      <w:r w:rsidR="00F93343">
        <w:rPr>
          <w:color w:val="auto"/>
          <w:sz w:val="22"/>
          <w:szCs w:val="22"/>
        </w:rPr>
        <w:t>iems</w:t>
      </w:r>
      <w:r>
        <w:rPr>
          <w:color w:val="auto"/>
          <w:sz w:val="22"/>
          <w:szCs w:val="22"/>
        </w:rPr>
        <w:t xml:space="preserve"> suaug</w:t>
      </w:r>
      <w:r w:rsidR="00F93343">
        <w:rPr>
          <w:color w:val="auto"/>
          <w:sz w:val="22"/>
          <w:szCs w:val="22"/>
        </w:rPr>
        <w:t>usiems</w:t>
      </w:r>
      <w:r>
        <w:rPr>
          <w:color w:val="auto"/>
          <w:sz w:val="22"/>
          <w:szCs w:val="22"/>
        </w:rPr>
        <w:t xml:space="preserve"> pacienta</w:t>
      </w:r>
      <w:r w:rsidR="00F93343">
        <w:rPr>
          <w:color w:val="auto"/>
          <w:sz w:val="22"/>
          <w:szCs w:val="22"/>
        </w:rPr>
        <w:t>ms</w:t>
      </w:r>
      <w:r>
        <w:rPr>
          <w:color w:val="auto"/>
          <w:sz w:val="22"/>
          <w:szCs w:val="22"/>
        </w:rPr>
        <w:t xml:space="preserve"> buvo lyginamas tenofoviro dizoproksilio</w:t>
      </w:r>
      <w:r w:rsidR="0031102E">
        <w:rPr>
          <w:color w:val="auto"/>
          <w:sz w:val="22"/>
          <w:szCs w:val="22"/>
        </w:rPr>
        <w:t xml:space="preserve"> </w:t>
      </w:r>
      <w:r>
        <w:rPr>
          <w:color w:val="auto"/>
          <w:sz w:val="22"/>
          <w:szCs w:val="22"/>
        </w:rPr>
        <w:t>ir stavudino, vartojamų kartu su lamivudinu ir efavirenzu, poveikis,</w:t>
      </w:r>
      <w:r w:rsidR="00F93343">
        <w:rPr>
          <w:color w:val="auto"/>
          <w:sz w:val="22"/>
          <w:szCs w:val="22"/>
        </w:rPr>
        <w:t xml:space="preserve"> </w:t>
      </w:r>
      <w:r>
        <w:rPr>
          <w:color w:val="auto"/>
          <w:sz w:val="22"/>
          <w:szCs w:val="22"/>
        </w:rPr>
        <w:t xml:space="preserve">abiejose gydymo grupėse buvo nustatytas nedidelis šlaunikaulio ir stuburo kaulų mineralinio tankio (KMT) sumažėjimas. </w:t>
      </w:r>
      <w:r w:rsidR="00F93343">
        <w:rPr>
          <w:color w:val="auto"/>
          <w:sz w:val="22"/>
          <w:szCs w:val="22"/>
        </w:rPr>
        <w:t>144 savaitę s</w:t>
      </w:r>
      <w:r>
        <w:rPr>
          <w:color w:val="auto"/>
          <w:sz w:val="22"/>
          <w:szCs w:val="22"/>
        </w:rPr>
        <w:t xml:space="preserve">tuburo KMT sumažėjimas ir kaulų biologinių žymenų kiekio pokyčiai, palyginti su pradiniais, buvo </w:t>
      </w:r>
      <w:r w:rsidR="00F53B24">
        <w:rPr>
          <w:color w:val="auto"/>
          <w:sz w:val="22"/>
          <w:szCs w:val="22"/>
        </w:rPr>
        <w:t>reikšmingai</w:t>
      </w:r>
      <w:r>
        <w:rPr>
          <w:color w:val="auto"/>
          <w:sz w:val="22"/>
          <w:szCs w:val="22"/>
        </w:rPr>
        <w:t xml:space="preserve"> didesni tenofoviro dizoproksili</w:t>
      </w:r>
      <w:r w:rsidR="0031102E">
        <w:rPr>
          <w:color w:val="auto"/>
          <w:sz w:val="22"/>
          <w:szCs w:val="22"/>
        </w:rPr>
        <w:t xml:space="preserve">u </w:t>
      </w:r>
      <w:r>
        <w:rPr>
          <w:color w:val="auto"/>
          <w:sz w:val="22"/>
          <w:szCs w:val="22"/>
        </w:rPr>
        <w:t xml:space="preserve">gydytoje grupėje. Šlaunikaulio KMT sumažėjimas buvo </w:t>
      </w:r>
      <w:r w:rsidR="00F53B24">
        <w:rPr>
          <w:color w:val="auto"/>
          <w:sz w:val="22"/>
          <w:szCs w:val="22"/>
        </w:rPr>
        <w:t>reikšmingai</w:t>
      </w:r>
      <w:r>
        <w:rPr>
          <w:color w:val="auto"/>
          <w:sz w:val="22"/>
          <w:szCs w:val="22"/>
        </w:rPr>
        <w:t xml:space="preserve"> didesnis šioje grupėje iki 96 savaitės. Tačiau per 144 gydymo savaites nenustatyta didesnės lūžių rizikos ar kliniškai reikšmingų kaulų pokyčių. </w:t>
      </w:r>
    </w:p>
    <w:p w14:paraId="0EF6AC4B" w14:textId="77777777" w:rsidR="00B31577" w:rsidRDefault="00B31577" w:rsidP="00B31577">
      <w:pPr>
        <w:pStyle w:val="Default"/>
        <w:rPr>
          <w:color w:val="auto"/>
          <w:sz w:val="22"/>
          <w:szCs w:val="22"/>
        </w:rPr>
      </w:pPr>
    </w:p>
    <w:p w14:paraId="283C79D6" w14:textId="77777777" w:rsidR="00B31577" w:rsidRDefault="00B31577" w:rsidP="00B31577">
      <w:pPr>
        <w:pStyle w:val="Default"/>
        <w:rPr>
          <w:color w:val="auto"/>
          <w:sz w:val="22"/>
          <w:szCs w:val="22"/>
        </w:rPr>
      </w:pPr>
      <w:r>
        <w:rPr>
          <w:color w:val="auto"/>
          <w:sz w:val="22"/>
          <w:szCs w:val="22"/>
        </w:rPr>
        <w:t xml:space="preserve">Atliekant kitus tyrimus (perspektyvinius ir </w:t>
      </w:r>
      <w:r w:rsidR="00F53B24">
        <w:rPr>
          <w:color w:val="auto"/>
          <w:sz w:val="22"/>
          <w:szCs w:val="22"/>
        </w:rPr>
        <w:t>kryžminius grupinius</w:t>
      </w:r>
      <w:r>
        <w:rPr>
          <w:color w:val="auto"/>
          <w:sz w:val="22"/>
          <w:szCs w:val="22"/>
        </w:rPr>
        <w:t xml:space="preserve">), didžiausias KMT sumažėjimas nustatytas pacientams, kuriems buvo taikomas gydymas tenofoviro dizoproksilio </w:t>
      </w:r>
      <w:r w:rsidR="00F53B24">
        <w:rPr>
          <w:color w:val="auto"/>
          <w:sz w:val="22"/>
          <w:szCs w:val="22"/>
        </w:rPr>
        <w:t>, kuris buvo kaip sudedamoji dalis gydymo režimo, kurios sudėtyje buvo</w:t>
      </w:r>
      <w:r>
        <w:rPr>
          <w:color w:val="auto"/>
          <w:sz w:val="22"/>
          <w:szCs w:val="22"/>
        </w:rPr>
        <w:t xml:space="preserve"> sustiprint</w:t>
      </w:r>
      <w:r w:rsidR="00F53B24">
        <w:rPr>
          <w:color w:val="auto"/>
          <w:sz w:val="22"/>
          <w:szCs w:val="22"/>
        </w:rPr>
        <w:t>as</w:t>
      </w:r>
      <w:r>
        <w:rPr>
          <w:color w:val="auto"/>
          <w:sz w:val="22"/>
          <w:szCs w:val="22"/>
        </w:rPr>
        <w:t xml:space="preserve"> proteaz</w:t>
      </w:r>
      <w:r w:rsidR="00F53B24">
        <w:rPr>
          <w:color w:val="auto"/>
          <w:sz w:val="22"/>
          <w:szCs w:val="22"/>
        </w:rPr>
        <w:t>ės</w:t>
      </w:r>
      <w:r>
        <w:rPr>
          <w:color w:val="auto"/>
          <w:sz w:val="22"/>
          <w:szCs w:val="22"/>
        </w:rPr>
        <w:t xml:space="preserve"> inhibitoriu</w:t>
      </w:r>
      <w:r w:rsidR="00F53B24">
        <w:rPr>
          <w:color w:val="auto"/>
          <w:sz w:val="22"/>
          <w:szCs w:val="22"/>
        </w:rPr>
        <w:t>s</w:t>
      </w:r>
      <w:r>
        <w:rPr>
          <w:color w:val="auto"/>
          <w:sz w:val="22"/>
          <w:szCs w:val="22"/>
        </w:rPr>
        <w:t xml:space="preserve">. Osteoporoze sergantiems pacientams, kuriems yra didelė lūžių rizika, </w:t>
      </w:r>
      <w:r w:rsidR="00F53B24">
        <w:rPr>
          <w:color w:val="auto"/>
          <w:sz w:val="22"/>
          <w:szCs w:val="22"/>
        </w:rPr>
        <w:t>turi būti</w:t>
      </w:r>
      <w:r>
        <w:rPr>
          <w:color w:val="auto"/>
          <w:sz w:val="22"/>
          <w:szCs w:val="22"/>
        </w:rPr>
        <w:t xml:space="preserve"> ap</w:t>
      </w:r>
      <w:r w:rsidR="00F53B24">
        <w:rPr>
          <w:color w:val="auto"/>
          <w:sz w:val="22"/>
          <w:szCs w:val="22"/>
        </w:rPr>
        <w:t>svarstyti alternatyvaus gydymo režimai</w:t>
      </w:r>
      <w:r>
        <w:rPr>
          <w:color w:val="auto"/>
          <w:sz w:val="22"/>
          <w:szCs w:val="22"/>
        </w:rPr>
        <w:t xml:space="preserve">. </w:t>
      </w:r>
    </w:p>
    <w:p w14:paraId="331AD03F" w14:textId="77777777" w:rsidR="00387556" w:rsidRDefault="00387556" w:rsidP="00B31577">
      <w:pPr>
        <w:pStyle w:val="Default"/>
        <w:rPr>
          <w:color w:val="auto"/>
          <w:sz w:val="22"/>
          <w:szCs w:val="22"/>
        </w:rPr>
      </w:pPr>
    </w:p>
    <w:p w14:paraId="26B3E1FF" w14:textId="77777777" w:rsidR="00387556" w:rsidRDefault="00B31577" w:rsidP="00B31577">
      <w:pPr>
        <w:pStyle w:val="Default"/>
        <w:rPr>
          <w:color w:val="auto"/>
          <w:sz w:val="22"/>
          <w:szCs w:val="22"/>
        </w:rPr>
      </w:pPr>
      <w:r>
        <w:rPr>
          <w:color w:val="auto"/>
          <w:sz w:val="22"/>
          <w:szCs w:val="22"/>
        </w:rPr>
        <w:t xml:space="preserve">Kaulų pokyčiai (dėl kurių retais atvejais gali įvykti lūžiai) gali būti </w:t>
      </w:r>
      <w:r w:rsidR="00387556">
        <w:rPr>
          <w:color w:val="auto"/>
          <w:sz w:val="22"/>
          <w:szCs w:val="22"/>
        </w:rPr>
        <w:t>susiję</w:t>
      </w:r>
      <w:r>
        <w:rPr>
          <w:color w:val="auto"/>
          <w:sz w:val="22"/>
          <w:szCs w:val="22"/>
        </w:rPr>
        <w:t xml:space="preserve"> su </w:t>
      </w:r>
      <w:r w:rsidRPr="00AE3AFC">
        <w:rPr>
          <w:color w:val="auto"/>
          <w:sz w:val="22"/>
          <w:szCs w:val="22"/>
        </w:rPr>
        <w:t>proksimaline inkstų tubulopatija</w:t>
      </w:r>
      <w:r>
        <w:rPr>
          <w:color w:val="auto"/>
          <w:sz w:val="22"/>
          <w:szCs w:val="22"/>
        </w:rPr>
        <w:t xml:space="preserve"> (žr. 4.8 skyrių).</w:t>
      </w:r>
    </w:p>
    <w:p w14:paraId="5DF1B6B2" w14:textId="77777777" w:rsidR="00B31577" w:rsidRDefault="00B31577" w:rsidP="00B31577">
      <w:pPr>
        <w:pStyle w:val="Default"/>
        <w:rPr>
          <w:color w:val="auto"/>
          <w:sz w:val="22"/>
          <w:szCs w:val="22"/>
        </w:rPr>
      </w:pPr>
    </w:p>
    <w:p w14:paraId="1CFABA4F" w14:textId="77777777" w:rsidR="00B31577" w:rsidRDefault="00B31577" w:rsidP="00B31577">
      <w:pPr>
        <w:pStyle w:val="Default"/>
        <w:rPr>
          <w:color w:val="auto"/>
          <w:sz w:val="22"/>
          <w:szCs w:val="22"/>
        </w:rPr>
      </w:pPr>
      <w:r>
        <w:rPr>
          <w:color w:val="auto"/>
          <w:sz w:val="22"/>
          <w:szCs w:val="22"/>
        </w:rPr>
        <w:t xml:space="preserve">Jeigu įtariami arba nustatyti kaulų pokyčiai, reikia kreiptis į atitinkamą specialistą </w:t>
      </w:r>
      <w:r w:rsidR="00387556">
        <w:rPr>
          <w:color w:val="auto"/>
          <w:sz w:val="22"/>
          <w:szCs w:val="22"/>
        </w:rPr>
        <w:t>konsultacijos</w:t>
      </w:r>
      <w:r>
        <w:rPr>
          <w:color w:val="auto"/>
          <w:sz w:val="22"/>
          <w:szCs w:val="22"/>
        </w:rPr>
        <w:t xml:space="preserve">. </w:t>
      </w:r>
    </w:p>
    <w:p w14:paraId="59CA34E6" w14:textId="77777777" w:rsidR="00387556" w:rsidRDefault="00387556" w:rsidP="00B31577">
      <w:pPr>
        <w:pStyle w:val="Default"/>
        <w:rPr>
          <w:color w:val="auto"/>
          <w:sz w:val="22"/>
          <w:szCs w:val="22"/>
        </w:rPr>
      </w:pPr>
    </w:p>
    <w:p w14:paraId="3D5C5158" w14:textId="77777777" w:rsidR="00B31577" w:rsidRPr="00387556" w:rsidRDefault="00B31577" w:rsidP="00B31577">
      <w:pPr>
        <w:pStyle w:val="Default"/>
        <w:rPr>
          <w:color w:val="auto"/>
          <w:sz w:val="22"/>
          <w:szCs w:val="22"/>
          <w:u w:val="single"/>
        </w:rPr>
      </w:pPr>
      <w:r w:rsidRPr="00387556">
        <w:rPr>
          <w:color w:val="auto"/>
          <w:sz w:val="22"/>
          <w:szCs w:val="22"/>
          <w:u w:val="single"/>
        </w:rPr>
        <w:t xml:space="preserve">Poveikis inkstams ir kaulams vaikų populiacijoje </w:t>
      </w:r>
    </w:p>
    <w:p w14:paraId="19A96521" w14:textId="77777777" w:rsidR="00B31577" w:rsidRDefault="00387556" w:rsidP="00B31577">
      <w:pPr>
        <w:pStyle w:val="Default"/>
        <w:rPr>
          <w:color w:val="auto"/>
          <w:sz w:val="22"/>
          <w:szCs w:val="22"/>
        </w:rPr>
      </w:pPr>
      <w:r>
        <w:rPr>
          <w:color w:val="auto"/>
          <w:sz w:val="22"/>
          <w:szCs w:val="22"/>
        </w:rPr>
        <w:t>Yra neaiškumų, susijusių su i</w:t>
      </w:r>
      <w:r w:rsidR="00B31577">
        <w:rPr>
          <w:color w:val="auto"/>
          <w:sz w:val="22"/>
          <w:szCs w:val="22"/>
        </w:rPr>
        <w:t>lgalaiki</w:t>
      </w:r>
      <w:r>
        <w:rPr>
          <w:color w:val="auto"/>
          <w:sz w:val="22"/>
          <w:szCs w:val="22"/>
        </w:rPr>
        <w:t>u</w:t>
      </w:r>
      <w:r w:rsidR="00B31577">
        <w:rPr>
          <w:color w:val="auto"/>
          <w:sz w:val="22"/>
          <w:szCs w:val="22"/>
        </w:rPr>
        <w:t xml:space="preserve"> poveiki</w:t>
      </w:r>
      <w:r>
        <w:rPr>
          <w:color w:val="auto"/>
          <w:sz w:val="22"/>
          <w:szCs w:val="22"/>
        </w:rPr>
        <w:t>u</w:t>
      </w:r>
      <w:r w:rsidR="00B31577">
        <w:rPr>
          <w:color w:val="auto"/>
          <w:sz w:val="22"/>
          <w:szCs w:val="22"/>
        </w:rPr>
        <w:t xml:space="preserve"> kaulams ir toksini</w:t>
      </w:r>
      <w:r>
        <w:rPr>
          <w:color w:val="auto"/>
          <w:sz w:val="22"/>
          <w:szCs w:val="22"/>
        </w:rPr>
        <w:t>u</w:t>
      </w:r>
      <w:r w:rsidR="00B31577">
        <w:rPr>
          <w:color w:val="auto"/>
          <w:sz w:val="22"/>
          <w:szCs w:val="22"/>
        </w:rPr>
        <w:t xml:space="preserve"> poveiki</w:t>
      </w:r>
      <w:r>
        <w:rPr>
          <w:color w:val="auto"/>
          <w:sz w:val="22"/>
          <w:szCs w:val="22"/>
        </w:rPr>
        <w:t>u</w:t>
      </w:r>
      <w:r w:rsidR="00B31577">
        <w:rPr>
          <w:color w:val="auto"/>
          <w:sz w:val="22"/>
          <w:szCs w:val="22"/>
        </w:rPr>
        <w:t xml:space="preserve"> inkstams. Toksinio poveikio inkstams grįžtamumas taip pat nėra visiškai nustatytas. Todėl rekomenduojama </w:t>
      </w:r>
      <w:r w:rsidR="002E0F33">
        <w:rPr>
          <w:color w:val="auto"/>
          <w:sz w:val="22"/>
          <w:szCs w:val="22"/>
        </w:rPr>
        <w:t>įvairia</w:t>
      </w:r>
      <w:r w:rsidR="00B31577">
        <w:rPr>
          <w:color w:val="auto"/>
          <w:sz w:val="22"/>
          <w:szCs w:val="22"/>
        </w:rPr>
        <w:t>pusiškai kiekvienu individualiu atveju tinkamai pasverti gydymo naudos ir rizikos santykį, skirti tinkamą stebėjimą gydymo metu (</w:t>
      </w:r>
      <w:r>
        <w:rPr>
          <w:color w:val="auto"/>
          <w:sz w:val="22"/>
          <w:szCs w:val="22"/>
        </w:rPr>
        <w:t>įskaitant sprendimą dėl</w:t>
      </w:r>
      <w:r w:rsidR="00B31577">
        <w:rPr>
          <w:color w:val="auto"/>
          <w:sz w:val="22"/>
          <w:szCs w:val="22"/>
        </w:rPr>
        <w:t xml:space="preserve"> gydymo nutraukim</w:t>
      </w:r>
      <w:r>
        <w:rPr>
          <w:color w:val="auto"/>
          <w:sz w:val="22"/>
          <w:szCs w:val="22"/>
        </w:rPr>
        <w:t>o</w:t>
      </w:r>
      <w:r w:rsidR="00B31577">
        <w:rPr>
          <w:color w:val="auto"/>
          <w:sz w:val="22"/>
          <w:szCs w:val="22"/>
        </w:rPr>
        <w:t xml:space="preserve">) ir </w:t>
      </w:r>
      <w:r>
        <w:rPr>
          <w:color w:val="auto"/>
          <w:sz w:val="22"/>
          <w:szCs w:val="22"/>
        </w:rPr>
        <w:t xml:space="preserve">apgalvoti </w:t>
      </w:r>
      <w:r w:rsidR="00B31577">
        <w:rPr>
          <w:color w:val="auto"/>
          <w:sz w:val="22"/>
          <w:szCs w:val="22"/>
        </w:rPr>
        <w:t>papildom</w:t>
      </w:r>
      <w:r w:rsidR="002E0F33">
        <w:rPr>
          <w:color w:val="auto"/>
          <w:sz w:val="22"/>
          <w:szCs w:val="22"/>
        </w:rPr>
        <w:t>ų priemonių poreikį</w:t>
      </w:r>
      <w:r w:rsidR="00B31577">
        <w:rPr>
          <w:color w:val="auto"/>
          <w:sz w:val="22"/>
          <w:szCs w:val="22"/>
        </w:rPr>
        <w:t xml:space="preserve">. </w:t>
      </w:r>
    </w:p>
    <w:p w14:paraId="12995365" w14:textId="77777777" w:rsidR="002E0F33" w:rsidRDefault="002E0F33" w:rsidP="00B31577">
      <w:pPr>
        <w:pStyle w:val="Default"/>
        <w:rPr>
          <w:i/>
          <w:iCs/>
          <w:color w:val="auto"/>
          <w:sz w:val="22"/>
          <w:szCs w:val="22"/>
        </w:rPr>
      </w:pPr>
    </w:p>
    <w:p w14:paraId="1F210A35" w14:textId="77777777" w:rsidR="00B31577" w:rsidRDefault="00B31577" w:rsidP="00B31577">
      <w:pPr>
        <w:pStyle w:val="Default"/>
        <w:rPr>
          <w:color w:val="auto"/>
          <w:sz w:val="22"/>
          <w:szCs w:val="22"/>
        </w:rPr>
      </w:pPr>
      <w:r>
        <w:rPr>
          <w:i/>
          <w:iCs/>
          <w:color w:val="auto"/>
          <w:sz w:val="22"/>
          <w:szCs w:val="22"/>
        </w:rPr>
        <w:t xml:space="preserve">Poveikis inkstams </w:t>
      </w:r>
    </w:p>
    <w:p w14:paraId="519155CA" w14:textId="77777777" w:rsidR="00B31577" w:rsidRDefault="00B31577" w:rsidP="00B31577">
      <w:pPr>
        <w:pStyle w:val="Default"/>
        <w:rPr>
          <w:color w:val="auto"/>
          <w:sz w:val="22"/>
          <w:szCs w:val="22"/>
        </w:rPr>
      </w:pPr>
      <w:r>
        <w:rPr>
          <w:color w:val="auto"/>
          <w:sz w:val="22"/>
          <w:szCs w:val="22"/>
        </w:rPr>
        <w:lastRenderedPageBreak/>
        <w:t xml:space="preserve">Inkstų nepageidaujamos reakcijos, rodančios </w:t>
      </w:r>
      <w:r w:rsidRPr="00AE3AFC">
        <w:rPr>
          <w:color w:val="auto"/>
          <w:sz w:val="22"/>
          <w:szCs w:val="22"/>
        </w:rPr>
        <w:t>proksimalinę inkstų tubulopatiją</w:t>
      </w:r>
      <w:r>
        <w:rPr>
          <w:color w:val="auto"/>
          <w:sz w:val="22"/>
          <w:szCs w:val="22"/>
        </w:rPr>
        <w:t xml:space="preserve">, nustatytos ŽIV-1 infekuotiems pacientams vaikams nuo 2 iki &lt; 12 metų klinikinio tyrimo GS-US-104-0352 metu (žr. 4.8 ir 5.1 skyrius). </w:t>
      </w:r>
    </w:p>
    <w:p w14:paraId="4F950B9C" w14:textId="77777777" w:rsidR="002E0F33" w:rsidRDefault="002E0F33" w:rsidP="00B31577">
      <w:pPr>
        <w:pStyle w:val="Default"/>
        <w:rPr>
          <w:i/>
          <w:iCs/>
          <w:color w:val="auto"/>
          <w:sz w:val="22"/>
          <w:szCs w:val="22"/>
        </w:rPr>
      </w:pPr>
    </w:p>
    <w:p w14:paraId="23EB48B9" w14:textId="77777777" w:rsidR="00B31577" w:rsidRDefault="00B31577" w:rsidP="00B31577">
      <w:pPr>
        <w:pStyle w:val="Default"/>
        <w:rPr>
          <w:color w:val="auto"/>
          <w:sz w:val="22"/>
          <w:szCs w:val="22"/>
        </w:rPr>
      </w:pPr>
      <w:r>
        <w:rPr>
          <w:i/>
          <w:iCs/>
          <w:color w:val="auto"/>
          <w:sz w:val="22"/>
          <w:szCs w:val="22"/>
        </w:rPr>
        <w:t xml:space="preserve">Inkstų funkcijos stebėjimas </w:t>
      </w:r>
    </w:p>
    <w:p w14:paraId="1451AE03" w14:textId="77777777" w:rsidR="002E0F33" w:rsidRDefault="00B31577" w:rsidP="002E0F33">
      <w:pPr>
        <w:tabs>
          <w:tab w:val="left" w:pos="0"/>
        </w:tabs>
      </w:pPr>
      <w:r>
        <w:t>Inkstų funkcij</w:t>
      </w:r>
      <w:r w:rsidR="002E0F33">
        <w:t>a</w:t>
      </w:r>
      <w:r>
        <w:t xml:space="preserve"> (kreatinino klirens</w:t>
      </w:r>
      <w:r w:rsidR="002E0F33">
        <w:t>as</w:t>
      </w:r>
      <w:r>
        <w:t xml:space="preserve"> ir fosfatų kiek</w:t>
      </w:r>
      <w:r w:rsidR="002E0F33">
        <w:t>is kraujo serume) turi būti įvertinta prieš gydymą ir gydymo metu stebima kaip suaugusiesiems (žr. aukščiau).</w:t>
      </w:r>
    </w:p>
    <w:p w14:paraId="1C8D6389" w14:textId="77777777" w:rsidR="002E0F33" w:rsidRDefault="002E0F33" w:rsidP="002E0F33">
      <w:pPr>
        <w:tabs>
          <w:tab w:val="left" w:pos="567"/>
        </w:tabs>
        <w:ind w:left="567" w:hanging="567"/>
      </w:pPr>
    </w:p>
    <w:p w14:paraId="77304C51" w14:textId="77777777" w:rsidR="002E0F33" w:rsidRDefault="002E0F33" w:rsidP="002E0F33">
      <w:pPr>
        <w:tabs>
          <w:tab w:val="left" w:pos="567"/>
        </w:tabs>
        <w:ind w:left="567" w:hanging="567"/>
      </w:pPr>
      <w:r>
        <w:rPr>
          <w:i/>
          <w:iCs/>
        </w:rPr>
        <w:t xml:space="preserve">Inkstų funkcijos gydymas </w:t>
      </w:r>
    </w:p>
    <w:p w14:paraId="12ECBF8E" w14:textId="77777777" w:rsidR="004B4323" w:rsidRDefault="002E0F33" w:rsidP="002E0F33">
      <w:pPr>
        <w:pStyle w:val="Default"/>
        <w:rPr>
          <w:color w:val="auto"/>
          <w:sz w:val="22"/>
          <w:szCs w:val="22"/>
        </w:rPr>
      </w:pPr>
      <w:r>
        <w:rPr>
          <w:color w:val="auto"/>
          <w:sz w:val="22"/>
          <w:szCs w:val="22"/>
        </w:rPr>
        <w:t>Jeigu bet kuriam pacientui vaikui ar paaugliui, gaunančiam tenofoviro dizoproksilio, kraujo serume nustatytas fosfatų kiekis yra &lt;</w:t>
      </w:r>
      <w:r w:rsidR="00054574">
        <w:rPr>
          <w:color w:val="auto"/>
          <w:sz w:val="22"/>
          <w:szCs w:val="22"/>
        </w:rPr>
        <w:t> </w:t>
      </w:r>
      <w:r>
        <w:rPr>
          <w:color w:val="auto"/>
          <w:sz w:val="22"/>
          <w:szCs w:val="22"/>
        </w:rPr>
        <w:t>3,0</w:t>
      </w:r>
      <w:r w:rsidR="00054574">
        <w:rPr>
          <w:color w:val="auto"/>
          <w:sz w:val="22"/>
          <w:szCs w:val="22"/>
        </w:rPr>
        <w:t> </w:t>
      </w:r>
      <w:r>
        <w:rPr>
          <w:color w:val="auto"/>
          <w:sz w:val="22"/>
          <w:szCs w:val="22"/>
        </w:rPr>
        <w:t>mg/dl (0,96</w:t>
      </w:r>
      <w:r w:rsidR="00054574">
        <w:rPr>
          <w:color w:val="auto"/>
          <w:sz w:val="22"/>
          <w:szCs w:val="22"/>
        </w:rPr>
        <w:t> </w:t>
      </w:r>
      <w:r>
        <w:rPr>
          <w:color w:val="auto"/>
          <w:sz w:val="22"/>
          <w:szCs w:val="22"/>
        </w:rPr>
        <w:t xml:space="preserve">mmol/l), vienos savaitės laikotarpiu reikia pakartotinai įvertinti inkstų funkciją, įskaitant ir gliukozės koncentracijų kraujyje, kalio koncentracijų kraujyje ir gliukozės koncentracijų šlapime matavimus (žr. 4.8 skyrių, </w:t>
      </w:r>
      <w:r w:rsidRPr="00AE3AFC">
        <w:rPr>
          <w:color w:val="auto"/>
          <w:sz w:val="22"/>
          <w:szCs w:val="22"/>
        </w:rPr>
        <w:t>proksimalinė tubulopatija</w:t>
      </w:r>
      <w:r>
        <w:rPr>
          <w:color w:val="auto"/>
          <w:sz w:val="22"/>
          <w:szCs w:val="22"/>
        </w:rPr>
        <w:t xml:space="preserve">). Jeigu įtariami arba nustatyti inkstų pokyčiai, reikia kreiptis į nefrologą </w:t>
      </w:r>
      <w:r w:rsidR="004B4323">
        <w:rPr>
          <w:color w:val="auto"/>
          <w:sz w:val="22"/>
          <w:szCs w:val="22"/>
        </w:rPr>
        <w:t>konsultacijos</w:t>
      </w:r>
      <w:r>
        <w:rPr>
          <w:color w:val="auto"/>
          <w:sz w:val="22"/>
          <w:szCs w:val="22"/>
        </w:rPr>
        <w:t>, kad būtų apsvarstyta būtinybė sustabdyti gydymą tenofoviro dizoproksili</w:t>
      </w:r>
      <w:r w:rsidR="00054574">
        <w:rPr>
          <w:color w:val="auto"/>
          <w:sz w:val="22"/>
          <w:szCs w:val="22"/>
        </w:rPr>
        <w:t>u</w:t>
      </w:r>
      <w:r>
        <w:rPr>
          <w:color w:val="auto"/>
          <w:sz w:val="22"/>
          <w:szCs w:val="22"/>
        </w:rPr>
        <w:t xml:space="preserve">. </w:t>
      </w:r>
    </w:p>
    <w:p w14:paraId="1F7D7571" w14:textId="77777777" w:rsidR="004B4323" w:rsidRPr="004B4323" w:rsidRDefault="004B4323" w:rsidP="002E0F33">
      <w:pPr>
        <w:pStyle w:val="Default"/>
        <w:rPr>
          <w:color w:val="auto"/>
          <w:sz w:val="22"/>
          <w:szCs w:val="22"/>
        </w:rPr>
      </w:pPr>
    </w:p>
    <w:p w14:paraId="2B0F3523" w14:textId="77777777" w:rsidR="004B4323" w:rsidRPr="004B4323" w:rsidRDefault="004B4323" w:rsidP="002E0F33">
      <w:pPr>
        <w:pStyle w:val="Default"/>
        <w:rPr>
          <w:sz w:val="22"/>
          <w:szCs w:val="22"/>
          <w:lang w:eastAsia="en-US"/>
        </w:rPr>
      </w:pPr>
      <w:r w:rsidRPr="004B4323">
        <w:rPr>
          <w:sz w:val="22"/>
          <w:szCs w:val="22"/>
          <w:lang w:eastAsia="en-US"/>
        </w:rPr>
        <w:t>Apgalvoti gydymo tenofoviro dizoproksili</w:t>
      </w:r>
      <w:r w:rsidR="00054574">
        <w:rPr>
          <w:sz w:val="22"/>
          <w:szCs w:val="22"/>
          <w:lang w:eastAsia="en-US"/>
        </w:rPr>
        <w:t>u</w:t>
      </w:r>
      <w:r w:rsidRPr="004B4323">
        <w:rPr>
          <w:sz w:val="22"/>
          <w:szCs w:val="22"/>
          <w:lang w:eastAsia="en-US"/>
        </w:rPr>
        <w:t xml:space="preserve"> nutraukimą taip pat reikia esant progresuojančiam inkstų funkcijos silpnėjimui, kai nenustatyta jokia kita priežastis.</w:t>
      </w:r>
    </w:p>
    <w:p w14:paraId="01764554" w14:textId="77777777" w:rsidR="004B4323" w:rsidRDefault="004B4323" w:rsidP="002E0F33">
      <w:pPr>
        <w:pStyle w:val="Default"/>
        <w:rPr>
          <w:color w:val="auto"/>
          <w:sz w:val="22"/>
          <w:szCs w:val="22"/>
        </w:rPr>
      </w:pPr>
    </w:p>
    <w:p w14:paraId="314E512D" w14:textId="77777777" w:rsidR="002E0F33" w:rsidRDefault="002E0F33" w:rsidP="002E0F33">
      <w:pPr>
        <w:pStyle w:val="Default"/>
        <w:rPr>
          <w:color w:val="auto"/>
          <w:sz w:val="22"/>
          <w:szCs w:val="22"/>
        </w:rPr>
      </w:pPr>
      <w:r>
        <w:rPr>
          <w:i/>
          <w:iCs/>
          <w:color w:val="auto"/>
          <w:sz w:val="22"/>
          <w:szCs w:val="22"/>
        </w:rPr>
        <w:t xml:space="preserve">Vartojimas kartu su kitais vaistiniais preparatais ir toksinio poveikio inkstams rizika </w:t>
      </w:r>
    </w:p>
    <w:p w14:paraId="248D04E4" w14:textId="77777777" w:rsidR="002E0F33" w:rsidRDefault="002E0F33" w:rsidP="002E0F33">
      <w:pPr>
        <w:pStyle w:val="Default"/>
        <w:rPr>
          <w:color w:val="auto"/>
          <w:sz w:val="22"/>
          <w:szCs w:val="22"/>
        </w:rPr>
      </w:pPr>
      <w:r>
        <w:rPr>
          <w:color w:val="auto"/>
          <w:sz w:val="22"/>
          <w:szCs w:val="22"/>
        </w:rPr>
        <w:t xml:space="preserve">Taikomos tokios pat rekomendacijos kaip suaugusiesiems (žr. aukščiau). </w:t>
      </w:r>
    </w:p>
    <w:p w14:paraId="51016021" w14:textId="77777777" w:rsidR="004B4323" w:rsidRDefault="004B4323" w:rsidP="002E0F33">
      <w:pPr>
        <w:pStyle w:val="Default"/>
        <w:rPr>
          <w:i/>
          <w:iCs/>
          <w:color w:val="auto"/>
          <w:sz w:val="22"/>
          <w:szCs w:val="22"/>
        </w:rPr>
      </w:pPr>
    </w:p>
    <w:p w14:paraId="3CD1A426" w14:textId="77777777" w:rsidR="002E0F33" w:rsidRDefault="002E0F33" w:rsidP="002E0F33">
      <w:pPr>
        <w:pStyle w:val="Default"/>
        <w:rPr>
          <w:color w:val="auto"/>
          <w:sz w:val="22"/>
          <w:szCs w:val="22"/>
        </w:rPr>
      </w:pPr>
      <w:r>
        <w:rPr>
          <w:i/>
          <w:iCs/>
          <w:color w:val="auto"/>
          <w:sz w:val="22"/>
          <w:szCs w:val="22"/>
        </w:rPr>
        <w:t xml:space="preserve">Inkstų funkcijos sutrikimas </w:t>
      </w:r>
    </w:p>
    <w:p w14:paraId="519312FB" w14:textId="77777777" w:rsidR="002E0F33" w:rsidRDefault="002E0F33" w:rsidP="002E0F33">
      <w:pPr>
        <w:pStyle w:val="Default"/>
        <w:rPr>
          <w:color w:val="auto"/>
          <w:sz w:val="22"/>
          <w:szCs w:val="22"/>
        </w:rPr>
      </w:pPr>
      <w:r>
        <w:rPr>
          <w:color w:val="auto"/>
          <w:sz w:val="22"/>
          <w:szCs w:val="22"/>
        </w:rPr>
        <w:t xml:space="preserve">Pacientams vaikams ir paaugliams, </w:t>
      </w:r>
      <w:r w:rsidR="004B4323">
        <w:rPr>
          <w:color w:val="auto"/>
          <w:sz w:val="22"/>
          <w:szCs w:val="22"/>
        </w:rPr>
        <w:t>kuriems yra inkstų funkcijos sutrikimas</w:t>
      </w:r>
      <w:r>
        <w:rPr>
          <w:color w:val="auto"/>
          <w:sz w:val="22"/>
          <w:szCs w:val="22"/>
        </w:rPr>
        <w:t xml:space="preserve">, </w:t>
      </w:r>
      <w:r w:rsidR="004B4323">
        <w:rPr>
          <w:color w:val="auto"/>
          <w:sz w:val="22"/>
          <w:szCs w:val="22"/>
        </w:rPr>
        <w:t>vartoti</w:t>
      </w:r>
      <w:r>
        <w:rPr>
          <w:color w:val="auto"/>
          <w:sz w:val="22"/>
          <w:szCs w:val="22"/>
        </w:rPr>
        <w:t xml:space="preserve"> tenofoviro dizoproksilio nerekomenduojama (žr. 4.2 skyrių). Pacientams vaikams ir paaugliams, </w:t>
      </w:r>
      <w:r w:rsidR="004B4323">
        <w:rPr>
          <w:color w:val="auto"/>
          <w:sz w:val="22"/>
          <w:szCs w:val="22"/>
        </w:rPr>
        <w:t xml:space="preserve">kuriems yra </w:t>
      </w:r>
      <w:r>
        <w:rPr>
          <w:color w:val="auto"/>
          <w:sz w:val="22"/>
          <w:szCs w:val="22"/>
        </w:rPr>
        <w:t>inkstų funkcijos sutrikim</w:t>
      </w:r>
      <w:r w:rsidR="004B4323">
        <w:rPr>
          <w:color w:val="auto"/>
          <w:sz w:val="22"/>
          <w:szCs w:val="22"/>
        </w:rPr>
        <w:t>as</w:t>
      </w:r>
      <w:r>
        <w:rPr>
          <w:color w:val="auto"/>
          <w:sz w:val="22"/>
          <w:szCs w:val="22"/>
        </w:rPr>
        <w:t>, gydym</w:t>
      </w:r>
      <w:r w:rsidR="004B4323">
        <w:rPr>
          <w:color w:val="auto"/>
          <w:sz w:val="22"/>
          <w:szCs w:val="22"/>
        </w:rPr>
        <w:t>as</w:t>
      </w:r>
      <w:r>
        <w:rPr>
          <w:color w:val="auto"/>
          <w:sz w:val="22"/>
          <w:szCs w:val="22"/>
        </w:rPr>
        <w:t xml:space="preserve"> tenofoviro dizoproksili</w:t>
      </w:r>
      <w:r w:rsidR="00A90462">
        <w:rPr>
          <w:color w:val="auto"/>
          <w:sz w:val="22"/>
          <w:szCs w:val="22"/>
        </w:rPr>
        <w:t>u</w:t>
      </w:r>
      <w:r>
        <w:rPr>
          <w:color w:val="auto"/>
          <w:sz w:val="22"/>
          <w:szCs w:val="22"/>
        </w:rPr>
        <w:t xml:space="preserve"> </w:t>
      </w:r>
      <w:r w:rsidR="004B4323">
        <w:rPr>
          <w:color w:val="auto"/>
          <w:sz w:val="22"/>
          <w:szCs w:val="22"/>
        </w:rPr>
        <w:t>turi būti nepradedamas ir turi būti nutrauktas, jeigu in</w:t>
      </w:r>
      <w:r>
        <w:rPr>
          <w:color w:val="auto"/>
          <w:sz w:val="22"/>
          <w:szCs w:val="22"/>
        </w:rPr>
        <w:t xml:space="preserve">kstų funkcijos sutrikimas pasireiškė gydymo tenofoviro dizoproksiliu metu. </w:t>
      </w:r>
    </w:p>
    <w:p w14:paraId="124C0479" w14:textId="77777777" w:rsidR="004B4323" w:rsidRDefault="004B4323" w:rsidP="002E0F33">
      <w:pPr>
        <w:pStyle w:val="Default"/>
        <w:rPr>
          <w:i/>
          <w:iCs/>
          <w:color w:val="auto"/>
          <w:sz w:val="22"/>
          <w:szCs w:val="22"/>
        </w:rPr>
      </w:pPr>
    </w:p>
    <w:p w14:paraId="09544EE8" w14:textId="77777777" w:rsidR="002E0F33" w:rsidRDefault="002E0F33" w:rsidP="002E0F33">
      <w:pPr>
        <w:pStyle w:val="Default"/>
        <w:rPr>
          <w:color w:val="auto"/>
          <w:sz w:val="22"/>
          <w:szCs w:val="22"/>
        </w:rPr>
      </w:pPr>
      <w:r>
        <w:rPr>
          <w:i/>
          <w:iCs/>
          <w:color w:val="auto"/>
          <w:sz w:val="22"/>
          <w:szCs w:val="22"/>
        </w:rPr>
        <w:t xml:space="preserve">Poveikis kaulams </w:t>
      </w:r>
    </w:p>
    <w:p w14:paraId="0263CF8F" w14:textId="77777777" w:rsidR="002E0F33" w:rsidRDefault="004B4323" w:rsidP="002E0F33">
      <w:pPr>
        <w:pStyle w:val="Default"/>
        <w:rPr>
          <w:color w:val="auto"/>
          <w:sz w:val="22"/>
          <w:szCs w:val="22"/>
        </w:rPr>
      </w:pPr>
      <w:r w:rsidRPr="004B4323">
        <w:rPr>
          <w:sz w:val="22"/>
          <w:szCs w:val="22"/>
        </w:rPr>
        <w:t>Tenofovir disoproxil Sandoz</w:t>
      </w:r>
      <w:r w:rsidRPr="004B4323">
        <w:rPr>
          <w:sz w:val="22"/>
          <w:szCs w:val="22"/>
          <w:lang w:eastAsia="en-US"/>
        </w:rPr>
        <w:t xml:space="preserve"> </w:t>
      </w:r>
      <w:r w:rsidR="002E0F33" w:rsidRPr="004B4323">
        <w:rPr>
          <w:color w:val="auto"/>
          <w:sz w:val="22"/>
          <w:szCs w:val="22"/>
        </w:rPr>
        <w:t xml:space="preserve">gali sukelti KMT sumažėjimą. </w:t>
      </w:r>
      <w:r w:rsidR="008670C3">
        <w:rPr>
          <w:color w:val="auto"/>
          <w:sz w:val="22"/>
          <w:szCs w:val="22"/>
        </w:rPr>
        <w:t>Su t</w:t>
      </w:r>
      <w:r w:rsidR="002E0F33" w:rsidRPr="004B4323">
        <w:rPr>
          <w:color w:val="auto"/>
          <w:sz w:val="22"/>
          <w:szCs w:val="22"/>
        </w:rPr>
        <w:t>enofoviro dizoproksili</w:t>
      </w:r>
      <w:r w:rsidR="00A90462">
        <w:rPr>
          <w:color w:val="auto"/>
          <w:sz w:val="22"/>
          <w:szCs w:val="22"/>
        </w:rPr>
        <w:t>u</w:t>
      </w:r>
      <w:r w:rsidR="008670C3">
        <w:rPr>
          <w:color w:val="auto"/>
          <w:sz w:val="22"/>
          <w:szCs w:val="22"/>
        </w:rPr>
        <w:t xml:space="preserve"> susijusių</w:t>
      </w:r>
      <w:r w:rsidR="002E0F33" w:rsidRPr="004B4323">
        <w:rPr>
          <w:color w:val="auto"/>
          <w:sz w:val="22"/>
          <w:szCs w:val="22"/>
        </w:rPr>
        <w:t xml:space="preserve"> KMT pokyčių poveikis ilgalaikei </w:t>
      </w:r>
      <w:r w:rsidR="002E0F33">
        <w:rPr>
          <w:color w:val="auto"/>
          <w:sz w:val="22"/>
          <w:szCs w:val="22"/>
        </w:rPr>
        <w:t xml:space="preserve">kaulų būklei ir lūžių rizikai ateityje šiuo metu nėra žinomas (žr. 5.1 skyrių). </w:t>
      </w:r>
    </w:p>
    <w:p w14:paraId="4A1E5A0B" w14:textId="77777777" w:rsidR="002E0F33" w:rsidRDefault="002E0F33" w:rsidP="002E0F33">
      <w:pPr>
        <w:pStyle w:val="Default"/>
        <w:rPr>
          <w:color w:val="auto"/>
          <w:sz w:val="22"/>
          <w:szCs w:val="22"/>
        </w:rPr>
      </w:pPr>
      <w:r>
        <w:rPr>
          <w:color w:val="auto"/>
          <w:sz w:val="22"/>
          <w:szCs w:val="22"/>
        </w:rPr>
        <w:t>Jeigu pacientams vaikams ar paaugliams nustatyti arba įtariami kaulų pokyčiai, reikia kreiptis</w:t>
      </w:r>
      <w:r w:rsidR="008670C3">
        <w:rPr>
          <w:color w:val="auto"/>
          <w:sz w:val="22"/>
          <w:szCs w:val="22"/>
        </w:rPr>
        <w:t xml:space="preserve"> konsultacijos</w:t>
      </w:r>
      <w:r>
        <w:rPr>
          <w:color w:val="auto"/>
          <w:sz w:val="22"/>
          <w:szCs w:val="22"/>
        </w:rPr>
        <w:t xml:space="preserve"> į endokrinologą ir (arba) nefrologą. </w:t>
      </w:r>
    </w:p>
    <w:p w14:paraId="09714193" w14:textId="77777777" w:rsidR="008670C3" w:rsidRDefault="008670C3" w:rsidP="002E0F33">
      <w:pPr>
        <w:pStyle w:val="Default"/>
        <w:rPr>
          <w:color w:val="auto"/>
          <w:sz w:val="22"/>
          <w:szCs w:val="22"/>
        </w:rPr>
      </w:pPr>
    </w:p>
    <w:p w14:paraId="58ED6C42" w14:textId="77777777" w:rsidR="002E0F33" w:rsidRPr="008670C3" w:rsidRDefault="002E0F33" w:rsidP="002E0F33">
      <w:pPr>
        <w:pStyle w:val="Default"/>
        <w:rPr>
          <w:color w:val="auto"/>
          <w:sz w:val="22"/>
          <w:szCs w:val="22"/>
          <w:u w:val="single"/>
        </w:rPr>
      </w:pPr>
      <w:r w:rsidRPr="008670C3">
        <w:rPr>
          <w:color w:val="auto"/>
          <w:sz w:val="22"/>
          <w:szCs w:val="22"/>
          <w:u w:val="single"/>
        </w:rPr>
        <w:t>Kepenų lig</w:t>
      </w:r>
      <w:r w:rsidR="008670C3" w:rsidRPr="008670C3">
        <w:rPr>
          <w:color w:val="auto"/>
          <w:sz w:val="22"/>
          <w:szCs w:val="22"/>
          <w:u w:val="single"/>
        </w:rPr>
        <w:t>a</w:t>
      </w:r>
      <w:r w:rsidRPr="008670C3">
        <w:rPr>
          <w:color w:val="auto"/>
          <w:sz w:val="22"/>
          <w:szCs w:val="22"/>
          <w:u w:val="single"/>
        </w:rPr>
        <w:t xml:space="preserve"> </w:t>
      </w:r>
    </w:p>
    <w:p w14:paraId="275F013C" w14:textId="77777777" w:rsidR="002E0F33" w:rsidRDefault="002E0F33" w:rsidP="002E0F33">
      <w:pPr>
        <w:pStyle w:val="Default"/>
        <w:rPr>
          <w:color w:val="auto"/>
          <w:sz w:val="22"/>
          <w:szCs w:val="22"/>
        </w:rPr>
      </w:pPr>
      <w:r>
        <w:rPr>
          <w:color w:val="auto"/>
          <w:sz w:val="22"/>
          <w:szCs w:val="22"/>
        </w:rPr>
        <w:t>Duomenų apie saugumą ir veiksmingumą pacientams, kur</w:t>
      </w:r>
      <w:r w:rsidR="00255145">
        <w:rPr>
          <w:color w:val="auto"/>
          <w:sz w:val="22"/>
          <w:szCs w:val="22"/>
        </w:rPr>
        <w:t>iems persodintos</w:t>
      </w:r>
      <w:r>
        <w:rPr>
          <w:color w:val="auto"/>
          <w:sz w:val="22"/>
          <w:szCs w:val="22"/>
        </w:rPr>
        <w:t xml:space="preserve"> kepenys, yra labai mažai. </w:t>
      </w:r>
    </w:p>
    <w:p w14:paraId="02BF2BCC" w14:textId="77777777" w:rsidR="00255145" w:rsidRDefault="00255145" w:rsidP="002E0F33">
      <w:pPr>
        <w:pStyle w:val="Default"/>
        <w:rPr>
          <w:color w:val="auto"/>
          <w:sz w:val="22"/>
          <w:szCs w:val="22"/>
        </w:rPr>
      </w:pPr>
    </w:p>
    <w:p w14:paraId="7AFFF225" w14:textId="77777777" w:rsidR="002E0F33" w:rsidRDefault="002E0F33" w:rsidP="002E0F33">
      <w:pPr>
        <w:pStyle w:val="Default"/>
        <w:rPr>
          <w:color w:val="auto"/>
          <w:sz w:val="22"/>
          <w:szCs w:val="22"/>
        </w:rPr>
      </w:pPr>
      <w:r>
        <w:rPr>
          <w:color w:val="auto"/>
          <w:sz w:val="22"/>
          <w:szCs w:val="22"/>
        </w:rPr>
        <w:t xml:space="preserve">Duomenų apie tenofoviro dizoproksilio  saugumą ir veiksmingumą HBV infekuotiems pacientams, sergantiems dekompensuota kepenų liga, kuri pagal </w:t>
      </w:r>
      <w:r>
        <w:rPr>
          <w:i/>
          <w:iCs/>
          <w:color w:val="auto"/>
          <w:sz w:val="22"/>
          <w:szCs w:val="22"/>
        </w:rPr>
        <w:t xml:space="preserve">Child-Pugh-Turcotte </w:t>
      </w:r>
      <w:r>
        <w:rPr>
          <w:color w:val="auto"/>
          <w:sz w:val="22"/>
          <w:szCs w:val="22"/>
        </w:rPr>
        <w:t>(CPT) klasifikaciją vertinama &gt; 9 balų, yra labai mažai. Šie</w:t>
      </w:r>
      <w:r w:rsidR="00255145">
        <w:rPr>
          <w:color w:val="auto"/>
          <w:sz w:val="22"/>
          <w:szCs w:val="22"/>
        </w:rPr>
        <w:t>ms</w:t>
      </w:r>
      <w:r>
        <w:rPr>
          <w:color w:val="auto"/>
          <w:sz w:val="22"/>
          <w:szCs w:val="22"/>
        </w:rPr>
        <w:t xml:space="preserve"> pacienta</w:t>
      </w:r>
      <w:r w:rsidR="00255145">
        <w:rPr>
          <w:color w:val="auto"/>
          <w:sz w:val="22"/>
          <w:szCs w:val="22"/>
        </w:rPr>
        <w:t>ms</w:t>
      </w:r>
      <w:r>
        <w:rPr>
          <w:color w:val="auto"/>
          <w:sz w:val="22"/>
          <w:szCs w:val="22"/>
        </w:rPr>
        <w:t xml:space="preserve"> gali </w:t>
      </w:r>
      <w:r w:rsidR="00255145">
        <w:rPr>
          <w:color w:val="auto"/>
          <w:sz w:val="22"/>
          <w:szCs w:val="22"/>
        </w:rPr>
        <w:t>būti didesnė</w:t>
      </w:r>
      <w:r>
        <w:rPr>
          <w:color w:val="auto"/>
          <w:sz w:val="22"/>
          <w:szCs w:val="22"/>
        </w:rPr>
        <w:t xml:space="preserve"> sunkių kepenų ar inkstų nepageidaujamų reakcijų pasireiškimo rizik</w:t>
      </w:r>
      <w:r w:rsidR="00255145">
        <w:rPr>
          <w:color w:val="auto"/>
          <w:sz w:val="22"/>
          <w:szCs w:val="22"/>
        </w:rPr>
        <w:t>a</w:t>
      </w:r>
      <w:r>
        <w:rPr>
          <w:color w:val="auto"/>
          <w:sz w:val="22"/>
          <w:szCs w:val="22"/>
        </w:rPr>
        <w:t>. Dėl to ši</w:t>
      </w:r>
      <w:r w:rsidR="00255145">
        <w:rPr>
          <w:color w:val="auto"/>
          <w:sz w:val="22"/>
          <w:szCs w:val="22"/>
        </w:rPr>
        <w:t>oje</w:t>
      </w:r>
      <w:r>
        <w:rPr>
          <w:color w:val="auto"/>
          <w:sz w:val="22"/>
          <w:szCs w:val="22"/>
        </w:rPr>
        <w:t xml:space="preserve"> pacientų populiacij</w:t>
      </w:r>
      <w:r w:rsidR="00255145">
        <w:rPr>
          <w:color w:val="auto"/>
          <w:sz w:val="22"/>
          <w:szCs w:val="22"/>
        </w:rPr>
        <w:t>oje</w:t>
      </w:r>
      <w:r>
        <w:rPr>
          <w:color w:val="auto"/>
          <w:sz w:val="22"/>
          <w:szCs w:val="22"/>
        </w:rPr>
        <w:t xml:space="preserve"> turi būti atidžiai stebimi hepatobiliariniai ir inkstų rodikliai. </w:t>
      </w:r>
    </w:p>
    <w:p w14:paraId="47F968C2" w14:textId="77777777" w:rsidR="00255145" w:rsidRDefault="00255145" w:rsidP="002E0F33">
      <w:pPr>
        <w:pStyle w:val="Default"/>
        <w:rPr>
          <w:i/>
          <w:iCs/>
          <w:color w:val="auto"/>
          <w:sz w:val="22"/>
          <w:szCs w:val="22"/>
        </w:rPr>
      </w:pPr>
    </w:p>
    <w:p w14:paraId="4634B9DC" w14:textId="77777777" w:rsidR="002E0F33" w:rsidRDefault="002E0F33" w:rsidP="002E0F33">
      <w:pPr>
        <w:pStyle w:val="Default"/>
        <w:rPr>
          <w:color w:val="auto"/>
          <w:sz w:val="22"/>
          <w:szCs w:val="22"/>
        </w:rPr>
      </w:pPr>
      <w:r>
        <w:rPr>
          <w:i/>
          <w:iCs/>
          <w:color w:val="auto"/>
          <w:sz w:val="22"/>
          <w:szCs w:val="22"/>
        </w:rPr>
        <w:t xml:space="preserve">Hepatito paūmėjimas </w:t>
      </w:r>
    </w:p>
    <w:p w14:paraId="6FCB0F86" w14:textId="77777777" w:rsidR="002E0F33" w:rsidRDefault="002E0F33" w:rsidP="002E0F33">
      <w:pPr>
        <w:pStyle w:val="Default"/>
        <w:rPr>
          <w:color w:val="auto"/>
          <w:sz w:val="22"/>
          <w:szCs w:val="22"/>
        </w:rPr>
      </w:pPr>
      <w:r>
        <w:rPr>
          <w:i/>
          <w:iCs/>
          <w:color w:val="auto"/>
          <w:sz w:val="22"/>
          <w:szCs w:val="22"/>
        </w:rPr>
        <w:t>P</w:t>
      </w:r>
      <w:r w:rsidR="00255145">
        <w:rPr>
          <w:i/>
          <w:iCs/>
          <w:color w:val="auto"/>
          <w:sz w:val="22"/>
          <w:szCs w:val="22"/>
        </w:rPr>
        <w:t>aūmėjimai gydymo metu</w:t>
      </w:r>
      <w:r>
        <w:rPr>
          <w:i/>
          <w:iCs/>
          <w:color w:val="auto"/>
          <w:sz w:val="22"/>
          <w:szCs w:val="22"/>
        </w:rPr>
        <w:t xml:space="preserve">. </w:t>
      </w:r>
      <w:r>
        <w:rPr>
          <w:color w:val="auto"/>
          <w:sz w:val="22"/>
          <w:szCs w:val="22"/>
        </w:rPr>
        <w:t>S</w:t>
      </w:r>
      <w:r w:rsidR="00255145">
        <w:rPr>
          <w:color w:val="auto"/>
          <w:sz w:val="22"/>
          <w:szCs w:val="22"/>
        </w:rPr>
        <w:t>avaiminiai</w:t>
      </w:r>
      <w:r>
        <w:rPr>
          <w:color w:val="auto"/>
          <w:sz w:val="22"/>
          <w:szCs w:val="22"/>
        </w:rPr>
        <w:t xml:space="preserve"> lėtinio hepatito B paūmėjimai yra santykinai dažni, juos charakterizuoja trumpalaikis ALT </w:t>
      </w:r>
      <w:r w:rsidR="00255145">
        <w:rPr>
          <w:color w:val="auto"/>
          <w:sz w:val="22"/>
          <w:szCs w:val="22"/>
        </w:rPr>
        <w:t>aktyvumo padidėjimas kraujo serume</w:t>
      </w:r>
      <w:r>
        <w:rPr>
          <w:color w:val="auto"/>
          <w:sz w:val="22"/>
          <w:szCs w:val="22"/>
        </w:rPr>
        <w:t xml:space="preserve">. Pradėjus antivirusinį gydymą, kai kuriems pacientams gali </w:t>
      </w:r>
      <w:r w:rsidR="00255145">
        <w:rPr>
          <w:color w:val="auto"/>
          <w:sz w:val="22"/>
          <w:szCs w:val="22"/>
        </w:rPr>
        <w:t xml:space="preserve">padidėti ALT aktyvumas kraujo serume </w:t>
      </w:r>
      <w:r>
        <w:rPr>
          <w:color w:val="auto"/>
          <w:sz w:val="22"/>
          <w:szCs w:val="22"/>
        </w:rPr>
        <w:t>(žr. 4.8 skyrių). Pacientams</w:t>
      </w:r>
      <w:r w:rsidR="00255145">
        <w:rPr>
          <w:color w:val="auto"/>
          <w:sz w:val="22"/>
          <w:szCs w:val="22"/>
        </w:rPr>
        <w:t xml:space="preserve">, kuriems yra </w:t>
      </w:r>
      <w:r>
        <w:rPr>
          <w:color w:val="auto"/>
          <w:sz w:val="22"/>
          <w:szCs w:val="22"/>
        </w:rPr>
        <w:t>kompensuota kepenų liga</w:t>
      </w:r>
      <w:r w:rsidR="00255145">
        <w:rPr>
          <w:color w:val="auto"/>
          <w:sz w:val="22"/>
          <w:szCs w:val="22"/>
        </w:rPr>
        <w:t>,</w:t>
      </w:r>
      <w:r>
        <w:rPr>
          <w:color w:val="auto"/>
          <w:sz w:val="22"/>
          <w:szCs w:val="22"/>
        </w:rPr>
        <w:t xml:space="preserve"> </w:t>
      </w:r>
      <w:r w:rsidR="00255145">
        <w:rPr>
          <w:color w:val="auto"/>
          <w:sz w:val="22"/>
          <w:szCs w:val="22"/>
        </w:rPr>
        <w:t xml:space="preserve">ALT aktyvumo padidėjimas kraujo serume </w:t>
      </w:r>
      <w:r>
        <w:rPr>
          <w:color w:val="auto"/>
          <w:sz w:val="22"/>
          <w:szCs w:val="22"/>
        </w:rPr>
        <w:t>paprastai nėra lydimas nei bilirubino koncentracijos</w:t>
      </w:r>
      <w:r w:rsidR="00255145">
        <w:rPr>
          <w:color w:val="auto"/>
          <w:sz w:val="22"/>
          <w:szCs w:val="22"/>
        </w:rPr>
        <w:t xml:space="preserve"> padidėjimo kraujo serume</w:t>
      </w:r>
      <w:r>
        <w:rPr>
          <w:color w:val="auto"/>
          <w:sz w:val="22"/>
          <w:szCs w:val="22"/>
        </w:rPr>
        <w:t xml:space="preserve">, nei kepenų veiklos nepakankamumo. </w:t>
      </w:r>
      <w:r w:rsidR="00255145">
        <w:rPr>
          <w:color w:val="auto"/>
          <w:sz w:val="22"/>
          <w:szCs w:val="22"/>
        </w:rPr>
        <w:t xml:space="preserve">Pacientams, kuriems yra </w:t>
      </w:r>
      <w:r w:rsidR="00F82A19">
        <w:rPr>
          <w:color w:val="auto"/>
          <w:sz w:val="22"/>
          <w:szCs w:val="22"/>
        </w:rPr>
        <w:t xml:space="preserve">kepenų </w:t>
      </w:r>
      <w:r w:rsidR="00255145">
        <w:rPr>
          <w:color w:val="auto"/>
          <w:sz w:val="22"/>
          <w:szCs w:val="22"/>
        </w:rPr>
        <w:t>c</w:t>
      </w:r>
      <w:r>
        <w:rPr>
          <w:color w:val="auto"/>
          <w:sz w:val="22"/>
          <w:szCs w:val="22"/>
        </w:rPr>
        <w:t>iroz</w:t>
      </w:r>
      <w:r w:rsidR="00255145">
        <w:rPr>
          <w:color w:val="auto"/>
          <w:sz w:val="22"/>
          <w:szCs w:val="22"/>
        </w:rPr>
        <w:t>ė,</w:t>
      </w:r>
      <w:r>
        <w:rPr>
          <w:color w:val="auto"/>
          <w:sz w:val="22"/>
          <w:szCs w:val="22"/>
        </w:rPr>
        <w:t xml:space="preserve"> gali būti didesnė kepenų veiklos nepakankamumo rizika </w:t>
      </w:r>
      <w:r w:rsidR="00255145">
        <w:rPr>
          <w:color w:val="auto"/>
          <w:sz w:val="22"/>
          <w:szCs w:val="22"/>
        </w:rPr>
        <w:t>po</w:t>
      </w:r>
      <w:r>
        <w:rPr>
          <w:color w:val="auto"/>
          <w:sz w:val="22"/>
          <w:szCs w:val="22"/>
        </w:rPr>
        <w:t xml:space="preserve"> hepatito paūmėjimo, todėl gydymo metu </w:t>
      </w:r>
      <w:r w:rsidR="00255145">
        <w:rPr>
          <w:color w:val="auto"/>
          <w:sz w:val="22"/>
          <w:szCs w:val="22"/>
        </w:rPr>
        <w:t>juos</w:t>
      </w:r>
      <w:r>
        <w:rPr>
          <w:color w:val="auto"/>
          <w:sz w:val="22"/>
          <w:szCs w:val="22"/>
        </w:rPr>
        <w:t xml:space="preserve"> reikia atidžiai stebėti. </w:t>
      </w:r>
    </w:p>
    <w:p w14:paraId="5C1F8961" w14:textId="77777777" w:rsidR="00255145" w:rsidRDefault="00255145" w:rsidP="002E0F33">
      <w:pPr>
        <w:pStyle w:val="Default"/>
        <w:rPr>
          <w:i/>
          <w:iCs/>
          <w:color w:val="auto"/>
          <w:sz w:val="22"/>
          <w:szCs w:val="22"/>
        </w:rPr>
      </w:pPr>
    </w:p>
    <w:p w14:paraId="40E63843" w14:textId="122A06A1" w:rsidR="002E0F33" w:rsidRDefault="002E0F33" w:rsidP="002E0F33">
      <w:pPr>
        <w:pStyle w:val="Default"/>
        <w:rPr>
          <w:color w:val="auto"/>
          <w:sz w:val="22"/>
          <w:szCs w:val="22"/>
        </w:rPr>
      </w:pPr>
      <w:r>
        <w:rPr>
          <w:i/>
          <w:iCs/>
          <w:color w:val="auto"/>
          <w:sz w:val="22"/>
          <w:szCs w:val="22"/>
        </w:rPr>
        <w:t>P</w:t>
      </w:r>
      <w:r w:rsidR="00255145">
        <w:rPr>
          <w:i/>
          <w:iCs/>
          <w:color w:val="auto"/>
          <w:sz w:val="22"/>
          <w:szCs w:val="22"/>
        </w:rPr>
        <w:t xml:space="preserve">aūmėjimai </w:t>
      </w:r>
      <w:r>
        <w:rPr>
          <w:i/>
          <w:iCs/>
          <w:color w:val="auto"/>
          <w:sz w:val="22"/>
          <w:szCs w:val="22"/>
        </w:rPr>
        <w:t xml:space="preserve">po gydymo nutraukimo. </w:t>
      </w:r>
      <w:r w:rsidR="00BB6F56" w:rsidRPr="00BB6F56">
        <w:rPr>
          <w:iCs/>
          <w:color w:val="auto"/>
          <w:sz w:val="22"/>
          <w:szCs w:val="22"/>
        </w:rPr>
        <w:t>Be to, gauta pranešimų apie</w:t>
      </w:r>
      <w:r w:rsidR="00BB6F56">
        <w:rPr>
          <w:color w:val="auto"/>
          <w:sz w:val="22"/>
          <w:szCs w:val="22"/>
        </w:rPr>
        <w:t xml:space="preserve"> ūminį hepatito</w:t>
      </w:r>
      <w:r>
        <w:rPr>
          <w:color w:val="auto"/>
          <w:sz w:val="22"/>
          <w:szCs w:val="22"/>
        </w:rPr>
        <w:t xml:space="preserve"> pablogė</w:t>
      </w:r>
      <w:r w:rsidR="00BB6F56">
        <w:rPr>
          <w:color w:val="auto"/>
          <w:sz w:val="22"/>
          <w:szCs w:val="22"/>
        </w:rPr>
        <w:t>jimą</w:t>
      </w:r>
      <w:r>
        <w:rPr>
          <w:color w:val="auto"/>
          <w:sz w:val="22"/>
          <w:szCs w:val="22"/>
        </w:rPr>
        <w:t xml:space="preserve"> pacientams, kurie nutraukė gydymą nuo hepatito B. Po gydymo pasireiškę ligos pablogėjimai dažniausiai susiję su HBV DNR padaugėjimu, ir dauguma jų išnyksta savaime. Vis dėlto</w:t>
      </w:r>
      <w:r w:rsidR="00BB6F56">
        <w:rPr>
          <w:color w:val="auto"/>
          <w:sz w:val="22"/>
          <w:szCs w:val="22"/>
        </w:rPr>
        <w:t>, gauta pranešimų apie sunkius, įskaitant</w:t>
      </w:r>
      <w:r>
        <w:rPr>
          <w:color w:val="auto"/>
          <w:sz w:val="22"/>
          <w:szCs w:val="22"/>
        </w:rPr>
        <w:t xml:space="preserve"> mirtin</w:t>
      </w:r>
      <w:r w:rsidR="00BB6F56">
        <w:rPr>
          <w:color w:val="auto"/>
          <w:sz w:val="22"/>
          <w:szCs w:val="22"/>
        </w:rPr>
        <w:t>us,</w:t>
      </w:r>
      <w:r>
        <w:rPr>
          <w:color w:val="auto"/>
          <w:sz w:val="22"/>
          <w:szCs w:val="22"/>
        </w:rPr>
        <w:t xml:space="preserve"> paūmėjim</w:t>
      </w:r>
      <w:r w:rsidR="00BB6F56">
        <w:rPr>
          <w:color w:val="auto"/>
          <w:sz w:val="22"/>
          <w:szCs w:val="22"/>
        </w:rPr>
        <w:t>us</w:t>
      </w:r>
      <w:r>
        <w:rPr>
          <w:color w:val="auto"/>
          <w:sz w:val="22"/>
          <w:szCs w:val="22"/>
        </w:rPr>
        <w:t xml:space="preserve">. Bent 6 mėnesius po hepatito B gydymo </w:t>
      </w:r>
      <w:r>
        <w:rPr>
          <w:color w:val="auto"/>
          <w:sz w:val="22"/>
          <w:szCs w:val="22"/>
        </w:rPr>
        <w:lastRenderedPageBreak/>
        <w:t xml:space="preserve">nutraukimo pasikartojančiais intervalais reikia stebėti kepenų funkciją atliekant klinikinius ir laboratorinius tyrimus. Esant poreikiui, hepatito B gydymas gali būti atnaujinamas. Pacientams, sergantiems pažengusia kepenų liga ar </w:t>
      </w:r>
      <w:r w:rsidR="00F82A19">
        <w:rPr>
          <w:color w:val="auto"/>
          <w:sz w:val="22"/>
          <w:szCs w:val="22"/>
        </w:rPr>
        <w:t xml:space="preserve">kepenų </w:t>
      </w:r>
      <w:r>
        <w:rPr>
          <w:color w:val="auto"/>
          <w:sz w:val="22"/>
          <w:szCs w:val="22"/>
        </w:rPr>
        <w:t xml:space="preserve">ciroze, gydymo nutraukti nerekomenduojama, nes po gydymo pasireiškiantis hepatito paūmėjimas gali sukelti kepenų nepakankamumą. </w:t>
      </w:r>
    </w:p>
    <w:p w14:paraId="5B093D00" w14:textId="77777777" w:rsidR="00BB6F56" w:rsidRDefault="00BB6F56" w:rsidP="002E0F33">
      <w:pPr>
        <w:tabs>
          <w:tab w:val="left" w:pos="567"/>
        </w:tabs>
        <w:ind w:left="567" w:hanging="567"/>
        <w:rPr>
          <w:szCs w:val="22"/>
        </w:rPr>
      </w:pPr>
    </w:p>
    <w:p w14:paraId="0C7620F7" w14:textId="77777777" w:rsidR="00BB6F56" w:rsidRDefault="00BB6F56" w:rsidP="00BB6F56">
      <w:pPr>
        <w:tabs>
          <w:tab w:val="left" w:pos="0"/>
        </w:tabs>
        <w:rPr>
          <w:szCs w:val="22"/>
        </w:rPr>
      </w:pPr>
      <w:r>
        <w:rPr>
          <w:szCs w:val="22"/>
        </w:rPr>
        <w:t>Pacientams, kuriems yra nepakankama kepenų veikla, kepenų paūmėjimai būna ypač sunkūs, kartais net mirtini.</w:t>
      </w:r>
    </w:p>
    <w:p w14:paraId="2ADB4FCA" w14:textId="77777777" w:rsidR="00BB6F56" w:rsidRDefault="00BB6F56" w:rsidP="002E0F33">
      <w:pPr>
        <w:tabs>
          <w:tab w:val="left" w:pos="567"/>
        </w:tabs>
        <w:ind w:left="567" w:hanging="567"/>
        <w:rPr>
          <w:szCs w:val="22"/>
        </w:rPr>
      </w:pPr>
    </w:p>
    <w:p w14:paraId="3A90CABB" w14:textId="77777777" w:rsidR="00BB6F56" w:rsidRDefault="00BB6F56" w:rsidP="00BB6F56">
      <w:pPr>
        <w:pStyle w:val="Default"/>
        <w:rPr>
          <w:color w:val="auto"/>
          <w:sz w:val="22"/>
          <w:szCs w:val="22"/>
        </w:rPr>
      </w:pPr>
      <w:r>
        <w:rPr>
          <w:i/>
          <w:iCs/>
          <w:color w:val="auto"/>
          <w:sz w:val="22"/>
          <w:szCs w:val="22"/>
        </w:rPr>
        <w:t>Koinfekcija hepatit</w:t>
      </w:r>
      <w:r w:rsidR="00772B5F">
        <w:rPr>
          <w:i/>
          <w:iCs/>
          <w:color w:val="auto"/>
          <w:sz w:val="22"/>
          <w:szCs w:val="22"/>
        </w:rPr>
        <w:t>u</w:t>
      </w:r>
      <w:r>
        <w:rPr>
          <w:i/>
          <w:iCs/>
          <w:color w:val="auto"/>
          <w:sz w:val="22"/>
          <w:szCs w:val="22"/>
        </w:rPr>
        <w:t xml:space="preserve"> C ar D. </w:t>
      </w:r>
      <w:r>
        <w:rPr>
          <w:color w:val="auto"/>
          <w:sz w:val="22"/>
          <w:szCs w:val="22"/>
        </w:rPr>
        <w:t>Duomenų apie tenofoviro veiksmingumą hepatito C ar D virus</w:t>
      </w:r>
      <w:r w:rsidR="00772B5F">
        <w:rPr>
          <w:color w:val="auto"/>
          <w:sz w:val="22"/>
          <w:szCs w:val="22"/>
        </w:rPr>
        <w:t>u</w:t>
      </w:r>
      <w:r>
        <w:rPr>
          <w:color w:val="auto"/>
          <w:sz w:val="22"/>
          <w:szCs w:val="22"/>
        </w:rPr>
        <w:t xml:space="preserve"> infekuotiems pacientams nėra. </w:t>
      </w:r>
    </w:p>
    <w:p w14:paraId="5FBE334F" w14:textId="77777777" w:rsidR="00A90462" w:rsidRDefault="00A90462" w:rsidP="00BB6F56">
      <w:pPr>
        <w:pStyle w:val="Default"/>
        <w:rPr>
          <w:color w:val="auto"/>
          <w:sz w:val="22"/>
          <w:szCs w:val="22"/>
        </w:rPr>
      </w:pPr>
    </w:p>
    <w:p w14:paraId="1EC35390" w14:textId="77777777" w:rsidR="00BB6F56" w:rsidRDefault="00BB6F56" w:rsidP="00BB6F56">
      <w:pPr>
        <w:pStyle w:val="Default"/>
        <w:rPr>
          <w:color w:val="auto"/>
          <w:sz w:val="22"/>
          <w:szCs w:val="22"/>
        </w:rPr>
      </w:pPr>
      <w:r>
        <w:rPr>
          <w:i/>
          <w:iCs/>
          <w:color w:val="auto"/>
          <w:sz w:val="22"/>
          <w:szCs w:val="22"/>
        </w:rPr>
        <w:t>Koinfekcija ŽIV-1 ir hepatit</w:t>
      </w:r>
      <w:r w:rsidR="00A90462">
        <w:rPr>
          <w:i/>
          <w:iCs/>
          <w:color w:val="auto"/>
          <w:sz w:val="22"/>
          <w:szCs w:val="22"/>
        </w:rPr>
        <w:t>u</w:t>
      </w:r>
      <w:r>
        <w:rPr>
          <w:i/>
          <w:iCs/>
          <w:color w:val="auto"/>
          <w:sz w:val="22"/>
          <w:szCs w:val="22"/>
        </w:rPr>
        <w:t xml:space="preserve"> B. </w:t>
      </w:r>
      <w:r>
        <w:rPr>
          <w:color w:val="auto"/>
          <w:sz w:val="22"/>
          <w:szCs w:val="22"/>
        </w:rPr>
        <w:t xml:space="preserve">Dėl ŽIV </w:t>
      </w:r>
      <w:r w:rsidR="00772B5F">
        <w:rPr>
          <w:color w:val="auto"/>
          <w:sz w:val="22"/>
          <w:szCs w:val="22"/>
        </w:rPr>
        <w:t>atsparumo</w:t>
      </w:r>
      <w:r>
        <w:rPr>
          <w:color w:val="auto"/>
          <w:sz w:val="22"/>
          <w:szCs w:val="22"/>
        </w:rPr>
        <w:t xml:space="preserve"> išsivystymo rizikos, ŽIV ir kartu HBV infekuotiems pacientams tenofoviro dizoproksilio</w:t>
      </w:r>
      <w:r w:rsidR="00A90462">
        <w:rPr>
          <w:color w:val="auto"/>
          <w:sz w:val="22"/>
          <w:szCs w:val="22"/>
        </w:rPr>
        <w:t xml:space="preserve"> </w:t>
      </w:r>
      <w:r>
        <w:rPr>
          <w:color w:val="auto"/>
          <w:sz w:val="22"/>
          <w:szCs w:val="22"/>
        </w:rPr>
        <w:t>turi būti skiriama kartu su kitais antiretrovirusini</w:t>
      </w:r>
      <w:r w:rsidR="00772B5F">
        <w:rPr>
          <w:color w:val="auto"/>
          <w:sz w:val="22"/>
          <w:szCs w:val="22"/>
        </w:rPr>
        <w:t>ų vaistinių preparatų deriniais</w:t>
      </w:r>
      <w:r>
        <w:rPr>
          <w:color w:val="auto"/>
          <w:sz w:val="22"/>
          <w:szCs w:val="22"/>
        </w:rPr>
        <w:t xml:space="preserve">. Pacientams, </w:t>
      </w:r>
      <w:r w:rsidR="00772B5F">
        <w:rPr>
          <w:color w:val="auto"/>
          <w:sz w:val="22"/>
          <w:szCs w:val="22"/>
        </w:rPr>
        <w:t xml:space="preserve">kuriems </w:t>
      </w:r>
      <w:r>
        <w:rPr>
          <w:color w:val="auto"/>
          <w:sz w:val="22"/>
          <w:szCs w:val="22"/>
        </w:rPr>
        <w:t xml:space="preserve">jau </w:t>
      </w:r>
      <w:r w:rsidR="00772B5F">
        <w:rPr>
          <w:color w:val="auto"/>
          <w:sz w:val="22"/>
          <w:szCs w:val="22"/>
        </w:rPr>
        <w:t>yra</w:t>
      </w:r>
      <w:r>
        <w:rPr>
          <w:color w:val="auto"/>
          <w:sz w:val="22"/>
          <w:szCs w:val="22"/>
        </w:rPr>
        <w:t xml:space="preserve"> kepenų funkcijos sutrikim</w:t>
      </w:r>
      <w:r w:rsidR="00772B5F">
        <w:rPr>
          <w:color w:val="auto"/>
          <w:sz w:val="22"/>
          <w:szCs w:val="22"/>
        </w:rPr>
        <w:t>as</w:t>
      </w:r>
      <w:r>
        <w:rPr>
          <w:color w:val="auto"/>
          <w:sz w:val="22"/>
          <w:szCs w:val="22"/>
        </w:rPr>
        <w:t>, įskaitant lėtinį aktyvų hepatitą, kombinuot</w:t>
      </w:r>
      <w:r w:rsidR="00772B5F">
        <w:rPr>
          <w:color w:val="auto"/>
          <w:sz w:val="22"/>
          <w:szCs w:val="22"/>
        </w:rPr>
        <w:t>o</w:t>
      </w:r>
      <w:r>
        <w:rPr>
          <w:color w:val="auto"/>
          <w:sz w:val="22"/>
          <w:szCs w:val="22"/>
        </w:rPr>
        <w:t xml:space="preserve"> antiretrovirusin</w:t>
      </w:r>
      <w:r w:rsidR="00772B5F">
        <w:rPr>
          <w:color w:val="auto"/>
          <w:sz w:val="22"/>
          <w:szCs w:val="22"/>
        </w:rPr>
        <w:t>io</w:t>
      </w:r>
      <w:r w:rsidR="00EF4C22">
        <w:rPr>
          <w:color w:val="auto"/>
          <w:sz w:val="22"/>
          <w:szCs w:val="22"/>
        </w:rPr>
        <w:t xml:space="preserve"> </w:t>
      </w:r>
      <w:r>
        <w:rPr>
          <w:color w:val="auto"/>
          <w:sz w:val="22"/>
          <w:szCs w:val="22"/>
        </w:rPr>
        <w:t>gydym</w:t>
      </w:r>
      <w:r w:rsidR="00772B5F">
        <w:rPr>
          <w:color w:val="auto"/>
          <w:sz w:val="22"/>
          <w:szCs w:val="22"/>
        </w:rPr>
        <w:t>o</w:t>
      </w:r>
      <w:r>
        <w:rPr>
          <w:color w:val="auto"/>
          <w:sz w:val="22"/>
          <w:szCs w:val="22"/>
        </w:rPr>
        <w:t xml:space="preserve"> (KARG) </w:t>
      </w:r>
      <w:r w:rsidR="00772B5F">
        <w:rPr>
          <w:color w:val="auto"/>
          <w:sz w:val="22"/>
          <w:szCs w:val="22"/>
        </w:rPr>
        <w:t xml:space="preserve">metu </w:t>
      </w:r>
      <w:r>
        <w:rPr>
          <w:color w:val="auto"/>
          <w:sz w:val="22"/>
          <w:szCs w:val="22"/>
        </w:rPr>
        <w:t xml:space="preserve">dažniau </w:t>
      </w:r>
      <w:r w:rsidR="00772B5F">
        <w:rPr>
          <w:color w:val="auto"/>
          <w:sz w:val="22"/>
          <w:szCs w:val="22"/>
        </w:rPr>
        <w:t>būna</w:t>
      </w:r>
      <w:r>
        <w:rPr>
          <w:color w:val="auto"/>
          <w:sz w:val="22"/>
          <w:szCs w:val="22"/>
        </w:rPr>
        <w:t xml:space="preserve"> kepenų funkcijos </w:t>
      </w:r>
      <w:r w:rsidR="00772B5F">
        <w:rPr>
          <w:color w:val="auto"/>
          <w:sz w:val="22"/>
          <w:szCs w:val="22"/>
        </w:rPr>
        <w:t>nenormalumų, todėl jie turi būti stebimi pagal</w:t>
      </w:r>
      <w:r>
        <w:rPr>
          <w:color w:val="auto"/>
          <w:sz w:val="22"/>
          <w:szCs w:val="22"/>
        </w:rPr>
        <w:t xml:space="preserve"> įprastin</w:t>
      </w:r>
      <w:r w:rsidR="00772B5F">
        <w:rPr>
          <w:color w:val="auto"/>
          <w:sz w:val="22"/>
          <w:szCs w:val="22"/>
        </w:rPr>
        <w:t>ę</w:t>
      </w:r>
      <w:r>
        <w:rPr>
          <w:color w:val="auto"/>
          <w:sz w:val="22"/>
          <w:szCs w:val="22"/>
        </w:rPr>
        <w:t xml:space="preserve"> tvark</w:t>
      </w:r>
      <w:r w:rsidR="00772B5F">
        <w:rPr>
          <w:color w:val="auto"/>
          <w:sz w:val="22"/>
          <w:szCs w:val="22"/>
        </w:rPr>
        <w:t>ą</w:t>
      </w:r>
      <w:r>
        <w:rPr>
          <w:color w:val="auto"/>
          <w:sz w:val="22"/>
          <w:szCs w:val="22"/>
        </w:rPr>
        <w:t xml:space="preserve">. Jeigu kepenų funkcija tokiems pacientams blogėja, </w:t>
      </w:r>
      <w:r w:rsidR="00772B5F">
        <w:rPr>
          <w:color w:val="auto"/>
          <w:sz w:val="22"/>
          <w:szCs w:val="22"/>
        </w:rPr>
        <w:t>turi būti</w:t>
      </w:r>
      <w:r>
        <w:rPr>
          <w:color w:val="auto"/>
          <w:sz w:val="22"/>
          <w:szCs w:val="22"/>
        </w:rPr>
        <w:t xml:space="preserve"> </w:t>
      </w:r>
      <w:r w:rsidR="00772B5F">
        <w:rPr>
          <w:color w:val="auto"/>
          <w:sz w:val="22"/>
          <w:szCs w:val="22"/>
        </w:rPr>
        <w:t>apgalvotas</w:t>
      </w:r>
      <w:r>
        <w:rPr>
          <w:color w:val="auto"/>
          <w:sz w:val="22"/>
          <w:szCs w:val="22"/>
        </w:rPr>
        <w:t xml:space="preserve"> gydymo pertraukim</w:t>
      </w:r>
      <w:r w:rsidR="00772B5F">
        <w:rPr>
          <w:color w:val="auto"/>
          <w:sz w:val="22"/>
          <w:szCs w:val="22"/>
        </w:rPr>
        <w:t>as</w:t>
      </w:r>
      <w:r>
        <w:rPr>
          <w:color w:val="auto"/>
          <w:sz w:val="22"/>
          <w:szCs w:val="22"/>
        </w:rPr>
        <w:t xml:space="preserve"> ar nutraukim</w:t>
      </w:r>
      <w:r w:rsidR="00772B5F">
        <w:rPr>
          <w:color w:val="auto"/>
          <w:sz w:val="22"/>
          <w:szCs w:val="22"/>
        </w:rPr>
        <w:t>as</w:t>
      </w:r>
      <w:r>
        <w:rPr>
          <w:color w:val="auto"/>
          <w:sz w:val="22"/>
          <w:szCs w:val="22"/>
        </w:rPr>
        <w:t xml:space="preserve">. Tačiau reikia pažymėti, kad gydymo tenofoviru metu ALT </w:t>
      </w:r>
      <w:r w:rsidR="00772B5F">
        <w:rPr>
          <w:color w:val="auto"/>
          <w:sz w:val="22"/>
          <w:szCs w:val="22"/>
        </w:rPr>
        <w:t>aktyvumo padidėjimas</w:t>
      </w:r>
      <w:r>
        <w:rPr>
          <w:color w:val="auto"/>
          <w:sz w:val="22"/>
          <w:szCs w:val="22"/>
        </w:rPr>
        <w:t xml:space="preserve"> gali reikšti HBV kieki</w:t>
      </w:r>
      <w:r w:rsidR="00772B5F">
        <w:rPr>
          <w:color w:val="auto"/>
          <w:sz w:val="22"/>
          <w:szCs w:val="22"/>
        </w:rPr>
        <w:t>o</w:t>
      </w:r>
      <w:r>
        <w:rPr>
          <w:color w:val="auto"/>
          <w:sz w:val="22"/>
          <w:szCs w:val="22"/>
        </w:rPr>
        <w:t xml:space="preserve"> mažėj</w:t>
      </w:r>
      <w:r w:rsidR="00772B5F">
        <w:rPr>
          <w:color w:val="auto"/>
          <w:sz w:val="22"/>
          <w:szCs w:val="22"/>
        </w:rPr>
        <w:t>imą</w:t>
      </w:r>
      <w:r>
        <w:rPr>
          <w:color w:val="auto"/>
          <w:sz w:val="22"/>
          <w:szCs w:val="22"/>
        </w:rPr>
        <w:t xml:space="preserve"> (žr. aukščiau </w:t>
      </w:r>
      <w:r>
        <w:rPr>
          <w:i/>
          <w:iCs/>
          <w:color w:val="auto"/>
          <w:sz w:val="22"/>
          <w:szCs w:val="22"/>
        </w:rPr>
        <w:t>Hepatito paūmėjimas</w:t>
      </w:r>
      <w:r>
        <w:rPr>
          <w:color w:val="auto"/>
          <w:sz w:val="22"/>
          <w:szCs w:val="22"/>
        </w:rPr>
        <w:t xml:space="preserve">). </w:t>
      </w:r>
    </w:p>
    <w:p w14:paraId="46698A70" w14:textId="77777777" w:rsidR="00772B5F" w:rsidRDefault="00772B5F" w:rsidP="00BB6F56">
      <w:pPr>
        <w:pStyle w:val="Default"/>
        <w:rPr>
          <w:color w:val="auto"/>
          <w:sz w:val="22"/>
          <w:szCs w:val="22"/>
        </w:rPr>
      </w:pPr>
    </w:p>
    <w:p w14:paraId="59F0BD55" w14:textId="77777777" w:rsidR="00BB6F56" w:rsidRPr="00EE7979" w:rsidRDefault="00BB6F56" w:rsidP="00BB6F56">
      <w:pPr>
        <w:pStyle w:val="Default"/>
        <w:rPr>
          <w:color w:val="auto"/>
          <w:sz w:val="22"/>
          <w:u w:val="single"/>
        </w:rPr>
      </w:pPr>
      <w:r w:rsidRPr="00EE7979">
        <w:rPr>
          <w:color w:val="auto"/>
          <w:sz w:val="22"/>
          <w:u w:val="single"/>
        </w:rPr>
        <w:t xml:space="preserve">Vartojimas kartu su tam tikromis antivirusinėmis medžiagomis nuo hepatito C viruso </w:t>
      </w:r>
    </w:p>
    <w:p w14:paraId="10DA91A7" w14:textId="502CEAA7" w:rsidR="008A6C30" w:rsidRDefault="00BB6F56" w:rsidP="00BB6F56">
      <w:pPr>
        <w:pStyle w:val="Default"/>
        <w:rPr>
          <w:color w:val="auto"/>
          <w:sz w:val="22"/>
          <w:szCs w:val="22"/>
        </w:rPr>
      </w:pPr>
      <w:r>
        <w:rPr>
          <w:color w:val="auto"/>
          <w:sz w:val="22"/>
          <w:szCs w:val="22"/>
        </w:rPr>
        <w:t>Nustatyta, kad vartojant tenofoviro dizoproksilio</w:t>
      </w:r>
      <w:r w:rsidR="00A90462">
        <w:rPr>
          <w:color w:val="auto"/>
          <w:sz w:val="22"/>
          <w:szCs w:val="22"/>
        </w:rPr>
        <w:t xml:space="preserve"> </w:t>
      </w:r>
      <w:r>
        <w:rPr>
          <w:color w:val="auto"/>
          <w:sz w:val="22"/>
          <w:szCs w:val="22"/>
        </w:rPr>
        <w:t>kartu su ledipasviru/sofosbuviru</w:t>
      </w:r>
      <w:r w:rsidR="008A6C30">
        <w:rPr>
          <w:color w:val="auto"/>
          <w:sz w:val="22"/>
          <w:szCs w:val="22"/>
        </w:rPr>
        <w:t>, sofosbuviru/velpatasviru arba sofosbuviru/velpatasviru/voksilapreviru</w:t>
      </w:r>
      <w:r>
        <w:rPr>
          <w:color w:val="auto"/>
          <w:sz w:val="22"/>
          <w:szCs w:val="22"/>
        </w:rPr>
        <w:t xml:space="preserve"> padidėja tenofoviro koncentracij</w:t>
      </w:r>
      <w:r w:rsidR="00772B5F">
        <w:rPr>
          <w:color w:val="auto"/>
          <w:sz w:val="22"/>
          <w:szCs w:val="22"/>
        </w:rPr>
        <w:t>os kraujo</w:t>
      </w:r>
      <w:r>
        <w:rPr>
          <w:color w:val="auto"/>
          <w:sz w:val="22"/>
          <w:szCs w:val="22"/>
        </w:rPr>
        <w:t xml:space="preserve"> plazmoje, ypač kartu taikant ŽIV gydymo schemą, į kurią įeina </w:t>
      </w:r>
      <w:r w:rsidR="008A6C30">
        <w:rPr>
          <w:color w:val="auto"/>
          <w:sz w:val="22"/>
          <w:szCs w:val="22"/>
        </w:rPr>
        <w:t xml:space="preserve">tenofoviras </w:t>
      </w:r>
      <w:r>
        <w:rPr>
          <w:color w:val="auto"/>
          <w:sz w:val="22"/>
          <w:szCs w:val="22"/>
        </w:rPr>
        <w:t>dizoproksili</w:t>
      </w:r>
      <w:r w:rsidR="00A90462">
        <w:rPr>
          <w:color w:val="auto"/>
          <w:sz w:val="22"/>
          <w:szCs w:val="22"/>
        </w:rPr>
        <w:t xml:space="preserve">s </w:t>
      </w:r>
      <w:r>
        <w:rPr>
          <w:color w:val="auto"/>
          <w:sz w:val="22"/>
          <w:szCs w:val="22"/>
        </w:rPr>
        <w:t xml:space="preserve">ir farmakokinetiką stiprinanti medžiaga (ritonaviras arba kobicistatas). </w:t>
      </w:r>
    </w:p>
    <w:p w14:paraId="039C4D22" w14:textId="693F24C8" w:rsidR="00BB6F56" w:rsidRDefault="00BB6F56" w:rsidP="00BB6F56">
      <w:pPr>
        <w:pStyle w:val="Default"/>
        <w:rPr>
          <w:color w:val="auto"/>
          <w:sz w:val="22"/>
          <w:szCs w:val="22"/>
        </w:rPr>
      </w:pPr>
      <w:r>
        <w:rPr>
          <w:color w:val="auto"/>
          <w:sz w:val="22"/>
          <w:szCs w:val="22"/>
        </w:rPr>
        <w:t>Tenofoviro dizoproksilio</w:t>
      </w:r>
      <w:r w:rsidR="00A90462">
        <w:rPr>
          <w:color w:val="auto"/>
          <w:sz w:val="22"/>
          <w:szCs w:val="22"/>
        </w:rPr>
        <w:t xml:space="preserve"> </w:t>
      </w:r>
      <w:r>
        <w:rPr>
          <w:color w:val="auto"/>
          <w:sz w:val="22"/>
          <w:szCs w:val="22"/>
        </w:rPr>
        <w:t>saugumas kartu vartojant ledipasvir</w:t>
      </w:r>
      <w:r w:rsidR="00177E9B">
        <w:rPr>
          <w:color w:val="auto"/>
          <w:sz w:val="22"/>
          <w:szCs w:val="22"/>
        </w:rPr>
        <w:t>o</w:t>
      </w:r>
      <w:r>
        <w:rPr>
          <w:color w:val="auto"/>
          <w:sz w:val="22"/>
          <w:szCs w:val="22"/>
        </w:rPr>
        <w:t>/sofosbuvir</w:t>
      </w:r>
      <w:r w:rsidR="00177E9B">
        <w:rPr>
          <w:color w:val="auto"/>
          <w:sz w:val="22"/>
          <w:szCs w:val="22"/>
        </w:rPr>
        <w:t>o</w:t>
      </w:r>
      <w:r w:rsidR="008A6C30">
        <w:rPr>
          <w:color w:val="auto"/>
          <w:sz w:val="22"/>
          <w:szCs w:val="22"/>
        </w:rPr>
        <w:t>,</w:t>
      </w:r>
      <w:r>
        <w:rPr>
          <w:color w:val="auto"/>
          <w:sz w:val="22"/>
          <w:szCs w:val="22"/>
        </w:rPr>
        <w:t xml:space="preserve"> </w:t>
      </w:r>
      <w:r w:rsidR="008A6C30" w:rsidRPr="008A6C30">
        <w:rPr>
          <w:color w:val="auto"/>
          <w:sz w:val="22"/>
          <w:szCs w:val="22"/>
        </w:rPr>
        <w:t>sofosbuvir</w:t>
      </w:r>
      <w:r w:rsidR="008A6C30">
        <w:rPr>
          <w:color w:val="auto"/>
          <w:sz w:val="22"/>
          <w:szCs w:val="22"/>
        </w:rPr>
        <w:t>o</w:t>
      </w:r>
      <w:r w:rsidR="008A6C30" w:rsidRPr="008A6C30">
        <w:rPr>
          <w:color w:val="auto"/>
          <w:sz w:val="22"/>
          <w:szCs w:val="22"/>
        </w:rPr>
        <w:t>/velpatasvir</w:t>
      </w:r>
      <w:r w:rsidR="008A6C30">
        <w:rPr>
          <w:color w:val="auto"/>
          <w:sz w:val="22"/>
          <w:szCs w:val="22"/>
        </w:rPr>
        <w:t>o</w:t>
      </w:r>
      <w:r w:rsidR="008A6C30" w:rsidRPr="008A6C30">
        <w:rPr>
          <w:color w:val="auto"/>
          <w:sz w:val="22"/>
          <w:szCs w:val="22"/>
        </w:rPr>
        <w:t xml:space="preserve"> arba sofosbuvir</w:t>
      </w:r>
      <w:r w:rsidR="008A6C30">
        <w:rPr>
          <w:color w:val="auto"/>
          <w:sz w:val="22"/>
          <w:szCs w:val="22"/>
        </w:rPr>
        <w:t>o</w:t>
      </w:r>
      <w:r w:rsidR="008A6C30" w:rsidRPr="008A6C30">
        <w:rPr>
          <w:color w:val="auto"/>
          <w:sz w:val="22"/>
          <w:szCs w:val="22"/>
        </w:rPr>
        <w:t>/velpatasvir</w:t>
      </w:r>
      <w:r w:rsidR="008A6C30">
        <w:rPr>
          <w:color w:val="auto"/>
          <w:sz w:val="22"/>
          <w:szCs w:val="22"/>
        </w:rPr>
        <w:t>o</w:t>
      </w:r>
      <w:r w:rsidR="008A6C30" w:rsidRPr="008A6C30">
        <w:rPr>
          <w:color w:val="auto"/>
          <w:sz w:val="22"/>
          <w:szCs w:val="22"/>
        </w:rPr>
        <w:t>/voksilaprevir</w:t>
      </w:r>
      <w:r w:rsidR="008A6C30">
        <w:rPr>
          <w:color w:val="auto"/>
          <w:sz w:val="22"/>
          <w:szCs w:val="22"/>
        </w:rPr>
        <w:t>o</w:t>
      </w:r>
      <w:r w:rsidR="008A6C30" w:rsidRPr="008A6C30">
        <w:rPr>
          <w:color w:val="auto"/>
          <w:sz w:val="22"/>
          <w:szCs w:val="22"/>
        </w:rPr>
        <w:t xml:space="preserve"> </w:t>
      </w:r>
      <w:r>
        <w:rPr>
          <w:color w:val="auto"/>
          <w:sz w:val="22"/>
          <w:szCs w:val="22"/>
        </w:rPr>
        <w:t>ir farmakokinetiką stiprinanči</w:t>
      </w:r>
      <w:r w:rsidR="00177E9B">
        <w:rPr>
          <w:color w:val="auto"/>
          <w:sz w:val="22"/>
          <w:szCs w:val="22"/>
        </w:rPr>
        <w:t>os</w:t>
      </w:r>
      <w:r>
        <w:rPr>
          <w:color w:val="auto"/>
          <w:sz w:val="22"/>
          <w:szCs w:val="22"/>
        </w:rPr>
        <w:t xml:space="preserve"> medžiag</w:t>
      </w:r>
      <w:r w:rsidR="00177E9B">
        <w:rPr>
          <w:color w:val="auto"/>
          <w:sz w:val="22"/>
          <w:szCs w:val="22"/>
        </w:rPr>
        <w:t>os</w:t>
      </w:r>
      <w:r>
        <w:rPr>
          <w:color w:val="auto"/>
          <w:sz w:val="22"/>
          <w:szCs w:val="22"/>
        </w:rPr>
        <w:t xml:space="preserve"> neištirtas. Reikia apsvarstyti galimą riziką ir naudą, susijusią su ledipasviro/sofosbuviro</w:t>
      </w:r>
      <w:r w:rsidR="008A6C30">
        <w:rPr>
          <w:color w:val="auto"/>
          <w:sz w:val="22"/>
          <w:szCs w:val="22"/>
        </w:rPr>
        <w:t>,</w:t>
      </w:r>
      <w:r>
        <w:rPr>
          <w:color w:val="auto"/>
          <w:sz w:val="22"/>
          <w:szCs w:val="22"/>
        </w:rPr>
        <w:t xml:space="preserve"> </w:t>
      </w:r>
      <w:r w:rsidR="008A6C30" w:rsidRPr="008A6C30">
        <w:rPr>
          <w:color w:val="auto"/>
          <w:sz w:val="22"/>
          <w:szCs w:val="22"/>
        </w:rPr>
        <w:t>sofosbuvir</w:t>
      </w:r>
      <w:r w:rsidR="008A6C30">
        <w:rPr>
          <w:color w:val="auto"/>
          <w:sz w:val="22"/>
          <w:szCs w:val="22"/>
        </w:rPr>
        <w:t>o</w:t>
      </w:r>
      <w:r w:rsidR="008A6C30" w:rsidRPr="008A6C30">
        <w:rPr>
          <w:color w:val="auto"/>
          <w:sz w:val="22"/>
          <w:szCs w:val="22"/>
        </w:rPr>
        <w:t>/velpatasvir</w:t>
      </w:r>
      <w:r w:rsidR="008A6C30">
        <w:rPr>
          <w:color w:val="auto"/>
          <w:sz w:val="22"/>
          <w:szCs w:val="22"/>
        </w:rPr>
        <w:t>o</w:t>
      </w:r>
      <w:r w:rsidR="008A6C30" w:rsidRPr="008A6C30">
        <w:rPr>
          <w:color w:val="auto"/>
          <w:sz w:val="22"/>
          <w:szCs w:val="22"/>
        </w:rPr>
        <w:t xml:space="preserve"> arba sofosbuvir</w:t>
      </w:r>
      <w:r w:rsidR="008A6C30">
        <w:rPr>
          <w:color w:val="auto"/>
          <w:sz w:val="22"/>
          <w:szCs w:val="22"/>
        </w:rPr>
        <w:t>o</w:t>
      </w:r>
      <w:r w:rsidR="008A6C30" w:rsidRPr="008A6C30">
        <w:rPr>
          <w:color w:val="auto"/>
          <w:sz w:val="22"/>
          <w:szCs w:val="22"/>
        </w:rPr>
        <w:t>/velpatasvir</w:t>
      </w:r>
      <w:r w:rsidR="008A6C30">
        <w:rPr>
          <w:color w:val="auto"/>
          <w:sz w:val="22"/>
          <w:szCs w:val="22"/>
        </w:rPr>
        <w:t>o</w:t>
      </w:r>
      <w:r w:rsidR="008A6C30" w:rsidRPr="008A6C30">
        <w:rPr>
          <w:color w:val="auto"/>
          <w:sz w:val="22"/>
          <w:szCs w:val="22"/>
        </w:rPr>
        <w:t>/voksilaprevir</w:t>
      </w:r>
      <w:r w:rsidR="008A6C30">
        <w:rPr>
          <w:color w:val="auto"/>
          <w:sz w:val="22"/>
          <w:szCs w:val="22"/>
        </w:rPr>
        <w:t xml:space="preserve">o </w:t>
      </w:r>
      <w:r>
        <w:rPr>
          <w:color w:val="auto"/>
          <w:sz w:val="22"/>
          <w:szCs w:val="22"/>
        </w:rPr>
        <w:t xml:space="preserve">vartojimu kartu su </w:t>
      </w:r>
      <w:r w:rsidR="008A6C30">
        <w:rPr>
          <w:color w:val="auto"/>
          <w:sz w:val="22"/>
          <w:szCs w:val="22"/>
        </w:rPr>
        <w:t xml:space="preserve">tenofoviru </w:t>
      </w:r>
      <w:r>
        <w:rPr>
          <w:color w:val="auto"/>
          <w:sz w:val="22"/>
          <w:szCs w:val="22"/>
        </w:rPr>
        <w:t>dizoproksili</w:t>
      </w:r>
      <w:r w:rsidR="004630C4">
        <w:rPr>
          <w:color w:val="auto"/>
          <w:sz w:val="22"/>
          <w:szCs w:val="22"/>
        </w:rPr>
        <w:t>u</w:t>
      </w:r>
      <w:r>
        <w:rPr>
          <w:color w:val="auto"/>
          <w:sz w:val="22"/>
          <w:szCs w:val="22"/>
        </w:rPr>
        <w:t xml:space="preserve">, skiriamu kartu su sustiprintu ŽIV proteazės inhibitoriumi (pvz., atazanaviru arba darunaviru), ypač pacientams, kuriems yra padidėjusi inkstų </w:t>
      </w:r>
      <w:r w:rsidR="00177E9B">
        <w:rPr>
          <w:color w:val="auto"/>
          <w:sz w:val="22"/>
          <w:szCs w:val="22"/>
        </w:rPr>
        <w:t>funkcijos sutrikimo</w:t>
      </w:r>
      <w:r>
        <w:rPr>
          <w:color w:val="auto"/>
          <w:sz w:val="22"/>
          <w:szCs w:val="22"/>
        </w:rPr>
        <w:t xml:space="preserve"> rizika. Reikia stebėti, ar pacientams, vartojantiems ledipasvir</w:t>
      </w:r>
      <w:r w:rsidR="00177E9B">
        <w:rPr>
          <w:color w:val="auto"/>
          <w:sz w:val="22"/>
          <w:szCs w:val="22"/>
        </w:rPr>
        <w:t>o</w:t>
      </w:r>
      <w:r>
        <w:rPr>
          <w:color w:val="auto"/>
          <w:sz w:val="22"/>
          <w:szCs w:val="22"/>
        </w:rPr>
        <w:t>/sofosbuvir</w:t>
      </w:r>
      <w:r w:rsidR="00177E9B">
        <w:rPr>
          <w:color w:val="auto"/>
          <w:sz w:val="22"/>
          <w:szCs w:val="22"/>
        </w:rPr>
        <w:t>o</w:t>
      </w:r>
      <w:r w:rsidR="008A6C30">
        <w:rPr>
          <w:color w:val="auto"/>
          <w:sz w:val="22"/>
          <w:szCs w:val="22"/>
        </w:rPr>
        <w:t>,</w:t>
      </w:r>
      <w:r>
        <w:rPr>
          <w:color w:val="auto"/>
          <w:sz w:val="22"/>
          <w:szCs w:val="22"/>
        </w:rPr>
        <w:t xml:space="preserve"> </w:t>
      </w:r>
      <w:r w:rsidR="008A6C30" w:rsidRPr="008A6C30">
        <w:rPr>
          <w:color w:val="auto"/>
          <w:sz w:val="22"/>
          <w:szCs w:val="22"/>
        </w:rPr>
        <w:t xml:space="preserve">sofosbuviro/velpatasviro arba sofosbuviro/velpatasviro/voksilapreviro </w:t>
      </w:r>
      <w:r>
        <w:rPr>
          <w:color w:val="auto"/>
          <w:sz w:val="22"/>
          <w:szCs w:val="22"/>
        </w:rPr>
        <w:t xml:space="preserve">kartu su </w:t>
      </w:r>
      <w:r w:rsidR="008A6C30">
        <w:rPr>
          <w:color w:val="auto"/>
          <w:sz w:val="22"/>
          <w:szCs w:val="22"/>
        </w:rPr>
        <w:t xml:space="preserve">tenofoviru </w:t>
      </w:r>
      <w:r>
        <w:rPr>
          <w:color w:val="auto"/>
          <w:sz w:val="22"/>
          <w:szCs w:val="22"/>
        </w:rPr>
        <w:t>dizoproksili</w:t>
      </w:r>
      <w:r w:rsidR="004630C4">
        <w:rPr>
          <w:color w:val="auto"/>
          <w:sz w:val="22"/>
          <w:szCs w:val="22"/>
        </w:rPr>
        <w:t>u</w:t>
      </w:r>
      <w:r>
        <w:rPr>
          <w:color w:val="auto"/>
          <w:sz w:val="22"/>
          <w:szCs w:val="22"/>
        </w:rPr>
        <w:t xml:space="preserve"> ir sustiprintu ŽIV proteazės inhibitoriumi, nepasireiškia nepageidaujamų reakcijų, susijusių su </w:t>
      </w:r>
      <w:r w:rsidR="008A6C30">
        <w:rPr>
          <w:color w:val="auto"/>
          <w:sz w:val="22"/>
          <w:szCs w:val="22"/>
        </w:rPr>
        <w:t xml:space="preserve">tenofoviru </w:t>
      </w:r>
      <w:r>
        <w:rPr>
          <w:color w:val="auto"/>
          <w:sz w:val="22"/>
          <w:szCs w:val="22"/>
        </w:rPr>
        <w:t>dizoproksili</w:t>
      </w:r>
      <w:r w:rsidR="004630C4">
        <w:rPr>
          <w:color w:val="auto"/>
          <w:sz w:val="22"/>
          <w:szCs w:val="22"/>
        </w:rPr>
        <w:t>u</w:t>
      </w:r>
      <w:r>
        <w:rPr>
          <w:color w:val="auto"/>
          <w:sz w:val="22"/>
          <w:szCs w:val="22"/>
        </w:rPr>
        <w:t xml:space="preserve">. </w:t>
      </w:r>
    </w:p>
    <w:p w14:paraId="1E47D05E" w14:textId="77777777" w:rsidR="00177E9B" w:rsidRDefault="00177E9B" w:rsidP="00BB6F56">
      <w:pPr>
        <w:pStyle w:val="Default"/>
        <w:rPr>
          <w:color w:val="auto"/>
          <w:sz w:val="22"/>
          <w:szCs w:val="22"/>
        </w:rPr>
      </w:pPr>
    </w:p>
    <w:p w14:paraId="441176C5" w14:textId="77777777" w:rsidR="00BB6F56" w:rsidRPr="00177E9B" w:rsidRDefault="00BB6F56" w:rsidP="00BB6F56">
      <w:pPr>
        <w:pStyle w:val="Default"/>
        <w:rPr>
          <w:color w:val="auto"/>
          <w:sz w:val="22"/>
          <w:szCs w:val="22"/>
          <w:u w:val="single"/>
        </w:rPr>
      </w:pPr>
      <w:r w:rsidRPr="00177E9B">
        <w:rPr>
          <w:color w:val="auto"/>
          <w:sz w:val="22"/>
          <w:szCs w:val="22"/>
          <w:u w:val="single"/>
        </w:rPr>
        <w:t xml:space="preserve">Kūno masė ir metabolizmo </w:t>
      </w:r>
      <w:r w:rsidR="00177E9B" w:rsidRPr="00177E9B">
        <w:rPr>
          <w:color w:val="auto"/>
          <w:sz w:val="22"/>
          <w:szCs w:val="22"/>
          <w:u w:val="single"/>
        </w:rPr>
        <w:t>parametrai</w:t>
      </w:r>
      <w:r w:rsidRPr="00177E9B">
        <w:rPr>
          <w:color w:val="auto"/>
          <w:sz w:val="22"/>
          <w:szCs w:val="22"/>
          <w:u w:val="single"/>
        </w:rPr>
        <w:t xml:space="preserve"> </w:t>
      </w:r>
    </w:p>
    <w:p w14:paraId="6D064E7D" w14:textId="77777777" w:rsidR="00BB6F56" w:rsidRDefault="00BB6F56" w:rsidP="00BB6F56">
      <w:pPr>
        <w:pStyle w:val="Default"/>
        <w:rPr>
          <w:color w:val="auto"/>
          <w:sz w:val="22"/>
          <w:szCs w:val="22"/>
        </w:rPr>
      </w:pPr>
      <w:r>
        <w:rPr>
          <w:color w:val="auto"/>
          <w:sz w:val="22"/>
          <w:szCs w:val="22"/>
        </w:rPr>
        <w:t xml:space="preserve">Gydymo antiretrovirusiniais preparatais metu gali padidėti kūno masė ir lipidų bei gliukozės </w:t>
      </w:r>
      <w:r w:rsidR="00177E9B">
        <w:rPr>
          <w:color w:val="auto"/>
          <w:sz w:val="22"/>
          <w:szCs w:val="22"/>
        </w:rPr>
        <w:t>kiekiai</w:t>
      </w:r>
      <w:r>
        <w:rPr>
          <w:color w:val="auto"/>
          <w:sz w:val="22"/>
          <w:szCs w:val="22"/>
        </w:rPr>
        <w:t xml:space="preserve">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w:t>
      </w:r>
      <w:r w:rsidR="00177E9B">
        <w:rPr>
          <w:color w:val="auto"/>
          <w:sz w:val="22"/>
          <w:szCs w:val="22"/>
        </w:rPr>
        <w:t>ai turi būti gydomi kaip tinka kliniškai</w:t>
      </w:r>
      <w:r>
        <w:rPr>
          <w:color w:val="auto"/>
          <w:sz w:val="22"/>
          <w:szCs w:val="22"/>
        </w:rPr>
        <w:t xml:space="preserve">. </w:t>
      </w:r>
    </w:p>
    <w:p w14:paraId="25FDF2F8" w14:textId="77777777" w:rsidR="00177E9B" w:rsidRDefault="00177E9B" w:rsidP="00BB6F56">
      <w:pPr>
        <w:pStyle w:val="Default"/>
        <w:rPr>
          <w:color w:val="auto"/>
          <w:sz w:val="22"/>
          <w:szCs w:val="22"/>
        </w:rPr>
      </w:pPr>
    </w:p>
    <w:p w14:paraId="1A5EDAC1" w14:textId="77777777" w:rsidR="00BB6F56" w:rsidRPr="00177E9B" w:rsidRDefault="00BB6F56" w:rsidP="00BB6F56">
      <w:pPr>
        <w:pStyle w:val="Default"/>
        <w:rPr>
          <w:color w:val="auto"/>
          <w:sz w:val="22"/>
          <w:szCs w:val="22"/>
          <w:u w:val="single"/>
        </w:rPr>
      </w:pPr>
      <w:r w:rsidRPr="00177E9B">
        <w:rPr>
          <w:color w:val="auto"/>
          <w:sz w:val="22"/>
          <w:szCs w:val="22"/>
          <w:u w:val="single"/>
        </w:rPr>
        <w:t xml:space="preserve">Mitochondrijų </w:t>
      </w:r>
      <w:r w:rsidR="00177E9B">
        <w:rPr>
          <w:color w:val="auto"/>
          <w:sz w:val="22"/>
          <w:szCs w:val="22"/>
          <w:u w:val="single"/>
        </w:rPr>
        <w:t xml:space="preserve">funkcijos sutrikimas po </w:t>
      </w:r>
      <w:r w:rsidR="00243AEA" w:rsidRPr="00243AEA">
        <w:rPr>
          <w:i/>
          <w:color w:val="auto"/>
          <w:sz w:val="22"/>
          <w:szCs w:val="22"/>
          <w:u w:val="single"/>
        </w:rPr>
        <w:t>in utero</w:t>
      </w:r>
      <w:r w:rsidR="00243AEA" w:rsidRPr="00243AEA">
        <w:rPr>
          <w:color w:val="auto"/>
          <w:sz w:val="22"/>
          <w:szCs w:val="22"/>
          <w:u w:val="single"/>
        </w:rPr>
        <w:t xml:space="preserve"> </w:t>
      </w:r>
      <w:r w:rsidR="00243AEA">
        <w:rPr>
          <w:color w:val="auto"/>
          <w:sz w:val="22"/>
          <w:szCs w:val="22"/>
          <w:u w:val="single"/>
        </w:rPr>
        <w:t xml:space="preserve">(vaisiaus) </w:t>
      </w:r>
      <w:r w:rsidR="00177E9B">
        <w:rPr>
          <w:color w:val="auto"/>
          <w:sz w:val="22"/>
          <w:szCs w:val="22"/>
          <w:u w:val="single"/>
        </w:rPr>
        <w:t>ekspozicijos</w:t>
      </w:r>
      <w:r w:rsidRPr="00177E9B">
        <w:rPr>
          <w:color w:val="auto"/>
          <w:sz w:val="22"/>
          <w:szCs w:val="22"/>
          <w:u w:val="single"/>
        </w:rPr>
        <w:t xml:space="preserve"> </w:t>
      </w:r>
    </w:p>
    <w:p w14:paraId="43FADC9B" w14:textId="77777777" w:rsidR="00BB6F56" w:rsidRDefault="00BB6F56" w:rsidP="00BB6F56">
      <w:pPr>
        <w:pStyle w:val="Default"/>
        <w:rPr>
          <w:color w:val="auto"/>
          <w:sz w:val="22"/>
          <w:szCs w:val="22"/>
        </w:rPr>
      </w:pPr>
      <w:r>
        <w:rPr>
          <w:color w:val="auto"/>
          <w:sz w:val="22"/>
          <w:szCs w:val="22"/>
        </w:rPr>
        <w:t>Nukleotid</w:t>
      </w:r>
      <w:r w:rsidR="00243AEA">
        <w:rPr>
          <w:color w:val="auto"/>
          <w:sz w:val="22"/>
          <w:szCs w:val="22"/>
        </w:rPr>
        <w:t>as</w:t>
      </w:r>
      <w:r>
        <w:rPr>
          <w:color w:val="auto"/>
          <w:sz w:val="22"/>
          <w:szCs w:val="22"/>
        </w:rPr>
        <w:t xml:space="preserve"> gali įvairiu laipsniu paveikti mitochondrijų funkciją, šis poveikis ryškiausias būna vartojant stavudino, didanozino ir zidovudino. Kai kuriems ŽIV neužkrėstiems kūdikiams, paveiktiems nukleozidų analogais prieš gimimą ir</w:t>
      </w:r>
      <w:r w:rsidR="002973C6">
        <w:rPr>
          <w:color w:val="auto"/>
          <w:sz w:val="22"/>
          <w:szCs w:val="22"/>
        </w:rPr>
        <w:t xml:space="preserve"> (</w:t>
      </w:r>
      <w:r>
        <w:rPr>
          <w:color w:val="auto"/>
          <w:sz w:val="22"/>
          <w:szCs w:val="22"/>
        </w:rPr>
        <w:t>ar</w:t>
      </w:r>
      <w:r w:rsidR="002973C6">
        <w:rPr>
          <w:color w:val="auto"/>
          <w:sz w:val="22"/>
          <w:szCs w:val="22"/>
        </w:rPr>
        <w:t>ba)</w:t>
      </w:r>
      <w:r>
        <w:rPr>
          <w:color w:val="auto"/>
          <w:sz w:val="22"/>
          <w:szCs w:val="22"/>
        </w:rPr>
        <w:t xml:space="preserve"> po jo, pasireiškė mitochondrijų </w:t>
      </w:r>
      <w:r w:rsidR="00243AEA">
        <w:rPr>
          <w:color w:val="auto"/>
          <w:sz w:val="22"/>
          <w:szCs w:val="22"/>
        </w:rPr>
        <w:t>funkcijos sutrikimas</w:t>
      </w:r>
      <w:r>
        <w:rPr>
          <w:color w:val="auto"/>
          <w:sz w:val="22"/>
          <w:szCs w:val="22"/>
        </w:rPr>
        <w:t>; šie atvejai daugiausia buvo susiję su gydymo režimų, kurių sudėtyje yra zidovudino, taikymu. Svarbiausios nepageidaujamos reakcijos, apie kurias gauta pranešimų, buvo hematologiniai (anemija, neutropenija) ir metaboliniai (hiperlaktatemija, hiperlipazemija) sutrikimai. Šie reiškiniai dažnai būdavo laikini. Retai gauta pr</w:t>
      </w:r>
      <w:r w:rsidR="00243AEA">
        <w:rPr>
          <w:color w:val="auto"/>
          <w:sz w:val="22"/>
          <w:szCs w:val="22"/>
        </w:rPr>
        <w:t>a</w:t>
      </w:r>
      <w:r>
        <w:rPr>
          <w:color w:val="auto"/>
          <w:sz w:val="22"/>
          <w:szCs w:val="22"/>
        </w:rPr>
        <w:t>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nukleotid</w:t>
      </w:r>
      <w:r w:rsidR="00243AEA">
        <w:rPr>
          <w:color w:val="auto"/>
          <w:sz w:val="22"/>
          <w:szCs w:val="22"/>
        </w:rPr>
        <w:t>o</w:t>
      </w:r>
      <w:r>
        <w:rPr>
          <w:color w:val="auto"/>
          <w:sz w:val="22"/>
          <w:szCs w:val="22"/>
        </w:rPr>
        <w:t xml:space="preserve"> analogais ir kuriam </w:t>
      </w:r>
      <w:r w:rsidR="00243AEA">
        <w:rPr>
          <w:color w:val="auto"/>
          <w:sz w:val="22"/>
          <w:szCs w:val="22"/>
        </w:rPr>
        <w:t>yra</w:t>
      </w:r>
      <w:r>
        <w:rPr>
          <w:color w:val="auto"/>
          <w:sz w:val="22"/>
          <w:szCs w:val="22"/>
        </w:rPr>
        <w:t xml:space="preserve"> sunkių nežinomos etiologijos klinikinių reiškinių, ypač neurologinių reiškinių. Dėl šių duomenų šalyje galiojančių nacionalinių rekomendacijų skirti antiretrovirusinių preparatų nėščioms moterims, kad būtų išvengta vaisiaus užkrėtimo ŽIV, keisti nereikia. </w:t>
      </w:r>
    </w:p>
    <w:p w14:paraId="09EDEC85" w14:textId="77777777" w:rsidR="00243AEA" w:rsidRDefault="00243AEA" w:rsidP="00BB6F56">
      <w:pPr>
        <w:pStyle w:val="Default"/>
        <w:rPr>
          <w:color w:val="auto"/>
          <w:sz w:val="22"/>
          <w:szCs w:val="22"/>
        </w:rPr>
      </w:pPr>
    </w:p>
    <w:p w14:paraId="0797655D" w14:textId="02CD1FAD" w:rsidR="00BB6F56" w:rsidRPr="00243AEA" w:rsidRDefault="00BB6F56" w:rsidP="0014347B">
      <w:pPr>
        <w:pStyle w:val="Default"/>
        <w:rPr>
          <w:color w:val="auto"/>
          <w:sz w:val="22"/>
          <w:szCs w:val="22"/>
          <w:u w:val="single"/>
        </w:rPr>
      </w:pPr>
      <w:r w:rsidRPr="00243AEA">
        <w:rPr>
          <w:color w:val="auto"/>
          <w:sz w:val="22"/>
          <w:szCs w:val="22"/>
          <w:u w:val="single"/>
        </w:rPr>
        <w:t>Imuninės reaktyvacijos sindromas</w:t>
      </w:r>
    </w:p>
    <w:p w14:paraId="3D31A406" w14:textId="75B5D19E" w:rsidR="00896D51" w:rsidRDefault="00BB6F56" w:rsidP="0014347B">
      <w:pPr>
        <w:tabs>
          <w:tab w:val="left" w:pos="0"/>
        </w:tabs>
        <w:rPr>
          <w:szCs w:val="22"/>
        </w:rPr>
      </w:pPr>
      <w:r>
        <w:rPr>
          <w:szCs w:val="22"/>
        </w:rPr>
        <w:t xml:space="preserve">ŽIV infekuotiems pacientams, kuriems yra didelis imuninės sistemos </w:t>
      </w:r>
      <w:r w:rsidR="00693F82">
        <w:rPr>
          <w:szCs w:val="22"/>
        </w:rPr>
        <w:t>nepakankamumas</w:t>
      </w:r>
      <w:r>
        <w:rPr>
          <w:szCs w:val="22"/>
        </w:rPr>
        <w:t xml:space="preserve">, pradėjus </w:t>
      </w:r>
      <w:r w:rsidR="000D523E">
        <w:rPr>
          <w:szCs w:val="22"/>
        </w:rPr>
        <w:t xml:space="preserve">taikyti </w:t>
      </w:r>
      <w:r>
        <w:rPr>
          <w:szCs w:val="22"/>
        </w:rPr>
        <w:t>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w:t>
      </w:r>
      <w:r w:rsidR="002973C6">
        <w:rPr>
          <w:szCs w:val="22"/>
        </w:rPr>
        <w:t xml:space="preserve"> (</w:t>
      </w:r>
      <w:r>
        <w:rPr>
          <w:szCs w:val="22"/>
        </w:rPr>
        <w:t>arba</w:t>
      </w:r>
      <w:r w:rsidR="002973C6">
        <w:rPr>
          <w:szCs w:val="22"/>
        </w:rPr>
        <w:t>)</w:t>
      </w:r>
      <w:r>
        <w:rPr>
          <w:szCs w:val="22"/>
        </w:rPr>
        <w:t xml:space="preserve"> židininės mikobakterinės infekcijos ir </w:t>
      </w:r>
      <w:r>
        <w:rPr>
          <w:i/>
          <w:iCs/>
          <w:szCs w:val="22"/>
        </w:rPr>
        <w:t xml:space="preserve">Pneumocystis jirovecii </w:t>
      </w:r>
      <w:r>
        <w:rPr>
          <w:szCs w:val="22"/>
        </w:rPr>
        <w:t xml:space="preserve">pneumonija. </w:t>
      </w:r>
      <w:r w:rsidR="00243AEA">
        <w:rPr>
          <w:szCs w:val="22"/>
        </w:rPr>
        <w:t>Turi būti</w:t>
      </w:r>
      <w:r>
        <w:rPr>
          <w:szCs w:val="22"/>
        </w:rPr>
        <w:t xml:space="preserve"> įvertinti bet kok</w:t>
      </w:r>
      <w:r w:rsidR="00243AEA">
        <w:rPr>
          <w:szCs w:val="22"/>
        </w:rPr>
        <w:t>ie</w:t>
      </w:r>
      <w:r>
        <w:rPr>
          <w:szCs w:val="22"/>
        </w:rPr>
        <w:t xml:space="preserve"> uždegimo simptom</w:t>
      </w:r>
      <w:r w:rsidR="00243AEA">
        <w:rPr>
          <w:szCs w:val="22"/>
        </w:rPr>
        <w:t>ai</w:t>
      </w:r>
      <w:r>
        <w:rPr>
          <w:szCs w:val="22"/>
        </w:rPr>
        <w:t xml:space="preserve"> ir, </w:t>
      </w:r>
      <w:r w:rsidR="00243AEA">
        <w:rPr>
          <w:szCs w:val="22"/>
        </w:rPr>
        <w:t>jeigu</w:t>
      </w:r>
      <w:r>
        <w:rPr>
          <w:szCs w:val="22"/>
        </w:rPr>
        <w:t xml:space="preserve"> būtina, pradėt</w:t>
      </w:r>
      <w:r w:rsidR="00243AEA">
        <w:rPr>
          <w:szCs w:val="22"/>
        </w:rPr>
        <w:t>as</w:t>
      </w:r>
      <w:r>
        <w:rPr>
          <w:szCs w:val="22"/>
        </w:rPr>
        <w:t xml:space="preserve"> gydy</w:t>
      </w:r>
      <w:r w:rsidR="00243AEA">
        <w:rPr>
          <w:szCs w:val="22"/>
        </w:rPr>
        <w:t>mas</w:t>
      </w:r>
      <w:r>
        <w:rPr>
          <w:szCs w:val="22"/>
        </w:rPr>
        <w:t>.</w:t>
      </w:r>
    </w:p>
    <w:p w14:paraId="7F28D737" w14:textId="4BC1B04F" w:rsidR="002E0F33" w:rsidRDefault="009907B2" w:rsidP="00945A0C">
      <w:pPr>
        <w:tabs>
          <w:tab w:val="left" w:pos="0"/>
        </w:tabs>
        <w:rPr>
          <w:szCs w:val="22"/>
          <w:lang w:eastAsia="en-US"/>
        </w:rPr>
      </w:pPr>
      <w:r w:rsidRPr="00693F82">
        <w:rPr>
          <w:szCs w:val="22"/>
        </w:rPr>
        <w:t xml:space="preserve">Taip pat buvo pranešta apie autoimuninius sutrikimus (pvz., Greivso </w:t>
      </w:r>
      <w:r>
        <w:rPr>
          <w:szCs w:val="22"/>
        </w:rPr>
        <w:t>[</w:t>
      </w:r>
      <w:r w:rsidRPr="00CA49A8">
        <w:rPr>
          <w:i/>
          <w:szCs w:val="22"/>
        </w:rPr>
        <w:t>Graves</w:t>
      </w:r>
      <w:r>
        <w:rPr>
          <w:szCs w:val="22"/>
        </w:rPr>
        <w:t xml:space="preserve">] </w:t>
      </w:r>
      <w:r w:rsidRPr="00693F82">
        <w:rPr>
          <w:szCs w:val="22"/>
        </w:rPr>
        <w:t>ligą</w:t>
      </w:r>
      <w:r>
        <w:rPr>
          <w:szCs w:val="22"/>
        </w:rPr>
        <w:t xml:space="preserve"> ir autoimunin</w:t>
      </w:r>
      <w:r w:rsidR="000D523E">
        <w:rPr>
          <w:szCs w:val="22"/>
        </w:rPr>
        <w:t>į</w:t>
      </w:r>
      <w:r w:rsidR="00CB5B7C">
        <w:rPr>
          <w:szCs w:val="22"/>
        </w:rPr>
        <w:t xml:space="preserve"> </w:t>
      </w:r>
      <w:r w:rsidRPr="00E75048">
        <w:rPr>
          <w:szCs w:val="22"/>
        </w:rPr>
        <w:t>hepatit</w:t>
      </w:r>
      <w:r w:rsidR="000D523E">
        <w:rPr>
          <w:szCs w:val="22"/>
        </w:rPr>
        <w:t>ą</w:t>
      </w:r>
      <w:r w:rsidRPr="00E75048">
        <w:rPr>
          <w:szCs w:val="22"/>
        </w:rPr>
        <w:t>),</w:t>
      </w:r>
      <w:r w:rsidRPr="00693F82">
        <w:rPr>
          <w:szCs w:val="22"/>
        </w:rPr>
        <w:t xml:space="preserve"> tačiau praneštas jų pradžios laikas yra lab</w:t>
      </w:r>
      <w:r w:rsidR="000D523E">
        <w:rPr>
          <w:szCs w:val="22"/>
        </w:rPr>
        <w:t>ai įvairus</w:t>
      </w:r>
      <w:r w:rsidRPr="00693F82">
        <w:rPr>
          <w:szCs w:val="22"/>
        </w:rPr>
        <w:t xml:space="preserve"> ir šie reiškiniai galimi per daug</w:t>
      </w:r>
      <w:r w:rsidR="00D400A8">
        <w:rPr>
          <w:szCs w:val="22"/>
        </w:rPr>
        <w:t xml:space="preserve"> </w:t>
      </w:r>
      <w:r w:rsidRPr="00693F82">
        <w:rPr>
          <w:szCs w:val="22"/>
        </w:rPr>
        <w:t>mėnesių nuo gydymo pradžios</w:t>
      </w:r>
      <w:r>
        <w:rPr>
          <w:szCs w:val="22"/>
        </w:rPr>
        <w:t>.</w:t>
      </w:r>
    </w:p>
    <w:p w14:paraId="128536BE" w14:textId="77777777" w:rsidR="000D523E" w:rsidRDefault="000D523E" w:rsidP="0014347B">
      <w:pPr>
        <w:pStyle w:val="Default"/>
        <w:rPr>
          <w:color w:val="auto"/>
          <w:sz w:val="22"/>
          <w:szCs w:val="22"/>
          <w:u w:val="single"/>
        </w:rPr>
      </w:pPr>
    </w:p>
    <w:p w14:paraId="5CD54D0B" w14:textId="77777777" w:rsidR="009F6635" w:rsidRPr="009F6635" w:rsidRDefault="009F6635" w:rsidP="009F6635">
      <w:pPr>
        <w:pStyle w:val="Default"/>
        <w:rPr>
          <w:color w:val="auto"/>
          <w:sz w:val="22"/>
          <w:szCs w:val="22"/>
          <w:u w:val="single"/>
        </w:rPr>
      </w:pPr>
      <w:r w:rsidRPr="009F6635">
        <w:rPr>
          <w:color w:val="auto"/>
          <w:sz w:val="22"/>
          <w:szCs w:val="22"/>
          <w:u w:val="single"/>
        </w:rPr>
        <w:t xml:space="preserve">Kaulo nekrozė </w:t>
      </w:r>
    </w:p>
    <w:p w14:paraId="7DF986C5" w14:textId="77777777" w:rsidR="009F6635" w:rsidRDefault="009F6635" w:rsidP="009F6635">
      <w:pPr>
        <w:pStyle w:val="Default"/>
        <w:rPr>
          <w:color w:val="auto"/>
          <w:sz w:val="22"/>
          <w:szCs w:val="22"/>
        </w:rPr>
      </w:pPr>
      <w:r>
        <w:rPr>
          <w:color w:val="auto"/>
          <w:sz w:val="22"/>
          <w:szCs w:val="22"/>
        </w:rPr>
        <w:t xml:space="preserve">Nepaisant to, kad kaulo nekrozės etiologijoje dalyvauja daug veiksnių (įskaitant kortikosteroidų vartojimą, piktnaudžiavimą alkoholiu, sunkią imunosupresiją, didesnį kūno masės indeksą), gauta pranešimų apie osteonekrozės atvejus, ypač pacientams, kuriems yra progresavusi ŽIV liga, ir (arba) ilgalaikė ekspozicija KARG. Pacientai turi būti informuoti, kad reikia kreiptis į gydytoją, jeigu jie jaučia sąnarių gėlą ir skausmą, sąnarių sustingimą arba jeigu jiems </w:t>
      </w:r>
      <w:r w:rsidR="007B219E">
        <w:rPr>
          <w:color w:val="auto"/>
          <w:sz w:val="22"/>
          <w:szCs w:val="22"/>
        </w:rPr>
        <w:t>tampa</w:t>
      </w:r>
      <w:r>
        <w:rPr>
          <w:color w:val="auto"/>
          <w:sz w:val="22"/>
          <w:szCs w:val="22"/>
        </w:rPr>
        <w:t xml:space="preserve"> sunku judėti. </w:t>
      </w:r>
    </w:p>
    <w:p w14:paraId="68B4235B" w14:textId="77777777" w:rsidR="007B219E" w:rsidRDefault="007B219E" w:rsidP="009F6635">
      <w:pPr>
        <w:pStyle w:val="Default"/>
        <w:rPr>
          <w:color w:val="auto"/>
          <w:sz w:val="22"/>
          <w:szCs w:val="22"/>
        </w:rPr>
      </w:pPr>
    </w:p>
    <w:p w14:paraId="61BD5A8F" w14:textId="77777777" w:rsidR="009F6635" w:rsidRPr="007B219E" w:rsidRDefault="009F6635" w:rsidP="009F6635">
      <w:pPr>
        <w:pStyle w:val="Default"/>
        <w:rPr>
          <w:color w:val="auto"/>
          <w:sz w:val="22"/>
          <w:szCs w:val="22"/>
          <w:u w:val="single"/>
        </w:rPr>
      </w:pPr>
      <w:r w:rsidRPr="007B219E">
        <w:rPr>
          <w:color w:val="auto"/>
          <w:sz w:val="22"/>
          <w:szCs w:val="22"/>
          <w:u w:val="single"/>
        </w:rPr>
        <w:t>Senyvi pacienta</w:t>
      </w:r>
      <w:r w:rsidR="007B219E" w:rsidRPr="007B219E">
        <w:rPr>
          <w:color w:val="auto"/>
          <w:sz w:val="22"/>
          <w:szCs w:val="22"/>
          <w:u w:val="single"/>
        </w:rPr>
        <w:t>i</w:t>
      </w:r>
      <w:r w:rsidRPr="007B219E">
        <w:rPr>
          <w:color w:val="auto"/>
          <w:sz w:val="22"/>
          <w:szCs w:val="22"/>
          <w:u w:val="single"/>
        </w:rPr>
        <w:t xml:space="preserve"> </w:t>
      </w:r>
    </w:p>
    <w:p w14:paraId="38480D7F" w14:textId="77777777" w:rsidR="007B219E" w:rsidRDefault="009F6635" w:rsidP="009F6635">
      <w:pPr>
        <w:pStyle w:val="Default"/>
        <w:rPr>
          <w:color w:val="auto"/>
          <w:sz w:val="22"/>
          <w:szCs w:val="22"/>
        </w:rPr>
      </w:pPr>
      <w:r>
        <w:rPr>
          <w:color w:val="auto"/>
          <w:sz w:val="22"/>
          <w:szCs w:val="22"/>
        </w:rPr>
        <w:t>Tenofoviro dizoproksili</w:t>
      </w:r>
      <w:r w:rsidR="002973C6">
        <w:rPr>
          <w:color w:val="auto"/>
          <w:sz w:val="22"/>
          <w:szCs w:val="22"/>
        </w:rPr>
        <w:t>s</w:t>
      </w:r>
      <w:r>
        <w:rPr>
          <w:color w:val="auto"/>
          <w:sz w:val="22"/>
          <w:szCs w:val="22"/>
        </w:rPr>
        <w:t xml:space="preserve"> vyresniems nei 65 metų amžiaus pacientams </w:t>
      </w:r>
      <w:r w:rsidR="007B219E">
        <w:rPr>
          <w:color w:val="auto"/>
          <w:sz w:val="22"/>
          <w:szCs w:val="22"/>
        </w:rPr>
        <w:t>netirtas</w:t>
      </w:r>
      <w:r>
        <w:rPr>
          <w:color w:val="auto"/>
          <w:sz w:val="22"/>
          <w:szCs w:val="22"/>
        </w:rPr>
        <w:t xml:space="preserve">. </w:t>
      </w:r>
      <w:r w:rsidRPr="007B219E">
        <w:rPr>
          <w:iCs/>
          <w:color w:val="auto"/>
          <w:sz w:val="22"/>
          <w:szCs w:val="22"/>
        </w:rPr>
        <w:t xml:space="preserve">Senyviems </w:t>
      </w:r>
      <w:r>
        <w:rPr>
          <w:color w:val="auto"/>
          <w:sz w:val="22"/>
          <w:szCs w:val="22"/>
        </w:rPr>
        <w:t>pacientams dažniau gali būti sutrikusi inkstų funkcija, todėl tenofoviro dizoproksili</w:t>
      </w:r>
      <w:r w:rsidR="002973C6">
        <w:rPr>
          <w:color w:val="auto"/>
          <w:sz w:val="22"/>
          <w:szCs w:val="22"/>
        </w:rPr>
        <w:t>u</w:t>
      </w:r>
      <w:r>
        <w:rPr>
          <w:color w:val="auto"/>
          <w:sz w:val="22"/>
          <w:szCs w:val="22"/>
        </w:rPr>
        <w:t xml:space="preserve"> juos reikia gydyti atsargiai.</w:t>
      </w:r>
    </w:p>
    <w:p w14:paraId="3F3A8A0B" w14:textId="77777777" w:rsidR="009F6635" w:rsidRDefault="009F6635" w:rsidP="009F6635">
      <w:pPr>
        <w:pStyle w:val="Default"/>
        <w:rPr>
          <w:color w:val="auto"/>
          <w:sz w:val="22"/>
          <w:szCs w:val="22"/>
        </w:rPr>
      </w:pPr>
    </w:p>
    <w:p w14:paraId="43CE97B8" w14:textId="5067EB3E" w:rsidR="002E0F33" w:rsidRDefault="007B219E" w:rsidP="007B219E">
      <w:pPr>
        <w:tabs>
          <w:tab w:val="left" w:pos="0"/>
        </w:tabs>
        <w:rPr>
          <w:szCs w:val="22"/>
          <w:lang w:eastAsia="en-US"/>
        </w:rPr>
      </w:pPr>
      <w:r w:rsidRPr="0082118C">
        <w:rPr>
          <w:szCs w:val="22"/>
        </w:rPr>
        <w:t>Tenofovir disoproxil Sandoz</w:t>
      </w:r>
      <w:r w:rsidR="009F6635" w:rsidRPr="0082118C">
        <w:rPr>
          <w:szCs w:val="22"/>
        </w:rPr>
        <w:t xml:space="preserve"> 245</w:t>
      </w:r>
      <w:r w:rsidR="002973C6">
        <w:rPr>
          <w:szCs w:val="22"/>
        </w:rPr>
        <w:t> </w:t>
      </w:r>
      <w:r w:rsidR="009F6635" w:rsidRPr="0082118C">
        <w:rPr>
          <w:szCs w:val="22"/>
        </w:rPr>
        <w:t xml:space="preserve">mg plėvele dengtų tablečių sudėtyje yra laktozės monohidrato. Šio vaistinio preparato negalima vartoti pacientams, kuriems nustatytas retas paveldimas sutrikimas – galaktozės netoleravimas, </w:t>
      </w:r>
      <w:r w:rsidR="001F305C">
        <w:rPr>
          <w:szCs w:val="22"/>
        </w:rPr>
        <w:t xml:space="preserve">visiškas laktazės stygius </w:t>
      </w:r>
      <w:r w:rsidR="009F6635" w:rsidRPr="0082118C">
        <w:rPr>
          <w:szCs w:val="22"/>
        </w:rPr>
        <w:t>arba gliukozės ir galaktozės malabsorbcija.</w:t>
      </w:r>
    </w:p>
    <w:p w14:paraId="679F51DF" w14:textId="77777777" w:rsidR="004A0EEC" w:rsidRDefault="004A0EEC" w:rsidP="004A0EEC">
      <w:pPr>
        <w:pStyle w:val="Default"/>
        <w:rPr>
          <w:sz w:val="22"/>
          <w:szCs w:val="22"/>
        </w:rPr>
      </w:pPr>
    </w:p>
    <w:p w14:paraId="6614C4A8" w14:textId="77777777" w:rsidR="004A0EEC" w:rsidRDefault="004A0EEC" w:rsidP="004A0EEC">
      <w:pPr>
        <w:pStyle w:val="Default"/>
        <w:rPr>
          <w:sz w:val="22"/>
          <w:szCs w:val="22"/>
        </w:rPr>
      </w:pPr>
      <w:r>
        <w:rPr>
          <w:b/>
          <w:bCs/>
          <w:sz w:val="22"/>
          <w:szCs w:val="22"/>
        </w:rPr>
        <w:t>4.5</w:t>
      </w:r>
      <w:r w:rsidR="00E37B03">
        <w:rPr>
          <w:b/>
          <w:bCs/>
          <w:sz w:val="22"/>
          <w:szCs w:val="22"/>
        </w:rPr>
        <w:tab/>
      </w:r>
      <w:r>
        <w:rPr>
          <w:b/>
          <w:bCs/>
          <w:sz w:val="22"/>
          <w:szCs w:val="22"/>
        </w:rPr>
        <w:t xml:space="preserve">Sąveika su kitais vaistiniais preparatais ir kitokia sąveika </w:t>
      </w:r>
    </w:p>
    <w:p w14:paraId="45C94968" w14:textId="77777777" w:rsidR="00E37B03" w:rsidRDefault="00E37B03" w:rsidP="004A0EEC">
      <w:pPr>
        <w:pStyle w:val="Default"/>
        <w:rPr>
          <w:sz w:val="22"/>
          <w:szCs w:val="22"/>
        </w:rPr>
      </w:pPr>
    </w:p>
    <w:p w14:paraId="5611F598" w14:textId="77777777" w:rsidR="0082118C" w:rsidRPr="0082118C" w:rsidRDefault="0082118C" w:rsidP="0082118C">
      <w:pPr>
        <w:pStyle w:val="Default"/>
        <w:rPr>
          <w:sz w:val="22"/>
          <w:szCs w:val="22"/>
        </w:rPr>
      </w:pPr>
      <w:r w:rsidRPr="0082118C">
        <w:rPr>
          <w:sz w:val="22"/>
          <w:szCs w:val="22"/>
        </w:rPr>
        <w:t>Sąveikos tyrimai atlikti tik suaugusiesiems.</w:t>
      </w:r>
    </w:p>
    <w:p w14:paraId="0A07A7C2" w14:textId="77777777" w:rsidR="0082118C" w:rsidRDefault="0082118C" w:rsidP="0082118C">
      <w:pPr>
        <w:pStyle w:val="Default"/>
        <w:rPr>
          <w:sz w:val="22"/>
          <w:szCs w:val="22"/>
        </w:rPr>
      </w:pPr>
    </w:p>
    <w:p w14:paraId="62BB614A" w14:textId="77777777" w:rsidR="0082118C" w:rsidRPr="0082118C" w:rsidRDefault="0082118C" w:rsidP="0082118C">
      <w:pPr>
        <w:pStyle w:val="Default"/>
        <w:rPr>
          <w:sz w:val="22"/>
          <w:szCs w:val="22"/>
        </w:rPr>
      </w:pPr>
      <w:r w:rsidRPr="0082118C">
        <w:rPr>
          <w:sz w:val="22"/>
          <w:szCs w:val="22"/>
        </w:rPr>
        <w:t xml:space="preserve">Remiantis </w:t>
      </w:r>
      <w:r w:rsidRPr="0082118C">
        <w:rPr>
          <w:i/>
          <w:sz w:val="22"/>
          <w:szCs w:val="22"/>
        </w:rPr>
        <w:t>in vitro</w:t>
      </w:r>
      <w:r w:rsidRPr="0082118C">
        <w:rPr>
          <w:sz w:val="22"/>
          <w:szCs w:val="22"/>
        </w:rPr>
        <w:t xml:space="preserve"> eksperimentų rezultatais ir žinomu tenofoviro šalinimo būdu, </w:t>
      </w:r>
      <w:r>
        <w:rPr>
          <w:sz w:val="22"/>
          <w:szCs w:val="22"/>
        </w:rPr>
        <w:t xml:space="preserve">su </w:t>
      </w:r>
      <w:r w:rsidRPr="0082118C">
        <w:rPr>
          <w:sz w:val="22"/>
          <w:szCs w:val="22"/>
        </w:rPr>
        <w:t>CYP450</w:t>
      </w:r>
      <w:r>
        <w:rPr>
          <w:sz w:val="22"/>
          <w:szCs w:val="22"/>
        </w:rPr>
        <w:t xml:space="preserve"> tarpininkavimu susijusios </w:t>
      </w:r>
      <w:r w:rsidRPr="0082118C">
        <w:rPr>
          <w:sz w:val="22"/>
          <w:szCs w:val="22"/>
        </w:rPr>
        <w:t>tenofoviro ir kitų vaistinių preparatų sąveikos</w:t>
      </w:r>
      <w:r>
        <w:rPr>
          <w:sz w:val="22"/>
          <w:szCs w:val="22"/>
        </w:rPr>
        <w:t xml:space="preserve"> </w:t>
      </w:r>
      <w:r w:rsidRPr="0082118C">
        <w:rPr>
          <w:sz w:val="22"/>
          <w:szCs w:val="22"/>
        </w:rPr>
        <w:t>galimybė yra maža.</w:t>
      </w:r>
    </w:p>
    <w:p w14:paraId="49904D57" w14:textId="77777777" w:rsidR="0082118C" w:rsidRDefault="0082118C" w:rsidP="0082118C">
      <w:pPr>
        <w:pStyle w:val="Default"/>
        <w:rPr>
          <w:sz w:val="22"/>
          <w:szCs w:val="22"/>
        </w:rPr>
      </w:pPr>
    </w:p>
    <w:p w14:paraId="3FF3ED4E" w14:textId="77777777" w:rsidR="0082118C" w:rsidRPr="0082118C" w:rsidRDefault="0082118C" w:rsidP="0082118C">
      <w:pPr>
        <w:pStyle w:val="Default"/>
        <w:rPr>
          <w:sz w:val="22"/>
          <w:szCs w:val="22"/>
          <w:u w:val="single"/>
        </w:rPr>
      </w:pPr>
      <w:r w:rsidRPr="0082118C">
        <w:rPr>
          <w:sz w:val="22"/>
          <w:szCs w:val="22"/>
          <w:u w:val="single"/>
        </w:rPr>
        <w:t>Kartu vartoti nerekomenduojama</w:t>
      </w:r>
    </w:p>
    <w:p w14:paraId="0BE395FE" w14:textId="77777777" w:rsidR="0082118C" w:rsidRDefault="0082118C" w:rsidP="0082118C">
      <w:pPr>
        <w:pStyle w:val="Default"/>
        <w:rPr>
          <w:sz w:val="22"/>
          <w:szCs w:val="22"/>
        </w:rPr>
      </w:pPr>
      <w:r w:rsidRPr="0082118C">
        <w:rPr>
          <w:sz w:val="22"/>
          <w:szCs w:val="22"/>
        </w:rPr>
        <w:t xml:space="preserve">Tenofovir disoproxil Sandoz </w:t>
      </w:r>
      <w:r>
        <w:rPr>
          <w:sz w:val="22"/>
          <w:szCs w:val="22"/>
        </w:rPr>
        <w:t>turi būti nevartojamas kartu</w:t>
      </w:r>
      <w:r w:rsidRPr="0082118C">
        <w:rPr>
          <w:sz w:val="22"/>
          <w:szCs w:val="22"/>
        </w:rPr>
        <w:t xml:space="preserve"> su kitais vaistiniais preparatais, kuri</w:t>
      </w:r>
      <w:r>
        <w:rPr>
          <w:sz w:val="22"/>
          <w:szCs w:val="22"/>
        </w:rPr>
        <w:t xml:space="preserve">ų sudėtyje yra </w:t>
      </w:r>
      <w:r w:rsidRPr="0082118C">
        <w:rPr>
          <w:sz w:val="22"/>
          <w:szCs w:val="22"/>
        </w:rPr>
        <w:t>tenofoviro dizoproksilio</w:t>
      </w:r>
      <w:r w:rsidR="002973C6">
        <w:rPr>
          <w:sz w:val="22"/>
          <w:szCs w:val="22"/>
        </w:rPr>
        <w:t xml:space="preserve"> ar </w:t>
      </w:r>
      <w:r w:rsidR="002973C6" w:rsidRPr="0082118C">
        <w:rPr>
          <w:sz w:val="22"/>
          <w:szCs w:val="22"/>
        </w:rPr>
        <w:t>tenofoviro</w:t>
      </w:r>
      <w:r w:rsidR="002973C6">
        <w:rPr>
          <w:sz w:val="22"/>
          <w:szCs w:val="22"/>
        </w:rPr>
        <w:t xml:space="preserve"> alafenamido.</w:t>
      </w:r>
    </w:p>
    <w:p w14:paraId="34FDDDC8" w14:textId="77777777" w:rsidR="0082118C" w:rsidRDefault="0082118C" w:rsidP="0082118C">
      <w:pPr>
        <w:pStyle w:val="Default"/>
        <w:rPr>
          <w:sz w:val="22"/>
          <w:szCs w:val="22"/>
        </w:rPr>
      </w:pPr>
    </w:p>
    <w:p w14:paraId="0A321774" w14:textId="77777777" w:rsidR="0082118C" w:rsidRPr="0082118C" w:rsidRDefault="0082118C" w:rsidP="0082118C">
      <w:pPr>
        <w:pStyle w:val="Default"/>
        <w:rPr>
          <w:sz w:val="22"/>
          <w:szCs w:val="22"/>
        </w:rPr>
      </w:pPr>
      <w:r w:rsidRPr="0082118C">
        <w:rPr>
          <w:sz w:val="22"/>
          <w:szCs w:val="22"/>
        </w:rPr>
        <w:t>Tenofovir disoproxil Sandoz taip pat turi būti nevartojamas kartu su adefoviro dipivoksiliu.</w:t>
      </w:r>
    </w:p>
    <w:p w14:paraId="3EBA6FCB" w14:textId="77777777" w:rsidR="006932BC" w:rsidRDefault="006932BC" w:rsidP="0082118C">
      <w:pPr>
        <w:pStyle w:val="Default"/>
        <w:rPr>
          <w:sz w:val="22"/>
          <w:szCs w:val="22"/>
        </w:rPr>
      </w:pPr>
    </w:p>
    <w:p w14:paraId="115F907F" w14:textId="77777777" w:rsidR="0082118C" w:rsidRPr="006932BC" w:rsidRDefault="0082118C" w:rsidP="0082118C">
      <w:pPr>
        <w:pStyle w:val="Default"/>
        <w:rPr>
          <w:i/>
          <w:sz w:val="22"/>
          <w:szCs w:val="22"/>
        </w:rPr>
      </w:pPr>
      <w:r w:rsidRPr="006932BC">
        <w:rPr>
          <w:i/>
          <w:sz w:val="22"/>
          <w:szCs w:val="22"/>
        </w:rPr>
        <w:t>Didanozinas</w:t>
      </w:r>
    </w:p>
    <w:p w14:paraId="1A371222" w14:textId="77777777" w:rsidR="0082118C" w:rsidRPr="0082118C" w:rsidRDefault="006932BC" w:rsidP="0082118C">
      <w:pPr>
        <w:pStyle w:val="Default"/>
        <w:rPr>
          <w:sz w:val="22"/>
          <w:szCs w:val="22"/>
        </w:rPr>
      </w:pPr>
      <w:r>
        <w:rPr>
          <w:sz w:val="22"/>
          <w:szCs w:val="22"/>
        </w:rPr>
        <w:t>Vartoti t</w:t>
      </w:r>
      <w:r w:rsidR="00E17725">
        <w:rPr>
          <w:sz w:val="22"/>
          <w:szCs w:val="22"/>
        </w:rPr>
        <w:t>enofoviro dizoproksil</w:t>
      </w:r>
      <w:r w:rsidR="002973C6">
        <w:rPr>
          <w:sz w:val="22"/>
          <w:szCs w:val="22"/>
        </w:rPr>
        <w:t>io</w:t>
      </w:r>
      <w:r w:rsidR="0082118C" w:rsidRPr="0082118C">
        <w:rPr>
          <w:sz w:val="22"/>
          <w:szCs w:val="22"/>
        </w:rPr>
        <w:t xml:space="preserve"> </w:t>
      </w:r>
      <w:r>
        <w:rPr>
          <w:sz w:val="22"/>
          <w:szCs w:val="22"/>
        </w:rPr>
        <w:t>kartu su</w:t>
      </w:r>
      <w:r w:rsidR="0082118C" w:rsidRPr="0082118C">
        <w:rPr>
          <w:sz w:val="22"/>
          <w:szCs w:val="22"/>
        </w:rPr>
        <w:t xml:space="preserve"> didanozin</w:t>
      </w:r>
      <w:r>
        <w:rPr>
          <w:sz w:val="22"/>
          <w:szCs w:val="22"/>
        </w:rPr>
        <w:t>u</w:t>
      </w:r>
      <w:r w:rsidR="0082118C" w:rsidRPr="0082118C">
        <w:rPr>
          <w:sz w:val="22"/>
          <w:szCs w:val="22"/>
        </w:rPr>
        <w:t xml:space="preserve"> nerekomenduojama (žr. 4.4 skyrių ir 1 lentelę).</w:t>
      </w:r>
    </w:p>
    <w:p w14:paraId="4DBF6C75" w14:textId="77777777" w:rsidR="006932BC" w:rsidRDefault="006932BC" w:rsidP="0082118C">
      <w:pPr>
        <w:pStyle w:val="Default"/>
        <w:rPr>
          <w:sz w:val="22"/>
          <w:szCs w:val="22"/>
        </w:rPr>
      </w:pPr>
    </w:p>
    <w:p w14:paraId="43B090A2" w14:textId="77777777" w:rsidR="0082118C" w:rsidRPr="006932BC" w:rsidRDefault="006932BC" w:rsidP="0082118C">
      <w:pPr>
        <w:pStyle w:val="Default"/>
        <w:rPr>
          <w:i/>
          <w:sz w:val="22"/>
          <w:szCs w:val="22"/>
        </w:rPr>
      </w:pPr>
      <w:r w:rsidRPr="006932BC">
        <w:rPr>
          <w:i/>
          <w:sz w:val="22"/>
          <w:szCs w:val="22"/>
        </w:rPr>
        <w:t>Per inkstus šalinami v</w:t>
      </w:r>
      <w:r w:rsidR="0082118C" w:rsidRPr="006932BC">
        <w:rPr>
          <w:i/>
          <w:sz w:val="22"/>
          <w:szCs w:val="22"/>
        </w:rPr>
        <w:t xml:space="preserve">aistiniai preparatai </w:t>
      </w:r>
    </w:p>
    <w:p w14:paraId="67A95F4E" w14:textId="77777777" w:rsidR="0082118C" w:rsidRPr="0082118C" w:rsidRDefault="0082118C" w:rsidP="0082118C">
      <w:pPr>
        <w:pStyle w:val="Default"/>
        <w:rPr>
          <w:sz w:val="22"/>
          <w:szCs w:val="22"/>
        </w:rPr>
      </w:pPr>
      <w:r w:rsidRPr="0082118C">
        <w:rPr>
          <w:sz w:val="22"/>
          <w:szCs w:val="22"/>
        </w:rPr>
        <w:t>Kadangi tenofoviras pirmiausiai šalinamas per inkstus, tenofoviro dizoproksilio vartojimas kartu su inkstų funkciją slopinančiais ir dėl aktyvios kanalėlių sekrecijos, dalyvaujant pernešimo baltymams hOAT 1, hOAT 3 ar MRP 4, konkuruojančiais vaist</w:t>
      </w:r>
      <w:r w:rsidR="006932BC">
        <w:rPr>
          <w:sz w:val="22"/>
          <w:szCs w:val="22"/>
        </w:rPr>
        <w:t>iniais preparatais</w:t>
      </w:r>
      <w:r w:rsidRPr="0082118C">
        <w:rPr>
          <w:sz w:val="22"/>
          <w:szCs w:val="22"/>
        </w:rPr>
        <w:t xml:space="preserve"> (pvz., cidofoviru), gali padidinti tenofoviro ir (arba) kartu vartojamų vaistinių preparatų koncentracij</w:t>
      </w:r>
      <w:r w:rsidR="006932BC">
        <w:rPr>
          <w:sz w:val="22"/>
          <w:szCs w:val="22"/>
        </w:rPr>
        <w:t>as kraujo</w:t>
      </w:r>
      <w:r w:rsidRPr="0082118C">
        <w:rPr>
          <w:sz w:val="22"/>
          <w:szCs w:val="22"/>
        </w:rPr>
        <w:t xml:space="preserve"> serume.</w:t>
      </w:r>
    </w:p>
    <w:p w14:paraId="67BA25F9" w14:textId="77777777" w:rsidR="006932BC" w:rsidRDefault="006932BC" w:rsidP="0082118C">
      <w:pPr>
        <w:pStyle w:val="Default"/>
        <w:rPr>
          <w:sz w:val="22"/>
          <w:szCs w:val="22"/>
        </w:rPr>
      </w:pPr>
    </w:p>
    <w:p w14:paraId="6B4FBE36" w14:textId="77777777" w:rsidR="0082118C" w:rsidRPr="0082118C" w:rsidRDefault="006932BC" w:rsidP="0082118C">
      <w:pPr>
        <w:pStyle w:val="Default"/>
        <w:rPr>
          <w:sz w:val="22"/>
          <w:szCs w:val="22"/>
        </w:rPr>
      </w:pPr>
      <w:r>
        <w:rPr>
          <w:sz w:val="22"/>
          <w:szCs w:val="22"/>
        </w:rPr>
        <w:t>Vartoti</w:t>
      </w:r>
      <w:r w:rsidRPr="0082118C">
        <w:rPr>
          <w:sz w:val="22"/>
          <w:szCs w:val="22"/>
        </w:rPr>
        <w:t xml:space="preserve"> tenofoviro dizoproksilio </w:t>
      </w:r>
      <w:r>
        <w:rPr>
          <w:sz w:val="22"/>
          <w:szCs w:val="22"/>
        </w:rPr>
        <w:t xml:space="preserve">turi būti vengiama, jeigu vartojama ar neseniai vartota </w:t>
      </w:r>
      <w:r w:rsidRPr="0082118C">
        <w:rPr>
          <w:sz w:val="22"/>
          <w:szCs w:val="22"/>
        </w:rPr>
        <w:t>nefrotoksini</w:t>
      </w:r>
      <w:r>
        <w:rPr>
          <w:sz w:val="22"/>
          <w:szCs w:val="22"/>
        </w:rPr>
        <w:t>ų</w:t>
      </w:r>
      <w:r w:rsidRPr="0082118C">
        <w:rPr>
          <w:sz w:val="22"/>
          <w:szCs w:val="22"/>
        </w:rPr>
        <w:t xml:space="preserve"> vaist</w:t>
      </w:r>
      <w:r>
        <w:rPr>
          <w:sz w:val="22"/>
          <w:szCs w:val="22"/>
        </w:rPr>
        <w:t>inių preparatų</w:t>
      </w:r>
      <w:r w:rsidR="0082118C" w:rsidRPr="0082118C">
        <w:rPr>
          <w:sz w:val="22"/>
          <w:szCs w:val="22"/>
        </w:rPr>
        <w:t>. Kai kurie tokių vaist</w:t>
      </w:r>
      <w:r w:rsidR="00467908">
        <w:rPr>
          <w:sz w:val="22"/>
          <w:szCs w:val="22"/>
        </w:rPr>
        <w:t xml:space="preserve">inių preparatų </w:t>
      </w:r>
      <w:r w:rsidR="0082118C" w:rsidRPr="0082118C">
        <w:rPr>
          <w:sz w:val="22"/>
          <w:szCs w:val="22"/>
        </w:rPr>
        <w:t>pavyzdžiai</w:t>
      </w:r>
      <w:r w:rsidR="00467908">
        <w:rPr>
          <w:sz w:val="22"/>
          <w:szCs w:val="22"/>
        </w:rPr>
        <w:t xml:space="preserve"> apima (bet neapsiriboja jais) tokius vaistinius preparatus, kaip</w:t>
      </w:r>
      <w:r w:rsidR="0082118C" w:rsidRPr="0082118C">
        <w:rPr>
          <w:sz w:val="22"/>
          <w:szCs w:val="22"/>
        </w:rPr>
        <w:t xml:space="preserve"> aminoglikozidai, amfotericinas B, foskarnetas, gancikloviras, pentamidinas, vankomicinas, cidofoviras ar interleukinas-2 (žr. 4.4 skyrių).</w:t>
      </w:r>
    </w:p>
    <w:p w14:paraId="6D410803" w14:textId="77777777" w:rsidR="00467908" w:rsidRDefault="00467908" w:rsidP="0082118C">
      <w:pPr>
        <w:pStyle w:val="Default"/>
        <w:rPr>
          <w:sz w:val="22"/>
          <w:szCs w:val="22"/>
        </w:rPr>
      </w:pPr>
    </w:p>
    <w:p w14:paraId="72DD5898" w14:textId="77777777" w:rsidR="0082118C" w:rsidRPr="0082118C" w:rsidRDefault="00467908" w:rsidP="0082118C">
      <w:pPr>
        <w:pStyle w:val="Default"/>
        <w:rPr>
          <w:sz w:val="22"/>
          <w:szCs w:val="22"/>
        </w:rPr>
      </w:pPr>
      <w:r>
        <w:rPr>
          <w:sz w:val="22"/>
          <w:szCs w:val="22"/>
        </w:rPr>
        <w:t xml:space="preserve">Atsižvelgiant į tai, kad </w:t>
      </w:r>
      <w:r w:rsidRPr="0082118C">
        <w:rPr>
          <w:sz w:val="22"/>
          <w:szCs w:val="22"/>
        </w:rPr>
        <w:t>takrolimuzas gali pažeisti inkst</w:t>
      </w:r>
      <w:r>
        <w:rPr>
          <w:sz w:val="22"/>
          <w:szCs w:val="22"/>
        </w:rPr>
        <w:t>ų funkciją, r</w:t>
      </w:r>
      <w:r w:rsidR="0082118C" w:rsidRPr="0082118C">
        <w:rPr>
          <w:sz w:val="22"/>
          <w:szCs w:val="22"/>
        </w:rPr>
        <w:t>ekomenduojam</w:t>
      </w:r>
      <w:r>
        <w:rPr>
          <w:sz w:val="22"/>
          <w:szCs w:val="22"/>
        </w:rPr>
        <w:t>as atidus stebėjimas, jeigu jo vartojama kartu su</w:t>
      </w:r>
      <w:r w:rsidR="0082118C" w:rsidRPr="0082118C">
        <w:rPr>
          <w:sz w:val="22"/>
          <w:szCs w:val="22"/>
        </w:rPr>
        <w:t xml:space="preserve"> tenofoviro dizoproksilio </w:t>
      </w:r>
    </w:p>
    <w:p w14:paraId="309CA2A6" w14:textId="77777777" w:rsidR="00467908" w:rsidRDefault="00467908" w:rsidP="0082118C">
      <w:pPr>
        <w:pStyle w:val="Default"/>
        <w:rPr>
          <w:sz w:val="22"/>
          <w:szCs w:val="22"/>
        </w:rPr>
      </w:pPr>
    </w:p>
    <w:p w14:paraId="041895A5" w14:textId="77777777" w:rsidR="00467908" w:rsidRPr="00467908" w:rsidRDefault="0082118C" w:rsidP="0082118C">
      <w:pPr>
        <w:pStyle w:val="Default"/>
        <w:rPr>
          <w:sz w:val="22"/>
          <w:szCs w:val="22"/>
          <w:u w:val="single"/>
        </w:rPr>
      </w:pPr>
      <w:r w:rsidRPr="00467908">
        <w:rPr>
          <w:sz w:val="22"/>
          <w:szCs w:val="22"/>
          <w:u w:val="single"/>
        </w:rPr>
        <w:lastRenderedPageBreak/>
        <w:t>Kit</w:t>
      </w:r>
      <w:r w:rsidR="00467908" w:rsidRPr="00467908">
        <w:rPr>
          <w:sz w:val="22"/>
          <w:szCs w:val="22"/>
          <w:u w:val="single"/>
        </w:rPr>
        <w:t>os sąveikos</w:t>
      </w:r>
    </w:p>
    <w:p w14:paraId="3E319E87" w14:textId="77777777" w:rsidR="0082118C" w:rsidRDefault="0082118C" w:rsidP="0082118C">
      <w:pPr>
        <w:pStyle w:val="Default"/>
        <w:rPr>
          <w:sz w:val="22"/>
          <w:szCs w:val="22"/>
        </w:rPr>
      </w:pPr>
      <w:r w:rsidRPr="0082118C">
        <w:rPr>
          <w:sz w:val="22"/>
          <w:szCs w:val="22"/>
        </w:rPr>
        <w:t>Tenofoviro dizoproksilio ir kitų vaistinių preparatų sąveika yra žemiau pateiktoje 1 lentelėje (padidėjimas</w:t>
      </w:r>
      <w:r w:rsidR="00012043">
        <w:rPr>
          <w:sz w:val="22"/>
          <w:szCs w:val="22"/>
        </w:rPr>
        <w:t xml:space="preserve"> yra nurodytas</w:t>
      </w:r>
      <w:r w:rsidRPr="0082118C">
        <w:rPr>
          <w:sz w:val="22"/>
          <w:szCs w:val="22"/>
        </w:rPr>
        <w:t xml:space="preserve"> „↑“, sumažėjimas </w:t>
      </w:r>
      <w:r w:rsidR="00012043">
        <w:rPr>
          <w:sz w:val="22"/>
          <w:szCs w:val="22"/>
        </w:rPr>
        <w:t>–</w:t>
      </w:r>
      <w:r w:rsidRPr="0082118C">
        <w:rPr>
          <w:sz w:val="22"/>
          <w:szCs w:val="22"/>
        </w:rPr>
        <w:t xml:space="preserve"> „↓“,pokyčio nebuv</w:t>
      </w:r>
      <w:r w:rsidR="00012043">
        <w:rPr>
          <w:sz w:val="22"/>
          <w:szCs w:val="22"/>
        </w:rPr>
        <w:t>imas –</w:t>
      </w:r>
      <w:r w:rsidRPr="0082118C">
        <w:rPr>
          <w:sz w:val="22"/>
          <w:szCs w:val="22"/>
        </w:rPr>
        <w:t xml:space="preserve"> „↔“, </w:t>
      </w:r>
      <w:r w:rsidR="00012043">
        <w:rPr>
          <w:sz w:val="22"/>
          <w:szCs w:val="22"/>
        </w:rPr>
        <w:t xml:space="preserve">vartojimas </w:t>
      </w:r>
      <w:r w:rsidRPr="0082118C">
        <w:rPr>
          <w:sz w:val="22"/>
          <w:szCs w:val="22"/>
        </w:rPr>
        <w:t xml:space="preserve">du kartus per parą </w:t>
      </w:r>
      <w:r w:rsidR="00012043">
        <w:rPr>
          <w:sz w:val="22"/>
          <w:szCs w:val="22"/>
        </w:rPr>
        <w:t>–</w:t>
      </w:r>
      <w:r w:rsidRPr="0082118C">
        <w:rPr>
          <w:sz w:val="22"/>
          <w:szCs w:val="22"/>
        </w:rPr>
        <w:t xml:space="preserve">„b.i.d.“, </w:t>
      </w:r>
      <w:r w:rsidR="00012043">
        <w:rPr>
          <w:sz w:val="22"/>
          <w:szCs w:val="22"/>
        </w:rPr>
        <w:t>vartojimas</w:t>
      </w:r>
      <w:r w:rsidRPr="0082118C">
        <w:rPr>
          <w:sz w:val="22"/>
          <w:szCs w:val="22"/>
        </w:rPr>
        <w:t xml:space="preserve"> kartą per parą </w:t>
      </w:r>
      <w:r w:rsidR="00012043">
        <w:rPr>
          <w:sz w:val="22"/>
          <w:szCs w:val="22"/>
        </w:rPr>
        <w:t>–</w:t>
      </w:r>
      <w:r w:rsidRPr="0082118C">
        <w:rPr>
          <w:sz w:val="22"/>
          <w:szCs w:val="22"/>
        </w:rPr>
        <w:t xml:space="preserve"> „q.d.“).</w:t>
      </w:r>
    </w:p>
    <w:p w14:paraId="109B74BE" w14:textId="77777777" w:rsidR="0082118C" w:rsidRDefault="0082118C" w:rsidP="004A0EEC">
      <w:pPr>
        <w:pStyle w:val="Default"/>
        <w:rPr>
          <w:sz w:val="22"/>
          <w:szCs w:val="22"/>
        </w:rPr>
      </w:pPr>
    </w:p>
    <w:p w14:paraId="36DA4C61" w14:textId="77777777" w:rsidR="0082118C" w:rsidRDefault="00012043" w:rsidP="004A0EEC">
      <w:pPr>
        <w:pStyle w:val="Default"/>
        <w:rPr>
          <w:b/>
          <w:sz w:val="22"/>
          <w:szCs w:val="22"/>
        </w:rPr>
      </w:pPr>
      <w:r w:rsidRPr="00012043">
        <w:rPr>
          <w:b/>
          <w:sz w:val="22"/>
          <w:szCs w:val="22"/>
        </w:rPr>
        <w:t>1 lentelė. Tenofoviro dizoproksilio sąveika su kitais vaistiniais preparatais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63"/>
        <w:gridCol w:w="2988"/>
        <w:gridCol w:w="263"/>
        <w:gridCol w:w="2777"/>
      </w:tblGrid>
      <w:tr w:rsidR="00012043" w:rsidRPr="00EB3906" w14:paraId="3E76A68C" w14:textId="77777777" w:rsidTr="00EE7979">
        <w:tc>
          <w:tcPr>
            <w:tcW w:w="3095" w:type="dxa"/>
            <w:gridSpan w:val="2"/>
            <w:shd w:val="clear" w:color="auto" w:fill="auto"/>
          </w:tcPr>
          <w:p w14:paraId="6FB0F748" w14:textId="77777777" w:rsidR="00012043" w:rsidRPr="00EB3906" w:rsidRDefault="00012043" w:rsidP="00EB3906">
            <w:pPr>
              <w:pStyle w:val="Default"/>
              <w:jc w:val="center"/>
              <w:rPr>
                <w:b/>
                <w:sz w:val="22"/>
                <w:szCs w:val="22"/>
              </w:rPr>
            </w:pPr>
            <w:r w:rsidRPr="00EB3906">
              <w:rPr>
                <w:b/>
                <w:sz w:val="22"/>
                <w:szCs w:val="22"/>
              </w:rPr>
              <w:t>Vaistiniai preparatai pagal terapines grupes</w:t>
            </w:r>
          </w:p>
          <w:p w14:paraId="730B8162" w14:textId="77777777" w:rsidR="00012043" w:rsidRPr="00EB3906" w:rsidRDefault="00012043" w:rsidP="00EB3906">
            <w:pPr>
              <w:pStyle w:val="Default"/>
              <w:jc w:val="center"/>
              <w:rPr>
                <w:b/>
                <w:sz w:val="22"/>
                <w:szCs w:val="22"/>
              </w:rPr>
            </w:pPr>
            <w:r w:rsidRPr="00EB3906">
              <w:rPr>
                <w:b/>
                <w:sz w:val="22"/>
                <w:szCs w:val="22"/>
              </w:rPr>
              <w:t>(dozė mg)</w:t>
            </w:r>
          </w:p>
        </w:tc>
        <w:tc>
          <w:tcPr>
            <w:tcW w:w="3095" w:type="dxa"/>
            <w:shd w:val="clear" w:color="auto" w:fill="auto"/>
          </w:tcPr>
          <w:p w14:paraId="1B6F931A" w14:textId="77777777" w:rsidR="00012043" w:rsidRPr="00EB3906" w:rsidRDefault="00012043" w:rsidP="00EB3906">
            <w:pPr>
              <w:pStyle w:val="Default"/>
              <w:jc w:val="center"/>
              <w:rPr>
                <w:b/>
                <w:sz w:val="22"/>
                <w:szCs w:val="22"/>
              </w:rPr>
            </w:pPr>
            <w:r w:rsidRPr="00EB3906">
              <w:rPr>
                <w:b/>
                <w:sz w:val="22"/>
                <w:szCs w:val="22"/>
              </w:rPr>
              <w:t>Poveikiai vaistinių preparatų koncentracijoms</w:t>
            </w:r>
          </w:p>
          <w:p w14:paraId="226B01B9" w14:textId="77777777" w:rsidR="00012043" w:rsidRPr="00EB3906" w:rsidRDefault="00012043" w:rsidP="00EB3906">
            <w:pPr>
              <w:pStyle w:val="Default"/>
              <w:jc w:val="center"/>
              <w:rPr>
                <w:b/>
                <w:sz w:val="22"/>
                <w:szCs w:val="22"/>
              </w:rPr>
            </w:pPr>
            <w:r w:rsidRPr="00EB3906">
              <w:rPr>
                <w:b/>
                <w:sz w:val="22"/>
                <w:szCs w:val="22"/>
              </w:rPr>
              <w:t>AUC, C</w:t>
            </w:r>
            <w:r w:rsidRPr="00EB3906">
              <w:rPr>
                <w:b/>
                <w:sz w:val="22"/>
                <w:szCs w:val="22"/>
                <w:vertAlign w:val="subscript"/>
              </w:rPr>
              <w:t>max</w:t>
            </w:r>
            <w:r w:rsidRPr="00EB3906">
              <w:rPr>
                <w:b/>
                <w:sz w:val="22"/>
                <w:szCs w:val="22"/>
              </w:rPr>
              <w:t>, C</w:t>
            </w:r>
            <w:r w:rsidRPr="00EB3906">
              <w:rPr>
                <w:b/>
                <w:sz w:val="22"/>
                <w:szCs w:val="22"/>
                <w:vertAlign w:val="subscript"/>
              </w:rPr>
              <w:t>min</w:t>
            </w:r>
            <w:r w:rsidRPr="00EB3906">
              <w:rPr>
                <w:b/>
                <w:sz w:val="22"/>
                <w:szCs w:val="22"/>
              </w:rPr>
              <w:t xml:space="preserve"> vidutinis procentinis pokytis</w:t>
            </w:r>
          </w:p>
        </w:tc>
        <w:tc>
          <w:tcPr>
            <w:tcW w:w="3096" w:type="dxa"/>
            <w:gridSpan w:val="2"/>
            <w:shd w:val="clear" w:color="auto" w:fill="auto"/>
          </w:tcPr>
          <w:p w14:paraId="7E2DCF4D" w14:textId="714D1059" w:rsidR="00012043" w:rsidRPr="00EB3906" w:rsidRDefault="00012043" w:rsidP="00D91647">
            <w:pPr>
              <w:pStyle w:val="Default"/>
              <w:jc w:val="center"/>
              <w:rPr>
                <w:b/>
                <w:sz w:val="22"/>
                <w:szCs w:val="22"/>
              </w:rPr>
            </w:pPr>
            <w:r w:rsidRPr="00EB3906">
              <w:rPr>
                <w:b/>
                <w:sz w:val="22"/>
                <w:szCs w:val="22"/>
              </w:rPr>
              <w:t>Rekomendacijos, kaip vartoti kartu su 245</w:t>
            </w:r>
            <w:r w:rsidR="002973C6">
              <w:rPr>
                <w:b/>
                <w:sz w:val="22"/>
                <w:szCs w:val="22"/>
              </w:rPr>
              <w:t> </w:t>
            </w:r>
            <w:r w:rsidRPr="00EB3906">
              <w:rPr>
                <w:b/>
                <w:sz w:val="22"/>
                <w:szCs w:val="22"/>
              </w:rPr>
              <w:t>mg tenofoviro dizoproksili</w:t>
            </w:r>
            <w:r w:rsidR="00D91647">
              <w:rPr>
                <w:b/>
                <w:sz w:val="22"/>
                <w:szCs w:val="22"/>
              </w:rPr>
              <w:t>u</w:t>
            </w:r>
            <w:r w:rsidRPr="00EB3906">
              <w:rPr>
                <w:b/>
                <w:sz w:val="22"/>
                <w:szCs w:val="22"/>
              </w:rPr>
              <w:t xml:space="preserve"> </w:t>
            </w:r>
          </w:p>
        </w:tc>
      </w:tr>
      <w:tr w:rsidR="00012043" w:rsidRPr="00EB3906" w14:paraId="793E4318" w14:textId="77777777" w:rsidTr="00EB3906">
        <w:tc>
          <w:tcPr>
            <w:tcW w:w="9286" w:type="dxa"/>
            <w:gridSpan w:val="5"/>
            <w:shd w:val="clear" w:color="auto" w:fill="auto"/>
          </w:tcPr>
          <w:p w14:paraId="68E02026" w14:textId="77777777" w:rsidR="00012043" w:rsidRPr="00EB3906" w:rsidRDefault="00012043" w:rsidP="009E26A5">
            <w:pPr>
              <w:rPr>
                <w:b/>
                <w:i/>
              </w:rPr>
            </w:pPr>
            <w:r w:rsidRPr="00EB3906">
              <w:rPr>
                <w:b/>
                <w:i/>
              </w:rPr>
              <w:t>ANTIINFEKCINIAI</w:t>
            </w:r>
          </w:p>
        </w:tc>
      </w:tr>
      <w:tr w:rsidR="00012043" w:rsidRPr="00EB3906" w14:paraId="0B101A48" w14:textId="77777777" w:rsidTr="00EB3906">
        <w:tc>
          <w:tcPr>
            <w:tcW w:w="9286" w:type="dxa"/>
            <w:gridSpan w:val="5"/>
            <w:shd w:val="clear" w:color="auto" w:fill="auto"/>
          </w:tcPr>
          <w:p w14:paraId="64A0E222" w14:textId="77777777" w:rsidR="00012043" w:rsidRPr="00EB3906" w:rsidRDefault="00012043" w:rsidP="009E26A5">
            <w:pPr>
              <w:rPr>
                <w:b/>
              </w:rPr>
            </w:pPr>
            <w:r w:rsidRPr="00EB3906">
              <w:rPr>
                <w:b/>
              </w:rPr>
              <w:t>Antiretrovirusiniai</w:t>
            </w:r>
          </w:p>
        </w:tc>
      </w:tr>
      <w:tr w:rsidR="00012043" w:rsidRPr="00EB3906" w14:paraId="67B30FCA" w14:textId="77777777" w:rsidTr="00EB3906">
        <w:tc>
          <w:tcPr>
            <w:tcW w:w="9286" w:type="dxa"/>
            <w:gridSpan w:val="5"/>
            <w:shd w:val="clear" w:color="auto" w:fill="auto"/>
          </w:tcPr>
          <w:p w14:paraId="03CCED2A" w14:textId="77777777" w:rsidR="00012043" w:rsidRPr="00EB3906" w:rsidRDefault="00012043" w:rsidP="002365CD">
            <w:pPr>
              <w:rPr>
                <w:b/>
              </w:rPr>
            </w:pPr>
            <w:r w:rsidRPr="00EB3906">
              <w:rPr>
                <w:b/>
              </w:rPr>
              <w:t>Proteaz</w:t>
            </w:r>
            <w:r w:rsidR="002365CD" w:rsidRPr="00EB3906">
              <w:rPr>
                <w:b/>
              </w:rPr>
              <w:t>ės</w:t>
            </w:r>
            <w:r w:rsidRPr="00EB3906">
              <w:rPr>
                <w:b/>
              </w:rPr>
              <w:t xml:space="preserve"> inhibitoriai</w:t>
            </w:r>
          </w:p>
        </w:tc>
      </w:tr>
      <w:tr w:rsidR="00012043" w:rsidRPr="00EB3906" w14:paraId="4C712E96" w14:textId="77777777" w:rsidTr="00EB3906">
        <w:tc>
          <w:tcPr>
            <w:tcW w:w="2802" w:type="dxa"/>
            <w:shd w:val="clear" w:color="auto" w:fill="auto"/>
          </w:tcPr>
          <w:p w14:paraId="5B71A6AD" w14:textId="24D6DDF7" w:rsidR="002365CD" w:rsidRPr="00EB3906" w:rsidRDefault="002365CD" w:rsidP="002365CD">
            <w:pPr>
              <w:pStyle w:val="Default"/>
              <w:rPr>
                <w:sz w:val="22"/>
                <w:szCs w:val="22"/>
              </w:rPr>
            </w:pPr>
            <w:r w:rsidRPr="00EB3906">
              <w:rPr>
                <w:sz w:val="22"/>
                <w:szCs w:val="22"/>
              </w:rPr>
              <w:t>Atazanaviras</w:t>
            </w:r>
            <w:r w:rsidR="000C2F9A">
              <w:rPr>
                <w:sz w:val="22"/>
                <w:szCs w:val="22"/>
              </w:rPr>
              <w:t>/R</w:t>
            </w:r>
            <w:r w:rsidRPr="00EB3906">
              <w:rPr>
                <w:sz w:val="22"/>
                <w:szCs w:val="22"/>
              </w:rPr>
              <w:t>itonaviras</w:t>
            </w:r>
          </w:p>
          <w:p w14:paraId="32142313" w14:textId="1F8014FE" w:rsidR="00012043" w:rsidRPr="00EB3906" w:rsidRDefault="002365CD" w:rsidP="00D400A8">
            <w:pPr>
              <w:pStyle w:val="Default"/>
              <w:rPr>
                <w:sz w:val="22"/>
                <w:szCs w:val="22"/>
              </w:rPr>
            </w:pPr>
            <w:r w:rsidRPr="00EB3906">
              <w:rPr>
                <w:sz w:val="22"/>
                <w:szCs w:val="22"/>
              </w:rPr>
              <w:t>(300 q.d.</w:t>
            </w:r>
            <w:r w:rsidR="008659E0">
              <w:rPr>
                <w:sz w:val="22"/>
                <w:szCs w:val="22"/>
              </w:rPr>
              <w:t>/</w:t>
            </w:r>
            <w:r w:rsidRPr="00EB3906">
              <w:rPr>
                <w:sz w:val="22"/>
                <w:szCs w:val="22"/>
              </w:rPr>
              <w:t>100 q.d.)</w:t>
            </w:r>
          </w:p>
        </w:tc>
        <w:tc>
          <w:tcPr>
            <w:tcW w:w="3685" w:type="dxa"/>
            <w:gridSpan w:val="3"/>
            <w:shd w:val="clear" w:color="auto" w:fill="auto"/>
          </w:tcPr>
          <w:tbl>
            <w:tblPr>
              <w:tblW w:w="0" w:type="auto"/>
              <w:tblBorders>
                <w:top w:val="nil"/>
                <w:left w:val="nil"/>
                <w:bottom w:val="nil"/>
                <w:right w:val="nil"/>
              </w:tblBorders>
              <w:tblLook w:val="0000" w:firstRow="0" w:lastRow="0" w:firstColumn="0" w:lastColumn="0" w:noHBand="0" w:noVBand="0"/>
            </w:tblPr>
            <w:tblGrid>
              <w:gridCol w:w="1426"/>
            </w:tblGrid>
            <w:tr w:rsidR="002365CD" w:rsidRPr="002365CD" w14:paraId="1136EA60" w14:textId="77777777">
              <w:trPr>
                <w:trHeight w:val="905"/>
              </w:trPr>
              <w:tc>
                <w:tcPr>
                  <w:tcW w:w="0" w:type="auto"/>
                </w:tcPr>
                <w:p w14:paraId="49925CC7" w14:textId="77777777" w:rsidR="002365CD" w:rsidRPr="002365CD" w:rsidRDefault="002365CD">
                  <w:pPr>
                    <w:pStyle w:val="Default"/>
                    <w:rPr>
                      <w:sz w:val="22"/>
                      <w:szCs w:val="22"/>
                    </w:rPr>
                  </w:pPr>
                  <w:r w:rsidRPr="002365CD">
                    <w:rPr>
                      <w:sz w:val="22"/>
                      <w:szCs w:val="22"/>
                    </w:rPr>
                    <w:t xml:space="preserve">Atazanaviras: </w:t>
                  </w:r>
                </w:p>
                <w:p w14:paraId="0EFE2612" w14:textId="77777777" w:rsidR="002365CD" w:rsidRPr="002365CD" w:rsidRDefault="002365CD">
                  <w:pPr>
                    <w:pStyle w:val="Default"/>
                    <w:rPr>
                      <w:sz w:val="22"/>
                      <w:szCs w:val="22"/>
                    </w:rPr>
                  </w:pPr>
                  <w:r w:rsidRPr="002365CD">
                    <w:rPr>
                      <w:sz w:val="22"/>
                      <w:szCs w:val="22"/>
                    </w:rPr>
                    <w:t>AUC: ↓ 25</w:t>
                  </w:r>
                  <w:r w:rsidR="002973C6">
                    <w:rPr>
                      <w:sz w:val="22"/>
                      <w:szCs w:val="22"/>
                    </w:rPr>
                    <w:t> </w:t>
                  </w:r>
                  <w:r w:rsidRPr="002365CD">
                    <w:rPr>
                      <w:sz w:val="22"/>
                      <w:szCs w:val="22"/>
                    </w:rPr>
                    <w:t xml:space="preserve">% </w:t>
                  </w:r>
                </w:p>
                <w:p w14:paraId="470749F8" w14:textId="77777777" w:rsidR="002365CD" w:rsidRPr="002365CD" w:rsidRDefault="002365CD">
                  <w:pPr>
                    <w:pStyle w:val="Default"/>
                    <w:rPr>
                      <w:sz w:val="22"/>
                      <w:szCs w:val="22"/>
                    </w:rPr>
                  </w:pPr>
                  <w:r w:rsidRPr="002365CD">
                    <w:rPr>
                      <w:sz w:val="22"/>
                      <w:szCs w:val="22"/>
                    </w:rPr>
                    <w:t>C</w:t>
                  </w:r>
                  <w:r w:rsidRPr="002365CD">
                    <w:rPr>
                      <w:sz w:val="22"/>
                      <w:szCs w:val="22"/>
                      <w:vertAlign w:val="subscript"/>
                    </w:rPr>
                    <w:t>max</w:t>
                  </w:r>
                  <w:r w:rsidRPr="002365CD">
                    <w:rPr>
                      <w:sz w:val="22"/>
                      <w:szCs w:val="22"/>
                    </w:rPr>
                    <w:t>: ↓ 28</w:t>
                  </w:r>
                  <w:r w:rsidR="002973C6">
                    <w:rPr>
                      <w:sz w:val="22"/>
                      <w:szCs w:val="22"/>
                    </w:rPr>
                    <w:t> </w:t>
                  </w:r>
                  <w:r w:rsidRPr="002365CD">
                    <w:rPr>
                      <w:sz w:val="22"/>
                      <w:szCs w:val="22"/>
                    </w:rPr>
                    <w:t xml:space="preserve">% </w:t>
                  </w:r>
                </w:p>
                <w:p w14:paraId="7DAD893B" w14:textId="77777777" w:rsidR="002365CD" w:rsidRPr="002365CD" w:rsidRDefault="002365CD">
                  <w:pPr>
                    <w:pStyle w:val="Default"/>
                    <w:rPr>
                      <w:sz w:val="22"/>
                      <w:szCs w:val="22"/>
                    </w:rPr>
                  </w:pPr>
                  <w:r w:rsidRPr="002365CD">
                    <w:rPr>
                      <w:sz w:val="22"/>
                      <w:szCs w:val="22"/>
                    </w:rPr>
                    <w:t>C</w:t>
                  </w:r>
                  <w:r w:rsidRPr="002365CD">
                    <w:rPr>
                      <w:sz w:val="22"/>
                      <w:szCs w:val="22"/>
                      <w:vertAlign w:val="subscript"/>
                    </w:rPr>
                    <w:t>min</w:t>
                  </w:r>
                  <w:r w:rsidRPr="002365CD">
                    <w:rPr>
                      <w:sz w:val="22"/>
                      <w:szCs w:val="22"/>
                    </w:rPr>
                    <w:t>: ↓ 26</w:t>
                  </w:r>
                  <w:r w:rsidR="002973C6">
                    <w:rPr>
                      <w:sz w:val="22"/>
                      <w:szCs w:val="22"/>
                    </w:rPr>
                    <w:t> </w:t>
                  </w:r>
                  <w:r w:rsidRPr="002365CD">
                    <w:rPr>
                      <w:sz w:val="22"/>
                      <w:szCs w:val="22"/>
                    </w:rPr>
                    <w:t xml:space="preserve">% </w:t>
                  </w:r>
                </w:p>
                <w:p w14:paraId="057689FC" w14:textId="77777777" w:rsidR="002365CD" w:rsidRPr="002365CD" w:rsidRDefault="002365CD">
                  <w:pPr>
                    <w:pStyle w:val="Default"/>
                    <w:rPr>
                      <w:sz w:val="22"/>
                      <w:szCs w:val="22"/>
                    </w:rPr>
                  </w:pPr>
                  <w:r w:rsidRPr="002365CD">
                    <w:rPr>
                      <w:sz w:val="22"/>
                      <w:szCs w:val="22"/>
                    </w:rPr>
                    <w:t xml:space="preserve">Tenofoviras: </w:t>
                  </w:r>
                </w:p>
                <w:p w14:paraId="2F982B3D" w14:textId="77777777" w:rsidR="002365CD" w:rsidRPr="002365CD" w:rsidRDefault="002365CD">
                  <w:pPr>
                    <w:pStyle w:val="Default"/>
                    <w:rPr>
                      <w:sz w:val="22"/>
                      <w:szCs w:val="22"/>
                    </w:rPr>
                  </w:pPr>
                  <w:r w:rsidRPr="002365CD">
                    <w:rPr>
                      <w:sz w:val="22"/>
                      <w:szCs w:val="22"/>
                    </w:rPr>
                    <w:t>AUC: ↑ 37</w:t>
                  </w:r>
                  <w:r w:rsidR="002973C6">
                    <w:rPr>
                      <w:sz w:val="22"/>
                      <w:szCs w:val="22"/>
                    </w:rPr>
                    <w:t> </w:t>
                  </w:r>
                  <w:r w:rsidRPr="002365CD">
                    <w:rPr>
                      <w:sz w:val="22"/>
                      <w:szCs w:val="22"/>
                    </w:rPr>
                    <w:t xml:space="preserve">% </w:t>
                  </w:r>
                </w:p>
                <w:p w14:paraId="7BBFA0D1" w14:textId="77777777" w:rsidR="002365CD" w:rsidRPr="002365CD" w:rsidRDefault="002365CD">
                  <w:pPr>
                    <w:pStyle w:val="Default"/>
                    <w:rPr>
                      <w:sz w:val="22"/>
                      <w:szCs w:val="22"/>
                    </w:rPr>
                  </w:pPr>
                  <w:r w:rsidRPr="002365CD">
                    <w:rPr>
                      <w:sz w:val="22"/>
                      <w:szCs w:val="22"/>
                    </w:rPr>
                    <w:t>C</w:t>
                  </w:r>
                  <w:r w:rsidRPr="002365CD">
                    <w:rPr>
                      <w:sz w:val="22"/>
                      <w:szCs w:val="22"/>
                      <w:vertAlign w:val="subscript"/>
                    </w:rPr>
                    <w:t>max</w:t>
                  </w:r>
                  <w:r w:rsidRPr="002365CD">
                    <w:rPr>
                      <w:sz w:val="22"/>
                      <w:szCs w:val="22"/>
                    </w:rPr>
                    <w:t>: ↑ 34</w:t>
                  </w:r>
                  <w:r w:rsidR="002973C6">
                    <w:rPr>
                      <w:sz w:val="22"/>
                      <w:szCs w:val="22"/>
                    </w:rPr>
                    <w:t> </w:t>
                  </w:r>
                  <w:r w:rsidRPr="002365CD">
                    <w:rPr>
                      <w:sz w:val="22"/>
                      <w:szCs w:val="22"/>
                    </w:rPr>
                    <w:t xml:space="preserve">% </w:t>
                  </w:r>
                </w:p>
                <w:p w14:paraId="01897415" w14:textId="77777777" w:rsidR="002365CD" w:rsidRPr="002365CD" w:rsidRDefault="002365CD" w:rsidP="002973C6">
                  <w:pPr>
                    <w:pStyle w:val="Default"/>
                    <w:rPr>
                      <w:sz w:val="22"/>
                      <w:szCs w:val="22"/>
                    </w:rPr>
                  </w:pPr>
                  <w:r w:rsidRPr="002365CD">
                    <w:rPr>
                      <w:sz w:val="22"/>
                      <w:szCs w:val="22"/>
                    </w:rPr>
                    <w:t>C</w:t>
                  </w:r>
                  <w:r w:rsidRPr="002365CD">
                    <w:rPr>
                      <w:sz w:val="22"/>
                      <w:szCs w:val="22"/>
                      <w:vertAlign w:val="subscript"/>
                    </w:rPr>
                    <w:t>min</w:t>
                  </w:r>
                  <w:r w:rsidRPr="002365CD">
                    <w:rPr>
                      <w:sz w:val="22"/>
                      <w:szCs w:val="22"/>
                    </w:rPr>
                    <w:t>: ↑ 29</w:t>
                  </w:r>
                  <w:r w:rsidR="002973C6">
                    <w:rPr>
                      <w:sz w:val="22"/>
                      <w:szCs w:val="22"/>
                    </w:rPr>
                    <w:t> </w:t>
                  </w:r>
                  <w:r w:rsidRPr="002365CD">
                    <w:rPr>
                      <w:sz w:val="22"/>
                      <w:szCs w:val="22"/>
                    </w:rPr>
                    <w:t xml:space="preserve">% </w:t>
                  </w:r>
                </w:p>
              </w:tc>
            </w:tr>
          </w:tbl>
          <w:p w14:paraId="02CA26D1" w14:textId="77777777" w:rsidR="00012043" w:rsidRPr="00EB3906" w:rsidRDefault="00012043" w:rsidP="004A0EEC">
            <w:pPr>
              <w:pStyle w:val="Default"/>
              <w:rPr>
                <w:sz w:val="22"/>
                <w:szCs w:val="22"/>
              </w:rPr>
            </w:pPr>
          </w:p>
        </w:tc>
        <w:tc>
          <w:tcPr>
            <w:tcW w:w="2799" w:type="dxa"/>
            <w:shd w:val="clear" w:color="auto" w:fill="auto"/>
          </w:tcPr>
          <w:p w14:paraId="203FD8E9" w14:textId="77777777" w:rsidR="00012043" w:rsidRPr="00EB3906" w:rsidRDefault="002365CD" w:rsidP="004A0EEC">
            <w:pPr>
              <w:pStyle w:val="Default"/>
              <w:rPr>
                <w:sz w:val="22"/>
                <w:szCs w:val="22"/>
              </w:rPr>
            </w:pPr>
            <w:r w:rsidRPr="00EB3906">
              <w:rPr>
                <w:sz w:val="22"/>
                <w:szCs w:val="22"/>
              </w:rPr>
              <w:t>Dozės koreguoti nereikia. Didesnės tenofoviro koncentracijos gali stiprinti su tenofoviru susijusius nepageidaujamus reiškinius, įskaitant inkstų sutrikimus. Reikia atidžiai stebėti inkstų funkciją (žr. 4.4 skyrių).</w:t>
            </w:r>
          </w:p>
        </w:tc>
      </w:tr>
      <w:tr w:rsidR="00012043" w:rsidRPr="00EB3906" w14:paraId="569D3084" w14:textId="77777777" w:rsidTr="00EB3906">
        <w:tc>
          <w:tcPr>
            <w:tcW w:w="2802" w:type="dxa"/>
            <w:shd w:val="clear" w:color="auto" w:fill="auto"/>
          </w:tcPr>
          <w:p w14:paraId="2D1511B7" w14:textId="620E2418" w:rsidR="002365CD" w:rsidRPr="00EB3906" w:rsidRDefault="002365CD" w:rsidP="002365CD">
            <w:pPr>
              <w:pStyle w:val="Default"/>
              <w:rPr>
                <w:sz w:val="22"/>
                <w:szCs w:val="22"/>
              </w:rPr>
            </w:pPr>
            <w:r w:rsidRPr="00EB3906">
              <w:rPr>
                <w:sz w:val="22"/>
                <w:szCs w:val="22"/>
              </w:rPr>
              <w:t>Lopinaviras</w:t>
            </w:r>
            <w:r w:rsidR="000C2F9A">
              <w:rPr>
                <w:sz w:val="22"/>
                <w:szCs w:val="22"/>
              </w:rPr>
              <w:t>/R</w:t>
            </w:r>
            <w:r w:rsidRPr="00EB3906">
              <w:rPr>
                <w:sz w:val="22"/>
                <w:szCs w:val="22"/>
              </w:rPr>
              <w:t>itonaviras</w:t>
            </w:r>
          </w:p>
          <w:p w14:paraId="1C5553C7" w14:textId="14332163" w:rsidR="00012043" w:rsidRPr="00EB3906" w:rsidRDefault="002365CD" w:rsidP="00D400A8">
            <w:pPr>
              <w:pStyle w:val="Default"/>
              <w:rPr>
                <w:sz w:val="22"/>
                <w:szCs w:val="22"/>
              </w:rPr>
            </w:pPr>
            <w:r w:rsidRPr="00EB3906">
              <w:rPr>
                <w:sz w:val="22"/>
                <w:szCs w:val="22"/>
              </w:rPr>
              <w:t>(400 b.i.d.</w:t>
            </w:r>
            <w:r w:rsidR="008659E0">
              <w:rPr>
                <w:sz w:val="22"/>
                <w:szCs w:val="22"/>
              </w:rPr>
              <w:t>/</w:t>
            </w:r>
            <w:r w:rsidRPr="00EB3906">
              <w:rPr>
                <w:sz w:val="22"/>
                <w:szCs w:val="22"/>
              </w:rPr>
              <w:t>100 b.i.d.)</w:t>
            </w:r>
          </w:p>
        </w:tc>
        <w:tc>
          <w:tcPr>
            <w:tcW w:w="3685" w:type="dxa"/>
            <w:gridSpan w:val="3"/>
            <w:shd w:val="clear" w:color="auto" w:fill="auto"/>
          </w:tcPr>
          <w:p w14:paraId="107BB8E9" w14:textId="77777777" w:rsidR="002365CD" w:rsidRPr="00EB3906" w:rsidRDefault="002365CD" w:rsidP="002365CD">
            <w:pPr>
              <w:pStyle w:val="Default"/>
              <w:rPr>
                <w:sz w:val="22"/>
                <w:szCs w:val="22"/>
              </w:rPr>
            </w:pPr>
            <w:r w:rsidRPr="00EB3906">
              <w:rPr>
                <w:sz w:val="22"/>
                <w:szCs w:val="22"/>
              </w:rPr>
              <w:t>Lopinaviras/ritonaviras:</w:t>
            </w:r>
          </w:p>
          <w:p w14:paraId="75717E49" w14:textId="77777777" w:rsidR="002365CD" w:rsidRPr="00EB3906" w:rsidRDefault="002365CD" w:rsidP="002365CD">
            <w:pPr>
              <w:pStyle w:val="Default"/>
              <w:rPr>
                <w:sz w:val="22"/>
                <w:szCs w:val="22"/>
              </w:rPr>
            </w:pPr>
            <w:r w:rsidRPr="00EB3906">
              <w:rPr>
                <w:sz w:val="22"/>
                <w:szCs w:val="22"/>
              </w:rPr>
              <w:t>Reikšmingų lopinaviro/ritonaviro farmakokinetikos pokyčių nenustatyta.</w:t>
            </w:r>
          </w:p>
          <w:p w14:paraId="1E06A6D7" w14:textId="77777777" w:rsidR="002365CD" w:rsidRPr="00EB3906" w:rsidRDefault="002365CD" w:rsidP="002365CD">
            <w:pPr>
              <w:pStyle w:val="Default"/>
              <w:rPr>
                <w:sz w:val="22"/>
                <w:szCs w:val="22"/>
              </w:rPr>
            </w:pPr>
            <w:r w:rsidRPr="00EB3906">
              <w:rPr>
                <w:sz w:val="22"/>
                <w:szCs w:val="22"/>
              </w:rPr>
              <w:t>Tenofoviras:</w:t>
            </w:r>
          </w:p>
          <w:p w14:paraId="003B4460" w14:textId="77777777" w:rsidR="002365CD" w:rsidRPr="00EB3906" w:rsidRDefault="002365CD" w:rsidP="002365CD">
            <w:pPr>
              <w:pStyle w:val="Default"/>
              <w:rPr>
                <w:sz w:val="22"/>
                <w:szCs w:val="22"/>
              </w:rPr>
            </w:pPr>
            <w:r w:rsidRPr="00EB3906">
              <w:rPr>
                <w:sz w:val="22"/>
                <w:szCs w:val="22"/>
              </w:rPr>
              <w:t>AUC: ↑ 32</w:t>
            </w:r>
            <w:r w:rsidR="002973C6">
              <w:rPr>
                <w:sz w:val="22"/>
                <w:szCs w:val="22"/>
              </w:rPr>
              <w:t> </w:t>
            </w:r>
            <w:r w:rsidRPr="00EB3906">
              <w:rPr>
                <w:sz w:val="22"/>
                <w:szCs w:val="22"/>
              </w:rPr>
              <w:t>%</w:t>
            </w:r>
          </w:p>
          <w:p w14:paraId="7CBAC82D" w14:textId="77777777" w:rsidR="002365CD" w:rsidRPr="00EB3906" w:rsidRDefault="002365CD" w:rsidP="002365C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249E541F" w14:textId="77777777" w:rsidR="00012043" w:rsidRPr="00EB3906" w:rsidRDefault="002365CD" w:rsidP="002973C6">
            <w:pPr>
              <w:pStyle w:val="Default"/>
              <w:rPr>
                <w:sz w:val="22"/>
                <w:szCs w:val="22"/>
              </w:rPr>
            </w:pPr>
            <w:r w:rsidRPr="00EB3906">
              <w:rPr>
                <w:sz w:val="22"/>
                <w:szCs w:val="22"/>
              </w:rPr>
              <w:t>C</w:t>
            </w:r>
            <w:r w:rsidRPr="00EB3906">
              <w:rPr>
                <w:sz w:val="22"/>
                <w:szCs w:val="22"/>
                <w:vertAlign w:val="subscript"/>
              </w:rPr>
              <w:t>min</w:t>
            </w:r>
            <w:r w:rsidRPr="00EB3906">
              <w:rPr>
                <w:sz w:val="22"/>
                <w:szCs w:val="22"/>
              </w:rPr>
              <w:t>: ↑ 51</w:t>
            </w:r>
            <w:r w:rsidR="002973C6">
              <w:rPr>
                <w:sz w:val="22"/>
                <w:szCs w:val="22"/>
              </w:rPr>
              <w:t> </w:t>
            </w:r>
            <w:r w:rsidRPr="00EB3906">
              <w:rPr>
                <w:sz w:val="22"/>
                <w:szCs w:val="22"/>
              </w:rPr>
              <w:t>%</w:t>
            </w:r>
          </w:p>
        </w:tc>
        <w:tc>
          <w:tcPr>
            <w:tcW w:w="2799" w:type="dxa"/>
            <w:shd w:val="clear" w:color="auto" w:fill="auto"/>
          </w:tcPr>
          <w:p w14:paraId="690DEF2B" w14:textId="77777777" w:rsidR="00012043" w:rsidRPr="00EB3906" w:rsidRDefault="002365CD" w:rsidP="004A0EEC">
            <w:pPr>
              <w:pStyle w:val="Default"/>
              <w:rPr>
                <w:sz w:val="22"/>
                <w:szCs w:val="22"/>
              </w:rPr>
            </w:pPr>
            <w:r w:rsidRPr="00EB3906">
              <w:rPr>
                <w:sz w:val="22"/>
                <w:szCs w:val="22"/>
              </w:rPr>
              <w:t>Dozės koreguoti nereikia. Didesnės tenofoviro koncentracijos gali stiprinti su tenofoviru susijusius nepageidaujamus reiškinius, įskaitant inkstų sutrikimus. Reikia atidžiai stebėti inkstų funkciją (žr. 4.4 skyrių).</w:t>
            </w:r>
          </w:p>
        </w:tc>
      </w:tr>
      <w:tr w:rsidR="00012043" w:rsidRPr="00EB3906" w14:paraId="7269C2DD" w14:textId="77777777" w:rsidTr="00EB3906">
        <w:tc>
          <w:tcPr>
            <w:tcW w:w="2802" w:type="dxa"/>
            <w:shd w:val="clear" w:color="auto" w:fill="auto"/>
          </w:tcPr>
          <w:p w14:paraId="675B275F" w14:textId="77777777" w:rsidR="002365CD" w:rsidRPr="00EB3906" w:rsidRDefault="002365CD" w:rsidP="002365CD">
            <w:pPr>
              <w:pStyle w:val="Default"/>
              <w:rPr>
                <w:sz w:val="22"/>
                <w:szCs w:val="22"/>
              </w:rPr>
            </w:pPr>
            <w:r w:rsidRPr="00EB3906">
              <w:rPr>
                <w:sz w:val="22"/>
                <w:szCs w:val="22"/>
              </w:rPr>
              <w:t>Darunaviras/Ritonaviras</w:t>
            </w:r>
          </w:p>
          <w:p w14:paraId="2F02452C" w14:textId="08949FFF" w:rsidR="00012043" w:rsidRPr="00EB3906" w:rsidRDefault="002365CD" w:rsidP="00D400A8">
            <w:pPr>
              <w:pStyle w:val="Default"/>
              <w:rPr>
                <w:sz w:val="22"/>
                <w:szCs w:val="22"/>
              </w:rPr>
            </w:pPr>
            <w:r w:rsidRPr="00EB3906">
              <w:rPr>
                <w:sz w:val="22"/>
                <w:szCs w:val="22"/>
              </w:rPr>
              <w:t>(300/100 b.i.d.)</w:t>
            </w:r>
          </w:p>
        </w:tc>
        <w:tc>
          <w:tcPr>
            <w:tcW w:w="3685" w:type="dxa"/>
            <w:gridSpan w:val="3"/>
            <w:shd w:val="clear" w:color="auto" w:fill="auto"/>
          </w:tcPr>
          <w:p w14:paraId="052484C7" w14:textId="77777777" w:rsidR="002365CD" w:rsidRPr="00EB3906" w:rsidRDefault="002365CD" w:rsidP="002365CD">
            <w:pPr>
              <w:pStyle w:val="Default"/>
              <w:rPr>
                <w:sz w:val="22"/>
                <w:szCs w:val="22"/>
              </w:rPr>
            </w:pPr>
            <w:r w:rsidRPr="00EB3906">
              <w:rPr>
                <w:sz w:val="22"/>
                <w:szCs w:val="22"/>
              </w:rPr>
              <w:t>Darunaviras:</w:t>
            </w:r>
          </w:p>
          <w:p w14:paraId="650666F6" w14:textId="538BA4FA" w:rsidR="002365CD" w:rsidRPr="00EB3906" w:rsidRDefault="002365CD" w:rsidP="002365CD">
            <w:pPr>
              <w:pStyle w:val="Default"/>
              <w:rPr>
                <w:sz w:val="22"/>
                <w:szCs w:val="22"/>
              </w:rPr>
            </w:pPr>
            <w:r w:rsidRPr="00EB3906">
              <w:rPr>
                <w:sz w:val="22"/>
                <w:szCs w:val="22"/>
              </w:rPr>
              <w:t xml:space="preserve">Reikšmingų </w:t>
            </w:r>
            <w:r w:rsidR="000C2F9A">
              <w:rPr>
                <w:sz w:val="22"/>
                <w:szCs w:val="22"/>
              </w:rPr>
              <w:t xml:space="preserve">darunaviro </w:t>
            </w:r>
            <w:r w:rsidRPr="00EB3906">
              <w:rPr>
                <w:sz w:val="22"/>
                <w:szCs w:val="22"/>
              </w:rPr>
              <w:t>/ritonaviro farmakokinetikos pokyčių nenustatyta.</w:t>
            </w:r>
          </w:p>
          <w:p w14:paraId="41A8CCB3" w14:textId="77777777" w:rsidR="002365CD" w:rsidRPr="00EB3906" w:rsidRDefault="002365CD" w:rsidP="002365CD">
            <w:pPr>
              <w:pStyle w:val="Default"/>
              <w:rPr>
                <w:sz w:val="22"/>
                <w:szCs w:val="22"/>
              </w:rPr>
            </w:pPr>
            <w:r w:rsidRPr="00EB3906">
              <w:rPr>
                <w:sz w:val="22"/>
                <w:szCs w:val="22"/>
              </w:rPr>
              <w:t>Tenofoviras:</w:t>
            </w:r>
          </w:p>
          <w:p w14:paraId="03C1C6FF" w14:textId="77777777" w:rsidR="002365CD" w:rsidRPr="00EB3906" w:rsidRDefault="002365CD" w:rsidP="002365CD">
            <w:pPr>
              <w:pStyle w:val="Default"/>
              <w:rPr>
                <w:sz w:val="22"/>
                <w:szCs w:val="22"/>
              </w:rPr>
            </w:pPr>
            <w:r w:rsidRPr="00EB3906">
              <w:rPr>
                <w:sz w:val="22"/>
                <w:szCs w:val="22"/>
              </w:rPr>
              <w:t>AUC: ↑ 22</w:t>
            </w:r>
            <w:r w:rsidR="002973C6">
              <w:rPr>
                <w:sz w:val="22"/>
                <w:szCs w:val="22"/>
              </w:rPr>
              <w:t> </w:t>
            </w:r>
            <w:r w:rsidRPr="00EB3906">
              <w:rPr>
                <w:sz w:val="22"/>
                <w:szCs w:val="22"/>
              </w:rPr>
              <w:t>%</w:t>
            </w:r>
          </w:p>
          <w:p w14:paraId="3BFBE18E" w14:textId="77777777" w:rsidR="00012043" w:rsidRPr="00EB3906" w:rsidRDefault="002365CD" w:rsidP="002973C6">
            <w:pPr>
              <w:pStyle w:val="Default"/>
              <w:rPr>
                <w:sz w:val="22"/>
                <w:szCs w:val="22"/>
              </w:rPr>
            </w:pPr>
            <w:r w:rsidRPr="00EB3906">
              <w:rPr>
                <w:sz w:val="22"/>
                <w:szCs w:val="22"/>
              </w:rPr>
              <w:t>Cmin: ↑ 37</w:t>
            </w:r>
            <w:r w:rsidR="002973C6">
              <w:rPr>
                <w:sz w:val="22"/>
                <w:szCs w:val="22"/>
              </w:rPr>
              <w:t> </w:t>
            </w:r>
            <w:r w:rsidRPr="00EB3906">
              <w:rPr>
                <w:sz w:val="22"/>
                <w:szCs w:val="22"/>
              </w:rPr>
              <w:t>%</w:t>
            </w:r>
          </w:p>
        </w:tc>
        <w:tc>
          <w:tcPr>
            <w:tcW w:w="2799" w:type="dxa"/>
            <w:shd w:val="clear" w:color="auto" w:fill="auto"/>
          </w:tcPr>
          <w:p w14:paraId="4908D1E9" w14:textId="77777777" w:rsidR="00012043" w:rsidRPr="00EB3906" w:rsidRDefault="005C5436" w:rsidP="004A0EEC">
            <w:pPr>
              <w:pStyle w:val="Default"/>
              <w:rPr>
                <w:sz w:val="22"/>
                <w:szCs w:val="22"/>
              </w:rPr>
            </w:pPr>
            <w:r w:rsidRPr="00EB3906">
              <w:rPr>
                <w:sz w:val="22"/>
                <w:szCs w:val="22"/>
              </w:rPr>
              <w:t>Dozės koreguoti nereikia. Didesnės tenofoviro koncentracijos gali stiprinti su tenofoviru susijusius nepageidaujamus reiškinius, įskaitant inkstų sutrikimus. Reikia atidžiai stebėti inkstų funkciją (žr. 4.4 skyrių).</w:t>
            </w:r>
          </w:p>
        </w:tc>
      </w:tr>
      <w:tr w:rsidR="005C5436" w:rsidRPr="00EB3906" w14:paraId="7A2D6A04" w14:textId="77777777" w:rsidTr="00EB3906">
        <w:tc>
          <w:tcPr>
            <w:tcW w:w="9286" w:type="dxa"/>
            <w:gridSpan w:val="5"/>
            <w:shd w:val="clear" w:color="auto" w:fill="auto"/>
          </w:tcPr>
          <w:p w14:paraId="5E6595B7" w14:textId="77777777" w:rsidR="005C5436" w:rsidRPr="00EB3906" w:rsidRDefault="005C5436" w:rsidP="00B54A09">
            <w:pPr>
              <w:pStyle w:val="Default"/>
              <w:rPr>
                <w:b/>
                <w:sz w:val="22"/>
                <w:szCs w:val="22"/>
              </w:rPr>
            </w:pPr>
            <w:r w:rsidRPr="00EB3906">
              <w:rPr>
                <w:b/>
                <w:sz w:val="22"/>
                <w:szCs w:val="22"/>
              </w:rPr>
              <w:t>NAT</w:t>
            </w:r>
            <w:r w:rsidR="00B54A09" w:rsidRPr="00EB3906">
              <w:rPr>
                <w:b/>
                <w:sz w:val="22"/>
                <w:szCs w:val="22"/>
              </w:rPr>
              <w:t xml:space="preserve"> inhibitoriai</w:t>
            </w:r>
          </w:p>
        </w:tc>
      </w:tr>
      <w:tr w:rsidR="00012043" w:rsidRPr="00EB3906" w14:paraId="3262C3DC" w14:textId="77777777" w:rsidTr="00EE7979">
        <w:tc>
          <w:tcPr>
            <w:tcW w:w="2802" w:type="dxa"/>
            <w:shd w:val="clear" w:color="auto" w:fill="auto"/>
          </w:tcPr>
          <w:p w14:paraId="3B4901CE" w14:textId="77777777" w:rsidR="00012043" w:rsidRPr="00EB3906" w:rsidRDefault="00B54A09" w:rsidP="004A0EEC">
            <w:pPr>
              <w:pStyle w:val="Default"/>
              <w:rPr>
                <w:sz w:val="22"/>
                <w:szCs w:val="22"/>
              </w:rPr>
            </w:pPr>
            <w:r w:rsidRPr="00EB3906">
              <w:rPr>
                <w:sz w:val="22"/>
                <w:szCs w:val="22"/>
              </w:rPr>
              <w:t>Didanozinas</w:t>
            </w:r>
          </w:p>
        </w:tc>
        <w:tc>
          <w:tcPr>
            <w:tcW w:w="3685" w:type="dxa"/>
            <w:gridSpan w:val="3"/>
            <w:shd w:val="clear" w:color="auto" w:fill="auto"/>
          </w:tcPr>
          <w:p w14:paraId="7AD71A78" w14:textId="77777777" w:rsidR="00012043" w:rsidRPr="00EB3906" w:rsidRDefault="005C5436" w:rsidP="008659E0">
            <w:pPr>
              <w:pStyle w:val="Default"/>
              <w:rPr>
                <w:sz w:val="22"/>
                <w:szCs w:val="22"/>
              </w:rPr>
            </w:pPr>
            <w:r w:rsidRPr="00EB3906">
              <w:rPr>
                <w:sz w:val="22"/>
                <w:szCs w:val="22"/>
              </w:rPr>
              <w:t>Kartu vartojant tenofoviro dizoproksilio ir didanozino, 40-60</w:t>
            </w:r>
            <w:r w:rsidR="008659E0">
              <w:rPr>
                <w:sz w:val="22"/>
                <w:szCs w:val="22"/>
              </w:rPr>
              <w:t> </w:t>
            </w:r>
            <w:r w:rsidRPr="00EB3906">
              <w:rPr>
                <w:sz w:val="22"/>
                <w:szCs w:val="22"/>
              </w:rPr>
              <w:t xml:space="preserve">% padidėja sisteminė didanozino ekspozicija, tai gali padidinti su didanozino vartojimu susijusių nepageidaujamų reakcijų riziką. Retai buvo pranešimų apie pankreatito ir </w:t>
            </w:r>
            <w:r w:rsidR="00B54A09" w:rsidRPr="00EB3906">
              <w:rPr>
                <w:sz w:val="22"/>
                <w:szCs w:val="22"/>
              </w:rPr>
              <w:t xml:space="preserve">pieno rūgšties </w:t>
            </w:r>
            <w:r w:rsidRPr="00EB3906">
              <w:rPr>
                <w:sz w:val="22"/>
                <w:szCs w:val="22"/>
              </w:rPr>
              <w:t>acidozės atvejus, iš kurių keli buvo mirtini. Kartu vartojant tenofoviro dizoproksilio ir 400</w:t>
            </w:r>
            <w:r w:rsidR="008659E0">
              <w:rPr>
                <w:sz w:val="22"/>
                <w:szCs w:val="22"/>
              </w:rPr>
              <w:t> </w:t>
            </w:r>
            <w:r w:rsidRPr="00EB3906">
              <w:rPr>
                <w:sz w:val="22"/>
                <w:szCs w:val="22"/>
              </w:rPr>
              <w:t>mg didanozino dozę kasdien, buvo stebimas reikšmingas CD4 ląstelių kiekio sumažėjimas, galimai dėl intraląstelinės sąveikos, dėl ko didėja fosforilinto (t.y. aktyvaus) didanozino kiekis. Skiriant iki 250</w:t>
            </w:r>
            <w:r w:rsidR="008659E0">
              <w:rPr>
                <w:sz w:val="22"/>
                <w:szCs w:val="22"/>
              </w:rPr>
              <w:t> </w:t>
            </w:r>
            <w:r w:rsidRPr="00EB3906">
              <w:rPr>
                <w:sz w:val="22"/>
                <w:szCs w:val="22"/>
              </w:rPr>
              <w:t>mg sumažintą didanozino dozę kartu su tenofoviro dizoproksili</w:t>
            </w:r>
            <w:r w:rsidR="008659E0">
              <w:rPr>
                <w:sz w:val="22"/>
                <w:szCs w:val="22"/>
              </w:rPr>
              <w:t>u</w:t>
            </w:r>
            <w:r w:rsidRPr="00EB3906">
              <w:rPr>
                <w:sz w:val="22"/>
                <w:szCs w:val="22"/>
              </w:rPr>
              <w:t xml:space="preserve"> </w:t>
            </w:r>
            <w:r w:rsidRPr="00EB3906">
              <w:rPr>
                <w:sz w:val="22"/>
                <w:szCs w:val="22"/>
              </w:rPr>
              <w:lastRenderedPageBreak/>
              <w:t>buvo dažnai stebimas virusologinis neefektyvumas keliuose išbandytuose ŽIV-1 infekcijos gydymo deriniuose.</w:t>
            </w:r>
          </w:p>
        </w:tc>
        <w:tc>
          <w:tcPr>
            <w:tcW w:w="2799" w:type="dxa"/>
            <w:shd w:val="clear" w:color="auto" w:fill="auto"/>
          </w:tcPr>
          <w:p w14:paraId="291F573F" w14:textId="77777777" w:rsidR="00012043" w:rsidRPr="00EB3906" w:rsidRDefault="00B54A09" w:rsidP="008659E0">
            <w:pPr>
              <w:pStyle w:val="Default"/>
              <w:rPr>
                <w:sz w:val="22"/>
                <w:szCs w:val="22"/>
              </w:rPr>
            </w:pPr>
            <w:r w:rsidRPr="00EB3906">
              <w:rPr>
                <w:sz w:val="22"/>
                <w:szCs w:val="22"/>
              </w:rPr>
              <w:lastRenderedPageBreak/>
              <w:t>Nerekomenduojama kartu vartoti tenofoviro dizoproksilio ir didanozino (žr. 4.4 skyrių).</w:t>
            </w:r>
          </w:p>
        </w:tc>
      </w:tr>
      <w:tr w:rsidR="00012043" w:rsidRPr="00EB3906" w14:paraId="20441A6C" w14:textId="77777777" w:rsidTr="00EB3906">
        <w:tc>
          <w:tcPr>
            <w:tcW w:w="2802" w:type="dxa"/>
            <w:shd w:val="clear" w:color="auto" w:fill="auto"/>
          </w:tcPr>
          <w:p w14:paraId="12009CB3" w14:textId="48CAA29F" w:rsidR="00012043" w:rsidRPr="00EB3906" w:rsidRDefault="00D400A8" w:rsidP="00D400A8">
            <w:pPr>
              <w:pStyle w:val="Default"/>
              <w:rPr>
                <w:sz w:val="22"/>
                <w:szCs w:val="22"/>
              </w:rPr>
            </w:pPr>
            <w:r w:rsidRPr="00EB3906">
              <w:rPr>
                <w:sz w:val="22"/>
                <w:szCs w:val="22"/>
              </w:rPr>
              <w:t>Adefovir</w:t>
            </w:r>
            <w:r>
              <w:rPr>
                <w:sz w:val="22"/>
                <w:szCs w:val="22"/>
              </w:rPr>
              <w:t>as</w:t>
            </w:r>
            <w:r w:rsidRPr="00EB3906">
              <w:rPr>
                <w:sz w:val="22"/>
                <w:szCs w:val="22"/>
              </w:rPr>
              <w:t xml:space="preserve"> </w:t>
            </w:r>
            <w:r w:rsidR="00B54A09" w:rsidRPr="00EB3906">
              <w:rPr>
                <w:sz w:val="22"/>
                <w:szCs w:val="22"/>
              </w:rPr>
              <w:t>dipivoksilis</w:t>
            </w:r>
          </w:p>
        </w:tc>
        <w:tc>
          <w:tcPr>
            <w:tcW w:w="3685" w:type="dxa"/>
            <w:gridSpan w:val="3"/>
            <w:shd w:val="clear" w:color="auto" w:fill="auto"/>
          </w:tcPr>
          <w:p w14:paraId="3C884755" w14:textId="77777777" w:rsidR="00B54A09" w:rsidRPr="00EB3906" w:rsidRDefault="00B54A09" w:rsidP="00B54A09">
            <w:pPr>
              <w:pStyle w:val="Default"/>
              <w:rPr>
                <w:sz w:val="22"/>
                <w:szCs w:val="22"/>
              </w:rPr>
            </w:pPr>
            <w:r w:rsidRPr="00EB3906">
              <w:rPr>
                <w:sz w:val="22"/>
                <w:szCs w:val="22"/>
              </w:rPr>
              <w:t>AUC: ↔</w:t>
            </w:r>
          </w:p>
          <w:p w14:paraId="53256C95" w14:textId="77777777" w:rsidR="00012043"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tc>
        <w:tc>
          <w:tcPr>
            <w:tcW w:w="279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61"/>
            </w:tblGrid>
            <w:tr w:rsidR="00B54A09" w14:paraId="2D7D187D" w14:textId="77777777">
              <w:trPr>
                <w:trHeight w:val="437"/>
              </w:trPr>
              <w:tc>
                <w:tcPr>
                  <w:tcW w:w="0" w:type="auto"/>
                </w:tcPr>
                <w:p w14:paraId="5DC36EC3" w14:textId="09E5F8F4" w:rsidR="00B54A09" w:rsidRPr="00164838" w:rsidRDefault="00D400A8" w:rsidP="00D400A8">
                  <w:pPr>
                    <w:pStyle w:val="Default"/>
                    <w:rPr>
                      <w:sz w:val="22"/>
                      <w:szCs w:val="22"/>
                    </w:rPr>
                  </w:pPr>
                  <w:r w:rsidRPr="00164838">
                    <w:rPr>
                      <w:sz w:val="22"/>
                      <w:szCs w:val="22"/>
                    </w:rPr>
                    <w:t>Tenofovir</w:t>
                  </w:r>
                  <w:r>
                    <w:rPr>
                      <w:sz w:val="22"/>
                      <w:szCs w:val="22"/>
                    </w:rPr>
                    <w:t>as</w:t>
                  </w:r>
                  <w:r w:rsidRPr="00164838">
                    <w:rPr>
                      <w:sz w:val="22"/>
                      <w:szCs w:val="22"/>
                    </w:rPr>
                    <w:t xml:space="preserve"> </w:t>
                  </w:r>
                  <w:r w:rsidR="00E17725" w:rsidRPr="00164838">
                    <w:rPr>
                      <w:sz w:val="22"/>
                      <w:szCs w:val="22"/>
                    </w:rPr>
                    <w:t>dizoproksilis</w:t>
                  </w:r>
                  <w:r w:rsidR="00B54A09" w:rsidRPr="00164838">
                    <w:rPr>
                      <w:sz w:val="22"/>
                      <w:szCs w:val="22"/>
                    </w:rPr>
                    <w:t xml:space="preserve"> turi būti nevartojamas kartu su </w:t>
                  </w:r>
                  <w:r w:rsidRPr="00164838">
                    <w:rPr>
                      <w:sz w:val="22"/>
                      <w:szCs w:val="22"/>
                    </w:rPr>
                    <w:t>adefovir</w:t>
                  </w:r>
                  <w:r>
                    <w:rPr>
                      <w:sz w:val="22"/>
                      <w:szCs w:val="22"/>
                    </w:rPr>
                    <w:t>u</w:t>
                  </w:r>
                  <w:r w:rsidRPr="00164838">
                    <w:rPr>
                      <w:sz w:val="22"/>
                      <w:szCs w:val="22"/>
                    </w:rPr>
                    <w:t xml:space="preserve"> </w:t>
                  </w:r>
                  <w:r w:rsidR="00B54A09" w:rsidRPr="00164838">
                    <w:rPr>
                      <w:sz w:val="22"/>
                      <w:szCs w:val="22"/>
                    </w:rPr>
                    <w:t xml:space="preserve">dipivoksiliu (žr. 4.4 skyrių). </w:t>
                  </w:r>
                </w:p>
              </w:tc>
            </w:tr>
          </w:tbl>
          <w:p w14:paraId="33215199" w14:textId="77777777" w:rsidR="00012043" w:rsidRPr="00EB3906" w:rsidRDefault="00012043" w:rsidP="004A0EEC">
            <w:pPr>
              <w:pStyle w:val="Default"/>
              <w:rPr>
                <w:sz w:val="22"/>
                <w:szCs w:val="22"/>
              </w:rPr>
            </w:pPr>
          </w:p>
        </w:tc>
      </w:tr>
      <w:tr w:rsidR="00B54A09" w:rsidRPr="00EB3906" w14:paraId="1A57F03D" w14:textId="77777777" w:rsidTr="00EE7979">
        <w:tc>
          <w:tcPr>
            <w:tcW w:w="2802" w:type="dxa"/>
            <w:shd w:val="clear" w:color="auto" w:fill="auto"/>
          </w:tcPr>
          <w:p w14:paraId="6FB671C8" w14:textId="77777777" w:rsidR="00B54A09" w:rsidRPr="00EB3906" w:rsidRDefault="00B54A09" w:rsidP="004A0EEC">
            <w:pPr>
              <w:pStyle w:val="Default"/>
              <w:rPr>
                <w:sz w:val="22"/>
                <w:szCs w:val="22"/>
              </w:rPr>
            </w:pPr>
            <w:r w:rsidRPr="00EB3906">
              <w:rPr>
                <w:sz w:val="22"/>
                <w:szCs w:val="22"/>
              </w:rPr>
              <w:t>Entekaviras</w:t>
            </w:r>
          </w:p>
        </w:tc>
        <w:tc>
          <w:tcPr>
            <w:tcW w:w="3685" w:type="dxa"/>
            <w:gridSpan w:val="3"/>
            <w:shd w:val="clear" w:color="auto" w:fill="auto"/>
          </w:tcPr>
          <w:p w14:paraId="4537E99C" w14:textId="77777777" w:rsidR="00B54A09" w:rsidRPr="00EB3906" w:rsidRDefault="00B54A09" w:rsidP="00B54A09">
            <w:pPr>
              <w:pStyle w:val="Default"/>
              <w:rPr>
                <w:sz w:val="22"/>
                <w:szCs w:val="22"/>
              </w:rPr>
            </w:pPr>
            <w:r w:rsidRPr="00EB3906">
              <w:rPr>
                <w:sz w:val="22"/>
                <w:szCs w:val="22"/>
              </w:rPr>
              <w:t>AUC: ↔</w:t>
            </w:r>
          </w:p>
          <w:p w14:paraId="0D09EB81"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tc>
        <w:tc>
          <w:tcPr>
            <w:tcW w:w="2799" w:type="dxa"/>
            <w:shd w:val="clear" w:color="auto" w:fill="auto"/>
          </w:tcPr>
          <w:p w14:paraId="509C6192" w14:textId="77777777" w:rsidR="00B54A09" w:rsidRPr="00EB3906" w:rsidRDefault="00B54A09" w:rsidP="00DA79BF">
            <w:pPr>
              <w:pStyle w:val="Default"/>
              <w:rPr>
                <w:sz w:val="22"/>
                <w:szCs w:val="22"/>
              </w:rPr>
            </w:pPr>
            <w:r w:rsidRPr="00EB3906">
              <w:rPr>
                <w:sz w:val="22"/>
                <w:szCs w:val="22"/>
              </w:rPr>
              <w:t>Kliniškai reikšmingos farmakokinetinės sąveikos tarp tenofoviro dizoproksilio ir entekaviro nebuvo</w:t>
            </w:r>
            <w:r w:rsidR="008659E0">
              <w:rPr>
                <w:sz w:val="22"/>
                <w:szCs w:val="22"/>
              </w:rPr>
              <w:t>.</w:t>
            </w:r>
          </w:p>
        </w:tc>
      </w:tr>
      <w:tr w:rsidR="00B54A09" w:rsidRPr="00EB3906" w14:paraId="676B64C0" w14:textId="77777777" w:rsidTr="00EB3906">
        <w:tc>
          <w:tcPr>
            <w:tcW w:w="9286" w:type="dxa"/>
            <w:gridSpan w:val="5"/>
            <w:shd w:val="clear" w:color="auto" w:fill="auto"/>
          </w:tcPr>
          <w:tbl>
            <w:tblPr>
              <w:tblW w:w="0" w:type="auto"/>
              <w:tblBorders>
                <w:top w:val="nil"/>
                <w:left w:val="nil"/>
                <w:bottom w:val="nil"/>
                <w:right w:val="nil"/>
              </w:tblBorders>
              <w:tblLook w:val="0000" w:firstRow="0" w:lastRow="0" w:firstColumn="0" w:lastColumn="0" w:noHBand="0" w:noVBand="0"/>
            </w:tblPr>
            <w:tblGrid>
              <w:gridCol w:w="4599"/>
            </w:tblGrid>
            <w:tr w:rsidR="00B54A09" w14:paraId="5CB818AF" w14:textId="77777777">
              <w:trPr>
                <w:trHeight w:val="90"/>
              </w:trPr>
              <w:tc>
                <w:tcPr>
                  <w:tcW w:w="0" w:type="auto"/>
                </w:tcPr>
                <w:p w14:paraId="3AA8119A" w14:textId="77777777" w:rsidR="00B54A09" w:rsidRPr="00B54A09" w:rsidRDefault="00B54A09">
                  <w:pPr>
                    <w:pStyle w:val="Default"/>
                    <w:rPr>
                      <w:sz w:val="22"/>
                      <w:szCs w:val="22"/>
                    </w:rPr>
                  </w:pPr>
                  <w:r w:rsidRPr="00B54A09">
                    <w:rPr>
                      <w:b/>
                      <w:bCs/>
                      <w:sz w:val="22"/>
                      <w:szCs w:val="22"/>
                    </w:rPr>
                    <w:t xml:space="preserve">Antivirusinės medžiagos nuo hepatito C viruso </w:t>
                  </w:r>
                </w:p>
              </w:tc>
            </w:tr>
          </w:tbl>
          <w:p w14:paraId="1D97E651" w14:textId="77777777" w:rsidR="00B54A09" w:rsidRPr="00EB3906" w:rsidRDefault="00B54A09" w:rsidP="004A0EEC">
            <w:pPr>
              <w:pStyle w:val="Default"/>
              <w:rPr>
                <w:sz w:val="22"/>
                <w:szCs w:val="22"/>
              </w:rPr>
            </w:pPr>
          </w:p>
        </w:tc>
      </w:tr>
      <w:tr w:rsidR="00B54A09" w:rsidRPr="00EB3906" w14:paraId="20683B7A" w14:textId="77777777" w:rsidTr="00EB3906">
        <w:tc>
          <w:tcPr>
            <w:tcW w:w="3095" w:type="dxa"/>
            <w:gridSpan w:val="2"/>
            <w:shd w:val="clear" w:color="auto" w:fill="auto"/>
          </w:tcPr>
          <w:p w14:paraId="1E0503DA" w14:textId="2F44F91E" w:rsidR="00B54A09" w:rsidRPr="00EB3906" w:rsidRDefault="00B54A09" w:rsidP="00B54A09">
            <w:pPr>
              <w:pStyle w:val="Default"/>
              <w:rPr>
                <w:sz w:val="22"/>
                <w:szCs w:val="22"/>
              </w:rPr>
            </w:pPr>
            <w:r w:rsidRPr="00EB3906">
              <w:rPr>
                <w:sz w:val="22"/>
                <w:szCs w:val="22"/>
              </w:rPr>
              <w:t xml:space="preserve">Ledipasviras / </w:t>
            </w:r>
            <w:r w:rsidR="00BA61CA">
              <w:rPr>
                <w:sz w:val="22"/>
                <w:szCs w:val="22"/>
              </w:rPr>
              <w:t>S</w:t>
            </w:r>
            <w:r w:rsidRPr="00EB3906">
              <w:rPr>
                <w:sz w:val="22"/>
                <w:szCs w:val="22"/>
              </w:rPr>
              <w:t>ofosbuviras</w:t>
            </w:r>
          </w:p>
          <w:p w14:paraId="41717D77" w14:textId="77777777" w:rsidR="00B54A09" w:rsidRPr="00EB3906" w:rsidRDefault="00B54A09" w:rsidP="00B54A09">
            <w:pPr>
              <w:pStyle w:val="Default"/>
              <w:rPr>
                <w:sz w:val="22"/>
                <w:szCs w:val="22"/>
              </w:rPr>
            </w:pPr>
            <w:r w:rsidRPr="00EB3906">
              <w:rPr>
                <w:sz w:val="22"/>
                <w:szCs w:val="22"/>
              </w:rPr>
              <w:t>(90</w:t>
            </w:r>
            <w:r w:rsidR="008659E0">
              <w:rPr>
                <w:sz w:val="22"/>
                <w:szCs w:val="22"/>
              </w:rPr>
              <w:t> </w:t>
            </w:r>
            <w:r w:rsidRPr="00EB3906">
              <w:rPr>
                <w:sz w:val="22"/>
                <w:szCs w:val="22"/>
              </w:rPr>
              <w:t>mg / 400</w:t>
            </w:r>
            <w:r w:rsidR="008659E0">
              <w:rPr>
                <w:sz w:val="22"/>
                <w:szCs w:val="22"/>
              </w:rPr>
              <w:t> </w:t>
            </w:r>
            <w:r w:rsidRPr="00EB3906">
              <w:rPr>
                <w:sz w:val="22"/>
                <w:szCs w:val="22"/>
              </w:rPr>
              <w:t>mg q.d.) +</w:t>
            </w:r>
          </w:p>
          <w:p w14:paraId="39E70BB5" w14:textId="4FEAC6B7" w:rsidR="00B54A09" w:rsidRPr="00EB3906" w:rsidRDefault="00BA61CA" w:rsidP="00B54A09">
            <w:pPr>
              <w:pStyle w:val="Default"/>
              <w:rPr>
                <w:sz w:val="22"/>
                <w:szCs w:val="22"/>
              </w:rPr>
            </w:pPr>
            <w:r>
              <w:rPr>
                <w:sz w:val="22"/>
                <w:szCs w:val="22"/>
              </w:rPr>
              <w:t>A</w:t>
            </w:r>
            <w:r w:rsidR="00B54A09" w:rsidRPr="00EB3906">
              <w:rPr>
                <w:sz w:val="22"/>
                <w:szCs w:val="22"/>
              </w:rPr>
              <w:t xml:space="preserve">tazanaviras / </w:t>
            </w:r>
            <w:r>
              <w:rPr>
                <w:sz w:val="22"/>
                <w:szCs w:val="22"/>
              </w:rPr>
              <w:t>R</w:t>
            </w:r>
            <w:r w:rsidR="00B54A09" w:rsidRPr="00EB3906">
              <w:rPr>
                <w:sz w:val="22"/>
                <w:szCs w:val="22"/>
              </w:rPr>
              <w:t>itonaviras</w:t>
            </w:r>
          </w:p>
          <w:p w14:paraId="6FB8F18C" w14:textId="77777777" w:rsidR="00B54A09" w:rsidRPr="00EB3906" w:rsidRDefault="00B54A09" w:rsidP="00B54A09">
            <w:pPr>
              <w:pStyle w:val="Default"/>
              <w:rPr>
                <w:sz w:val="22"/>
                <w:szCs w:val="22"/>
              </w:rPr>
            </w:pPr>
            <w:r w:rsidRPr="00EB3906">
              <w:rPr>
                <w:sz w:val="22"/>
                <w:szCs w:val="22"/>
              </w:rPr>
              <w:t>(300</w:t>
            </w:r>
            <w:r w:rsidR="008659E0">
              <w:rPr>
                <w:sz w:val="22"/>
                <w:szCs w:val="22"/>
              </w:rPr>
              <w:t> </w:t>
            </w:r>
            <w:r w:rsidRPr="00EB3906">
              <w:rPr>
                <w:sz w:val="22"/>
                <w:szCs w:val="22"/>
              </w:rPr>
              <w:t>mg q.d. / 100</w:t>
            </w:r>
            <w:r w:rsidR="008659E0">
              <w:rPr>
                <w:sz w:val="22"/>
                <w:szCs w:val="22"/>
              </w:rPr>
              <w:t> </w:t>
            </w:r>
            <w:r w:rsidRPr="00EB3906">
              <w:rPr>
                <w:sz w:val="22"/>
                <w:szCs w:val="22"/>
              </w:rPr>
              <w:t>mg q.d.) +</w:t>
            </w:r>
          </w:p>
          <w:p w14:paraId="25177D0D" w14:textId="30FD6A74" w:rsidR="00B54A09" w:rsidRPr="00EB3906" w:rsidRDefault="00BA61CA" w:rsidP="00B54A09">
            <w:pPr>
              <w:pStyle w:val="Default"/>
              <w:rPr>
                <w:sz w:val="22"/>
                <w:szCs w:val="22"/>
              </w:rPr>
            </w:pPr>
            <w:r>
              <w:rPr>
                <w:sz w:val="22"/>
                <w:szCs w:val="22"/>
              </w:rPr>
              <w:t>E</w:t>
            </w:r>
            <w:r w:rsidR="00B54A09" w:rsidRPr="00EB3906">
              <w:rPr>
                <w:sz w:val="22"/>
                <w:szCs w:val="22"/>
              </w:rPr>
              <w:t xml:space="preserve">mtricitabinas / </w:t>
            </w:r>
            <w:r>
              <w:rPr>
                <w:sz w:val="22"/>
                <w:szCs w:val="22"/>
              </w:rPr>
              <w:t>T</w:t>
            </w:r>
            <w:r w:rsidR="00B54A09" w:rsidRPr="00EB3906">
              <w:rPr>
                <w:sz w:val="22"/>
                <w:szCs w:val="22"/>
              </w:rPr>
              <w:t>enofovir</w:t>
            </w:r>
            <w:r w:rsidR="0020625D">
              <w:rPr>
                <w:sz w:val="22"/>
                <w:szCs w:val="22"/>
              </w:rPr>
              <w:t>as</w:t>
            </w:r>
            <w:r w:rsidR="00B54A09" w:rsidRPr="00EB3906">
              <w:rPr>
                <w:sz w:val="22"/>
                <w:szCs w:val="22"/>
              </w:rPr>
              <w:t xml:space="preserve"> dizoproksili</w:t>
            </w:r>
            <w:r w:rsidR="0020625D">
              <w:rPr>
                <w:sz w:val="22"/>
                <w:szCs w:val="22"/>
              </w:rPr>
              <w:t>s</w:t>
            </w:r>
            <w:r>
              <w:rPr>
                <w:sz w:val="22"/>
                <w:szCs w:val="22"/>
              </w:rPr>
              <w:t xml:space="preserve"> </w:t>
            </w:r>
          </w:p>
          <w:p w14:paraId="11251280" w14:textId="04E9C28E" w:rsidR="00B54A09" w:rsidRPr="00EB3906" w:rsidRDefault="00B54A09" w:rsidP="00D400A8">
            <w:pPr>
              <w:pStyle w:val="Default"/>
              <w:rPr>
                <w:sz w:val="22"/>
                <w:szCs w:val="22"/>
              </w:rPr>
            </w:pPr>
            <w:r w:rsidRPr="00EB3906">
              <w:rPr>
                <w:sz w:val="22"/>
                <w:szCs w:val="22"/>
              </w:rPr>
              <w:t>(200</w:t>
            </w:r>
            <w:r w:rsidR="008659E0">
              <w:rPr>
                <w:sz w:val="22"/>
                <w:szCs w:val="22"/>
              </w:rPr>
              <w:t> </w:t>
            </w:r>
            <w:r w:rsidRPr="00EB3906">
              <w:rPr>
                <w:sz w:val="22"/>
                <w:szCs w:val="22"/>
              </w:rPr>
              <w:t>mg/</w:t>
            </w:r>
            <w:r w:rsidR="00D400A8">
              <w:rPr>
                <w:sz w:val="22"/>
                <w:szCs w:val="22"/>
              </w:rPr>
              <w:t>245 </w:t>
            </w:r>
            <w:r w:rsidRPr="00EB3906">
              <w:rPr>
                <w:sz w:val="22"/>
                <w:szCs w:val="22"/>
              </w:rPr>
              <w:t>mg q.d.)</w:t>
            </w:r>
            <w:r w:rsidRPr="00EB3906">
              <w:rPr>
                <w:b/>
                <w:sz w:val="22"/>
                <w:szCs w:val="22"/>
                <w:vertAlign w:val="superscript"/>
              </w:rPr>
              <w:t>1</w:t>
            </w:r>
          </w:p>
        </w:tc>
        <w:tc>
          <w:tcPr>
            <w:tcW w:w="3392" w:type="dxa"/>
            <w:gridSpan w:val="2"/>
            <w:shd w:val="clear" w:color="auto" w:fill="auto"/>
          </w:tcPr>
          <w:p w14:paraId="56436382" w14:textId="77777777" w:rsidR="00B54A09" w:rsidRPr="00EB3906" w:rsidRDefault="00B54A09" w:rsidP="00B54A09">
            <w:pPr>
              <w:pStyle w:val="Default"/>
              <w:rPr>
                <w:sz w:val="22"/>
                <w:szCs w:val="22"/>
              </w:rPr>
            </w:pPr>
            <w:r w:rsidRPr="00EB3906">
              <w:rPr>
                <w:sz w:val="22"/>
                <w:szCs w:val="22"/>
              </w:rPr>
              <w:t>Ledipasviras:</w:t>
            </w:r>
          </w:p>
          <w:p w14:paraId="724D561A" w14:textId="77777777" w:rsidR="00B54A09" w:rsidRPr="00EB3906" w:rsidRDefault="00B54A09" w:rsidP="00B54A09">
            <w:pPr>
              <w:pStyle w:val="Default"/>
              <w:rPr>
                <w:sz w:val="22"/>
                <w:szCs w:val="22"/>
              </w:rPr>
            </w:pPr>
            <w:r w:rsidRPr="00EB3906">
              <w:rPr>
                <w:sz w:val="22"/>
                <w:szCs w:val="22"/>
              </w:rPr>
              <w:t>AUC: ↑ 96</w:t>
            </w:r>
            <w:r w:rsidR="008659E0">
              <w:rPr>
                <w:sz w:val="22"/>
                <w:szCs w:val="22"/>
              </w:rPr>
              <w:t xml:space="preserve"> </w:t>
            </w:r>
            <w:r w:rsidRPr="00EB3906">
              <w:rPr>
                <w:sz w:val="22"/>
                <w:szCs w:val="22"/>
              </w:rPr>
              <w:t>%</w:t>
            </w:r>
          </w:p>
          <w:p w14:paraId="1BED2885"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 68</w:t>
            </w:r>
            <w:r w:rsidR="008659E0">
              <w:rPr>
                <w:sz w:val="22"/>
                <w:szCs w:val="22"/>
              </w:rPr>
              <w:t> </w:t>
            </w:r>
            <w:r w:rsidRPr="00EB3906">
              <w:rPr>
                <w:sz w:val="22"/>
                <w:szCs w:val="22"/>
              </w:rPr>
              <w:t>%</w:t>
            </w:r>
          </w:p>
          <w:p w14:paraId="74384091"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min</w:t>
            </w:r>
            <w:r w:rsidRPr="00EB3906">
              <w:rPr>
                <w:sz w:val="22"/>
                <w:szCs w:val="22"/>
              </w:rPr>
              <w:t>: ↑ 118</w:t>
            </w:r>
            <w:r w:rsidR="008659E0">
              <w:rPr>
                <w:sz w:val="22"/>
                <w:szCs w:val="22"/>
              </w:rPr>
              <w:t> </w:t>
            </w:r>
            <w:r w:rsidRPr="00EB3906">
              <w:rPr>
                <w:sz w:val="22"/>
                <w:szCs w:val="22"/>
              </w:rPr>
              <w:t>%</w:t>
            </w:r>
          </w:p>
          <w:p w14:paraId="2D11FB1B" w14:textId="77777777" w:rsidR="00B54A09" w:rsidRPr="00EB3906" w:rsidRDefault="00B54A09" w:rsidP="00B54A09">
            <w:pPr>
              <w:pStyle w:val="Default"/>
              <w:rPr>
                <w:sz w:val="22"/>
                <w:szCs w:val="22"/>
              </w:rPr>
            </w:pPr>
            <w:r w:rsidRPr="00EB3906">
              <w:rPr>
                <w:sz w:val="22"/>
                <w:szCs w:val="22"/>
              </w:rPr>
              <w:t>Sofosbuviras:</w:t>
            </w:r>
          </w:p>
          <w:p w14:paraId="25DAFB2D" w14:textId="77777777" w:rsidR="00B54A09" w:rsidRPr="00EB3906" w:rsidRDefault="00B54A09" w:rsidP="00B54A09">
            <w:pPr>
              <w:pStyle w:val="Default"/>
              <w:rPr>
                <w:sz w:val="22"/>
                <w:szCs w:val="22"/>
              </w:rPr>
            </w:pPr>
            <w:r w:rsidRPr="00EB3906">
              <w:rPr>
                <w:sz w:val="22"/>
                <w:szCs w:val="22"/>
              </w:rPr>
              <w:t>AUC: ↔</w:t>
            </w:r>
          </w:p>
          <w:p w14:paraId="5CE2A1F2"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7D6BAE62" w14:textId="77777777" w:rsidR="00B54A09" w:rsidRPr="00EB3906" w:rsidRDefault="00B54A09" w:rsidP="00B54A09">
            <w:pPr>
              <w:pStyle w:val="Default"/>
              <w:rPr>
                <w:sz w:val="22"/>
                <w:szCs w:val="22"/>
              </w:rPr>
            </w:pPr>
            <w:r w:rsidRPr="00EB3906">
              <w:rPr>
                <w:sz w:val="22"/>
                <w:szCs w:val="22"/>
              </w:rPr>
              <w:t>GS-331007</w:t>
            </w:r>
            <w:r w:rsidRPr="00EB3906">
              <w:rPr>
                <w:b/>
                <w:sz w:val="22"/>
                <w:szCs w:val="22"/>
                <w:vertAlign w:val="superscript"/>
              </w:rPr>
              <w:t>2</w:t>
            </w:r>
            <w:r w:rsidRPr="00EB3906">
              <w:rPr>
                <w:sz w:val="22"/>
                <w:szCs w:val="22"/>
              </w:rPr>
              <w:t>:</w:t>
            </w:r>
          </w:p>
          <w:p w14:paraId="270DCDE7" w14:textId="77777777" w:rsidR="00B54A09" w:rsidRPr="00EB3906" w:rsidRDefault="00B54A09" w:rsidP="00B54A09">
            <w:pPr>
              <w:pStyle w:val="Default"/>
              <w:rPr>
                <w:sz w:val="22"/>
                <w:szCs w:val="22"/>
              </w:rPr>
            </w:pPr>
            <w:r w:rsidRPr="00EB3906">
              <w:rPr>
                <w:sz w:val="22"/>
                <w:szCs w:val="22"/>
              </w:rPr>
              <w:t>AUC: ↔</w:t>
            </w:r>
          </w:p>
          <w:p w14:paraId="57A0EAC3"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535B1E7E"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min</w:t>
            </w:r>
            <w:r w:rsidRPr="00EB3906">
              <w:rPr>
                <w:sz w:val="22"/>
                <w:szCs w:val="22"/>
              </w:rPr>
              <w:t>: ↑ 42</w:t>
            </w:r>
            <w:r w:rsidR="008659E0">
              <w:rPr>
                <w:sz w:val="22"/>
                <w:szCs w:val="22"/>
              </w:rPr>
              <w:t> </w:t>
            </w:r>
            <w:r w:rsidRPr="00EB3906">
              <w:rPr>
                <w:sz w:val="22"/>
                <w:szCs w:val="22"/>
              </w:rPr>
              <w:t>%</w:t>
            </w:r>
          </w:p>
          <w:p w14:paraId="69ADB7F0" w14:textId="77777777" w:rsidR="00B54A09" w:rsidRPr="00EB3906" w:rsidRDefault="00B54A09" w:rsidP="00B54A09">
            <w:pPr>
              <w:pStyle w:val="Default"/>
              <w:rPr>
                <w:sz w:val="22"/>
                <w:szCs w:val="22"/>
              </w:rPr>
            </w:pPr>
            <w:r w:rsidRPr="00EB3906">
              <w:rPr>
                <w:sz w:val="22"/>
                <w:szCs w:val="22"/>
              </w:rPr>
              <w:t>Atazanaviras:</w:t>
            </w:r>
          </w:p>
          <w:p w14:paraId="48766F2B" w14:textId="77777777" w:rsidR="00B54A09" w:rsidRPr="00EB3906" w:rsidRDefault="00B54A09" w:rsidP="00B54A09">
            <w:pPr>
              <w:pStyle w:val="Default"/>
              <w:rPr>
                <w:sz w:val="22"/>
                <w:szCs w:val="22"/>
              </w:rPr>
            </w:pPr>
            <w:r w:rsidRPr="00EB3906">
              <w:rPr>
                <w:sz w:val="22"/>
                <w:szCs w:val="22"/>
              </w:rPr>
              <w:t>AUC: ↔</w:t>
            </w:r>
          </w:p>
          <w:p w14:paraId="02939D91"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74106817"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min</w:t>
            </w:r>
            <w:r w:rsidRPr="00EB3906">
              <w:rPr>
                <w:sz w:val="22"/>
                <w:szCs w:val="22"/>
              </w:rPr>
              <w:t>: ↑ 63</w:t>
            </w:r>
            <w:r w:rsidR="008659E0">
              <w:rPr>
                <w:sz w:val="22"/>
                <w:szCs w:val="22"/>
              </w:rPr>
              <w:t> </w:t>
            </w:r>
            <w:r w:rsidRPr="00EB3906">
              <w:rPr>
                <w:sz w:val="22"/>
                <w:szCs w:val="22"/>
              </w:rPr>
              <w:t>%</w:t>
            </w:r>
          </w:p>
          <w:p w14:paraId="34761ED6" w14:textId="77777777" w:rsidR="00B54A09" w:rsidRPr="00EB3906" w:rsidRDefault="00B54A09" w:rsidP="00B54A09">
            <w:pPr>
              <w:pStyle w:val="Default"/>
              <w:rPr>
                <w:sz w:val="22"/>
                <w:szCs w:val="22"/>
              </w:rPr>
            </w:pPr>
            <w:r w:rsidRPr="00EB3906">
              <w:rPr>
                <w:sz w:val="22"/>
                <w:szCs w:val="22"/>
              </w:rPr>
              <w:t>Ritonaviras:</w:t>
            </w:r>
          </w:p>
          <w:p w14:paraId="3289D87A" w14:textId="77777777" w:rsidR="00B54A09" w:rsidRPr="00EB3906" w:rsidRDefault="00B54A09" w:rsidP="00B54A09">
            <w:pPr>
              <w:pStyle w:val="Default"/>
              <w:rPr>
                <w:sz w:val="22"/>
                <w:szCs w:val="22"/>
              </w:rPr>
            </w:pPr>
            <w:r w:rsidRPr="00EB3906">
              <w:rPr>
                <w:sz w:val="22"/>
                <w:szCs w:val="22"/>
              </w:rPr>
              <w:t>AUC: ↔</w:t>
            </w:r>
          </w:p>
          <w:p w14:paraId="6D4286E6"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2C3E29CE"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min</w:t>
            </w:r>
            <w:r w:rsidRPr="00EB3906">
              <w:rPr>
                <w:sz w:val="22"/>
                <w:szCs w:val="22"/>
              </w:rPr>
              <w:t>: ↑ 45</w:t>
            </w:r>
            <w:r w:rsidR="008659E0">
              <w:rPr>
                <w:sz w:val="22"/>
                <w:szCs w:val="22"/>
              </w:rPr>
              <w:t> </w:t>
            </w:r>
            <w:r w:rsidRPr="00EB3906">
              <w:rPr>
                <w:sz w:val="22"/>
                <w:szCs w:val="22"/>
              </w:rPr>
              <w:t>%</w:t>
            </w:r>
          </w:p>
          <w:p w14:paraId="67D68E3D" w14:textId="77777777" w:rsidR="00B54A09" w:rsidRPr="00EB3906" w:rsidRDefault="00B54A09" w:rsidP="00B54A09">
            <w:pPr>
              <w:pStyle w:val="Default"/>
              <w:rPr>
                <w:sz w:val="22"/>
                <w:szCs w:val="22"/>
              </w:rPr>
            </w:pPr>
            <w:r w:rsidRPr="00EB3906">
              <w:rPr>
                <w:sz w:val="22"/>
                <w:szCs w:val="22"/>
              </w:rPr>
              <w:t>Emtricitabinas:</w:t>
            </w:r>
          </w:p>
          <w:p w14:paraId="2D1BA229" w14:textId="77777777" w:rsidR="00B54A09" w:rsidRPr="00EB3906" w:rsidRDefault="00B54A09" w:rsidP="00B54A09">
            <w:pPr>
              <w:pStyle w:val="Default"/>
              <w:rPr>
                <w:sz w:val="22"/>
                <w:szCs w:val="22"/>
              </w:rPr>
            </w:pPr>
            <w:r w:rsidRPr="00EB3906">
              <w:rPr>
                <w:sz w:val="22"/>
                <w:szCs w:val="22"/>
              </w:rPr>
              <w:t>AUC: ↔</w:t>
            </w:r>
          </w:p>
          <w:p w14:paraId="1828DD3B"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72BBEE35"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2EAE55ED" w14:textId="77777777" w:rsidR="00B54A09" w:rsidRPr="00EB3906" w:rsidRDefault="00B54A09" w:rsidP="00B54A09">
            <w:pPr>
              <w:pStyle w:val="Default"/>
              <w:rPr>
                <w:sz w:val="22"/>
                <w:szCs w:val="22"/>
              </w:rPr>
            </w:pPr>
            <w:r w:rsidRPr="00EB3906">
              <w:rPr>
                <w:sz w:val="22"/>
                <w:szCs w:val="22"/>
              </w:rPr>
              <w:t>Tenofoviras:</w:t>
            </w:r>
          </w:p>
          <w:p w14:paraId="71232383" w14:textId="77777777" w:rsidR="00B54A09" w:rsidRPr="00EB3906" w:rsidRDefault="00B54A09" w:rsidP="00B54A09">
            <w:pPr>
              <w:pStyle w:val="Default"/>
              <w:rPr>
                <w:sz w:val="22"/>
                <w:szCs w:val="22"/>
              </w:rPr>
            </w:pPr>
            <w:r w:rsidRPr="00EB3906">
              <w:rPr>
                <w:sz w:val="22"/>
                <w:szCs w:val="22"/>
              </w:rPr>
              <w:t>AUC: ↔</w:t>
            </w:r>
          </w:p>
          <w:p w14:paraId="6C163E31" w14:textId="77777777" w:rsidR="00B54A09" w:rsidRPr="00EB3906" w:rsidRDefault="00B54A09" w:rsidP="00B54A09">
            <w:pPr>
              <w:pStyle w:val="Default"/>
              <w:rPr>
                <w:sz w:val="22"/>
                <w:szCs w:val="22"/>
              </w:rPr>
            </w:pPr>
            <w:r w:rsidRPr="00EB3906">
              <w:rPr>
                <w:sz w:val="22"/>
                <w:szCs w:val="22"/>
              </w:rPr>
              <w:t>C</w:t>
            </w:r>
            <w:r w:rsidRPr="00EB3906">
              <w:rPr>
                <w:sz w:val="22"/>
                <w:szCs w:val="22"/>
                <w:vertAlign w:val="subscript"/>
              </w:rPr>
              <w:t>max</w:t>
            </w:r>
            <w:r w:rsidRPr="00EB3906">
              <w:rPr>
                <w:sz w:val="22"/>
                <w:szCs w:val="22"/>
              </w:rPr>
              <w:t>: ↑ 47</w:t>
            </w:r>
            <w:r w:rsidR="008659E0">
              <w:rPr>
                <w:sz w:val="22"/>
                <w:szCs w:val="22"/>
              </w:rPr>
              <w:t> </w:t>
            </w:r>
            <w:r w:rsidRPr="00EB3906">
              <w:rPr>
                <w:sz w:val="22"/>
                <w:szCs w:val="22"/>
              </w:rPr>
              <w:t>%</w:t>
            </w:r>
          </w:p>
          <w:p w14:paraId="2C5CC355" w14:textId="77777777" w:rsidR="00B54A09" w:rsidRPr="00EB3906" w:rsidRDefault="00B54A09" w:rsidP="008659E0">
            <w:pPr>
              <w:pStyle w:val="Default"/>
              <w:rPr>
                <w:sz w:val="22"/>
                <w:szCs w:val="22"/>
              </w:rPr>
            </w:pPr>
            <w:r w:rsidRPr="00EB3906">
              <w:rPr>
                <w:sz w:val="22"/>
                <w:szCs w:val="22"/>
              </w:rPr>
              <w:t>C</w:t>
            </w:r>
            <w:r w:rsidRPr="00EB3906">
              <w:rPr>
                <w:sz w:val="22"/>
                <w:szCs w:val="22"/>
                <w:vertAlign w:val="subscript"/>
              </w:rPr>
              <w:t>min</w:t>
            </w:r>
            <w:r w:rsidRPr="00EB3906">
              <w:rPr>
                <w:sz w:val="22"/>
                <w:szCs w:val="22"/>
              </w:rPr>
              <w:t>: ↑ 47</w:t>
            </w:r>
            <w:r w:rsidR="008659E0">
              <w:rPr>
                <w:sz w:val="22"/>
                <w:szCs w:val="22"/>
              </w:rPr>
              <w:t> </w:t>
            </w:r>
            <w:r w:rsidRPr="00EB3906">
              <w:rPr>
                <w:sz w:val="22"/>
                <w:szCs w:val="22"/>
              </w:rPr>
              <w:t>%</w:t>
            </w:r>
          </w:p>
        </w:tc>
        <w:tc>
          <w:tcPr>
            <w:tcW w:w="2799" w:type="dxa"/>
            <w:shd w:val="clear" w:color="auto" w:fill="auto"/>
          </w:tcPr>
          <w:p w14:paraId="7DBE4C26" w14:textId="16D96FF8" w:rsidR="00B54A09" w:rsidRPr="00EB3906" w:rsidRDefault="00B54A09" w:rsidP="00B54A09">
            <w:pPr>
              <w:pStyle w:val="Default"/>
              <w:rPr>
                <w:sz w:val="22"/>
                <w:szCs w:val="22"/>
              </w:rPr>
            </w:pPr>
            <w:r w:rsidRPr="00EB3906">
              <w:rPr>
                <w:sz w:val="22"/>
                <w:szCs w:val="22"/>
              </w:rPr>
              <w:t xml:space="preserve">Dėl tenofoviro dizoproksilio, ledipasviro / sofosbuviro ir atazanaviro / ritonaviro vartojimo kartu padidėjusi tenofoviro koncentracija </w:t>
            </w:r>
            <w:r w:rsidR="00E14B3D" w:rsidRPr="00EB3906">
              <w:rPr>
                <w:sz w:val="22"/>
                <w:szCs w:val="22"/>
              </w:rPr>
              <w:t xml:space="preserve">kraujo </w:t>
            </w:r>
            <w:r w:rsidRPr="00EB3906">
              <w:rPr>
                <w:sz w:val="22"/>
                <w:szCs w:val="22"/>
              </w:rPr>
              <w:t xml:space="preserve">plazmoje gali padidinti su </w:t>
            </w:r>
            <w:r w:rsidR="00D400A8" w:rsidRPr="00EB3906">
              <w:rPr>
                <w:sz w:val="22"/>
                <w:szCs w:val="22"/>
              </w:rPr>
              <w:t>tenofovir</w:t>
            </w:r>
            <w:r w:rsidR="00D400A8">
              <w:rPr>
                <w:sz w:val="22"/>
                <w:szCs w:val="22"/>
              </w:rPr>
              <w:t>u</w:t>
            </w:r>
            <w:r w:rsidR="00D400A8" w:rsidRPr="00EB3906">
              <w:rPr>
                <w:sz w:val="22"/>
                <w:szCs w:val="22"/>
              </w:rPr>
              <w:t xml:space="preserve"> </w:t>
            </w:r>
            <w:r w:rsidRPr="00EB3906">
              <w:rPr>
                <w:sz w:val="22"/>
                <w:szCs w:val="22"/>
              </w:rPr>
              <w:t>dizoproksili</w:t>
            </w:r>
            <w:r w:rsidR="000C2F9A">
              <w:rPr>
                <w:sz w:val="22"/>
                <w:szCs w:val="22"/>
              </w:rPr>
              <w:t>u</w:t>
            </w:r>
            <w:r w:rsidRPr="00EB3906">
              <w:rPr>
                <w:sz w:val="22"/>
                <w:szCs w:val="22"/>
              </w:rPr>
              <w:t xml:space="preserve"> susijusias nepageidaujamas reakcijas, įskaitant inkstų </w:t>
            </w:r>
            <w:r w:rsidR="00BA61CA">
              <w:rPr>
                <w:sz w:val="22"/>
                <w:szCs w:val="22"/>
              </w:rPr>
              <w:t xml:space="preserve">funkcijos </w:t>
            </w:r>
            <w:r w:rsidRPr="00EB3906">
              <w:rPr>
                <w:sz w:val="22"/>
                <w:szCs w:val="22"/>
              </w:rPr>
              <w:t>sutrikimus. Tenofoviro dizoproksilio saugumas vartojant kartu su ledipasviru / sofosbuviru ir farmakokinetiką stiprinančia medžiaga (pvz., ritonaviru arba kobicistatu) neištirtas.</w:t>
            </w:r>
          </w:p>
          <w:p w14:paraId="087C3775" w14:textId="7C4496EA" w:rsidR="00B54A09" w:rsidRPr="00EB3906" w:rsidRDefault="00B54A09" w:rsidP="00BA61CA">
            <w:pPr>
              <w:pStyle w:val="Default"/>
              <w:rPr>
                <w:sz w:val="22"/>
                <w:szCs w:val="22"/>
              </w:rPr>
            </w:pPr>
            <w:r w:rsidRPr="00EB3906">
              <w:rPr>
                <w:sz w:val="22"/>
                <w:szCs w:val="22"/>
              </w:rPr>
              <w:t xml:space="preserve">Jei kitų alternatyvų nėra, tokį derinį reikia vartoti atsargiai, dažnai tikrinant inkstų </w:t>
            </w:r>
            <w:r w:rsidR="00BA61CA">
              <w:rPr>
                <w:sz w:val="22"/>
                <w:szCs w:val="22"/>
              </w:rPr>
              <w:t xml:space="preserve">funkciją </w:t>
            </w:r>
            <w:r w:rsidRPr="00EB3906">
              <w:rPr>
                <w:sz w:val="22"/>
                <w:szCs w:val="22"/>
              </w:rPr>
              <w:t>(žr. 4.4 skyrių).</w:t>
            </w:r>
          </w:p>
        </w:tc>
      </w:tr>
      <w:tr w:rsidR="00B54A09" w:rsidRPr="00EB3906" w14:paraId="64BB549B" w14:textId="77777777" w:rsidTr="00EB3906">
        <w:tc>
          <w:tcPr>
            <w:tcW w:w="3095" w:type="dxa"/>
            <w:gridSpan w:val="2"/>
            <w:shd w:val="clear" w:color="auto" w:fill="auto"/>
          </w:tcPr>
          <w:p w14:paraId="59BE8518" w14:textId="6E5E7E46" w:rsidR="00E14B3D" w:rsidRPr="00EB3906" w:rsidRDefault="00E14B3D" w:rsidP="00E14B3D">
            <w:pPr>
              <w:pStyle w:val="Default"/>
              <w:rPr>
                <w:sz w:val="22"/>
                <w:szCs w:val="22"/>
              </w:rPr>
            </w:pPr>
            <w:r w:rsidRPr="00EB3906">
              <w:rPr>
                <w:sz w:val="22"/>
                <w:szCs w:val="22"/>
              </w:rPr>
              <w:t xml:space="preserve">Ledipasviras / </w:t>
            </w:r>
            <w:r w:rsidR="00BA61CA">
              <w:rPr>
                <w:sz w:val="22"/>
                <w:szCs w:val="22"/>
              </w:rPr>
              <w:t>S</w:t>
            </w:r>
            <w:r w:rsidRPr="00EB3906">
              <w:rPr>
                <w:sz w:val="22"/>
                <w:szCs w:val="22"/>
              </w:rPr>
              <w:t>ofosbuviras</w:t>
            </w:r>
          </w:p>
          <w:p w14:paraId="7D04D862" w14:textId="77777777" w:rsidR="00E14B3D" w:rsidRPr="00EB3906" w:rsidRDefault="00E14B3D" w:rsidP="00E14B3D">
            <w:pPr>
              <w:pStyle w:val="Default"/>
              <w:rPr>
                <w:sz w:val="22"/>
                <w:szCs w:val="22"/>
              </w:rPr>
            </w:pPr>
            <w:r w:rsidRPr="00EB3906">
              <w:rPr>
                <w:sz w:val="22"/>
                <w:szCs w:val="22"/>
              </w:rPr>
              <w:t>(90</w:t>
            </w:r>
            <w:r w:rsidR="008659E0">
              <w:rPr>
                <w:sz w:val="22"/>
                <w:szCs w:val="22"/>
              </w:rPr>
              <w:t> </w:t>
            </w:r>
            <w:r w:rsidRPr="00EB3906">
              <w:rPr>
                <w:sz w:val="22"/>
                <w:szCs w:val="22"/>
              </w:rPr>
              <w:t>mg / 400</w:t>
            </w:r>
            <w:r w:rsidR="008659E0">
              <w:rPr>
                <w:sz w:val="22"/>
                <w:szCs w:val="22"/>
              </w:rPr>
              <w:t> </w:t>
            </w:r>
            <w:r w:rsidRPr="00EB3906">
              <w:rPr>
                <w:sz w:val="22"/>
                <w:szCs w:val="22"/>
              </w:rPr>
              <w:t>mg q.d.) +</w:t>
            </w:r>
          </w:p>
          <w:p w14:paraId="3DEE32AB" w14:textId="5AF140ED" w:rsidR="00E14B3D" w:rsidRPr="00EB3906" w:rsidRDefault="00BA61CA" w:rsidP="00E14B3D">
            <w:pPr>
              <w:pStyle w:val="Default"/>
              <w:rPr>
                <w:sz w:val="22"/>
                <w:szCs w:val="22"/>
              </w:rPr>
            </w:pPr>
            <w:r>
              <w:rPr>
                <w:sz w:val="22"/>
                <w:szCs w:val="22"/>
              </w:rPr>
              <w:t>D</w:t>
            </w:r>
            <w:r w:rsidR="00E14B3D" w:rsidRPr="00EB3906">
              <w:rPr>
                <w:sz w:val="22"/>
                <w:szCs w:val="22"/>
              </w:rPr>
              <w:t xml:space="preserve">arunaviras / </w:t>
            </w:r>
            <w:r>
              <w:rPr>
                <w:sz w:val="22"/>
                <w:szCs w:val="22"/>
              </w:rPr>
              <w:t>R</w:t>
            </w:r>
            <w:r w:rsidR="00E14B3D" w:rsidRPr="00EB3906">
              <w:rPr>
                <w:sz w:val="22"/>
                <w:szCs w:val="22"/>
              </w:rPr>
              <w:t>itonaviras</w:t>
            </w:r>
          </w:p>
          <w:p w14:paraId="761AA8C1" w14:textId="77777777" w:rsidR="00E14B3D" w:rsidRPr="00EB3906" w:rsidRDefault="00E14B3D" w:rsidP="00E14B3D">
            <w:pPr>
              <w:pStyle w:val="Default"/>
              <w:rPr>
                <w:sz w:val="22"/>
                <w:szCs w:val="22"/>
              </w:rPr>
            </w:pPr>
            <w:r w:rsidRPr="00EB3906">
              <w:rPr>
                <w:sz w:val="22"/>
                <w:szCs w:val="22"/>
              </w:rPr>
              <w:t>(800</w:t>
            </w:r>
            <w:r w:rsidR="008659E0">
              <w:rPr>
                <w:sz w:val="22"/>
                <w:szCs w:val="22"/>
              </w:rPr>
              <w:t> </w:t>
            </w:r>
            <w:r w:rsidRPr="00EB3906">
              <w:rPr>
                <w:sz w:val="22"/>
                <w:szCs w:val="22"/>
              </w:rPr>
              <w:t>mg q.d. / 100</w:t>
            </w:r>
            <w:r w:rsidR="008659E0">
              <w:rPr>
                <w:sz w:val="22"/>
                <w:szCs w:val="22"/>
              </w:rPr>
              <w:t> </w:t>
            </w:r>
            <w:r w:rsidRPr="00EB3906">
              <w:rPr>
                <w:sz w:val="22"/>
                <w:szCs w:val="22"/>
              </w:rPr>
              <w:t>mg q.d.) +</w:t>
            </w:r>
          </w:p>
          <w:p w14:paraId="77C8DDC2" w14:textId="2D3D1BAC" w:rsidR="00E14B3D" w:rsidRPr="00EB3906" w:rsidRDefault="00BA61CA" w:rsidP="00E14B3D">
            <w:pPr>
              <w:pStyle w:val="Default"/>
              <w:rPr>
                <w:sz w:val="22"/>
                <w:szCs w:val="22"/>
              </w:rPr>
            </w:pPr>
            <w:r>
              <w:rPr>
                <w:sz w:val="22"/>
                <w:szCs w:val="22"/>
              </w:rPr>
              <w:t>E</w:t>
            </w:r>
            <w:r w:rsidR="00E14B3D" w:rsidRPr="00EB3906">
              <w:rPr>
                <w:sz w:val="22"/>
                <w:szCs w:val="22"/>
              </w:rPr>
              <w:t>mtricita</w:t>
            </w:r>
            <w:r w:rsidR="00E17725">
              <w:rPr>
                <w:sz w:val="22"/>
                <w:szCs w:val="22"/>
              </w:rPr>
              <w:t xml:space="preserve">binas / </w:t>
            </w:r>
            <w:r w:rsidR="00D400A8">
              <w:rPr>
                <w:sz w:val="22"/>
                <w:szCs w:val="22"/>
              </w:rPr>
              <w:t xml:space="preserve">Tenofoviras </w:t>
            </w:r>
            <w:r w:rsidR="00E17725">
              <w:rPr>
                <w:sz w:val="22"/>
                <w:szCs w:val="22"/>
              </w:rPr>
              <w:t>dizoproksili</w:t>
            </w:r>
            <w:r w:rsidR="00D400A8">
              <w:rPr>
                <w:sz w:val="22"/>
                <w:szCs w:val="22"/>
              </w:rPr>
              <w:t>s</w:t>
            </w:r>
          </w:p>
          <w:p w14:paraId="6FF0602C" w14:textId="1C5B4F2F" w:rsidR="00B54A09" w:rsidRPr="00EB3906" w:rsidRDefault="00E14B3D" w:rsidP="00D400A8">
            <w:pPr>
              <w:pStyle w:val="Default"/>
              <w:rPr>
                <w:sz w:val="22"/>
                <w:szCs w:val="22"/>
              </w:rPr>
            </w:pPr>
            <w:r w:rsidRPr="00EB3906">
              <w:rPr>
                <w:sz w:val="22"/>
                <w:szCs w:val="22"/>
              </w:rPr>
              <w:t>(200</w:t>
            </w:r>
            <w:r w:rsidR="008659E0">
              <w:rPr>
                <w:sz w:val="22"/>
                <w:szCs w:val="22"/>
              </w:rPr>
              <w:t> </w:t>
            </w:r>
            <w:r w:rsidRPr="00EB3906">
              <w:rPr>
                <w:sz w:val="22"/>
                <w:szCs w:val="22"/>
              </w:rPr>
              <w:t>mg/</w:t>
            </w:r>
            <w:r w:rsidR="00D400A8">
              <w:rPr>
                <w:sz w:val="22"/>
                <w:szCs w:val="22"/>
              </w:rPr>
              <w:t>245 </w:t>
            </w:r>
            <w:r w:rsidRPr="00EB3906">
              <w:rPr>
                <w:sz w:val="22"/>
                <w:szCs w:val="22"/>
              </w:rPr>
              <w:t>mg q.d.)</w:t>
            </w:r>
            <w:r w:rsidRPr="00EB3906">
              <w:rPr>
                <w:b/>
                <w:sz w:val="22"/>
                <w:szCs w:val="22"/>
                <w:vertAlign w:val="superscript"/>
              </w:rPr>
              <w:t>1</w:t>
            </w:r>
          </w:p>
        </w:tc>
        <w:tc>
          <w:tcPr>
            <w:tcW w:w="3392" w:type="dxa"/>
            <w:gridSpan w:val="2"/>
            <w:shd w:val="clear" w:color="auto" w:fill="auto"/>
          </w:tcPr>
          <w:p w14:paraId="73A66C32" w14:textId="77777777" w:rsidR="00E14B3D" w:rsidRPr="00EB3906" w:rsidRDefault="00E14B3D" w:rsidP="00E14B3D">
            <w:pPr>
              <w:pStyle w:val="Default"/>
              <w:rPr>
                <w:sz w:val="22"/>
                <w:szCs w:val="22"/>
              </w:rPr>
            </w:pPr>
            <w:r w:rsidRPr="00EB3906">
              <w:rPr>
                <w:sz w:val="22"/>
                <w:szCs w:val="22"/>
              </w:rPr>
              <w:t>Ledipasviras:</w:t>
            </w:r>
          </w:p>
          <w:p w14:paraId="5291AFE0" w14:textId="77777777" w:rsidR="00E14B3D" w:rsidRPr="00EB3906" w:rsidRDefault="00E14B3D" w:rsidP="00E14B3D">
            <w:pPr>
              <w:pStyle w:val="Default"/>
              <w:rPr>
                <w:sz w:val="22"/>
                <w:szCs w:val="22"/>
              </w:rPr>
            </w:pPr>
            <w:r w:rsidRPr="00EB3906">
              <w:rPr>
                <w:sz w:val="22"/>
                <w:szCs w:val="22"/>
              </w:rPr>
              <w:t>AUC: ↔</w:t>
            </w:r>
          </w:p>
          <w:p w14:paraId="3A150C00"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547A3DDB"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70A3DCF0" w14:textId="77777777" w:rsidR="00E14B3D" w:rsidRPr="00EB3906" w:rsidRDefault="00E14B3D" w:rsidP="00E14B3D">
            <w:pPr>
              <w:pStyle w:val="Default"/>
              <w:rPr>
                <w:sz w:val="22"/>
                <w:szCs w:val="22"/>
              </w:rPr>
            </w:pPr>
            <w:r w:rsidRPr="00EB3906">
              <w:rPr>
                <w:sz w:val="22"/>
                <w:szCs w:val="22"/>
              </w:rPr>
              <w:t>Sofosbuviras:</w:t>
            </w:r>
          </w:p>
          <w:p w14:paraId="595FCFFB" w14:textId="77777777" w:rsidR="00E14B3D" w:rsidRPr="00EB3906" w:rsidRDefault="00E14B3D" w:rsidP="00E14B3D">
            <w:pPr>
              <w:pStyle w:val="Default"/>
              <w:rPr>
                <w:sz w:val="22"/>
                <w:szCs w:val="22"/>
              </w:rPr>
            </w:pPr>
            <w:r w:rsidRPr="00EB3906">
              <w:rPr>
                <w:sz w:val="22"/>
                <w:szCs w:val="22"/>
              </w:rPr>
              <w:t>AUC: ↓ 27</w:t>
            </w:r>
            <w:r w:rsidR="008659E0">
              <w:rPr>
                <w:sz w:val="22"/>
                <w:szCs w:val="22"/>
              </w:rPr>
              <w:t> </w:t>
            </w:r>
            <w:r w:rsidRPr="00EB3906">
              <w:rPr>
                <w:sz w:val="22"/>
                <w:szCs w:val="22"/>
              </w:rPr>
              <w:t>%</w:t>
            </w:r>
          </w:p>
          <w:p w14:paraId="4BBAC67F"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37</w:t>
            </w:r>
            <w:r w:rsidR="008659E0">
              <w:rPr>
                <w:sz w:val="22"/>
                <w:szCs w:val="22"/>
              </w:rPr>
              <w:t> </w:t>
            </w:r>
            <w:r w:rsidRPr="00EB3906">
              <w:rPr>
                <w:sz w:val="22"/>
                <w:szCs w:val="22"/>
              </w:rPr>
              <w:t>%</w:t>
            </w:r>
          </w:p>
          <w:p w14:paraId="575DC8B5" w14:textId="77777777" w:rsidR="00E14B3D" w:rsidRPr="00EB3906" w:rsidRDefault="00E14B3D" w:rsidP="00E14B3D">
            <w:pPr>
              <w:pStyle w:val="Default"/>
              <w:rPr>
                <w:sz w:val="22"/>
                <w:szCs w:val="22"/>
              </w:rPr>
            </w:pPr>
            <w:r w:rsidRPr="00EB3906">
              <w:rPr>
                <w:sz w:val="22"/>
                <w:szCs w:val="22"/>
              </w:rPr>
              <w:t>GS-331007</w:t>
            </w:r>
            <w:r w:rsidRPr="00EB3906">
              <w:rPr>
                <w:b/>
                <w:sz w:val="22"/>
                <w:szCs w:val="22"/>
                <w:vertAlign w:val="superscript"/>
              </w:rPr>
              <w:t>2</w:t>
            </w:r>
            <w:r w:rsidRPr="00EB3906">
              <w:rPr>
                <w:sz w:val="22"/>
                <w:szCs w:val="22"/>
              </w:rPr>
              <w:t>:</w:t>
            </w:r>
          </w:p>
          <w:p w14:paraId="43E9A809" w14:textId="77777777" w:rsidR="00E14B3D" w:rsidRPr="00EB3906" w:rsidRDefault="00E14B3D" w:rsidP="00E14B3D">
            <w:pPr>
              <w:pStyle w:val="Default"/>
              <w:rPr>
                <w:sz w:val="22"/>
                <w:szCs w:val="22"/>
              </w:rPr>
            </w:pPr>
            <w:r w:rsidRPr="00EB3906">
              <w:rPr>
                <w:sz w:val="22"/>
                <w:szCs w:val="22"/>
              </w:rPr>
              <w:t>AUC: ↔</w:t>
            </w:r>
          </w:p>
          <w:p w14:paraId="75E04AC4"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38A137D1"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1BE71516" w14:textId="77777777" w:rsidR="00E14B3D" w:rsidRPr="00EB3906" w:rsidRDefault="00E14B3D" w:rsidP="00E14B3D">
            <w:pPr>
              <w:pStyle w:val="Default"/>
              <w:rPr>
                <w:sz w:val="22"/>
                <w:szCs w:val="22"/>
              </w:rPr>
            </w:pPr>
            <w:r w:rsidRPr="00EB3906">
              <w:rPr>
                <w:sz w:val="22"/>
                <w:szCs w:val="22"/>
              </w:rPr>
              <w:t>Darunaviras:</w:t>
            </w:r>
          </w:p>
          <w:p w14:paraId="0B209D66" w14:textId="77777777" w:rsidR="00E14B3D" w:rsidRPr="00EB3906" w:rsidRDefault="00E14B3D" w:rsidP="00E14B3D">
            <w:pPr>
              <w:pStyle w:val="Default"/>
              <w:rPr>
                <w:sz w:val="22"/>
                <w:szCs w:val="22"/>
              </w:rPr>
            </w:pPr>
            <w:r w:rsidRPr="00EB3906">
              <w:rPr>
                <w:sz w:val="22"/>
                <w:szCs w:val="22"/>
              </w:rPr>
              <w:t>AUC: ↔</w:t>
            </w:r>
          </w:p>
          <w:p w14:paraId="7D431291"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112C2D94"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66DD45A1" w14:textId="77777777" w:rsidR="00E14B3D" w:rsidRPr="00EB3906" w:rsidRDefault="00E14B3D" w:rsidP="00E14B3D">
            <w:pPr>
              <w:pStyle w:val="Default"/>
              <w:rPr>
                <w:sz w:val="22"/>
                <w:szCs w:val="22"/>
              </w:rPr>
            </w:pPr>
            <w:r w:rsidRPr="00EB3906">
              <w:rPr>
                <w:sz w:val="22"/>
                <w:szCs w:val="22"/>
              </w:rPr>
              <w:t>Ritonaviras:</w:t>
            </w:r>
          </w:p>
          <w:p w14:paraId="51C51A89" w14:textId="77777777" w:rsidR="00E14B3D" w:rsidRPr="00EB3906" w:rsidRDefault="00E14B3D" w:rsidP="00E14B3D">
            <w:pPr>
              <w:pStyle w:val="Default"/>
              <w:rPr>
                <w:sz w:val="22"/>
                <w:szCs w:val="22"/>
              </w:rPr>
            </w:pPr>
            <w:r w:rsidRPr="00EB3906">
              <w:rPr>
                <w:sz w:val="22"/>
                <w:szCs w:val="22"/>
              </w:rPr>
              <w:lastRenderedPageBreak/>
              <w:t>AUC: ↔</w:t>
            </w:r>
          </w:p>
          <w:p w14:paraId="1197ECF0"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0C696DA3" w14:textId="77777777" w:rsidR="00B54A09"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 48</w:t>
            </w:r>
            <w:r w:rsidR="008659E0">
              <w:rPr>
                <w:sz w:val="22"/>
                <w:szCs w:val="22"/>
              </w:rPr>
              <w:t> </w:t>
            </w:r>
            <w:r w:rsidRPr="00EB3906">
              <w:rPr>
                <w:sz w:val="22"/>
                <w:szCs w:val="22"/>
              </w:rPr>
              <w:t>%</w:t>
            </w:r>
          </w:p>
          <w:p w14:paraId="439FAD67" w14:textId="77777777" w:rsidR="00E14B3D" w:rsidRPr="00EB3906" w:rsidRDefault="00E14B3D" w:rsidP="00E14B3D">
            <w:pPr>
              <w:pStyle w:val="Default"/>
              <w:rPr>
                <w:sz w:val="22"/>
                <w:szCs w:val="22"/>
              </w:rPr>
            </w:pPr>
            <w:r w:rsidRPr="00EB3906">
              <w:rPr>
                <w:sz w:val="22"/>
                <w:szCs w:val="22"/>
              </w:rPr>
              <w:t>Emtricitabinas:</w:t>
            </w:r>
          </w:p>
          <w:p w14:paraId="5FCC222E" w14:textId="77777777" w:rsidR="00E14B3D" w:rsidRPr="00EB3906" w:rsidRDefault="00E14B3D" w:rsidP="00E14B3D">
            <w:pPr>
              <w:pStyle w:val="Default"/>
              <w:rPr>
                <w:sz w:val="22"/>
                <w:szCs w:val="22"/>
              </w:rPr>
            </w:pPr>
            <w:r w:rsidRPr="00EB3906">
              <w:rPr>
                <w:sz w:val="22"/>
                <w:szCs w:val="22"/>
              </w:rPr>
              <w:t>AUC: ↔</w:t>
            </w:r>
          </w:p>
          <w:p w14:paraId="35482FC7" w14:textId="77777777" w:rsidR="00E14B3D" w:rsidRPr="00EB3906" w:rsidRDefault="00E14B3D" w:rsidP="00E14B3D">
            <w:pPr>
              <w:pStyle w:val="Default"/>
              <w:rPr>
                <w:sz w:val="22"/>
                <w:szCs w:val="22"/>
              </w:rPr>
            </w:pPr>
            <w:r w:rsidRPr="00EB3906">
              <w:rPr>
                <w:sz w:val="22"/>
                <w:szCs w:val="22"/>
              </w:rPr>
              <w:t>Cmax: ↔</w:t>
            </w:r>
          </w:p>
          <w:p w14:paraId="2D5DC2CE"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010726B1" w14:textId="77777777" w:rsidR="00E14B3D" w:rsidRPr="00EB3906" w:rsidRDefault="00E14B3D" w:rsidP="00E14B3D">
            <w:pPr>
              <w:pStyle w:val="Default"/>
              <w:rPr>
                <w:sz w:val="22"/>
                <w:szCs w:val="22"/>
              </w:rPr>
            </w:pPr>
            <w:r w:rsidRPr="00EB3906">
              <w:rPr>
                <w:sz w:val="22"/>
                <w:szCs w:val="22"/>
              </w:rPr>
              <w:t>Tenofoviras:</w:t>
            </w:r>
          </w:p>
          <w:p w14:paraId="0A63FD37" w14:textId="77777777" w:rsidR="00E14B3D" w:rsidRPr="00EB3906" w:rsidRDefault="00E14B3D" w:rsidP="00E14B3D">
            <w:pPr>
              <w:pStyle w:val="Default"/>
              <w:rPr>
                <w:sz w:val="22"/>
                <w:szCs w:val="22"/>
              </w:rPr>
            </w:pPr>
            <w:r w:rsidRPr="00EB3906">
              <w:rPr>
                <w:sz w:val="22"/>
                <w:szCs w:val="22"/>
              </w:rPr>
              <w:t>AUC: ↑ 50</w:t>
            </w:r>
            <w:r w:rsidR="008659E0">
              <w:rPr>
                <w:sz w:val="22"/>
                <w:szCs w:val="22"/>
              </w:rPr>
              <w:t> </w:t>
            </w:r>
            <w:r w:rsidRPr="00EB3906">
              <w:rPr>
                <w:sz w:val="22"/>
                <w:szCs w:val="22"/>
              </w:rPr>
              <w:t>%</w:t>
            </w:r>
          </w:p>
          <w:p w14:paraId="38F5E134"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64</w:t>
            </w:r>
            <w:r w:rsidR="008659E0">
              <w:rPr>
                <w:sz w:val="22"/>
                <w:szCs w:val="22"/>
              </w:rPr>
              <w:t> </w:t>
            </w:r>
            <w:r w:rsidRPr="00EB3906">
              <w:rPr>
                <w:sz w:val="22"/>
                <w:szCs w:val="22"/>
              </w:rPr>
              <w:t>%</w:t>
            </w:r>
          </w:p>
          <w:p w14:paraId="4BCD4C0A" w14:textId="77777777" w:rsidR="00E14B3D" w:rsidRPr="00EB3906" w:rsidRDefault="00E14B3D" w:rsidP="008659E0">
            <w:pPr>
              <w:pStyle w:val="Default"/>
              <w:rPr>
                <w:sz w:val="22"/>
                <w:szCs w:val="22"/>
              </w:rPr>
            </w:pPr>
            <w:r w:rsidRPr="00EB3906">
              <w:rPr>
                <w:sz w:val="22"/>
                <w:szCs w:val="22"/>
              </w:rPr>
              <w:t>C</w:t>
            </w:r>
            <w:r w:rsidRPr="00EB3906">
              <w:rPr>
                <w:sz w:val="22"/>
                <w:szCs w:val="22"/>
                <w:vertAlign w:val="subscript"/>
              </w:rPr>
              <w:t>min</w:t>
            </w:r>
            <w:r w:rsidRPr="00EB3906">
              <w:rPr>
                <w:sz w:val="22"/>
                <w:szCs w:val="22"/>
              </w:rPr>
              <w:t>: ↑ 59</w:t>
            </w:r>
            <w:r w:rsidR="008659E0">
              <w:rPr>
                <w:sz w:val="22"/>
                <w:szCs w:val="22"/>
              </w:rPr>
              <w:t> </w:t>
            </w:r>
            <w:r w:rsidRPr="00EB3906">
              <w:rPr>
                <w:sz w:val="22"/>
                <w:szCs w:val="22"/>
              </w:rPr>
              <w:t>%</w:t>
            </w:r>
          </w:p>
        </w:tc>
        <w:tc>
          <w:tcPr>
            <w:tcW w:w="2799" w:type="dxa"/>
            <w:shd w:val="clear" w:color="auto" w:fill="auto"/>
          </w:tcPr>
          <w:p w14:paraId="1DEAEA03" w14:textId="75F96C4D" w:rsidR="00E14B3D" w:rsidRPr="00EB3906" w:rsidRDefault="00E14B3D" w:rsidP="00E14B3D">
            <w:pPr>
              <w:pStyle w:val="Default"/>
              <w:rPr>
                <w:sz w:val="22"/>
                <w:szCs w:val="22"/>
              </w:rPr>
            </w:pPr>
            <w:r w:rsidRPr="00EB3906">
              <w:rPr>
                <w:sz w:val="22"/>
                <w:szCs w:val="22"/>
              </w:rPr>
              <w:lastRenderedPageBreak/>
              <w:t xml:space="preserve">Dėl tenofoviro dizoproksilio, ledipasviro / sofosbuviro ir darunaviro / ritonaviro vartojimo kartu padidėjusi tenofoviro koncentracija </w:t>
            </w:r>
            <w:r w:rsidR="000C2F9A">
              <w:rPr>
                <w:sz w:val="22"/>
                <w:szCs w:val="22"/>
              </w:rPr>
              <w:t xml:space="preserve">kraujo </w:t>
            </w:r>
            <w:r w:rsidRPr="00EB3906">
              <w:rPr>
                <w:sz w:val="22"/>
                <w:szCs w:val="22"/>
              </w:rPr>
              <w:t xml:space="preserve">plazmoje gali padidinti su </w:t>
            </w:r>
            <w:r w:rsidR="00D400A8" w:rsidRPr="00EB3906">
              <w:rPr>
                <w:sz w:val="22"/>
                <w:szCs w:val="22"/>
              </w:rPr>
              <w:t>tenofovir</w:t>
            </w:r>
            <w:r w:rsidR="00D400A8">
              <w:rPr>
                <w:sz w:val="22"/>
                <w:szCs w:val="22"/>
              </w:rPr>
              <w:t>u</w:t>
            </w:r>
            <w:r w:rsidR="00D400A8" w:rsidRPr="00EB3906">
              <w:rPr>
                <w:sz w:val="22"/>
                <w:szCs w:val="22"/>
              </w:rPr>
              <w:t xml:space="preserve"> </w:t>
            </w:r>
            <w:r w:rsidRPr="00EB3906">
              <w:rPr>
                <w:sz w:val="22"/>
                <w:szCs w:val="22"/>
              </w:rPr>
              <w:t>dizoproksili</w:t>
            </w:r>
            <w:r w:rsidR="000C2F9A">
              <w:rPr>
                <w:sz w:val="22"/>
                <w:szCs w:val="22"/>
              </w:rPr>
              <w:t>u</w:t>
            </w:r>
            <w:r w:rsidRPr="00EB3906">
              <w:rPr>
                <w:sz w:val="22"/>
                <w:szCs w:val="22"/>
              </w:rPr>
              <w:t xml:space="preserve"> susijusias nepageidaujamas reakcijas, įskaitant inkstų </w:t>
            </w:r>
            <w:r w:rsidR="000C2F9A">
              <w:rPr>
                <w:sz w:val="22"/>
                <w:szCs w:val="22"/>
              </w:rPr>
              <w:t xml:space="preserve">funkcijos </w:t>
            </w:r>
            <w:r w:rsidRPr="00EB3906">
              <w:rPr>
                <w:sz w:val="22"/>
                <w:szCs w:val="22"/>
              </w:rPr>
              <w:t xml:space="preserve">sutrikimus. Tenofoviro dizoproksilio saugumas vartojant kartu su ledipasviru / sofosbuviru ir farmakokinetiką stiprinančia </w:t>
            </w:r>
            <w:r w:rsidRPr="00EB3906">
              <w:rPr>
                <w:sz w:val="22"/>
                <w:szCs w:val="22"/>
              </w:rPr>
              <w:lastRenderedPageBreak/>
              <w:t>medžiaga (pvz., ritonaviru arba kobicistatu) neištirtas.</w:t>
            </w:r>
          </w:p>
          <w:p w14:paraId="5820286A" w14:textId="77777777" w:rsidR="00B54A09" w:rsidRPr="00EB3906" w:rsidRDefault="00E14B3D" w:rsidP="00E14B3D">
            <w:pPr>
              <w:pStyle w:val="Default"/>
              <w:rPr>
                <w:sz w:val="22"/>
                <w:szCs w:val="22"/>
              </w:rPr>
            </w:pPr>
            <w:r w:rsidRPr="00EB3906">
              <w:rPr>
                <w:sz w:val="22"/>
                <w:szCs w:val="22"/>
              </w:rPr>
              <w:t>Jei kitų alternatyvų nėra, tokį derinį reikia vartoti atsargiai, dažnai tikrinant inkstų veiklą (žr. 4.4 skyrių).</w:t>
            </w:r>
          </w:p>
        </w:tc>
      </w:tr>
      <w:tr w:rsidR="00B54A09" w:rsidRPr="00EB3906" w14:paraId="2B3EE238" w14:textId="77777777" w:rsidTr="00EB3906">
        <w:tc>
          <w:tcPr>
            <w:tcW w:w="3095" w:type="dxa"/>
            <w:gridSpan w:val="2"/>
            <w:shd w:val="clear" w:color="auto" w:fill="auto"/>
          </w:tcPr>
          <w:p w14:paraId="01A99FF2" w14:textId="44D13B09" w:rsidR="00E14B3D" w:rsidRPr="00EB3906" w:rsidRDefault="00E14B3D" w:rsidP="00E14B3D">
            <w:pPr>
              <w:pStyle w:val="Default"/>
              <w:rPr>
                <w:sz w:val="22"/>
                <w:szCs w:val="22"/>
              </w:rPr>
            </w:pPr>
            <w:r w:rsidRPr="00EB3906">
              <w:rPr>
                <w:sz w:val="22"/>
                <w:szCs w:val="22"/>
              </w:rPr>
              <w:lastRenderedPageBreak/>
              <w:t xml:space="preserve">Ledipasviras / </w:t>
            </w:r>
            <w:r w:rsidR="00BA61CA">
              <w:rPr>
                <w:sz w:val="22"/>
                <w:szCs w:val="22"/>
              </w:rPr>
              <w:t>S</w:t>
            </w:r>
            <w:r w:rsidRPr="00EB3906">
              <w:rPr>
                <w:sz w:val="22"/>
                <w:szCs w:val="22"/>
              </w:rPr>
              <w:t>ofosbuviras</w:t>
            </w:r>
          </w:p>
          <w:p w14:paraId="6369AE06" w14:textId="77777777" w:rsidR="00E14B3D" w:rsidRPr="00EB3906" w:rsidRDefault="00E14B3D" w:rsidP="00E14B3D">
            <w:pPr>
              <w:pStyle w:val="Default"/>
              <w:rPr>
                <w:sz w:val="22"/>
                <w:szCs w:val="22"/>
              </w:rPr>
            </w:pPr>
            <w:r w:rsidRPr="00EB3906">
              <w:rPr>
                <w:sz w:val="22"/>
                <w:szCs w:val="22"/>
              </w:rPr>
              <w:t>(90</w:t>
            </w:r>
            <w:r w:rsidR="00DA79BF">
              <w:rPr>
                <w:sz w:val="22"/>
                <w:szCs w:val="22"/>
              </w:rPr>
              <w:t> </w:t>
            </w:r>
            <w:r w:rsidRPr="00EB3906">
              <w:rPr>
                <w:sz w:val="22"/>
                <w:szCs w:val="22"/>
              </w:rPr>
              <w:t>mg / 400</w:t>
            </w:r>
            <w:r w:rsidR="00DA79BF">
              <w:rPr>
                <w:sz w:val="22"/>
                <w:szCs w:val="22"/>
              </w:rPr>
              <w:t> </w:t>
            </w:r>
            <w:r w:rsidRPr="00EB3906">
              <w:rPr>
                <w:sz w:val="22"/>
                <w:szCs w:val="22"/>
              </w:rPr>
              <w:t>mg q.d.) +</w:t>
            </w:r>
          </w:p>
          <w:p w14:paraId="68461556" w14:textId="2DD1B9EE" w:rsidR="00E14B3D" w:rsidRPr="00EB3906" w:rsidRDefault="00BA61CA" w:rsidP="00E14B3D">
            <w:pPr>
              <w:pStyle w:val="Default"/>
              <w:rPr>
                <w:sz w:val="22"/>
                <w:szCs w:val="22"/>
              </w:rPr>
            </w:pPr>
            <w:r>
              <w:rPr>
                <w:sz w:val="22"/>
                <w:szCs w:val="22"/>
              </w:rPr>
              <w:t>Efavirenzas/E</w:t>
            </w:r>
            <w:r w:rsidR="00E14B3D" w:rsidRPr="00EB3906">
              <w:rPr>
                <w:sz w:val="22"/>
                <w:szCs w:val="22"/>
              </w:rPr>
              <w:t xml:space="preserve">mtricitabinas / </w:t>
            </w:r>
            <w:r w:rsidR="00D400A8">
              <w:rPr>
                <w:sz w:val="22"/>
                <w:szCs w:val="22"/>
              </w:rPr>
              <w:t xml:space="preserve">Tenofoviras dizoproksilis </w:t>
            </w:r>
          </w:p>
          <w:p w14:paraId="63AD84E4" w14:textId="61D69ED9" w:rsidR="00B54A09" w:rsidRPr="00EB3906" w:rsidRDefault="00E14B3D" w:rsidP="00D400A8">
            <w:pPr>
              <w:pStyle w:val="Default"/>
              <w:rPr>
                <w:sz w:val="22"/>
                <w:szCs w:val="22"/>
              </w:rPr>
            </w:pPr>
            <w:r w:rsidRPr="00EB3906">
              <w:rPr>
                <w:sz w:val="22"/>
                <w:szCs w:val="22"/>
              </w:rPr>
              <w:t>(600</w:t>
            </w:r>
            <w:r w:rsidR="00DA79BF">
              <w:rPr>
                <w:sz w:val="22"/>
                <w:szCs w:val="22"/>
              </w:rPr>
              <w:t> </w:t>
            </w:r>
            <w:r w:rsidRPr="00EB3906">
              <w:rPr>
                <w:sz w:val="22"/>
                <w:szCs w:val="22"/>
              </w:rPr>
              <w:t>mg / 200</w:t>
            </w:r>
            <w:r w:rsidR="00DA79BF">
              <w:rPr>
                <w:sz w:val="22"/>
                <w:szCs w:val="22"/>
              </w:rPr>
              <w:t> </w:t>
            </w:r>
            <w:r w:rsidRPr="00EB3906">
              <w:rPr>
                <w:sz w:val="22"/>
                <w:szCs w:val="22"/>
              </w:rPr>
              <w:t xml:space="preserve">mg / </w:t>
            </w:r>
            <w:r w:rsidR="00D400A8">
              <w:rPr>
                <w:sz w:val="22"/>
                <w:szCs w:val="22"/>
              </w:rPr>
              <w:t>245 </w:t>
            </w:r>
            <w:r w:rsidRPr="00EB3906">
              <w:rPr>
                <w:sz w:val="22"/>
                <w:szCs w:val="22"/>
              </w:rPr>
              <w:t>mg q.d.)</w:t>
            </w:r>
          </w:p>
        </w:tc>
        <w:tc>
          <w:tcPr>
            <w:tcW w:w="3392" w:type="dxa"/>
            <w:gridSpan w:val="2"/>
            <w:shd w:val="clear" w:color="auto" w:fill="auto"/>
          </w:tcPr>
          <w:p w14:paraId="12D01A50" w14:textId="77777777" w:rsidR="00E14B3D" w:rsidRPr="00EB3906" w:rsidRDefault="00E14B3D" w:rsidP="00E14B3D">
            <w:pPr>
              <w:pStyle w:val="Default"/>
              <w:rPr>
                <w:sz w:val="22"/>
                <w:szCs w:val="22"/>
              </w:rPr>
            </w:pPr>
            <w:r w:rsidRPr="00EB3906">
              <w:rPr>
                <w:sz w:val="22"/>
                <w:szCs w:val="22"/>
              </w:rPr>
              <w:t>Ledipasviras:</w:t>
            </w:r>
          </w:p>
          <w:p w14:paraId="548E2FBA" w14:textId="77777777" w:rsidR="00E14B3D" w:rsidRPr="00EB3906" w:rsidRDefault="00E14B3D" w:rsidP="00E14B3D">
            <w:pPr>
              <w:pStyle w:val="Default"/>
              <w:rPr>
                <w:sz w:val="22"/>
                <w:szCs w:val="22"/>
              </w:rPr>
            </w:pPr>
            <w:r w:rsidRPr="00EB3906">
              <w:rPr>
                <w:sz w:val="22"/>
                <w:szCs w:val="22"/>
              </w:rPr>
              <w:t>AUC: ↓ 34</w:t>
            </w:r>
            <w:r w:rsidR="00DA79BF">
              <w:rPr>
                <w:sz w:val="22"/>
                <w:szCs w:val="22"/>
              </w:rPr>
              <w:t> </w:t>
            </w:r>
            <w:r w:rsidRPr="00EB3906">
              <w:rPr>
                <w:sz w:val="22"/>
                <w:szCs w:val="22"/>
              </w:rPr>
              <w:t>%</w:t>
            </w:r>
          </w:p>
          <w:p w14:paraId="6DC9C30A"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34</w:t>
            </w:r>
            <w:r w:rsidR="00DA79BF">
              <w:rPr>
                <w:sz w:val="22"/>
                <w:szCs w:val="22"/>
              </w:rPr>
              <w:t> </w:t>
            </w:r>
            <w:r w:rsidRPr="00EB3906">
              <w:rPr>
                <w:sz w:val="22"/>
                <w:szCs w:val="22"/>
              </w:rPr>
              <w:t>%</w:t>
            </w:r>
          </w:p>
          <w:p w14:paraId="704C59FB"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 34</w:t>
            </w:r>
            <w:r w:rsidR="00DA79BF">
              <w:rPr>
                <w:sz w:val="22"/>
                <w:szCs w:val="22"/>
              </w:rPr>
              <w:t> </w:t>
            </w:r>
            <w:r w:rsidRPr="00EB3906">
              <w:rPr>
                <w:sz w:val="22"/>
                <w:szCs w:val="22"/>
              </w:rPr>
              <w:t>%</w:t>
            </w:r>
          </w:p>
          <w:p w14:paraId="3C24DC0F" w14:textId="77777777" w:rsidR="00E14B3D" w:rsidRPr="00EB3906" w:rsidRDefault="00E14B3D" w:rsidP="00E14B3D">
            <w:pPr>
              <w:pStyle w:val="Default"/>
              <w:rPr>
                <w:sz w:val="22"/>
                <w:szCs w:val="22"/>
              </w:rPr>
            </w:pPr>
            <w:r w:rsidRPr="00EB3906">
              <w:rPr>
                <w:sz w:val="22"/>
                <w:szCs w:val="22"/>
              </w:rPr>
              <w:t>Sofosbuviras:</w:t>
            </w:r>
          </w:p>
          <w:p w14:paraId="6D1AF840" w14:textId="77777777" w:rsidR="00E14B3D" w:rsidRPr="00EB3906" w:rsidRDefault="00E14B3D" w:rsidP="00E14B3D">
            <w:pPr>
              <w:pStyle w:val="Default"/>
              <w:rPr>
                <w:sz w:val="22"/>
                <w:szCs w:val="22"/>
              </w:rPr>
            </w:pPr>
            <w:r w:rsidRPr="00EB3906">
              <w:rPr>
                <w:sz w:val="22"/>
                <w:szCs w:val="22"/>
              </w:rPr>
              <w:t>AUC: ↔</w:t>
            </w:r>
          </w:p>
          <w:p w14:paraId="3EB2900F"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634D5D00" w14:textId="77777777" w:rsidR="00E14B3D" w:rsidRPr="00EB3906" w:rsidRDefault="00E14B3D" w:rsidP="00E14B3D">
            <w:pPr>
              <w:pStyle w:val="Default"/>
              <w:rPr>
                <w:sz w:val="22"/>
                <w:szCs w:val="22"/>
              </w:rPr>
            </w:pPr>
            <w:r w:rsidRPr="00EB3906">
              <w:rPr>
                <w:sz w:val="22"/>
                <w:szCs w:val="22"/>
              </w:rPr>
              <w:t>GS-331007</w:t>
            </w:r>
            <w:r w:rsidRPr="00EB3906">
              <w:rPr>
                <w:b/>
                <w:sz w:val="22"/>
                <w:szCs w:val="22"/>
                <w:vertAlign w:val="superscript"/>
              </w:rPr>
              <w:t>2</w:t>
            </w:r>
            <w:r w:rsidRPr="00EB3906">
              <w:rPr>
                <w:sz w:val="22"/>
                <w:szCs w:val="22"/>
              </w:rPr>
              <w:t>:</w:t>
            </w:r>
          </w:p>
          <w:p w14:paraId="29F5A2C4" w14:textId="77777777" w:rsidR="00E14B3D" w:rsidRPr="00EB3906" w:rsidRDefault="00E14B3D" w:rsidP="00E14B3D">
            <w:pPr>
              <w:pStyle w:val="Default"/>
              <w:rPr>
                <w:sz w:val="22"/>
                <w:szCs w:val="22"/>
              </w:rPr>
            </w:pPr>
            <w:r w:rsidRPr="00EB3906">
              <w:rPr>
                <w:sz w:val="22"/>
                <w:szCs w:val="22"/>
              </w:rPr>
              <w:t>AUC: ↔</w:t>
            </w:r>
          </w:p>
          <w:p w14:paraId="4F7203E8"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640CB8CA"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571A1198" w14:textId="77777777" w:rsidR="00E14B3D" w:rsidRPr="00EB3906" w:rsidRDefault="00E14B3D" w:rsidP="00E14B3D">
            <w:pPr>
              <w:pStyle w:val="Default"/>
              <w:rPr>
                <w:sz w:val="22"/>
                <w:szCs w:val="22"/>
              </w:rPr>
            </w:pPr>
            <w:r w:rsidRPr="00EB3906">
              <w:rPr>
                <w:sz w:val="22"/>
                <w:szCs w:val="22"/>
              </w:rPr>
              <w:t>Efavirenzas:</w:t>
            </w:r>
          </w:p>
          <w:p w14:paraId="1E21E9DC" w14:textId="77777777" w:rsidR="00E14B3D" w:rsidRPr="00EB3906" w:rsidRDefault="00E14B3D" w:rsidP="00E14B3D">
            <w:pPr>
              <w:pStyle w:val="Default"/>
              <w:rPr>
                <w:sz w:val="22"/>
                <w:szCs w:val="22"/>
              </w:rPr>
            </w:pPr>
            <w:r w:rsidRPr="00EB3906">
              <w:rPr>
                <w:sz w:val="22"/>
                <w:szCs w:val="22"/>
              </w:rPr>
              <w:t>AUC: ↔</w:t>
            </w:r>
          </w:p>
          <w:p w14:paraId="16155725"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4BBCDF16"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27C7351F" w14:textId="77777777" w:rsidR="00E14B3D" w:rsidRPr="00EB3906" w:rsidRDefault="00E14B3D" w:rsidP="00E14B3D">
            <w:pPr>
              <w:pStyle w:val="Default"/>
              <w:rPr>
                <w:sz w:val="22"/>
                <w:szCs w:val="22"/>
              </w:rPr>
            </w:pPr>
            <w:r w:rsidRPr="00EB3906">
              <w:rPr>
                <w:sz w:val="22"/>
                <w:szCs w:val="22"/>
              </w:rPr>
              <w:t>Emtricitabinas:</w:t>
            </w:r>
          </w:p>
          <w:p w14:paraId="204DAFD8" w14:textId="77777777" w:rsidR="00E14B3D" w:rsidRPr="00EB3906" w:rsidRDefault="00E14B3D" w:rsidP="00E14B3D">
            <w:pPr>
              <w:pStyle w:val="Default"/>
              <w:rPr>
                <w:sz w:val="22"/>
                <w:szCs w:val="22"/>
              </w:rPr>
            </w:pPr>
            <w:r w:rsidRPr="00EB3906">
              <w:rPr>
                <w:sz w:val="22"/>
                <w:szCs w:val="22"/>
              </w:rPr>
              <w:t>AUC: ↔</w:t>
            </w:r>
          </w:p>
          <w:p w14:paraId="5F5FB32E"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7569D103"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7784501B" w14:textId="77777777" w:rsidR="00E14B3D" w:rsidRPr="00EB3906" w:rsidRDefault="00E14B3D" w:rsidP="00E14B3D">
            <w:pPr>
              <w:pStyle w:val="Default"/>
              <w:rPr>
                <w:sz w:val="22"/>
                <w:szCs w:val="22"/>
              </w:rPr>
            </w:pPr>
            <w:r w:rsidRPr="00EB3906">
              <w:rPr>
                <w:sz w:val="22"/>
                <w:szCs w:val="22"/>
              </w:rPr>
              <w:t>Tenofoviras:</w:t>
            </w:r>
          </w:p>
          <w:p w14:paraId="2A020AEE" w14:textId="77777777" w:rsidR="00E14B3D" w:rsidRPr="00EB3906" w:rsidRDefault="00E14B3D" w:rsidP="00E14B3D">
            <w:pPr>
              <w:pStyle w:val="Default"/>
              <w:rPr>
                <w:sz w:val="22"/>
                <w:szCs w:val="22"/>
              </w:rPr>
            </w:pPr>
            <w:r w:rsidRPr="00EB3906">
              <w:rPr>
                <w:sz w:val="22"/>
                <w:szCs w:val="22"/>
              </w:rPr>
              <w:t>AUC: ↑ 98</w:t>
            </w:r>
            <w:r w:rsidR="00DA79BF">
              <w:rPr>
                <w:sz w:val="22"/>
                <w:szCs w:val="22"/>
              </w:rPr>
              <w:t> </w:t>
            </w:r>
            <w:r w:rsidRPr="00EB3906">
              <w:rPr>
                <w:sz w:val="22"/>
                <w:szCs w:val="22"/>
              </w:rPr>
              <w:t>%</w:t>
            </w:r>
          </w:p>
          <w:p w14:paraId="2B6A0E53"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79</w:t>
            </w:r>
            <w:r w:rsidR="00DA79BF">
              <w:rPr>
                <w:sz w:val="22"/>
                <w:szCs w:val="22"/>
              </w:rPr>
              <w:t> </w:t>
            </w:r>
            <w:r w:rsidRPr="00EB3906">
              <w:rPr>
                <w:sz w:val="22"/>
                <w:szCs w:val="22"/>
              </w:rPr>
              <w:t>%</w:t>
            </w:r>
          </w:p>
          <w:p w14:paraId="1EB45308" w14:textId="77777777" w:rsidR="00B54A09" w:rsidRPr="00EB3906" w:rsidRDefault="00E14B3D" w:rsidP="00DA79BF">
            <w:pPr>
              <w:pStyle w:val="Default"/>
              <w:rPr>
                <w:sz w:val="22"/>
                <w:szCs w:val="22"/>
              </w:rPr>
            </w:pPr>
            <w:r w:rsidRPr="00EB3906">
              <w:rPr>
                <w:sz w:val="22"/>
                <w:szCs w:val="22"/>
              </w:rPr>
              <w:t>C</w:t>
            </w:r>
            <w:r w:rsidRPr="00EB3906">
              <w:rPr>
                <w:sz w:val="22"/>
                <w:szCs w:val="22"/>
                <w:vertAlign w:val="subscript"/>
              </w:rPr>
              <w:t>min</w:t>
            </w:r>
            <w:r w:rsidRPr="00EB3906">
              <w:rPr>
                <w:sz w:val="22"/>
                <w:szCs w:val="22"/>
              </w:rPr>
              <w:t>: ↑ 163</w:t>
            </w:r>
            <w:r w:rsidR="00DA79BF">
              <w:rPr>
                <w:sz w:val="22"/>
                <w:szCs w:val="22"/>
              </w:rPr>
              <w:t> </w:t>
            </w:r>
            <w:r w:rsidRPr="00EB3906">
              <w:rPr>
                <w:sz w:val="22"/>
                <w:szCs w:val="22"/>
              </w:rPr>
              <w:t>%</w:t>
            </w:r>
          </w:p>
        </w:tc>
        <w:tc>
          <w:tcPr>
            <w:tcW w:w="2799" w:type="dxa"/>
            <w:shd w:val="clear" w:color="auto" w:fill="auto"/>
          </w:tcPr>
          <w:p w14:paraId="06E21B53" w14:textId="0198DE4D" w:rsidR="00B54A09" w:rsidRPr="00EB3906" w:rsidRDefault="00E14B3D" w:rsidP="00D400A8">
            <w:pPr>
              <w:pStyle w:val="Default"/>
              <w:rPr>
                <w:sz w:val="22"/>
                <w:szCs w:val="22"/>
              </w:rPr>
            </w:pPr>
            <w:r w:rsidRPr="00EB3906">
              <w:rPr>
                <w:sz w:val="22"/>
                <w:szCs w:val="22"/>
              </w:rPr>
              <w:t xml:space="preserve">Dozės koreguoti nerekomenduojama. Padidėjus tenofoviro ekspozicijai gali sustiprėti su </w:t>
            </w:r>
            <w:r w:rsidR="00D400A8" w:rsidRPr="00EB3906">
              <w:rPr>
                <w:sz w:val="22"/>
                <w:szCs w:val="22"/>
              </w:rPr>
              <w:t>tenofovir</w:t>
            </w:r>
            <w:r w:rsidR="00D400A8">
              <w:rPr>
                <w:sz w:val="22"/>
                <w:szCs w:val="22"/>
              </w:rPr>
              <w:t>u</w:t>
            </w:r>
            <w:r w:rsidR="00D400A8" w:rsidRPr="00EB3906">
              <w:rPr>
                <w:sz w:val="22"/>
                <w:szCs w:val="22"/>
              </w:rPr>
              <w:t xml:space="preserve"> </w:t>
            </w:r>
            <w:r w:rsidRPr="00EB3906">
              <w:rPr>
                <w:sz w:val="22"/>
                <w:szCs w:val="22"/>
              </w:rPr>
              <w:t>dizoproksili</w:t>
            </w:r>
            <w:r w:rsidR="00DA79BF">
              <w:rPr>
                <w:sz w:val="22"/>
                <w:szCs w:val="22"/>
              </w:rPr>
              <w:t>u</w:t>
            </w:r>
            <w:r w:rsidRPr="00EB3906">
              <w:rPr>
                <w:sz w:val="22"/>
                <w:szCs w:val="22"/>
              </w:rPr>
              <w:t xml:space="preserve"> susijusios nepageidaujamos reakcijos, įskaitant inkstų sutrikimus. Reikia atidžiai stebėti inkstų funkciją (žr. 4.4 skyrių).</w:t>
            </w:r>
          </w:p>
        </w:tc>
      </w:tr>
      <w:tr w:rsidR="00B54A09" w:rsidRPr="00EB3906" w14:paraId="608AA28B" w14:textId="77777777" w:rsidTr="00EB3906">
        <w:tc>
          <w:tcPr>
            <w:tcW w:w="3095" w:type="dxa"/>
            <w:gridSpan w:val="2"/>
            <w:shd w:val="clear" w:color="auto" w:fill="auto"/>
          </w:tcPr>
          <w:p w14:paraId="2679587C" w14:textId="602CAF82" w:rsidR="00E14B3D" w:rsidRPr="00EB3906" w:rsidRDefault="00E14B3D" w:rsidP="00E14B3D">
            <w:pPr>
              <w:pStyle w:val="Default"/>
              <w:rPr>
                <w:sz w:val="22"/>
                <w:szCs w:val="22"/>
              </w:rPr>
            </w:pPr>
            <w:r w:rsidRPr="00EB3906">
              <w:rPr>
                <w:sz w:val="22"/>
                <w:szCs w:val="22"/>
              </w:rPr>
              <w:t xml:space="preserve">Ledipasviras / </w:t>
            </w:r>
            <w:r w:rsidR="00BA61CA">
              <w:rPr>
                <w:sz w:val="22"/>
                <w:szCs w:val="22"/>
              </w:rPr>
              <w:t>S</w:t>
            </w:r>
            <w:r w:rsidRPr="00EB3906">
              <w:rPr>
                <w:sz w:val="22"/>
                <w:szCs w:val="22"/>
              </w:rPr>
              <w:t>ofosbuviras</w:t>
            </w:r>
          </w:p>
          <w:p w14:paraId="1844543B" w14:textId="77777777" w:rsidR="00E14B3D" w:rsidRPr="00EB3906" w:rsidRDefault="00E14B3D" w:rsidP="00E14B3D">
            <w:pPr>
              <w:pStyle w:val="Default"/>
              <w:rPr>
                <w:sz w:val="22"/>
                <w:szCs w:val="22"/>
              </w:rPr>
            </w:pPr>
            <w:r w:rsidRPr="00EB3906">
              <w:rPr>
                <w:sz w:val="22"/>
                <w:szCs w:val="22"/>
              </w:rPr>
              <w:t>(90</w:t>
            </w:r>
            <w:r w:rsidR="00DA79BF">
              <w:rPr>
                <w:sz w:val="22"/>
                <w:szCs w:val="22"/>
              </w:rPr>
              <w:t> </w:t>
            </w:r>
            <w:r w:rsidRPr="00EB3906">
              <w:rPr>
                <w:sz w:val="22"/>
                <w:szCs w:val="22"/>
              </w:rPr>
              <w:t>mg / 400</w:t>
            </w:r>
            <w:r w:rsidR="00DA79BF">
              <w:rPr>
                <w:sz w:val="22"/>
                <w:szCs w:val="22"/>
              </w:rPr>
              <w:t> </w:t>
            </w:r>
            <w:r w:rsidRPr="00EB3906">
              <w:rPr>
                <w:sz w:val="22"/>
                <w:szCs w:val="22"/>
              </w:rPr>
              <w:t>mg q.d.) +</w:t>
            </w:r>
          </w:p>
          <w:p w14:paraId="10602458" w14:textId="4A5F6A87" w:rsidR="00E14B3D" w:rsidRPr="00EB3906" w:rsidRDefault="00E14B3D" w:rsidP="00E14B3D">
            <w:pPr>
              <w:pStyle w:val="Default"/>
              <w:rPr>
                <w:sz w:val="22"/>
                <w:szCs w:val="22"/>
              </w:rPr>
            </w:pPr>
            <w:r w:rsidRPr="00EB3906">
              <w:rPr>
                <w:sz w:val="22"/>
                <w:szCs w:val="22"/>
              </w:rPr>
              <w:t xml:space="preserve">emtricitabinas / </w:t>
            </w:r>
            <w:r w:rsidR="00462913">
              <w:rPr>
                <w:sz w:val="22"/>
                <w:szCs w:val="22"/>
              </w:rPr>
              <w:t>R</w:t>
            </w:r>
            <w:r w:rsidRPr="00EB3906">
              <w:rPr>
                <w:sz w:val="22"/>
                <w:szCs w:val="22"/>
              </w:rPr>
              <w:t>ilpivi</w:t>
            </w:r>
            <w:r w:rsidR="00E17725">
              <w:rPr>
                <w:sz w:val="22"/>
                <w:szCs w:val="22"/>
              </w:rPr>
              <w:t xml:space="preserve">rinas / </w:t>
            </w:r>
            <w:r w:rsidR="006F54D9">
              <w:rPr>
                <w:sz w:val="22"/>
                <w:szCs w:val="22"/>
              </w:rPr>
              <w:t>T</w:t>
            </w:r>
            <w:r w:rsidR="00D400A8">
              <w:rPr>
                <w:sz w:val="22"/>
                <w:szCs w:val="22"/>
              </w:rPr>
              <w:t xml:space="preserve">enofoviras dizoproksilis </w:t>
            </w:r>
          </w:p>
          <w:p w14:paraId="535EED54" w14:textId="4986A3C5" w:rsidR="00B54A09" w:rsidRPr="00EB3906" w:rsidRDefault="00E14B3D" w:rsidP="00D400A8">
            <w:pPr>
              <w:pStyle w:val="Default"/>
              <w:rPr>
                <w:sz w:val="22"/>
                <w:szCs w:val="22"/>
              </w:rPr>
            </w:pPr>
            <w:r w:rsidRPr="00EB3906">
              <w:rPr>
                <w:sz w:val="22"/>
                <w:szCs w:val="22"/>
              </w:rPr>
              <w:t>(200</w:t>
            </w:r>
            <w:r w:rsidR="00DA79BF">
              <w:rPr>
                <w:sz w:val="22"/>
                <w:szCs w:val="22"/>
              </w:rPr>
              <w:t> </w:t>
            </w:r>
            <w:r w:rsidRPr="00EB3906">
              <w:rPr>
                <w:sz w:val="22"/>
                <w:szCs w:val="22"/>
              </w:rPr>
              <w:t>mg / 25</w:t>
            </w:r>
            <w:r w:rsidR="00DA79BF">
              <w:rPr>
                <w:sz w:val="22"/>
                <w:szCs w:val="22"/>
              </w:rPr>
              <w:t> </w:t>
            </w:r>
            <w:r w:rsidRPr="00EB3906">
              <w:rPr>
                <w:sz w:val="22"/>
                <w:szCs w:val="22"/>
              </w:rPr>
              <w:t xml:space="preserve">mg / </w:t>
            </w:r>
            <w:r w:rsidR="00D400A8">
              <w:rPr>
                <w:sz w:val="22"/>
                <w:szCs w:val="22"/>
              </w:rPr>
              <w:t>245 </w:t>
            </w:r>
            <w:r w:rsidRPr="00EB3906">
              <w:rPr>
                <w:sz w:val="22"/>
                <w:szCs w:val="22"/>
              </w:rPr>
              <w:t>mg q.d.)</w:t>
            </w:r>
          </w:p>
        </w:tc>
        <w:tc>
          <w:tcPr>
            <w:tcW w:w="3392" w:type="dxa"/>
            <w:gridSpan w:val="2"/>
            <w:shd w:val="clear" w:color="auto" w:fill="auto"/>
          </w:tcPr>
          <w:p w14:paraId="7BC3938B" w14:textId="77777777" w:rsidR="00E14B3D" w:rsidRPr="00EB3906" w:rsidRDefault="00E14B3D" w:rsidP="00E14B3D">
            <w:pPr>
              <w:pStyle w:val="Default"/>
              <w:rPr>
                <w:sz w:val="22"/>
                <w:szCs w:val="22"/>
              </w:rPr>
            </w:pPr>
            <w:r w:rsidRPr="00EB3906">
              <w:rPr>
                <w:sz w:val="22"/>
                <w:szCs w:val="22"/>
              </w:rPr>
              <w:t>Ledipasviras:</w:t>
            </w:r>
          </w:p>
          <w:p w14:paraId="19002825" w14:textId="77777777" w:rsidR="00E14B3D" w:rsidRPr="00EB3906" w:rsidRDefault="00E14B3D" w:rsidP="00E14B3D">
            <w:pPr>
              <w:pStyle w:val="Default"/>
              <w:rPr>
                <w:sz w:val="22"/>
                <w:szCs w:val="22"/>
              </w:rPr>
            </w:pPr>
            <w:r w:rsidRPr="00EB3906">
              <w:rPr>
                <w:sz w:val="22"/>
                <w:szCs w:val="22"/>
              </w:rPr>
              <w:t>AUC: ↔</w:t>
            </w:r>
          </w:p>
          <w:p w14:paraId="3610D59B"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3EDF5DB2"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1A1A4CF5" w14:textId="77777777" w:rsidR="00E14B3D" w:rsidRPr="00EB3906" w:rsidRDefault="00E14B3D" w:rsidP="00E14B3D">
            <w:pPr>
              <w:pStyle w:val="Default"/>
              <w:rPr>
                <w:sz w:val="22"/>
                <w:szCs w:val="22"/>
              </w:rPr>
            </w:pPr>
            <w:r w:rsidRPr="00EB3906">
              <w:rPr>
                <w:sz w:val="22"/>
                <w:szCs w:val="22"/>
              </w:rPr>
              <w:t>Sofosbuviras:</w:t>
            </w:r>
          </w:p>
          <w:p w14:paraId="7E071DEE" w14:textId="77777777" w:rsidR="00E14B3D" w:rsidRPr="00EB3906" w:rsidRDefault="00E14B3D" w:rsidP="00E14B3D">
            <w:pPr>
              <w:pStyle w:val="Default"/>
              <w:rPr>
                <w:sz w:val="22"/>
                <w:szCs w:val="22"/>
              </w:rPr>
            </w:pPr>
            <w:r w:rsidRPr="00EB3906">
              <w:rPr>
                <w:sz w:val="22"/>
                <w:szCs w:val="22"/>
              </w:rPr>
              <w:t>AUC: ↔</w:t>
            </w:r>
          </w:p>
          <w:p w14:paraId="721425E0"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09FDEA4E" w14:textId="77777777" w:rsidR="00E14B3D" w:rsidRPr="00EB3906" w:rsidRDefault="00E14B3D" w:rsidP="00E14B3D">
            <w:pPr>
              <w:pStyle w:val="Default"/>
              <w:rPr>
                <w:sz w:val="22"/>
                <w:szCs w:val="22"/>
              </w:rPr>
            </w:pPr>
            <w:r w:rsidRPr="00EB3906">
              <w:rPr>
                <w:sz w:val="22"/>
                <w:szCs w:val="22"/>
              </w:rPr>
              <w:t>GS-331007</w:t>
            </w:r>
            <w:r w:rsidRPr="00EB3906">
              <w:rPr>
                <w:b/>
                <w:sz w:val="22"/>
                <w:szCs w:val="22"/>
                <w:vertAlign w:val="superscript"/>
              </w:rPr>
              <w:t>2</w:t>
            </w:r>
            <w:r w:rsidRPr="00EB3906">
              <w:rPr>
                <w:sz w:val="22"/>
                <w:szCs w:val="22"/>
              </w:rPr>
              <w:t>:</w:t>
            </w:r>
          </w:p>
          <w:p w14:paraId="6D126369" w14:textId="77777777" w:rsidR="00E14B3D" w:rsidRPr="00EB3906" w:rsidRDefault="00E14B3D" w:rsidP="00E14B3D">
            <w:pPr>
              <w:pStyle w:val="Default"/>
              <w:rPr>
                <w:sz w:val="22"/>
                <w:szCs w:val="22"/>
              </w:rPr>
            </w:pPr>
            <w:r w:rsidRPr="00EB3906">
              <w:rPr>
                <w:sz w:val="22"/>
                <w:szCs w:val="22"/>
              </w:rPr>
              <w:t>AUC: ↔</w:t>
            </w:r>
          </w:p>
          <w:p w14:paraId="757CB25F"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4BD3D0D6"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17FF71FE" w14:textId="77777777" w:rsidR="00E14B3D" w:rsidRPr="00EB3906" w:rsidRDefault="00E14B3D" w:rsidP="00E14B3D">
            <w:pPr>
              <w:pStyle w:val="Default"/>
              <w:rPr>
                <w:sz w:val="22"/>
                <w:szCs w:val="22"/>
              </w:rPr>
            </w:pPr>
            <w:r w:rsidRPr="00EB3906">
              <w:rPr>
                <w:sz w:val="22"/>
                <w:szCs w:val="22"/>
              </w:rPr>
              <w:t>Emtricitabinas:</w:t>
            </w:r>
          </w:p>
          <w:p w14:paraId="3DC4E55B" w14:textId="77777777" w:rsidR="00E14B3D" w:rsidRPr="00EB3906" w:rsidRDefault="00E14B3D" w:rsidP="00E14B3D">
            <w:pPr>
              <w:pStyle w:val="Default"/>
              <w:rPr>
                <w:sz w:val="22"/>
                <w:szCs w:val="22"/>
              </w:rPr>
            </w:pPr>
            <w:r w:rsidRPr="00EB3906">
              <w:rPr>
                <w:sz w:val="22"/>
                <w:szCs w:val="22"/>
              </w:rPr>
              <w:t>AUC: ↔</w:t>
            </w:r>
          </w:p>
          <w:p w14:paraId="459FA3DB"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185DF38F"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6755771C" w14:textId="77777777" w:rsidR="00E14B3D" w:rsidRPr="00EB3906" w:rsidRDefault="00E14B3D" w:rsidP="00E14B3D">
            <w:pPr>
              <w:pStyle w:val="Default"/>
              <w:rPr>
                <w:sz w:val="22"/>
                <w:szCs w:val="22"/>
              </w:rPr>
            </w:pPr>
            <w:r w:rsidRPr="00EB3906">
              <w:rPr>
                <w:sz w:val="22"/>
                <w:szCs w:val="22"/>
              </w:rPr>
              <w:t>Rilpivirinas:</w:t>
            </w:r>
          </w:p>
          <w:p w14:paraId="54C755EC" w14:textId="77777777" w:rsidR="00B54A09" w:rsidRPr="00EB3906" w:rsidRDefault="00E14B3D" w:rsidP="00E14B3D">
            <w:pPr>
              <w:pStyle w:val="Default"/>
              <w:rPr>
                <w:sz w:val="22"/>
                <w:szCs w:val="22"/>
              </w:rPr>
            </w:pPr>
            <w:r w:rsidRPr="00EB3906">
              <w:rPr>
                <w:sz w:val="22"/>
                <w:szCs w:val="22"/>
              </w:rPr>
              <w:t>AUC: ↔</w:t>
            </w:r>
          </w:p>
          <w:p w14:paraId="7E381606"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48B1D579"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69574F02" w14:textId="77777777" w:rsidR="00E14B3D" w:rsidRPr="00EB3906" w:rsidRDefault="00E14B3D" w:rsidP="00E14B3D">
            <w:pPr>
              <w:pStyle w:val="Default"/>
              <w:rPr>
                <w:sz w:val="22"/>
                <w:szCs w:val="22"/>
              </w:rPr>
            </w:pPr>
            <w:r w:rsidRPr="00EB3906">
              <w:rPr>
                <w:sz w:val="22"/>
                <w:szCs w:val="22"/>
              </w:rPr>
              <w:t>Tenofoviras:</w:t>
            </w:r>
          </w:p>
          <w:p w14:paraId="557EE794" w14:textId="77777777" w:rsidR="00E14B3D" w:rsidRPr="00EB3906" w:rsidRDefault="00E14B3D" w:rsidP="00E14B3D">
            <w:pPr>
              <w:pStyle w:val="Default"/>
              <w:rPr>
                <w:sz w:val="22"/>
                <w:szCs w:val="22"/>
              </w:rPr>
            </w:pPr>
            <w:r w:rsidRPr="00EB3906">
              <w:rPr>
                <w:sz w:val="22"/>
                <w:szCs w:val="22"/>
              </w:rPr>
              <w:t>AUC: ↑ 40</w:t>
            </w:r>
            <w:r w:rsidR="00DA79BF">
              <w:rPr>
                <w:sz w:val="22"/>
                <w:szCs w:val="22"/>
              </w:rPr>
              <w:t> </w:t>
            </w:r>
            <w:r w:rsidRPr="00EB3906">
              <w:rPr>
                <w:sz w:val="22"/>
                <w:szCs w:val="22"/>
              </w:rPr>
              <w:t>%</w:t>
            </w:r>
          </w:p>
          <w:p w14:paraId="0086E92B"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52ABC646" w14:textId="77777777" w:rsidR="00E14B3D" w:rsidRPr="00EB3906" w:rsidRDefault="00E14B3D" w:rsidP="00DA79BF">
            <w:pPr>
              <w:pStyle w:val="Default"/>
              <w:rPr>
                <w:sz w:val="22"/>
                <w:szCs w:val="22"/>
              </w:rPr>
            </w:pPr>
            <w:r w:rsidRPr="00EB3906">
              <w:rPr>
                <w:sz w:val="22"/>
                <w:szCs w:val="22"/>
              </w:rPr>
              <w:t>C</w:t>
            </w:r>
            <w:r w:rsidRPr="00EB3906">
              <w:rPr>
                <w:sz w:val="22"/>
                <w:szCs w:val="22"/>
                <w:vertAlign w:val="subscript"/>
              </w:rPr>
              <w:t>min</w:t>
            </w:r>
            <w:r w:rsidRPr="00EB3906">
              <w:rPr>
                <w:sz w:val="22"/>
                <w:szCs w:val="22"/>
              </w:rPr>
              <w:t>: ↑ 91</w:t>
            </w:r>
            <w:r w:rsidR="00DA79BF">
              <w:rPr>
                <w:sz w:val="22"/>
                <w:szCs w:val="22"/>
              </w:rPr>
              <w:t> </w:t>
            </w:r>
            <w:r w:rsidRPr="00EB3906">
              <w:rPr>
                <w:sz w:val="22"/>
                <w:szCs w:val="22"/>
              </w:rPr>
              <w:t>%</w:t>
            </w:r>
          </w:p>
        </w:tc>
        <w:tc>
          <w:tcPr>
            <w:tcW w:w="2799" w:type="dxa"/>
            <w:shd w:val="clear" w:color="auto" w:fill="auto"/>
          </w:tcPr>
          <w:p w14:paraId="22E2595A" w14:textId="4D459787" w:rsidR="00B54A09" w:rsidRPr="00EB3906" w:rsidRDefault="00E14B3D" w:rsidP="00D400A8">
            <w:pPr>
              <w:pStyle w:val="Default"/>
              <w:rPr>
                <w:sz w:val="22"/>
                <w:szCs w:val="22"/>
              </w:rPr>
            </w:pPr>
            <w:r w:rsidRPr="00EB3906">
              <w:rPr>
                <w:sz w:val="22"/>
                <w:szCs w:val="22"/>
              </w:rPr>
              <w:t xml:space="preserve">Dozę koreguoti nerekomenduojama. Padidėjus tenofoviro ekspozicijai gali sustiprėti su </w:t>
            </w:r>
            <w:r w:rsidR="00D400A8" w:rsidRPr="00EB3906">
              <w:rPr>
                <w:sz w:val="22"/>
                <w:szCs w:val="22"/>
              </w:rPr>
              <w:t>tenofovir</w:t>
            </w:r>
            <w:r w:rsidR="00D400A8">
              <w:rPr>
                <w:sz w:val="22"/>
                <w:szCs w:val="22"/>
              </w:rPr>
              <w:t>u</w:t>
            </w:r>
            <w:r w:rsidR="00D400A8" w:rsidRPr="00EB3906">
              <w:rPr>
                <w:sz w:val="22"/>
                <w:szCs w:val="22"/>
              </w:rPr>
              <w:t xml:space="preserve"> </w:t>
            </w:r>
            <w:r w:rsidRPr="00EB3906">
              <w:rPr>
                <w:sz w:val="22"/>
                <w:szCs w:val="22"/>
              </w:rPr>
              <w:t>dizoproksili</w:t>
            </w:r>
            <w:r w:rsidR="00DA79BF">
              <w:rPr>
                <w:sz w:val="22"/>
                <w:szCs w:val="22"/>
              </w:rPr>
              <w:t>u</w:t>
            </w:r>
            <w:r w:rsidRPr="00EB3906">
              <w:rPr>
                <w:sz w:val="22"/>
                <w:szCs w:val="22"/>
              </w:rPr>
              <w:t xml:space="preserve"> susijusios nepageidaujamos reakcijos, įskaitant inkstų sutrikimus. Reikia atidžiai stebėti inkstų funkciją (žr. 4.4 skyrių).</w:t>
            </w:r>
          </w:p>
        </w:tc>
      </w:tr>
      <w:tr w:rsidR="006F54D9" w:rsidRPr="00EB3906" w14:paraId="28F1A5E0" w14:textId="77777777" w:rsidTr="006F54D9">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17D02081" w14:textId="77777777" w:rsidR="006F54D9" w:rsidRPr="00EB3906" w:rsidRDefault="006F54D9" w:rsidP="00A56EA2">
            <w:pPr>
              <w:pStyle w:val="Default"/>
              <w:rPr>
                <w:sz w:val="22"/>
                <w:szCs w:val="22"/>
              </w:rPr>
            </w:pPr>
            <w:r w:rsidRPr="00EB3906">
              <w:rPr>
                <w:sz w:val="22"/>
                <w:szCs w:val="22"/>
              </w:rPr>
              <w:lastRenderedPageBreak/>
              <w:t xml:space="preserve">Ledipasviras / </w:t>
            </w:r>
            <w:r>
              <w:rPr>
                <w:sz w:val="22"/>
                <w:szCs w:val="22"/>
              </w:rPr>
              <w:t>S</w:t>
            </w:r>
            <w:r w:rsidRPr="00EB3906">
              <w:rPr>
                <w:sz w:val="22"/>
                <w:szCs w:val="22"/>
              </w:rPr>
              <w:t>ofosbuviras</w:t>
            </w:r>
          </w:p>
          <w:p w14:paraId="267BA74B" w14:textId="77777777" w:rsidR="006F54D9" w:rsidRPr="00EB3906" w:rsidRDefault="006F54D9" w:rsidP="00A56EA2">
            <w:pPr>
              <w:pStyle w:val="Default"/>
              <w:rPr>
                <w:sz w:val="22"/>
                <w:szCs w:val="22"/>
              </w:rPr>
            </w:pPr>
            <w:r w:rsidRPr="00EB3906">
              <w:rPr>
                <w:sz w:val="22"/>
                <w:szCs w:val="22"/>
              </w:rPr>
              <w:t>(90</w:t>
            </w:r>
            <w:r>
              <w:rPr>
                <w:sz w:val="22"/>
                <w:szCs w:val="22"/>
              </w:rPr>
              <w:t> </w:t>
            </w:r>
            <w:r w:rsidRPr="00EB3906">
              <w:rPr>
                <w:sz w:val="22"/>
                <w:szCs w:val="22"/>
              </w:rPr>
              <w:t>mg / 400</w:t>
            </w:r>
            <w:r>
              <w:rPr>
                <w:sz w:val="22"/>
                <w:szCs w:val="22"/>
              </w:rPr>
              <w:t> </w:t>
            </w:r>
            <w:r w:rsidRPr="00EB3906">
              <w:rPr>
                <w:sz w:val="22"/>
                <w:szCs w:val="22"/>
              </w:rPr>
              <w:t>mg q.d.) +</w:t>
            </w:r>
          </w:p>
          <w:p w14:paraId="1C4329B7" w14:textId="5FF1ECC8" w:rsidR="006F54D9" w:rsidRPr="00EB3906" w:rsidRDefault="006F54D9" w:rsidP="00CF5A77">
            <w:pPr>
              <w:pStyle w:val="Default"/>
              <w:rPr>
                <w:sz w:val="22"/>
                <w:szCs w:val="22"/>
              </w:rPr>
            </w:pPr>
            <w:r>
              <w:rPr>
                <w:sz w:val="22"/>
                <w:szCs w:val="22"/>
              </w:rPr>
              <w:t>Dolutegraviras (50 </w:t>
            </w:r>
            <w:r w:rsidRPr="00EB3906">
              <w:rPr>
                <w:sz w:val="22"/>
                <w:szCs w:val="22"/>
              </w:rPr>
              <w:t>mg q.d</w:t>
            </w:r>
            <w:r>
              <w:rPr>
                <w:sz w:val="22"/>
                <w:szCs w:val="22"/>
              </w:rPr>
              <w:t xml:space="preserve">) + Emtricitabinas / </w:t>
            </w:r>
            <w:r w:rsidR="00CF5A77">
              <w:rPr>
                <w:sz w:val="22"/>
                <w:szCs w:val="22"/>
              </w:rPr>
              <w:t>T</w:t>
            </w:r>
            <w:r>
              <w:rPr>
                <w:sz w:val="22"/>
                <w:szCs w:val="22"/>
              </w:rPr>
              <w:t xml:space="preserve">enofoviras dizoproksilis </w:t>
            </w:r>
            <w:r w:rsidRPr="00EB3906">
              <w:rPr>
                <w:sz w:val="22"/>
                <w:szCs w:val="22"/>
              </w:rPr>
              <w:t>(200</w:t>
            </w:r>
            <w:r>
              <w:rPr>
                <w:sz w:val="22"/>
                <w:szCs w:val="22"/>
              </w:rPr>
              <w:t> </w:t>
            </w:r>
            <w:r w:rsidRPr="00EB3906">
              <w:rPr>
                <w:sz w:val="22"/>
                <w:szCs w:val="22"/>
              </w:rPr>
              <w:t xml:space="preserve">mg /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314D37FD" w14:textId="77777777" w:rsidR="006F54D9" w:rsidRPr="00EB3906" w:rsidRDefault="006F54D9" w:rsidP="00A56EA2">
            <w:pPr>
              <w:pStyle w:val="Default"/>
              <w:rPr>
                <w:sz w:val="22"/>
                <w:szCs w:val="22"/>
              </w:rPr>
            </w:pPr>
            <w:r w:rsidRPr="00EB3906">
              <w:rPr>
                <w:sz w:val="22"/>
                <w:szCs w:val="22"/>
              </w:rPr>
              <w:t>Sofosbuviras:</w:t>
            </w:r>
          </w:p>
          <w:p w14:paraId="7A69BCF3" w14:textId="77777777" w:rsidR="006F54D9" w:rsidRPr="00EB3906" w:rsidRDefault="006F54D9" w:rsidP="00A56EA2">
            <w:pPr>
              <w:pStyle w:val="Default"/>
              <w:rPr>
                <w:sz w:val="22"/>
                <w:szCs w:val="22"/>
              </w:rPr>
            </w:pPr>
            <w:r w:rsidRPr="00EB3906">
              <w:rPr>
                <w:sz w:val="22"/>
                <w:szCs w:val="22"/>
              </w:rPr>
              <w:t>AUC: ↔</w:t>
            </w:r>
          </w:p>
          <w:p w14:paraId="4582A087" w14:textId="77777777" w:rsidR="006F54D9" w:rsidRPr="00EB3906" w:rsidRDefault="006F54D9"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5F131204" w14:textId="77777777" w:rsidR="006F54D9" w:rsidRDefault="006F54D9" w:rsidP="00A56EA2">
            <w:pPr>
              <w:pStyle w:val="Default"/>
              <w:rPr>
                <w:sz w:val="22"/>
                <w:szCs w:val="22"/>
              </w:rPr>
            </w:pPr>
          </w:p>
          <w:p w14:paraId="3F552440" w14:textId="77777777" w:rsidR="006F54D9" w:rsidRPr="00EB3906" w:rsidRDefault="006F54D9" w:rsidP="00A56EA2">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405C707C" w14:textId="77777777" w:rsidR="006F54D9" w:rsidRPr="00EB3906" w:rsidRDefault="006F54D9" w:rsidP="00A56EA2">
            <w:pPr>
              <w:pStyle w:val="Default"/>
              <w:rPr>
                <w:sz w:val="22"/>
                <w:szCs w:val="22"/>
              </w:rPr>
            </w:pPr>
            <w:r w:rsidRPr="00EB3906">
              <w:rPr>
                <w:sz w:val="22"/>
                <w:szCs w:val="22"/>
              </w:rPr>
              <w:t>AUC: ↔</w:t>
            </w:r>
          </w:p>
          <w:p w14:paraId="35541898" w14:textId="77777777" w:rsidR="006F54D9" w:rsidRPr="00EB3906" w:rsidRDefault="006F54D9"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764046FF" w14:textId="77777777" w:rsidR="006F54D9" w:rsidRPr="00EB3906" w:rsidRDefault="006F54D9"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79A7066E" w14:textId="77777777" w:rsidR="006F54D9" w:rsidRDefault="006F54D9" w:rsidP="00A56EA2">
            <w:pPr>
              <w:pStyle w:val="Default"/>
              <w:rPr>
                <w:sz w:val="22"/>
                <w:szCs w:val="22"/>
              </w:rPr>
            </w:pPr>
          </w:p>
          <w:p w14:paraId="2275426C" w14:textId="77777777" w:rsidR="006F54D9" w:rsidRPr="00EB3906" w:rsidRDefault="006F54D9" w:rsidP="006F54D9">
            <w:pPr>
              <w:pStyle w:val="Default"/>
              <w:rPr>
                <w:sz w:val="22"/>
                <w:szCs w:val="22"/>
              </w:rPr>
            </w:pPr>
            <w:r w:rsidRPr="00EB3906">
              <w:rPr>
                <w:sz w:val="22"/>
                <w:szCs w:val="22"/>
              </w:rPr>
              <w:t>Ledipasviras:</w:t>
            </w:r>
          </w:p>
          <w:p w14:paraId="0781FECE" w14:textId="77777777" w:rsidR="006F54D9" w:rsidRPr="00EB3906" w:rsidRDefault="006F54D9" w:rsidP="006F54D9">
            <w:pPr>
              <w:pStyle w:val="Default"/>
              <w:rPr>
                <w:sz w:val="22"/>
                <w:szCs w:val="22"/>
              </w:rPr>
            </w:pPr>
            <w:r w:rsidRPr="00EB3906">
              <w:rPr>
                <w:sz w:val="22"/>
                <w:szCs w:val="22"/>
              </w:rPr>
              <w:t>AUC: ↔</w:t>
            </w:r>
          </w:p>
          <w:p w14:paraId="2118E8F3" w14:textId="77777777" w:rsidR="006F54D9" w:rsidRPr="00EB3906" w:rsidRDefault="006F54D9" w:rsidP="006F54D9">
            <w:pPr>
              <w:pStyle w:val="Default"/>
              <w:rPr>
                <w:sz w:val="22"/>
                <w:szCs w:val="22"/>
              </w:rPr>
            </w:pPr>
            <w:r w:rsidRPr="00EB3906">
              <w:rPr>
                <w:sz w:val="22"/>
                <w:szCs w:val="22"/>
              </w:rPr>
              <w:t>C</w:t>
            </w:r>
            <w:r w:rsidRPr="006F54D9">
              <w:rPr>
                <w:sz w:val="22"/>
                <w:szCs w:val="22"/>
              </w:rPr>
              <w:t>max</w:t>
            </w:r>
            <w:r w:rsidRPr="00EB3906">
              <w:rPr>
                <w:sz w:val="22"/>
                <w:szCs w:val="22"/>
              </w:rPr>
              <w:t>: ↔</w:t>
            </w:r>
          </w:p>
          <w:p w14:paraId="53AD6A06" w14:textId="77777777" w:rsidR="006F54D9" w:rsidRPr="00EB3906" w:rsidRDefault="006F54D9" w:rsidP="006F54D9">
            <w:pPr>
              <w:pStyle w:val="Default"/>
              <w:rPr>
                <w:sz w:val="22"/>
                <w:szCs w:val="22"/>
              </w:rPr>
            </w:pPr>
            <w:r w:rsidRPr="00EB3906">
              <w:rPr>
                <w:sz w:val="22"/>
                <w:szCs w:val="22"/>
              </w:rPr>
              <w:t>C</w:t>
            </w:r>
            <w:r w:rsidRPr="006F54D9">
              <w:rPr>
                <w:sz w:val="22"/>
                <w:szCs w:val="22"/>
              </w:rPr>
              <w:t>min</w:t>
            </w:r>
            <w:r w:rsidRPr="00EB3906">
              <w:rPr>
                <w:sz w:val="22"/>
                <w:szCs w:val="22"/>
              </w:rPr>
              <w:t>: ↔</w:t>
            </w:r>
          </w:p>
          <w:p w14:paraId="17AEA825" w14:textId="77777777" w:rsidR="006F54D9" w:rsidRDefault="006F54D9" w:rsidP="00A56EA2">
            <w:pPr>
              <w:pStyle w:val="Default"/>
              <w:rPr>
                <w:sz w:val="22"/>
                <w:szCs w:val="22"/>
              </w:rPr>
            </w:pPr>
          </w:p>
          <w:p w14:paraId="4AC5822D" w14:textId="398D95DB" w:rsidR="006F54D9" w:rsidRPr="00EB3906" w:rsidRDefault="006F54D9" w:rsidP="006F54D9">
            <w:pPr>
              <w:pStyle w:val="Default"/>
              <w:rPr>
                <w:sz w:val="22"/>
                <w:szCs w:val="22"/>
              </w:rPr>
            </w:pPr>
            <w:r>
              <w:rPr>
                <w:sz w:val="22"/>
                <w:szCs w:val="22"/>
              </w:rPr>
              <w:t>Dolutegaviras</w:t>
            </w:r>
            <w:r w:rsidRPr="00EB3906">
              <w:rPr>
                <w:sz w:val="22"/>
                <w:szCs w:val="22"/>
              </w:rPr>
              <w:t>:</w:t>
            </w:r>
          </w:p>
          <w:p w14:paraId="161FDBEE" w14:textId="77777777" w:rsidR="006F54D9" w:rsidRPr="00EB3906" w:rsidRDefault="006F54D9" w:rsidP="006F54D9">
            <w:pPr>
              <w:pStyle w:val="Default"/>
              <w:rPr>
                <w:sz w:val="22"/>
                <w:szCs w:val="22"/>
              </w:rPr>
            </w:pPr>
            <w:r w:rsidRPr="00EB3906">
              <w:rPr>
                <w:sz w:val="22"/>
                <w:szCs w:val="22"/>
              </w:rPr>
              <w:t>AUC: ↔</w:t>
            </w:r>
          </w:p>
          <w:p w14:paraId="5F44FC4C" w14:textId="77777777" w:rsidR="006F54D9" w:rsidRPr="00EB3906" w:rsidRDefault="006F54D9" w:rsidP="006F54D9">
            <w:pPr>
              <w:pStyle w:val="Default"/>
              <w:rPr>
                <w:sz w:val="22"/>
                <w:szCs w:val="22"/>
              </w:rPr>
            </w:pPr>
            <w:r w:rsidRPr="00EB3906">
              <w:rPr>
                <w:sz w:val="22"/>
                <w:szCs w:val="22"/>
              </w:rPr>
              <w:t>C</w:t>
            </w:r>
            <w:r w:rsidRPr="006F54D9">
              <w:rPr>
                <w:sz w:val="22"/>
                <w:szCs w:val="22"/>
              </w:rPr>
              <w:t>max</w:t>
            </w:r>
            <w:r w:rsidRPr="00EB3906">
              <w:rPr>
                <w:sz w:val="22"/>
                <w:szCs w:val="22"/>
              </w:rPr>
              <w:t>: ↔</w:t>
            </w:r>
          </w:p>
          <w:p w14:paraId="748FCA58" w14:textId="77777777" w:rsidR="006F54D9" w:rsidRPr="00EB3906" w:rsidRDefault="006F54D9" w:rsidP="006F54D9">
            <w:pPr>
              <w:pStyle w:val="Default"/>
              <w:rPr>
                <w:sz w:val="22"/>
                <w:szCs w:val="22"/>
              </w:rPr>
            </w:pPr>
            <w:r w:rsidRPr="00EB3906">
              <w:rPr>
                <w:sz w:val="22"/>
                <w:szCs w:val="22"/>
              </w:rPr>
              <w:t>C</w:t>
            </w:r>
            <w:r w:rsidRPr="006F54D9">
              <w:rPr>
                <w:sz w:val="22"/>
                <w:szCs w:val="22"/>
              </w:rPr>
              <w:t>min</w:t>
            </w:r>
            <w:r w:rsidRPr="00EB3906">
              <w:rPr>
                <w:sz w:val="22"/>
                <w:szCs w:val="22"/>
              </w:rPr>
              <w:t>: ↔</w:t>
            </w:r>
          </w:p>
          <w:p w14:paraId="3EC9476A" w14:textId="77777777" w:rsidR="006F54D9" w:rsidRDefault="006F54D9" w:rsidP="00A56EA2">
            <w:pPr>
              <w:pStyle w:val="Default"/>
              <w:rPr>
                <w:sz w:val="22"/>
                <w:szCs w:val="22"/>
              </w:rPr>
            </w:pPr>
          </w:p>
          <w:p w14:paraId="1AF0A54B" w14:textId="77777777" w:rsidR="006F54D9" w:rsidRPr="00EB3906" w:rsidRDefault="006F54D9" w:rsidP="00A56EA2">
            <w:pPr>
              <w:pStyle w:val="Default"/>
              <w:rPr>
                <w:sz w:val="22"/>
                <w:szCs w:val="22"/>
              </w:rPr>
            </w:pPr>
            <w:r w:rsidRPr="00EB3906">
              <w:rPr>
                <w:sz w:val="22"/>
                <w:szCs w:val="22"/>
              </w:rPr>
              <w:t>Emtricitabinas:</w:t>
            </w:r>
          </w:p>
          <w:p w14:paraId="1D01DD14" w14:textId="77777777" w:rsidR="006F54D9" w:rsidRPr="00EB3906" w:rsidRDefault="006F54D9" w:rsidP="00A56EA2">
            <w:pPr>
              <w:pStyle w:val="Default"/>
              <w:rPr>
                <w:sz w:val="22"/>
                <w:szCs w:val="22"/>
              </w:rPr>
            </w:pPr>
            <w:r w:rsidRPr="00EB3906">
              <w:rPr>
                <w:sz w:val="22"/>
                <w:szCs w:val="22"/>
              </w:rPr>
              <w:t>AUC: ↔</w:t>
            </w:r>
          </w:p>
          <w:p w14:paraId="6B8B0FE5" w14:textId="77777777" w:rsidR="006F54D9" w:rsidRPr="00EB3906" w:rsidRDefault="006F54D9"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50EDB6E8" w14:textId="77777777" w:rsidR="006F54D9" w:rsidRPr="00EB3906" w:rsidRDefault="006F54D9"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07BAC548" w14:textId="77777777" w:rsidR="006F54D9" w:rsidRDefault="006F54D9" w:rsidP="00A56EA2">
            <w:pPr>
              <w:pStyle w:val="Default"/>
              <w:rPr>
                <w:sz w:val="22"/>
                <w:szCs w:val="22"/>
              </w:rPr>
            </w:pPr>
          </w:p>
          <w:p w14:paraId="28D9CAB0" w14:textId="77777777" w:rsidR="006F54D9" w:rsidRPr="00EB3906" w:rsidRDefault="006F54D9" w:rsidP="006F54D9">
            <w:pPr>
              <w:pStyle w:val="Default"/>
              <w:rPr>
                <w:sz w:val="22"/>
                <w:szCs w:val="22"/>
              </w:rPr>
            </w:pPr>
            <w:r w:rsidRPr="00EB3906">
              <w:rPr>
                <w:sz w:val="22"/>
                <w:szCs w:val="22"/>
              </w:rPr>
              <w:t>Tenofoviras:</w:t>
            </w:r>
          </w:p>
          <w:p w14:paraId="46417A95" w14:textId="3AC700AB" w:rsidR="006F54D9" w:rsidRPr="00EB3906" w:rsidRDefault="006F54D9" w:rsidP="006F54D9">
            <w:pPr>
              <w:pStyle w:val="Default"/>
              <w:rPr>
                <w:sz w:val="22"/>
                <w:szCs w:val="22"/>
              </w:rPr>
            </w:pPr>
            <w:r w:rsidRPr="00EB3906">
              <w:rPr>
                <w:sz w:val="22"/>
                <w:szCs w:val="22"/>
              </w:rPr>
              <w:t xml:space="preserve">AUC: ↑ </w:t>
            </w:r>
            <w:r>
              <w:rPr>
                <w:sz w:val="22"/>
                <w:szCs w:val="22"/>
              </w:rPr>
              <w:t>65 </w:t>
            </w:r>
            <w:r w:rsidRPr="00EB3906">
              <w:rPr>
                <w:sz w:val="22"/>
                <w:szCs w:val="22"/>
              </w:rPr>
              <w:t>%</w:t>
            </w:r>
          </w:p>
          <w:p w14:paraId="1B237779" w14:textId="523E282F" w:rsidR="006F54D9" w:rsidRDefault="006F54D9" w:rsidP="006F54D9">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61 </w:t>
            </w:r>
            <w:r w:rsidRPr="00EB3906">
              <w:rPr>
                <w:sz w:val="22"/>
                <w:szCs w:val="22"/>
              </w:rPr>
              <w:t>%</w:t>
            </w:r>
          </w:p>
          <w:p w14:paraId="0B6A0327" w14:textId="442FC155" w:rsidR="006F54D9" w:rsidRPr="00EB3906" w:rsidRDefault="006F54D9" w:rsidP="006F54D9">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115 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D07A27E" w14:textId="77777777" w:rsidR="006F54D9" w:rsidRPr="00EB3906" w:rsidRDefault="006F54D9" w:rsidP="00A56EA2">
            <w:pPr>
              <w:pStyle w:val="Default"/>
              <w:rPr>
                <w:sz w:val="22"/>
                <w:szCs w:val="22"/>
              </w:rPr>
            </w:pPr>
            <w:r w:rsidRPr="00EB3906">
              <w:rPr>
                <w:sz w:val="22"/>
                <w:szCs w:val="22"/>
              </w:rPr>
              <w:t>Dozę koreguoti nerekomenduojama. Padidėjus tenofoviro ekspozicijai gali sustiprėti su tenofovir</w:t>
            </w:r>
            <w:r>
              <w:rPr>
                <w:sz w:val="22"/>
                <w:szCs w:val="22"/>
              </w:rPr>
              <w:t>u</w:t>
            </w:r>
            <w:r w:rsidRPr="00EB3906">
              <w:rPr>
                <w:sz w:val="22"/>
                <w:szCs w:val="22"/>
              </w:rPr>
              <w:t xml:space="preserve"> dizoproksili</w:t>
            </w:r>
            <w:r>
              <w:rPr>
                <w:sz w:val="22"/>
                <w:szCs w:val="22"/>
              </w:rPr>
              <w:t>u</w:t>
            </w:r>
            <w:r w:rsidRPr="00EB3906">
              <w:rPr>
                <w:sz w:val="22"/>
                <w:szCs w:val="22"/>
              </w:rPr>
              <w:t xml:space="preserve"> susijusios nepageidaujamos reakcijos, įskaitant inkstų sutrikimus. Reikia atidžiai stebėti inkstų funkciją (žr. 4.4 skyrių).</w:t>
            </w:r>
          </w:p>
        </w:tc>
      </w:tr>
      <w:tr w:rsidR="006F54D9" w:rsidRPr="00EB3906" w14:paraId="662EFD2E" w14:textId="77777777" w:rsidTr="00EE7979">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26EA85CF" w14:textId="4C049416" w:rsidR="006F54D9" w:rsidRPr="00EB3906" w:rsidRDefault="006F54D9" w:rsidP="00307D20">
            <w:pPr>
              <w:pStyle w:val="Default"/>
              <w:rPr>
                <w:sz w:val="22"/>
                <w:szCs w:val="22"/>
              </w:rPr>
            </w:pPr>
            <w:r>
              <w:rPr>
                <w:sz w:val="22"/>
                <w:szCs w:val="22"/>
              </w:rPr>
              <w:t>S</w:t>
            </w:r>
            <w:r w:rsidRPr="00EB3906">
              <w:rPr>
                <w:sz w:val="22"/>
                <w:szCs w:val="22"/>
              </w:rPr>
              <w:t>ofosbuviras</w:t>
            </w:r>
            <w:r>
              <w:rPr>
                <w:sz w:val="22"/>
                <w:szCs w:val="22"/>
              </w:rPr>
              <w:t xml:space="preserve"> /</w:t>
            </w:r>
            <w:r w:rsidR="00CF5A77">
              <w:rPr>
                <w:sz w:val="22"/>
                <w:szCs w:val="22"/>
              </w:rPr>
              <w:t>V</w:t>
            </w:r>
            <w:r>
              <w:rPr>
                <w:sz w:val="22"/>
                <w:szCs w:val="22"/>
              </w:rPr>
              <w:t>elpatasviras</w:t>
            </w:r>
            <w:r w:rsidR="00307D20">
              <w:rPr>
                <w:sz w:val="22"/>
                <w:szCs w:val="22"/>
              </w:rPr>
              <w:t xml:space="preserve"> </w:t>
            </w:r>
            <w:r w:rsidRPr="00EB3906">
              <w:rPr>
                <w:sz w:val="22"/>
                <w:szCs w:val="22"/>
              </w:rPr>
              <w:t>(</w:t>
            </w:r>
            <w:r w:rsidR="00CF5A77">
              <w:rPr>
                <w:sz w:val="22"/>
                <w:szCs w:val="22"/>
              </w:rPr>
              <w:t>400</w:t>
            </w:r>
            <w:r>
              <w:rPr>
                <w:sz w:val="22"/>
                <w:szCs w:val="22"/>
              </w:rPr>
              <w:t> </w:t>
            </w:r>
            <w:r w:rsidRPr="00EB3906">
              <w:rPr>
                <w:sz w:val="22"/>
                <w:szCs w:val="22"/>
              </w:rPr>
              <w:t xml:space="preserve">mg / </w:t>
            </w:r>
            <w:r w:rsidR="00CF5A77">
              <w:rPr>
                <w:sz w:val="22"/>
                <w:szCs w:val="22"/>
              </w:rPr>
              <w:t>1</w:t>
            </w:r>
            <w:r w:rsidRPr="00EB3906">
              <w:rPr>
                <w:sz w:val="22"/>
                <w:szCs w:val="22"/>
              </w:rPr>
              <w:t>00</w:t>
            </w:r>
            <w:r>
              <w:rPr>
                <w:sz w:val="22"/>
                <w:szCs w:val="22"/>
              </w:rPr>
              <w:t> </w:t>
            </w:r>
            <w:r w:rsidRPr="00EB3906">
              <w:rPr>
                <w:sz w:val="22"/>
                <w:szCs w:val="22"/>
              </w:rPr>
              <w:t>mg q.d.) +</w:t>
            </w:r>
            <w:r w:rsidR="00307D20">
              <w:rPr>
                <w:sz w:val="22"/>
                <w:szCs w:val="22"/>
              </w:rPr>
              <w:t xml:space="preserve"> </w:t>
            </w:r>
            <w:r w:rsidR="00CF5A77">
              <w:rPr>
                <w:sz w:val="22"/>
                <w:szCs w:val="22"/>
              </w:rPr>
              <w:t>Atazanaviras / Ritonaviras</w:t>
            </w:r>
            <w:r>
              <w:rPr>
                <w:sz w:val="22"/>
                <w:szCs w:val="22"/>
              </w:rPr>
              <w:t xml:space="preserve"> (</w:t>
            </w:r>
            <w:r w:rsidR="00CF5A77">
              <w:rPr>
                <w:sz w:val="22"/>
                <w:szCs w:val="22"/>
              </w:rPr>
              <w:t>30</w:t>
            </w:r>
            <w:r>
              <w:rPr>
                <w:sz w:val="22"/>
                <w:szCs w:val="22"/>
              </w:rPr>
              <w:t>0 </w:t>
            </w:r>
            <w:r w:rsidRPr="00EB3906">
              <w:rPr>
                <w:sz w:val="22"/>
                <w:szCs w:val="22"/>
              </w:rPr>
              <w:t>mg q.d</w:t>
            </w:r>
            <w:r w:rsidR="00CF5A77">
              <w:rPr>
                <w:sz w:val="22"/>
                <w:szCs w:val="22"/>
              </w:rPr>
              <w:t xml:space="preserve"> / 100 mg q.d.</w:t>
            </w:r>
            <w:r>
              <w:rPr>
                <w:sz w:val="22"/>
                <w:szCs w:val="22"/>
              </w:rPr>
              <w:t xml:space="preserve">) + </w:t>
            </w:r>
            <w:r w:rsidR="00CF5A77">
              <w:rPr>
                <w:sz w:val="22"/>
                <w:szCs w:val="22"/>
              </w:rPr>
              <w:t>E</w:t>
            </w:r>
            <w:r>
              <w:rPr>
                <w:sz w:val="22"/>
                <w:szCs w:val="22"/>
              </w:rPr>
              <w:t xml:space="preserve">mtricitabinas / </w:t>
            </w:r>
            <w:r w:rsidR="00CF5A77">
              <w:rPr>
                <w:sz w:val="22"/>
                <w:szCs w:val="22"/>
              </w:rPr>
              <w:t>T</w:t>
            </w:r>
            <w:r>
              <w:rPr>
                <w:sz w:val="22"/>
                <w:szCs w:val="22"/>
              </w:rPr>
              <w:t xml:space="preserve">enofoviras dizoproksilis </w:t>
            </w:r>
            <w:r w:rsidRPr="00EB3906">
              <w:rPr>
                <w:sz w:val="22"/>
                <w:szCs w:val="22"/>
              </w:rPr>
              <w:t>(200</w:t>
            </w:r>
            <w:r>
              <w:rPr>
                <w:sz w:val="22"/>
                <w:szCs w:val="22"/>
              </w:rPr>
              <w:t> </w:t>
            </w:r>
            <w:r w:rsidRPr="00EB3906">
              <w:rPr>
                <w:sz w:val="22"/>
                <w:szCs w:val="22"/>
              </w:rPr>
              <w:t xml:space="preserve">mg /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0E1C11EC" w14:textId="77777777" w:rsidR="006F54D9" w:rsidRPr="00EB3906" w:rsidRDefault="006F54D9" w:rsidP="00A56EA2">
            <w:pPr>
              <w:pStyle w:val="Default"/>
              <w:rPr>
                <w:sz w:val="22"/>
                <w:szCs w:val="22"/>
              </w:rPr>
            </w:pPr>
            <w:r w:rsidRPr="00EB3906">
              <w:rPr>
                <w:sz w:val="22"/>
                <w:szCs w:val="22"/>
              </w:rPr>
              <w:t>Sofosbuviras:</w:t>
            </w:r>
          </w:p>
          <w:p w14:paraId="65E8354B" w14:textId="77777777" w:rsidR="006F54D9" w:rsidRPr="00EB3906" w:rsidRDefault="006F54D9" w:rsidP="00A56EA2">
            <w:pPr>
              <w:pStyle w:val="Default"/>
              <w:rPr>
                <w:sz w:val="22"/>
                <w:szCs w:val="22"/>
              </w:rPr>
            </w:pPr>
            <w:r w:rsidRPr="00EB3906">
              <w:rPr>
                <w:sz w:val="22"/>
                <w:szCs w:val="22"/>
              </w:rPr>
              <w:t>AUC: ↔</w:t>
            </w:r>
          </w:p>
          <w:p w14:paraId="18515EAE" w14:textId="7C175007" w:rsidR="006F54D9" w:rsidRPr="00EB3906" w:rsidRDefault="006F54D9" w:rsidP="00A56EA2">
            <w:pPr>
              <w:pStyle w:val="Default"/>
              <w:rPr>
                <w:sz w:val="22"/>
                <w:szCs w:val="22"/>
              </w:rPr>
            </w:pPr>
            <w:r w:rsidRPr="00EB3906">
              <w:rPr>
                <w:sz w:val="22"/>
                <w:szCs w:val="22"/>
              </w:rPr>
              <w:t>C</w:t>
            </w:r>
            <w:r w:rsidRPr="00EE7979">
              <w:rPr>
                <w:sz w:val="22"/>
              </w:rPr>
              <w:t>max</w:t>
            </w:r>
            <w:r w:rsidRPr="00EB3906">
              <w:rPr>
                <w:sz w:val="22"/>
                <w:szCs w:val="22"/>
              </w:rPr>
              <w:t>: ↔</w:t>
            </w:r>
          </w:p>
          <w:p w14:paraId="04AA0A4A" w14:textId="77777777" w:rsidR="006F54D9" w:rsidRDefault="006F54D9" w:rsidP="00A56EA2">
            <w:pPr>
              <w:pStyle w:val="Default"/>
              <w:rPr>
                <w:sz w:val="22"/>
                <w:szCs w:val="22"/>
              </w:rPr>
            </w:pPr>
          </w:p>
          <w:p w14:paraId="0A595A87" w14:textId="77777777" w:rsidR="006F54D9" w:rsidRPr="00EB3906" w:rsidRDefault="006F54D9" w:rsidP="00A56EA2">
            <w:pPr>
              <w:pStyle w:val="Default"/>
              <w:rPr>
                <w:sz w:val="22"/>
                <w:szCs w:val="22"/>
              </w:rPr>
            </w:pPr>
            <w:r w:rsidRPr="00EB3906">
              <w:rPr>
                <w:sz w:val="22"/>
                <w:szCs w:val="22"/>
              </w:rPr>
              <w:t>GS-331007</w:t>
            </w:r>
            <w:r w:rsidRPr="00EE7979">
              <w:rPr>
                <w:sz w:val="22"/>
                <w:vertAlign w:val="superscript"/>
              </w:rPr>
              <w:t>2</w:t>
            </w:r>
            <w:r w:rsidRPr="00EB3906">
              <w:rPr>
                <w:sz w:val="22"/>
                <w:szCs w:val="22"/>
              </w:rPr>
              <w:t>:</w:t>
            </w:r>
          </w:p>
          <w:p w14:paraId="20F2B5E0" w14:textId="77777777" w:rsidR="006F54D9" w:rsidRPr="00EB3906" w:rsidRDefault="006F54D9" w:rsidP="00A56EA2">
            <w:pPr>
              <w:pStyle w:val="Default"/>
              <w:rPr>
                <w:sz w:val="22"/>
                <w:szCs w:val="22"/>
              </w:rPr>
            </w:pPr>
            <w:r w:rsidRPr="00EB3906">
              <w:rPr>
                <w:sz w:val="22"/>
                <w:szCs w:val="22"/>
              </w:rPr>
              <w:t>AUC: ↔</w:t>
            </w:r>
          </w:p>
          <w:p w14:paraId="1A381B22" w14:textId="77777777" w:rsidR="006F54D9" w:rsidRPr="00EB3906" w:rsidRDefault="006F54D9" w:rsidP="00A56EA2">
            <w:pPr>
              <w:pStyle w:val="Default"/>
              <w:rPr>
                <w:sz w:val="22"/>
                <w:szCs w:val="22"/>
              </w:rPr>
            </w:pPr>
            <w:r w:rsidRPr="00EB3906">
              <w:rPr>
                <w:sz w:val="22"/>
                <w:szCs w:val="22"/>
              </w:rPr>
              <w:t>C</w:t>
            </w:r>
            <w:r w:rsidRPr="00EE7979">
              <w:rPr>
                <w:sz w:val="22"/>
              </w:rPr>
              <w:t>max</w:t>
            </w:r>
            <w:r w:rsidRPr="00EB3906">
              <w:rPr>
                <w:sz w:val="22"/>
                <w:szCs w:val="22"/>
              </w:rPr>
              <w:t>: ↔</w:t>
            </w:r>
          </w:p>
          <w:p w14:paraId="7575A923" w14:textId="42D0C677" w:rsidR="006F54D9" w:rsidRPr="00EB3906" w:rsidRDefault="006F54D9" w:rsidP="00A56EA2">
            <w:pPr>
              <w:pStyle w:val="Default"/>
              <w:rPr>
                <w:sz w:val="22"/>
                <w:szCs w:val="22"/>
              </w:rPr>
            </w:pPr>
            <w:r w:rsidRPr="00EB3906">
              <w:rPr>
                <w:sz w:val="22"/>
                <w:szCs w:val="22"/>
              </w:rPr>
              <w:t>C</w:t>
            </w:r>
            <w:r w:rsidRPr="00EE7979">
              <w:rPr>
                <w:sz w:val="22"/>
              </w:rPr>
              <w:t>min</w:t>
            </w:r>
            <w:r w:rsidRPr="00EB3906">
              <w:rPr>
                <w:sz w:val="22"/>
                <w:szCs w:val="22"/>
              </w:rPr>
              <w:t xml:space="preserve">: </w:t>
            </w:r>
            <w:r w:rsidR="00CF5A77" w:rsidRPr="00EB3906">
              <w:rPr>
                <w:sz w:val="22"/>
                <w:szCs w:val="22"/>
              </w:rPr>
              <w:t xml:space="preserve">↑ </w:t>
            </w:r>
            <w:r w:rsidR="00CF5A77">
              <w:rPr>
                <w:sz w:val="22"/>
                <w:szCs w:val="22"/>
              </w:rPr>
              <w:t>42 </w:t>
            </w:r>
            <w:r w:rsidR="00CF5A77" w:rsidRPr="00EB3906">
              <w:rPr>
                <w:sz w:val="22"/>
                <w:szCs w:val="22"/>
              </w:rPr>
              <w:t>%</w:t>
            </w:r>
          </w:p>
          <w:p w14:paraId="3DE68FFD" w14:textId="77777777" w:rsidR="006F54D9" w:rsidRDefault="006F54D9" w:rsidP="00A56EA2">
            <w:pPr>
              <w:pStyle w:val="Default"/>
              <w:rPr>
                <w:sz w:val="22"/>
                <w:szCs w:val="22"/>
              </w:rPr>
            </w:pPr>
          </w:p>
          <w:p w14:paraId="5F1BA2AB" w14:textId="3ED9AF1A" w:rsidR="00CF5A77" w:rsidRPr="00EB3906" w:rsidRDefault="00CF5A77" w:rsidP="00CF5A77">
            <w:pPr>
              <w:pStyle w:val="Default"/>
              <w:rPr>
                <w:sz w:val="22"/>
                <w:szCs w:val="22"/>
              </w:rPr>
            </w:pPr>
            <w:r>
              <w:rPr>
                <w:sz w:val="22"/>
                <w:szCs w:val="22"/>
              </w:rPr>
              <w:t>Velpatasviras</w:t>
            </w:r>
            <w:r w:rsidRPr="00EB3906">
              <w:rPr>
                <w:sz w:val="22"/>
                <w:szCs w:val="22"/>
              </w:rPr>
              <w:t>:</w:t>
            </w:r>
          </w:p>
          <w:p w14:paraId="423C7095" w14:textId="0D1D46C3" w:rsidR="00CF5A77" w:rsidRPr="00EB3906" w:rsidRDefault="00CF5A77" w:rsidP="00CF5A77">
            <w:pPr>
              <w:pStyle w:val="Default"/>
              <w:rPr>
                <w:sz w:val="22"/>
                <w:szCs w:val="22"/>
              </w:rPr>
            </w:pPr>
            <w:r w:rsidRPr="00EB3906">
              <w:rPr>
                <w:sz w:val="22"/>
                <w:szCs w:val="22"/>
              </w:rPr>
              <w:t xml:space="preserve">AUC: ↑ </w:t>
            </w:r>
            <w:r>
              <w:rPr>
                <w:sz w:val="22"/>
                <w:szCs w:val="22"/>
              </w:rPr>
              <w:t>142 </w:t>
            </w:r>
            <w:r w:rsidRPr="00EB3906">
              <w:rPr>
                <w:sz w:val="22"/>
                <w:szCs w:val="22"/>
              </w:rPr>
              <w:t>%</w:t>
            </w:r>
          </w:p>
          <w:p w14:paraId="23B7E4A3" w14:textId="700530CA" w:rsidR="00CF5A77" w:rsidRDefault="00CF5A77" w:rsidP="00CF5A77">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55 </w:t>
            </w:r>
            <w:r w:rsidRPr="00EB3906">
              <w:rPr>
                <w:sz w:val="22"/>
                <w:szCs w:val="22"/>
              </w:rPr>
              <w:t>%</w:t>
            </w:r>
          </w:p>
          <w:p w14:paraId="6D5B9BD1" w14:textId="7F11E7DC" w:rsidR="006F54D9" w:rsidRDefault="00CF5A77" w:rsidP="00CF5A77">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301 </w:t>
            </w:r>
            <w:r w:rsidRPr="00EB3906">
              <w:rPr>
                <w:sz w:val="22"/>
                <w:szCs w:val="22"/>
              </w:rPr>
              <w:t>%</w:t>
            </w:r>
          </w:p>
          <w:p w14:paraId="6CF8D329" w14:textId="77777777" w:rsidR="00CF5A77" w:rsidRDefault="00CF5A77" w:rsidP="00A56EA2">
            <w:pPr>
              <w:pStyle w:val="Default"/>
              <w:rPr>
                <w:sz w:val="22"/>
                <w:szCs w:val="22"/>
              </w:rPr>
            </w:pPr>
          </w:p>
          <w:p w14:paraId="6E759403" w14:textId="7937665C" w:rsidR="006F54D9" w:rsidRPr="00EB3906" w:rsidRDefault="00CF5A77" w:rsidP="00A56EA2">
            <w:pPr>
              <w:pStyle w:val="Default"/>
              <w:rPr>
                <w:sz w:val="22"/>
                <w:szCs w:val="22"/>
              </w:rPr>
            </w:pPr>
            <w:r>
              <w:rPr>
                <w:sz w:val="22"/>
                <w:szCs w:val="22"/>
              </w:rPr>
              <w:t>Atazanaviras</w:t>
            </w:r>
            <w:r w:rsidR="006F54D9" w:rsidRPr="00EB3906">
              <w:rPr>
                <w:sz w:val="22"/>
                <w:szCs w:val="22"/>
              </w:rPr>
              <w:t>:</w:t>
            </w:r>
          </w:p>
          <w:p w14:paraId="2FBC374B" w14:textId="77777777" w:rsidR="006F54D9" w:rsidRPr="00EB3906" w:rsidRDefault="006F54D9" w:rsidP="00A56EA2">
            <w:pPr>
              <w:pStyle w:val="Default"/>
              <w:rPr>
                <w:sz w:val="22"/>
                <w:szCs w:val="22"/>
              </w:rPr>
            </w:pPr>
            <w:r w:rsidRPr="00EB3906">
              <w:rPr>
                <w:sz w:val="22"/>
                <w:szCs w:val="22"/>
              </w:rPr>
              <w:t>AUC: ↔</w:t>
            </w:r>
          </w:p>
          <w:p w14:paraId="62A209FE" w14:textId="77777777" w:rsidR="006F54D9" w:rsidRPr="00EB3906" w:rsidRDefault="006F54D9"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7D6635A1" w14:textId="021E28C5" w:rsidR="006F54D9" w:rsidRPr="00EB3906" w:rsidRDefault="006F54D9"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00CF5A77" w:rsidRPr="00EB3906">
              <w:rPr>
                <w:sz w:val="22"/>
                <w:szCs w:val="22"/>
              </w:rPr>
              <w:t xml:space="preserve">↑ </w:t>
            </w:r>
            <w:r w:rsidR="00CF5A77">
              <w:rPr>
                <w:sz w:val="22"/>
                <w:szCs w:val="22"/>
              </w:rPr>
              <w:t>39 </w:t>
            </w:r>
            <w:r w:rsidR="00CF5A77" w:rsidRPr="00EB3906">
              <w:rPr>
                <w:sz w:val="22"/>
                <w:szCs w:val="22"/>
              </w:rPr>
              <w:t>%</w:t>
            </w:r>
          </w:p>
          <w:p w14:paraId="552451F4" w14:textId="77777777" w:rsidR="006F54D9" w:rsidRDefault="006F54D9" w:rsidP="00A56EA2">
            <w:pPr>
              <w:pStyle w:val="Default"/>
              <w:rPr>
                <w:sz w:val="22"/>
                <w:szCs w:val="22"/>
              </w:rPr>
            </w:pPr>
          </w:p>
          <w:p w14:paraId="711D64CD" w14:textId="747BE8F4" w:rsidR="00CF5A77" w:rsidRPr="00EB3906" w:rsidRDefault="00CF5A77" w:rsidP="00CF5A77">
            <w:pPr>
              <w:pStyle w:val="Default"/>
              <w:rPr>
                <w:sz w:val="22"/>
                <w:szCs w:val="22"/>
              </w:rPr>
            </w:pPr>
            <w:r>
              <w:rPr>
                <w:sz w:val="22"/>
                <w:szCs w:val="22"/>
              </w:rPr>
              <w:t>Ritonaviras</w:t>
            </w:r>
            <w:r w:rsidRPr="00EB3906">
              <w:rPr>
                <w:sz w:val="22"/>
                <w:szCs w:val="22"/>
              </w:rPr>
              <w:t>:</w:t>
            </w:r>
          </w:p>
          <w:p w14:paraId="0FB10184" w14:textId="77777777" w:rsidR="00CF5A77" w:rsidRPr="00EB3906" w:rsidRDefault="00CF5A77" w:rsidP="00CF5A77">
            <w:pPr>
              <w:pStyle w:val="Default"/>
              <w:rPr>
                <w:sz w:val="22"/>
                <w:szCs w:val="22"/>
              </w:rPr>
            </w:pPr>
            <w:r w:rsidRPr="00EB3906">
              <w:rPr>
                <w:sz w:val="22"/>
                <w:szCs w:val="22"/>
              </w:rPr>
              <w:t>AUC: ↔</w:t>
            </w:r>
          </w:p>
          <w:p w14:paraId="1493CDCB" w14:textId="77777777" w:rsidR="00CF5A77" w:rsidRPr="00EB3906" w:rsidRDefault="00CF5A77" w:rsidP="00CF5A77">
            <w:pPr>
              <w:pStyle w:val="Default"/>
              <w:rPr>
                <w:sz w:val="22"/>
                <w:szCs w:val="22"/>
              </w:rPr>
            </w:pPr>
            <w:r w:rsidRPr="00EB3906">
              <w:rPr>
                <w:sz w:val="22"/>
                <w:szCs w:val="22"/>
              </w:rPr>
              <w:t>C</w:t>
            </w:r>
            <w:r w:rsidRPr="006F54D9">
              <w:rPr>
                <w:sz w:val="22"/>
                <w:szCs w:val="22"/>
              </w:rPr>
              <w:t>max</w:t>
            </w:r>
            <w:r w:rsidRPr="00EB3906">
              <w:rPr>
                <w:sz w:val="22"/>
                <w:szCs w:val="22"/>
              </w:rPr>
              <w:t>: ↔</w:t>
            </w:r>
          </w:p>
          <w:p w14:paraId="054A9800" w14:textId="5D36FE33" w:rsidR="00CF5A77" w:rsidRPr="00EB3906" w:rsidRDefault="00CF5A77" w:rsidP="00CF5A77">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29 </w:t>
            </w:r>
            <w:r w:rsidRPr="00EB3906">
              <w:rPr>
                <w:sz w:val="22"/>
                <w:szCs w:val="22"/>
              </w:rPr>
              <w:t>%</w:t>
            </w:r>
          </w:p>
          <w:p w14:paraId="5F55940B" w14:textId="77777777" w:rsidR="00CF5A77" w:rsidRDefault="00CF5A77" w:rsidP="00A56EA2">
            <w:pPr>
              <w:pStyle w:val="Default"/>
              <w:rPr>
                <w:sz w:val="22"/>
                <w:szCs w:val="22"/>
              </w:rPr>
            </w:pPr>
          </w:p>
          <w:p w14:paraId="6D68F034" w14:textId="77777777" w:rsidR="006F54D9" w:rsidRPr="00EB3906" w:rsidRDefault="006F54D9" w:rsidP="00A56EA2">
            <w:pPr>
              <w:pStyle w:val="Default"/>
              <w:rPr>
                <w:sz w:val="22"/>
                <w:szCs w:val="22"/>
              </w:rPr>
            </w:pPr>
            <w:r w:rsidRPr="00EB3906">
              <w:rPr>
                <w:sz w:val="22"/>
                <w:szCs w:val="22"/>
              </w:rPr>
              <w:t>Emtricitabinas:</w:t>
            </w:r>
          </w:p>
          <w:p w14:paraId="6DD3F0AD" w14:textId="77777777" w:rsidR="006F54D9" w:rsidRPr="00EB3906" w:rsidRDefault="006F54D9" w:rsidP="00A56EA2">
            <w:pPr>
              <w:pStyle w:val="Default"/>
              <w:rPr>
                <w:sz w:val="22"/>
                <w:szCs w:val="22"/>
              </w:rPr>
            </w:pPr>
            <w:r w:rsidRPr="00EB3906">
              <w:rPr>
                <w:sz w:val="22"/>
                <w:szCs w:val="22"/>
              </w:rPr>
              <w:t>AUC: ↔</w:t>
            </w:r>
          </w:p>
          <w:p w14:paraId="76C50B5D" w14:textId="77777777" w:rsidR="006F54D9" w:rsidRPr="00EB3906" w:rsidRDefault="006F54D9" w:rsidP="00A56EA2">
            <w:pPr>
              <w:pStyle w:val="Default"/>
              <w:rPr>
                <w:sz w:val="22"/>
                <w:szCs w:val="22"/>
              </w:rPr>
            </w:pPr>
            <w:r w:rsidRPr="00EB3906">
              <w:rPr>
                <w:sz w:val="22"/>
                <w:szCs w:val="22"/>
              </w:rPr>
              <w:t>C</w:t>
            </w:r>
            <w:r w:rsidRPr="00EE7979">
              <w:rPr>
                <w:sz w:val="22"/>
              </w:rPr>
              <w:t>max</w:t>
            </w:r>
            <w:r w:rsidRPr="00EB3906">
              <w:rPr>
                <w:sz w:val="22"/>
                <w:szCs w:val="22"/>
              </w:rPr>
              <w:t>: ↔</w:t>
            </w:r>
          </w:p>
          <w:p w14:paraId="0051EBFF" w14:textId="77777777" w:rsidR="006F54D9" w:rsidRPr="00EB3906" w:rsidRDefault="006F54D9" w:rsidP="00A56EA2">
            <w:pPr>
              <w:pStyle w:val="Default"/>
              <w:rPr>
                <w:sz w:val="22"/>
                <w:szCs w:val="22"/>
              </w:rPr>
            </w:pPr>
            <w:r w:rsidRPr="00EB3906">
              <w:rPr>
                <w:sz w:val="22"/>
                <w:szCs w:val="22"/>
              </w:rPr>
              <w:t>C</w:t>
            </w:r>
            <w:r w:rsidRPr="00EE7979">
              <w:rPr>
                <w:sz w:val="22"/>
              </w:rPr>
              <w:t>min</w:t>
            </w:r>
            <w:r w:rsidRPr="00EB3906">
              <w:rPr>
                <w:sz w:val="22"/>
                <w:szCs w:val="22"/>
              </w:rPr>
              <w:t>: ↔</w:t>
            </w:r>
          </w:p>
          <w:p w14:paraId="61D736D4" w14:textId="77777777" w:rsidR="006F54D9" w:rsidRDefault="006F54D9" w:rsidP="00A56EA2">
            <w:pPr>
              <w:pStyle w:val="Default"/>
              <w:rPr>
                <w:sz w:val="22"/>
                <w:szCs w:val="22"/>
              </w:rPr>
            </w:pPr>
          </w:p>
          <w:p w14:paraId="185F4EC4" w14:textId="77777777" w:rsidR="006F54D9" w:rsidRPr="00EB3906" w:rsidRDefault="006F54D9" w:rsidP="00A56EA2">
            <w:pPr>
              <w:pStyle w:val="Default"/>
              <w:rPr>
                <w:sz w:val="22"/>
                <w:szCs w:val="22"/>
              </w:rPr>
            </w:pPr>
            <w:r w:rsidRPr="00EB3906">
              <w:rPr>
                <w:sz w:val="22"/>
                <w:szCs w:val="22"/>
              </w:rPr>
              <w:lastRenderedPageBreak/>
              <w:t>Tenofoviras:</w:t>
            </w:r>
          </w:p>
          <w:p w14:paraId="1B5D7EB6" w14:textId="7D0C8A59" w:rsidR="006F54D9" w:rsidRPr="00EB3906" w:rsidRDefault="006F54D9" w:rsidP="00A56EA2">
            <w:pPr>
              <w:pStyle w:val="Default"/>
              <w:rPr>
                <w:sz w:val="22"/>
                <w:szCs w:val="22"/>
              </w:rPr>
            </w:pPr>
            <w:r w:rsidRPr="00EB3906">
              <w:rPr>
                <w:sz w:val="22"/>
                <w:szCs w:val="22"/>
              </w:rPr>
              <w:t xml:space="preserve">AUC: </w:t>
            </w:r>
            <w:r w:rsidR="00CF5A77" w:rsidRPr="00EB3906">
              <w:rPr>
                <w:sz w:val="22"/>
                <w:szCs w:val="22"/>
              </w:rPr>
              <w:t>↔</w:t>
            </w:r>
          </w:p>
          <w:p w14:paraId="6CD2C6DC" w14:textId="5E5A8AC9" w:rsidR="006F54D9" w:rsidRDefault="006F54D9" w:rsidP="00A56EA2">
            <w:pPr>
              <w:pStyle w:val="Default"/>
              <w:rPr>
                <w:sz w:val="22"/>
                <w:szCs w:val="22"/>
              </w:rPr>
            </w:pPr>
            <w:r w:rsidRPr="00EB3906">
              <w:rPr>
                <w:sz w:val="22"/>
                <w:szCs w:val="22"/>
              </w:rPr>
              <w:t>C</w:t>
            </w:r>
            <w:r w:rsidRPr="00EE7979">
              <w:rPr>
                <w:sz w:val="22"/>
              </w:rPr>
              <w:t>max</w:t>
            </w:r>
            <w:r w:rsidRPr="00EB3906">
              <w:rPr>
                <w:sz w:val="22"/>
                <w:szCs w:val="22"/>
              </w:rPr>
              <w:t xml:space="preserve">: ↑ </w:t>
            </w:r>
            <w:r w:rsidR="00CF5A77">
              <w:rPr>
                <w:sz w:val="22"/>
                <w:szCs w:val="22"/>
              </w:rPr>
              <w:t>55</w:t>
            </w:r>
            <w:r>
              <w:rPr>
                <w:sz w:val="22"/>
                <w:szCs w:val="22"/>
              </w:rPr>
              <w:t> </w:t>
            </w:r>
            <w:r w:rsidRPr="00EB3906">
              <w:rPr>
                <w:sz w:val="22"/>
                <w:szCs w:val="22"/>
              </w:rPr>
              <w:t>%</w:t>
            </w:r>
          </w:p>
          <w:p w14:paraId="6D23CF58" w14:textId="528B2CC4" w:rsidR="006F54D9" w:rsidRPr="00EB3906" w:rsidRDefault="006F54D9" w:rsidP="00CF5A77">
            <w:pPr>
              <w:pStyle w:val="Default"/>
              <w:rPr>
                <w:sz w:val="22"/>
                <w:szCs w:val="22"/>
              </w:rPr>
            </w:pPr>
            <w:r w:rsidRPr="00EB3906">
              <w:rPr>
                <w:sz w:val="22"/>
                <w:szCs w:val="22"/>
              </w:rPr>
              <w:t>C</w:t>
            </w:r>
            <w:r w:rsidRPr="00EE7979">
              <w:rPr>
                <w:sz w:val="22"/>
              </w:rPr>
              <w:t>min</w:t>
            </w:r>
            <w:r w:rsidRPr="00EB3906">
              <w:rPr>
                <w:sz w:val="22"/>
                <w:szCs w:val="22"/>
              </w:rPr>
              <w:t xml:space="preserve">: ↑ </w:t>
            </w:r>
            <w:r w:rsidR="00CF5A77">
              <w:rPr>
                <w:sz w:val="22"/>
                <w:szCs w:val="22"/>
              </w:rPr>
              <w:t>39</w:t>
            </w:r>
            <w:r>
              <w:rPr>
                <w:sz w:val="22"/>
                <w:szCs w:val="22"/>
              </w:rPr>
              <w:t>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07C9E670" w14:textId="21C1EB7B" w:rsidR="00307D20" w:rsidRDefault="00CF5A77" w:rsidP="00307D20">
            <w:pPr>
              <w:pStyle w:val="Default"/>
              <w:rPr>
                <w:sz w:val="22"/>
                <w:szCs w:val="22"/>
              </w:rPr>
            </w:pPr>
            <w:r w:rsidRPr="00CF5A77">
              <w:rPr>
                <w:sz w:val="22"/>
                <w:szCs w:val="22"/>
              </w:rPr>
              <w:lastRenderedPageBreak/>
              <w:t xml:space="preserve">Dėl tenofoviro dizoproksilio, sofosbuviro / velpatasviro ir atazanaviro / ritonaviro vartojimo kartu padidėjusi tenofoviro koncentracija </w:t>
            </w:r>
            <w:r w:rsidR="00307D20">
              <w:rPr>
                <w:sz w:val="22"/>
                <w:szCs w:val="22"/>
              </w:rPr>
              <w:t xml:space="preserve">kraujo </w:t>
            </w:r>
            <w:r w:rsidRPr="00CF5A77">
              <w:rPr>
                <w:sz w:val="22"/>
                <w:szCs w:val="22"/>
              </w:rPr>
              <w:t>plazmoje gali padidinti su tenofoviru dizoproksiliu susijusias nepageidaujamas reakcijas, įskaitant inkstų sutrikimus. Tenofoviro dizoproksilio saugumas vartojant kartu su sofosbuviru / velpatasviru ir farmakokinetiką stiprinančia medžiaga (pvz., ritonaviru arba kobicistatu) ne</w:t>
            </w:r>
            <w:r w:rsidR="00307D20">
              <w:rPr>
                <w:sz w:val="22"/>
                <w:szCs w:val="22"/>
              </w:rPr>
              <w:t>nustatytas</w:t>
            </w:r>
            <w:r w:rsidRPr="00CF5A77">
              <w:rPr>
                <w:sz w:val="22"/>
                <w:szCs w:val="22"/>
              </w:rPr>
              <w:t>.</w:t>
            </w:r>
            <w:r w:rsidR="00307D20">
              <w:rPr>
                <w:sz w:val="22"/>
                <w:szCs w:val="22"/>
              </w:rPr>
              <w:t xml:space="preserve"> </w:t>
            </w:r>
          </w:p>
          <w:p w14:paraId="6BC6D075" w14:textId="77777777" w:rsidR="00307D20" w:rsidRDefault="00307D20" w:rsidP="00307D20">
            <w:pPr>
              <w:pStyle w:val="Default"/>
              <w:rPr>
                <w:sz w:val="22"/>
                <w:szCs w:val="22"/>
              </w:rPr>
            </w:pPr>
          </w:p>
          <w:p w14:paraId="11D652B1" w14:textId="6799FF39" w:rsidR="006F54D9" w:rsidRPr="00EB3906" w:rsidRDefault="00CF5A77" w:rsidP="00307D20">
            <w:pPr>
              <w:pStyle w:val="Default"/>
              <w:rPr>
                <w:sz w:val="22"/>
                <w:szCs w:val="22"/>
              </w:rPr>
            </w:pPr>
            <w:r w:rsidRPr="00CF5A77">
              <w:rPr>
                <w:sz w:val="22"/>
                <w:szCs w:val="22"/>
              </w:rPr>
              <w:t>Tokį derinį reikia vartoti atsargiai, dažnai tikrinant inkstų veiklą (žr. 4.4 skyrių).</w:t>
            </w:r>
          </w:p>
        </w:tc>
      </w:tr>
      <w:tr w:rsidR="00307D20" w:rsidRPr="00EB3906" w14:paraId="18D61C83" w14:textId="77777777" w:rsidTr="00307D20">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719BC879" w14:textId="2C28EC91" w:rsidR="00307D20" w:rsidRPr="00EB3906" w:rsidRDefault="00307D20" w:rsidP="00307D20">
            <w:pPr>
              <w:pStyle w:val="Default"/>
              <w:rPr>
                <w:sz w:val="22"/>
                <w:szCs w:val="22"/>
              </w:rPr>
            </w:pPr>
            <w:r>
              <w:rPr>
                <w:sz w:val="22"/>
                <w:szCs w:val="22"/>
              </w:rPr>
              <w:t>S</w:t>
            </w:r>
            <w:r w:rsidRPr="00EB3906">
              <w:rPr>
                <w:sz w:val="22"/>
                <w:szCs w:val="22"/>
              </w:rPr>
              <w:t>ofosbuviras</w:t>
            </w:r>
            <w:r>
              <w:rPr>
                <w:sz w:val="22"/>
                <w:szCs w:val="22"/>
              </w:rPr>
              <w:t xml:space="preserve"> /Velpatasviras </w:t>
            </w:r>
            <w:r w:rsidRPr="00EB3906">
              <w:rPr>
                <w:sz w:val="22"/>
                <w:szCs w:val="22"/>
              </w:rPr>
              <w:t>(</w:t>
            </w:r>
            <w:r>
              <w:rPr>
                <w:sz w:val="22"/>
                <w:szCs w:val="22"/>
              </w:rPr>
              <w:t>400 </w:t>
            </w:r>
            <w:r w:rsidRPr="00EB3906">
              <w:rPr>
                <w:sz w:val="22"/>
                <w:szCs w:val="22"/>
              </w:rPr>
              <w:t xml:space="preserve">mg / </w:t>
            </w:r>
            <w:r>
              <w:rPr>
                <w:sz w:val="22"/>
                <w:szCs w:val="22"/>
              </w:rPr>
              <w:t>1</w:t>
            </w:r>
            <w:r w:rsidRPr="00EB3906">
              <w:rPr>
                <w:sz w:val="22"/>
                <w:szCs w:val="22"/>
              </w:rPr>
              <w:t>00</w:t>
            </w:r>
            <w:r>
              <w:rPr>
                <w:sz w:val="22"/>
                <w:szCs w:val="22"/>
              </w:rPr>
              <w:t> </w:t>
            </w:r>
            <w:r w:rsidRPr="00EB3906">
              <w:rPr>
                <w:sz w:val="22"/>
                <w:szCs w:val="22"/>
              </w:rPr>
              <w:t>mg q.d.) +</w:t>
            </w:r>
            <w:r>
              <w:rPr>
                <w:sz w:val="22"/>
                <w:szCs w:val="22"/>
              </w:rPr>
              <w:t xml:space="preserve"> Darunaviras / Ritonaviras (800 </w:t>
            </w:r>
            <w:r w:rsidRPr="00EB3906">
              <w:rPr>
                <w:sz w:val="22"/>
                <w:szCs w:val="22"/>
              </w:rPr>
              <w:t>mg q.d</w:t>
            </w:r>
            <w:r>
              <w:rPr>
                <w:sz w:val="22"/>
                <w:szCs w:val="22"/>
              </w:rPr>
              <w:t xml:space="preserve"> / 100 mg q.d.) + Emtricitabinas / Tenofoviras dizoproksilis </w:t>
            </w:r>
            <w:r w:rsidRPr="00EB3906">
              <w:rPr>
                <w:sz w:val="22"/>
                <w:szCs w:val="22"/>
              </w:rPr>
              <w:t>(200</w:t>
            </w:r>
            <w:r>
              <w:rPr>
                <w:sz w:val="22"/>
                <w:szCs w:val="22"/>
              </w:rPr>
              <w:t> </w:t>
            </w:r>
            <w:r w:rsidRPr="00EB3906">
              <w:rPr>
                <w:sz w:val="22"/>
                <w:szCs w:val="22"/>
              </w:rPr>
              <w:t xml:space="preserve">mg /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0066C36C" w14:textId="77777777" w:rsidR="00307D20" w:rsidRPr="00EB3906" w:rsidRDefault="00307D20" w:rsidP="00A56EA2">
            <w:pPr>
              <w:pStyle w:val="Default"/>
              <w:rPr>
                <w:sz w:val="22"/>
                <w:szCs w:val="22"/>
              </w:rPr>
            </w:pPr>
            <w:r w:rsidRPr="00EB3906">
              <w:rPr>
                <w:sz w:val="22"/>
                <w:szCs w:val="22"/>
              </w:rPr>
              <w:t>Sofosbuviras:</w:t>
            </w:r>
          </w:p>
          <w:p w14:paraId="0163A449" w14:textId="0E188674" w:rsidR="00307D20" w:rsidRPr="00EB3906" w:rsidRDefault="00307D20" w:rsidP="00A56EA2">
            <w:pPr>
              <w:pStyle w:val="Default"/>
              <w:rPr>
                <w:sz w:val="22"/>
                <w:szCs w:val="22"/>
              </w:rPr>
            </w:pPr>
            <w:r w:rsidRPr="00EB3906">
              <w:rPr>
                <w:sz w:val="22"/>
                <w:szCs w:val="22"/>
              </w:rPr>
              <w:t xml:space="preserve">AUC: </w:t>
            </w:r>
            <w:r w:rsidRPr="00945A0C">
              <w:rPr>
                <w:color w:val="auto"/>
                <w:sz w:val="22"/>
                <w:szCs w:val="22"/>
                <w:lang w:eastAsia="en-US"/>
              </w:rPr>
              <w:t>↓ 28 %</w:t>
            </w:r>
          </w:p>
          <w:p w14:paraId="66A231C7" w14:textId="2205F991"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w:t>
            </w:r>
            <w:r w:rsidRPr="00945A0C">
              <w:rPr>
                <w:color w:val="auto"/>
                <w:sz w:val="22"/>
                <w:szCs w:val="22"/>
                <w:lang w:eastAsia="en-US"/>
              </w:rPr>
              <w:t>↓ 38 %</w:t>
            </w:r>
          </w:p>
          <w:p w14:paraId="775C7C6A" w14:textId="77777777" w:rsidR="00307D20" w:rsidRDefault="00307D20" w:rsidP="00A56EA2">
            <w:pPr>
              <w:pStyle w:val="Default"/>
              <w:rPr>
                <w:sz w:val="22"/>
                <w:szCs w:val="22"/>
              </w:rPr>
            </w:pPr>
          </w:p>
          <w:p w14:paraId="321DDADB" w14:textId="77777777" w:rsidR="00307D20" w:rsidRPr="00EB3906" w:rsidRDefault="00307D20" w:rsidP="00A56EA2">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3E61D010" w14:textId="77777777" w:rsidR="00307D20" w:rsidRPr="00EB3906" w:rsidRDefault="00307D20" w:rsidP="00A56EA2">
            <w:pPr>
              <w:pStyle w:val="Default"/>
              <w:rPr>
                <w:sz w:val="22"/>
                <w:szCs w:val="22"/>
              </w:rPr>
            </w:pPr>
            <w:r w:rsidRPr="00EB3906">
              <w:rPr>
                <w:sz w:val="22"/>
                <w:szCs w:val="22"/>
              </w:rPr>
              <w:t>AUC: ↔</w:t>
            </w:r>
          </w:p>
          <w:p w14:paraId="4977BABF"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11440F6D" w14:textId="22CDB0FB"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7B107A7F" w14:textId="77777777" w:rsidR="00307D20" w:rsidRDefault="00307D20" w:rsidP="00A56EA2">
            <w:pPr>
              <w:pStyle w:val="Default"/>
              <w:rPr>
                <w:sz w:val="22"/>
                <w:szCs w:val="22"/>
              </w:rPr>
            </w:pPr>
          </w:p>
          <w:p w14:paraId="4238594A" w14:textId="77777777" w:rsidR="00307D20" w:rsidRPr="00EB3906" w:rsidRDefault="00307D20" w:rsidP="00A56EA2">
            <w:pPr>
              <w:pStyle w:val="Default"/>
              <w:rPr>
                <w:sz w:val="22"/>
                <w:szCs w:val="22"/>
              </w:rPr>
            </w:pPr>
            <w:r>
              <w:rPr>
                <w:sz w:val="22"/>
                <w:szCs w:val="22"/>
              </w:rPr>
              <w:t>Velpatasviras</w:t>
            </w:r>
            <w:r w:rsidRPr="00EB3906">
              <w:rPr>
                <w:sz w:val="22"/>
                <w:szCs w:val="22"/>
              </w:rPr>
              <w:t>:</w:t>
            </w:r>
          </w:p>
          <w:p w14:paraId="06C64F2B" w14:textId="5834B03B" w:rsidR="00307D20" w:rsidRPr="00EB3906" w:rsidRDefault="00307D20" w:rsidP="00A56EA2">
            <w:pPr>
              <w:pStyle w:val="Default"/>
              <w:rPr>
                <w:sz w:val="22"/>
                <w:szCs w:val="22"/>
              </w:rPr>
            </w:pPr>
            <w:r w:rsidRPr="00EB3906">
              <w:rPr>
                <w:sz w:val="22"/>
                <w:szCs w:val="22"/>
              </w:rPr>
              <w:t>AUC: ↔</w:t>
            </w:r>
          </w:p>
          <w:p w14:paraId="00D7CB97" w14:textId="529DFF40" w:rsidR="00307D20"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w:t>
            </w:r>
            <w:r w:rsidRPr="00945A0C">
              <w:rPr>
                <w:color w:val="auto"/>
                <w:sz w:val="22"/>
                <w:szCs w:val="22"/>
                <w:lang w:eastAsia="en-US"/>
              </w:rPr>
              <w:t>↓ 24 %</w:t>
            </w:r>
          </w:p>
          <w:p w14:paraId="71A9FE59" w14:textId="79EACDD7" w:rsidR="00307D20"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218F99C4" w14:textId="77777777" w:rsidR="00307D20" w:rsidRDefault="00307D20" w:rsidP="00A56EA2">
            <w:pPr>
              <w:pStyle w:val="Default"/>
              <w:rPr>
                <w:sz w:val="22"/>
                <w:szCs w:val="22"/>
              </w:rPr>
            </w:pPr>
          </w:p>
          <w:p w14:paraId="1D0AB5C5" w14:textId="22647B45" w:rsidR="00307D20" w:rsidRPr="00EB3906" w:rsidRDefault="00307D20" w:rsidP="00A56EA2">
            <w:pPr>
              <w:pStyle w:val="Default"/>
              <w:rPr>
                <w:sz w:val="22"/>
                <w:szCs w:val="22"/>
              </w:rPr>
            </w:pPr>
            <w:r>
              <w:rPr>
                <w:sz w:val="22"/>
                <w:szCs w:val="22"/>
              </w:rPr>
              <w:t>Darunaviras</w:t>
            </w:r>
            <w:r w:rsidRPr="00EB3906">
              <w:rPr>
                <w:sz w:val="22"/>
                <w:szCs w:val="22"/>
              </w:rPr>
              <w:t>:</w:t>
            </w:r>
          </w:p>
          <w:p w14:paraId="3EEBF792" w14:textId="77777777" w:rsidR="00307D20" w:rsidRPr="00EB3906" w:rsidRDefault="00307D20" w:rsidP="00A56EA2">
            <w:pPr>
              <w:pStyle w:val="Default"/>
              <w:rPr>
                <w:sz w:val="22"/>
                <w:szCs w:val="22"/>
              </w:rPr>
            </w:pPr>
            <w:r w:rsidRPr="00EB3906">
              <w:rPr>
                <w:sz w:val="22"/>
                <w:szCs w:val="22"/>
              </w:rPr>
              <w:t>AUC: ↔</w:t>
            </w:r>
          </w:p>
          <w:p w14:paraId="7D856DEF"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02D7581F" w14:textId="4496C1C2"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1A5C5F20" w14:textId="77777777" w:rsidR="00307D20" w:rsidRDefault="00307D20" w:rsidP="00A56EA2">
            <w:pPr>
              <w:pStyle w:val="Default"/>
              <w:rPr>
                <w:sz w:val="22"/>
                <w:szCs w:val="22"/>
              </w:rPr>
            </w:pPr>
          </w:p>
          <w:p w14:paraId="64BA1B80" w14:textId="77777777" w:rsidR="00307D20" w:rsidRPr="00EB3906" w:rsidRDefault="00307D20" w:rsidP="00A56EA2">
            <w:pPr>
              <w:pStyle w:val="Default"/>
              <w:rPr>
                <w:sz w:val="22"/>
                <w:szCs w:val="22"/>
              </w:rPr>
            </w:pPr>
            <w:r>
              <w:rPr>
                <w:sz w:val="22"/>
                <w:szCs w:val="22"/>
              </w:rPr>
              <w:t>Ritonaviras</w:t>
            </w:r>
            <w:r w:rsidRPr="00EB3906">
              <w:rPr>
                <w:sz w:val="22"/>
                <w:szCs w:val="22"/>
              </w:rPr>
              <w:t>:</w:t>
            </w:r>
          </w:p>
          <w:p w14:paraId="52BDFC47" w14:textId="77777777" w:rsidR="00307D20" w:rsidRPr="00EB3906" w:rsidRDefault="00307D20" w:rsidP="00A56EA2">
            <w:pPr>
              <w:pStyle w:val="Default"/>
              <w:rPr>
                <w:sz w:val="22"/>
                <w:szCs w:val="22"/>
              </w:rPr>
            </w:pPr>
            <w:r w:rsidRPr="00EB3906">
              <w:rPr>
                <w:sz w:val="22"/>
                <w:szCs w:val="22"/>
              </w:rPr>
              <w:t>AUC: ↔</w:t>
            </w:r>
          </w:p>
          <w:p w14:paraId="5D841685"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2F60C748" w14:textId="687E0C07"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307D20">
              <w:rPr>
                <w:sz w:val="22"/>
                <w:szCs w:val="22"/>
              </w:rPr>
              <w:t>↔</w:t>
            </w:r>
          </w:p>
          <w:p w14:paraId="2EC9DC44" w14:textId="77777777" w:rsidR="00307D20" w:rsidRDefault="00307D20" w:rsidP="00A56EA2">
            <w:pPr>
              <w:pStyle w:val="Default"/>
              <w:rPr>
                <w:sz w:val="22"/>
                <w:szCs w:val="22"/>
              </w:rPr>
            </w:pPr>
          </w:p>
          <w:p w14:paraId="1113DEA5" w14:textId="77777777" w:rsidR="00307D20" w:rsidRPr="00EB3906" w:rsidRDefault="00307D20" w:rsidP="00A56EA2">
            <w:pPr>
              <w:pStyle w:val="Default"/>
              <w:rPr>
                <w:sz w:val="22"/>
                <w:szCs w:val="22"/>
              </w:rPr>
            </w:pPr>
            <w:r w:rsidRPr="00EB3906">
              <w:rPr>
                <w:sz w:val="22"/>
                <w:szCs w:val="22"/>
              </w:rPr>
              <w:t>Emtricitabinas:</w:t>
            </w:r>
          </w:p>
          <w:p w14:paraId="42510D6C" w14:textId="77777777" w:rsidR="00307D20" w:rsidRPr="00EB3906" w:rsidRDefault="00307D20" w:rsidP="00A56EA2">
            <w:pPr>
              <w:pStyle w:val="Default"/>
              <w:rPr>
                <w:sz w:val="22"/>
                <w:szCs w:val="22"/>
              </w:rPr>
            </w:pPr>
            <w:r w:rsidRPr="00EB3906">
              <w:rPr>
                <w:sz w:val="22"/>
                <w:szCs w:val="22"/>
              </w:rPr>
              <w:t>AUC: ↔</w:t>
            </w:r>
          </w:p>
          <w:p w14:paraId="3A7CCBE4"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60A6B3A1" w14:textId="77777777"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76462477" w14:textId="77777777" w:rsidR="00307D20" w:rsidRDefault="00307D20" w:rsidP="00A56EA2">
            <w:pPr>
              <w:pStyle w:val="Default"/>
              <w:rPr>
                <w:sz w:val="22"/>
                <w:szCs w:val="22"/>
              </w:rPr>
            </w:pPr>
          </w:p>
          <w:p w14:paraId="7BF1E888" w14:textId="77777777" w:rsidR="00307D20" w:rsidRPr="00EB3906" w:rsidRDefault="00307D20" w:rsidP="00A56EA2">
            <w:pPr>
              <w:pStyle w:val="Default"/>
              <w:rPr>
                <w:sz w:val="22"/>
                <w:szCs w:val="22"/>
              </w:rPr>
            </w:pPr>
            <w:r w:rsidRPr="00EB3906">
              <w:rPr>
                <w:sz w:val="22"/>
                <w:szCs w:val="22"/>
              </w:rPr>
              <w:t>Tenofoviras:</w:t>
            </w:r>
          </w:p>
          <w:p w14:paraId="0A729AA0" w14:textId="7FA8AB03" w:rsidR="00307D20" w:rsidRPr="00EB3906" w:rsidRDefault="00307D20" w:rsidP="00A56EA2">
            <w:pPr>
              <w:pStyle w:val="Default"/>
              <w:rPr>
                <w:sz w:val="22"/>
                <w:szCs w:val="22"/>
              </w:rPr>
            </w:pPr>
            <w:r w:rsidRPr="00EB3906">
              <w:rPr>
                <w:sz w:val="22"/>
                <w:szCs w:val="22"/>
              </w:rPr>
              <w:t xml:space="preserve">AUC: ↑ </w:t>
            </w:r>
            <w:r>
              <w:rPr>
                <w:sz w:val="22"/>
                <w:szCs w:val="22"/>
              </w:rPr>
              <w:t>39 </w:t>
            </w:r>
            <w:r w:rsidRPr="00EB3906">
              <w:rPr>
                <w:sz w:val="22"/>
                <w:szCs w:val="22"/>
              </w:rPr>
              <w:t>%</w:t>
            </w:r>
          </w:p>
          <w:p w14:paraId="69A2B148" w14:textId="77777777" w:rsidR="00307D20"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55 </w:t>
            </w:r>
            <w:r w:rsidRPr="00EB3906">
              <w:rPr>
                <w:sz w:val="22"/>
                <w:szCs w:val="22"/>
              </w:rPr>
              <w:t>%</w:t>
            </w:r>
          </w:p>
          <w:p w14:paraId="21780A19" w14:textId="7AECAAEA" w:rsidR="00307D20" w:rsidRPr="00EB3906" w:rsidRDefault="00307D20" w:rsidP="00307D20">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52 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15282CFD" w14:textId="62378685" w:rsidR="00307D20" w:rsidRDefault="00307D20" w:rsidP="00A56EA2">
            <w:pPr>
              <w:pStyle w:val="Default"/>
              <w:rPr>
                <w:sz w:val="22"/>
                <w:szCs w:val="22"/>
              </w:rPr>
            </w:pPr>
            <w:r w:rsidRPr="00CF5A77">
              <w:rPr>
                <w:sz w:val="22"/>
                <w:szCs w:val="22"/>
              </w:rPr>
              <w:t xml:space="preserve">Dėl tenofoviro dizoproksilio, sofosbuviro / velpatasviro ir </w:t>
            </w:r>
            <w:r>
              <w:rPr>
                <w:sz w:val="22"/>
                <w:szCs w:val="22"/>
              </w:rPr>
              <w:t>darunaviro</w:t>
            </w:r>
            <w:r w:rsidRPr="00CF5A77">
              <w:rPr>
                <w:sz w:val="22"/>
                <w:szCs w:val="22"/>
              </w:rPr>
              <w:t xml:space="preserve"> / ritonaviro vartojimo kartu padidėjusi tenofoviro koncentracija </w:t>
            </w:r>
            <w:r>
              <w:rPr>
                <w:sz w:val="22"/>
                <w:szCs w:val="22"/>
              </w:rPr>
              <w:t xml:space="preserve">kraujo </w:t>
            </w:r>
            <w:r w:rsidRPr="00CF5A77">
              <w:rPr>
                <w:sz w:val="22"/>
                <w:szCs w:val="22"/>
              </w:rPr>
              <w:t>plazmoje gali padidinti su tenofoviru dizoproksiliu susijusias nepageidaujamas reakcijas, įskaitant inkstų sutrikimus. Tenofoviro dizoproksilio saugumas vartojant kartu su sofosbuviru / velpatasviru ir farmakokinetiką stiprinančia medžiaga (pvz., ritonaviru arba kobicistatu) ne</w:t>
            </w:r>
            <w:r>
              <w:rPr>
                <w:sz w:val="22"/>
                <w:szCs w:val="22"/>
              </w:rPr>
              <w:t>nustatytas</w:t>
            </w:r>
            <w:r w:rsidRPr="00CF5A77">
              <w:rPr>
                <w:sz w:val="22"/>
                <w:szCs w:val="22"/>
              </w:rPr>
              <w:t>.</w:t>
            </w:r>
            <w:r>
              <w:rPr>
                <w:sz w:val="22"/>
                <w:szCs w:val="22"/>
              </w:rPr>
              <w:t xml:space="preserve"> </w:t>
            </w:r>
          </w:p>
          <w:p w14:paraId="07308765" w14:textId="77777777" w:rsidR="00307D20" w:rsidRDefault="00307D20" w:rsidP="00A56EA2">
            <w:pPr>
              <w:pStyle w:val="Default"/>
              <w:rPr>
                <w:sz w:val="22"/>
                <w:szCs w:val="22"/>
              </w:rPr>
            </w:pPr>
          </w:p>
          <w:p w14:paraId="41529976" w14:textId="77777777" w:rsidR="00307D20" w:rsidRPr="00EB3906" w:rsidRDefault="00307D20" w:rsidP="00A56EA2">
            <w:pPr>
              <w:pStyle w:val="Default"/>
              <w:rPr>
                <w:sz w:val="22"/>
                <w:szCs w:val="22"/>
              </w:rPr>
            </w:pPr>
            <w:r w:rsidRPr="00CF5A77">
              <w:rPr>
                <w:sz w:val="22"/>
                <w:szCs w:val="22"/>
              </w:rPr>
              <w:t>Tokį derinį reikia vartoti atsargiai, dažnai tikrinant inkstų veiklą (žr. 4.4 skyrių).</w:t>
            </w:r>
          </w:p>
        </w:tc>
      </w:tr>
      <w:tr w:rsidR="00307D20" w:rsidRPr="00EB3906" w14:paraId="1873AEAE" w14:textId="77777777" w:rsidTr="00307D20">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5E8878D5" w14:textId="29A46F57" w:rsidR="00307D20" w:rsidRPr="00EB3906" w:rsidRDefault="00307D20" w:rsidP="00307D20">
            <w:pPr>
              <w:pStyle w:val="Default"/>
              <w:rPr>
                <w:sz w:val="22"/>
                <w:szCs w:val="22"/>
              </w:rPr>
            </w:pPr>
            <w:r>
              <w:rPr>
                <w:sz w:val="22"/>
                <w:szCs w:val="22"/>
              </w:rPr>
              <w:t>S</w:t>
            </w:r>
            <w:r w:rsidRPr="00EB3906">
              <w:rPr>
                <w:sz w:val="22"/>
                <w:szCs w:val="22"/>
              </w:rPr>
              <w:t>ofosbuviras</w:t>
            </w:r>
            <w:r>
              <w:rPr>
                <w:sz w:val="22"/>
                <w:szCs w:val="22"/>
              </w:rPr>
              <w:t xml:space="preserve"> /Velpatasviras </w:t>
            </w:r>
            <w:r w:rsidRPr="00EB3906">
              <w:rPr>
                <w:sz w:val="22"/>
                <w:szCs w:val="22"/>
              </w:rPr>
              <w:t>(</w:t>
            </w:r>
            <w:r>
              <w:rPr>
                <w:sz w:val="22"/>
                <w:szCs w:val="22"/>
              </w:rPr>
              <w:t>400 </w:t>
            </w:r>
            <w:r w:rsidRPr="00EB3906">
              <w:rPr>
                <w:sz w:val="22"/>
                <w:szCs w:val="22"/>
              </w:rPr>
              <w:t xml:space="preserve">mg / </w:t>
            </w:r>
            <w:r>
              <w:rPr>
                <w:sz w:val="22"/>
                <w:szCs w:val="22"/>
              </w:rPr>
              <w:t>1</w:t>
            </w:r>
            <w:r w:rsidRPr="00EB3906">
              <w:rPr>
                <w:sz w:val="22"/>
                <w:szCs w:val="22"/>
              </w:rPr>
              <w:t>00</w:t>
            </w:r>
            <w:r>
              <w:rPr>
                <w:sz w:val="22"/>
                <w:szCs w:val="22"/>
              </w:rPr>
              <w:t> </w:t>
            </w:r>
            <w:r w:rsidRPr="00EB3906">
              <w:rPr>
                <w:sz w:val="22"/>
                <w:szCs w:val="22"/>
              </w:rPr>
              <w:t>mg q.d.) +</w:t>
            </w:r>
            <w:r>
              <w:rPr>
                <w:sz w:val="22"/>
                <w:szCs w:val="22"/>
              </w:rPr>
              <w:t xml:space="preserve"> Lopinaviras / Ritonaviras (800 </w:t>
            </w:r>
            <w:r w:rsidRPr="00EB3906">
              <w:rPr>
                <w:sz w:val="22"/>
                <w:szCs w:val="22"/>
              </w:rPr>
              <w:t>mg q.d</w:t>
            </w:r>
            <w:r>
              <w:rPr>
                <w:sz w:val="22"/>
                <w:szCs w:val="22"/>
              </w:rPr>
              <w:t xml:space="preserve"> / 200 mg q.d.) + Emtricitabinas / Tenofoviras dizoproksilis </w:t>
            </w:r>
            <w:r w:rsidRPr="00EB3906">
              <w:rPr>
                <w:sz w:val="22"/>
                <w:szCs w:val="22"/>
              </w:rPr>
              <w:t>(200</w:t>
            </w:r>
            <w:r>
              <w:rPr>
                <w:sz w:val="22"/>
                <w:szCs w:val="22"/>
              </w:rPr>
              <w:t> </w:t>
            </w:r>
            <w:r w:rsidRPr="00EB3906">
              <w:rPr>
                <w:sz w:val="22"/>
                <w:szCs w:val="22"/>
              </w:rPr>
              <w:t xml:space="preserve">mg /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349071AD" w14:textId="77777777" w:rsidR="00307D20" w:rsidRPr="00EB3906" w:rsidRDefault="00307D20" w:rsidP="00A56EA2">
            <w:pPr>
              <w:pStyle w:val="Default"/>
              <w:rPr>
                <w:sz w:val="22"/>
                <w:szCs w:val="22"/>
              </w:rPr>
            </w:pPr>
            <w:r w:rsidRPr="00EB3906">
              <w:rPr>
                <w:sz w:val="22"/>
                <w:szCs w:val="22"/>
              </w:rPr>
              <w:t>Sofosbuviras:</w:t>
            </w:r>
          </w:p>
          <w:p w14:paraId="2465BBB6" w14:textId="32A4B7D7" w:rsidR="00307D20" w:rsidRPr="00EB3906" w:rsidRDefault="00307D20" w:rsidP="00A56EA2">
            <w:pPr>
              <w:pStyle w:val="Default"/>
              <w:rPr>
                <w:sz w:val="22"/>
                <w:szCs w:val="22"/>
              </w:rPr>
            </w:pPr>
            <w:r w:rsidRPr="00EB3906">
              <w:rPr>
                <w:sz w:val="22"/>
                <w:szCs w:val="22"/>
              </w:rPr>
              <w:t xml:space="preserve">AUC: </w:t>
            </w:r>
            <w:r w:rsidRPr="00307D20">
              <w:rPr>
                <w:rFonts w:hint="eastAsia"/>
                <w:sz w:val="22"/>
                <w:szCs w:val="22"/>
              </w:rPr>
              <w:t>↓</w:t>
            </w:r>
            <w:r w:rsidRPr="00307D20">
              <w:rPr>
                <w:sz w:val="22"/>
                <w:szCs w:val="22"/>
              </w:rPr>
              <w:t xml:space="preserve"> 2</w:t>
            </w:r>
            <w:r>
              <w:rPr>
                <w:sz w:val="22"/>
                <w:szCs w:val="22"/>
              </w:rPr>
              <w:t>9</w:t>
            </w:r>
            <w:r w:rsidRPr="00307D20">
              <w:rPr>
                <w:sz w:val="22"/>
                <w:szCs w:val="22"/>
              </w:rPr>
              <w:t> %</w:t>
            </w:r>
          </w:p>
          <w:p w14:paraId="6DDF01FE" w14:textId="01DEA358"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w:t>
            </w:r>
            <w:r w:rsidRPr="00307D20">
              <w:rPr>
                <w:rFonts w:hint="eastAsia"/>
                <w:sz w:val="22"/>
                <w:szCs w:val="22"/>
              </w:rPr>
              <w:t>↓</w:t>
            </w:r>
            <w:r w:rsidRPr="00307D20">
              <w:rPr>
                <w:sz w:val="22"/>
                <w:szCs w:val="22"/>
              </w:rPr>
              <w:t xml:space="preserve"> </w:t>
            </w:r>
            <w:r>
              <w:rPr>
                <w:sz w:val="22"/>
                <w:szCs w:val="22"/>
              </w:rPr>
              <w:t>41</w:t>
            </w:r>
            <w:r w:rsidRPr="00307D20">
              <w:rPr>
                <w:sz w:val="22"/>
                <w:szCs w:val="22"/>
              </w:rPr>
              <w:t> %</w:t>
            </w:r>
          </w:p>
          <w:p w14:paraId="1F5C550D" w14:textId="77777777" w:rsidR="00307D20" w:rsidRDefault="00307D20" w:rsidP="00A56EA2">
            <w:pPr>
              <w:pStyle w:val="Default"/>
              <w:rPr>
                <w:sz w:val="22"/>
                <w:szCs w:val="22"/>
              </w:rPr>
            </w:pPr>
          </w:p>
          <w:p w14:paraId="34379D3A" w14:textId="77777777" w:rsidR="00307D20" w:rsidRPr="00EB3906" w:rsidRDefault="00307D20" w:rsidP="00A56EA2">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54979B2D" w14:textId="77777777" w:rsidR="00307D20" w:rsidRPr="00EB3906" w:rsidRDefault="00307D20" w:rsidP="00A56EA2">
            <w:pPr>
              <w:pStyle w:val="Default"/>
              <w:rPr>
                <w:sz w:val="22"/>
                <w:szCs w:val="22"/>
              </w:rPr>
            </w:pPr>
            <w:r w:rsidRPr="00EB3906">
              <w:rPr>
                <w:sz w:val="22"/>
                <w:szCs w:val="22"/>
              </w:rPr>
              <w:t>AUC: ↔</w:t>
            </w:r>
          </w:p>
          <w:p w14:paraId="5728F6C5"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598FD335" w14:textId="77777777"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7DA68AD1" w14:textId="77777777" w:rsidR="00307D20" w:rsidRDefault="00307D20" w:rsidP="00A56EA2">
            <w:pPr>
              <w:pStyle w:val="Default"/>
              <w:rPr>
                <w:sz w:val="22"/>
                <w:szCs w:val="22"/>
              </w:rPr>
            </w:pPr>
          </w:p>
          <w:p w14:paraId="792869B6" w14:textId="77777777" w:rsidR="00307D20" w:rsidRPr="00EB3906" w:rsidRDefault="00307D20" w:rsidP="00A56EA2">
            <w:pPr>
              <w:pStyle w:val="Default"/>
              <w:rPr>
                <w:sz w:val="22"/>
                <w:szCs w:val="22"/>
              </w:rPr>
            </w:pPr>
            <w:r>
              <w:rPr>
                <w:sz w:val="22"/>
                <w:szCs w:val="22"/>
              </w:rPr>
              <w:t>Velpatasviras</w:t>
            </w:r>
            <w:r w:rsidRPr="00EB3906">
              <w:rPr>
                <w:sz w:val="22"/>
                <w:szCs w:val="22"/>
              </w:rPr>
              <w:t>:</w:t>
            </w:r>
          </w:p>
          <w:p w14:paraId="1E6C59A4" w14:textId="77777777" w:rsidR="00307D20" w:rsidRPr="00EB3906" w:rsidRDefault="00307D20" w:rsidP="00A56EA2">
            <w:pPr>
              <w:pStyle w:val="Default"/>
              <w:rPr>
                <w:sz w:val="22"/>
                <w:szCs w:val="22"/>
              </w:rPr>
            </w:pPr>
            <w:r w:rsidRPr="00EB3906">
              <w:rPr>
                <w:sz w:val="22"/>
                <w:szCs w:val="22"/>
              </w:rPr>
              <w:t>AUC: ↔</w:t>
            </w:r>
          </w:p>
          <w:p w14:paraId="3DB7990F" w14:textId="6EB6BA6A" w:rsidR="00307D20"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w:t>
            </w:r>
            <w:r w:rsidRPr="00307D20">
              <w:rPr>
                <w:rFonts w:hint="eastAsia"/>
                <w:sz w:val="22"/>
                <w:szCs w:val="22"/>
              </w:rPr>
              <w:t>↓</w:t>
            </w:r>
            <w:r w:rsidRPr="00307D20">
              <w:rPr>
                <w:sz w:val="22"/>
                <w:szCs w:val="22"/>
              </w:rPr>
              <w:t xml:space="preserve"> </w:t>
            </w:r>
            <w:r w:rsidR="007B09AC">
              <w:rPr>
                <w:sz w:val="22"/>
                <w:szCs w:val="22"/>
              </w:rPr>
              <w:t>30</w:t>
            </w:r>
            <w:r w:rsidRPr="00307D20">
              <w:rPr>
                <w:sz w:val="22"/>
                <w:szCs w:val="22"/>
              </w:rPr>
              <w:t> %</w:t>
            </w:r>
          </w:p>
          <w:p w14:paraId="47779BEE" w14:textId="43080D7F" w:rsidR="00307D20"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007B09AC" w:rsidRPr="00EB3906">
              <w:rPr>
                <w:sz w:val="22"/>
                <w:szCs w:val="22"/>
              </w:rPr>
              <w:t xml:space="preserve">↑ </w:t>
            </w:r>
            <w:r w:rsidR="007B09AC">
              <w:rPr>
                <w:sz w:val="22"/>
                <w:szCs w:val="22"/>
              </w:rPr>
              <w:t>63 </w:t>
            </w:r>
            <w:r w:rsidR="007B09AC" w:rsidRPr="00EB3906">
              <w:rPr>
                <w:sz w:val="22"/>
                <w:szCs w:val="22"/>
              </w:rPr>
              <w:t>%</w:t>
            </w:r>
          </w:p>
          <w:p w14:paraId="52A5DE3D" w14:textId="77777777" w:rsidR="00307D20" w:rsidRDefault="00307D20" w:rsidP="00A56EA2">
            <w:pPr>
              <w:pStyle w:val="Default"/>
              <w:rPr>
                <w:sz w:val="22"/>
                <w:szCs w:val="22"/>
              </w:rPr>
            </w:pPr>
          </w:p>
          <w:p w14:paraId="404BAFC3" w14:textId="2FF843E5" w:rsidR="00307D20" w:rsidRPr="00EB3906" w:rsidRDefault="007B09AC" w:rsidP="00A56EA2">
            <w:pPr>
              <w:pStyle w:val="Default"/>
              <w:rPr>
                <w:sz w:val="22"/>
                <w:szCs w:val="22"/>
              </w:rPr>
            </w:pPr>
            <w:r>
              <w:rPr>
                <w:sz w:val="22"/>
                <w:szCs w:val="22"/>
              </w:rPr>
              <w:t>Lopinaviras</w:t>
            </w:r>
            <w:r w:rsidR="00307D20" w:rsidRPr="00EB3906">
              <w:rPr>
                <w:sz w:val="22"/>
                <w:szCs w:val="22"/>
              </w:rPr>
              <w:t>:</w:t>
            </w:r>
          </w:p>
          <w:p w14:paraId="32A2B15E" w14:textId="77777777" w:rsidR="00307D20" w:rsidRPr="00EB3906" w:rsidRDefault="00307D20" w:rsidP="00A56EA2">
            <w:pPr>
              <w:pStyle w:val="Default"/>
              <w:rPr>
                <w:sz w:val="22"/>
                <w:szCs w:val="22"/>
              </w:rPr>
            </w:pPr>
            <w:r w:rsidRPr="00EB3906">
              <w:rPr>
                <w:sz w:val="22"/>
                <w:szCs w:val="22"/>
              </w:rPr>
              <w:t>AUC: ↔</w:t>
            </w:r>
          </w:p>
          <w:p w14:paraId="267B41B6"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61949F6F" w14:textId="77777777"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1DB547A2" w14:textId="77777777" w:rsidR="00307D20" w:rsidRDefault="00307D20" w:rsidP="00A56EA2">
            <w:pPr>
              <w:pStyle w:val="Default"/>
              <w:rPr>
                <w:sz w:val="22"/>
                <w:szCs w:val="22"/>
              </w:rPr>
            </w:pPr>
          </w:p>
          <w:p w14:paraId="4E89D151" w14:textId="77777777" w:rsidR="00307D20" w:rsidRPr="00EB3906" w:rsidRDefault="00307D20" w:rsidP="00A56EA2">
            <w:pPr>
              <w:pStyle w:val="Default"/>
              <w:rPr>
                <w:sz w:val="22"/>
                <w:szCs w:val="22"/>
              </w:rPr>
            </w:pPr>
            <w:r>
              <w:rPr>
                <w:sz w:val="22"/>
                <w:szCs w:val="22"/>
              </w:rPr>
              <w:t>Ritonaviras</w:t>
            </w:r>
            <w:r w:rsidRPr="00EB3906">
              <w:rPr>
                <w:sz w:val="22"/>
                <w:szCs w:val="22"/>
              </w:rPr>
              <w:t>:</w:t>
            </w:r>
          </w:p>
          <w:p w14:paraId="182FE480" w14:textId="77777777" w:rsidR="00307D20" w:rsidRPr="00EB3906" w:rsidRDefault="00307D20" w:rsidP="00A56EA2">
            <w:pPr>
              <w:pStyle w:val="Default"/>
              <w:rPr>
                <w:sz w:val="22"/>
                <w:szCs w:val="22"/>
              </w:rPr>
            </w:pPr>
            <w:r w:rsidRPr="00EB3906">
              <w:rPr>
                <w:sz w:val="22"/>
                <w:szCs w:val="22"/>
              </w:rPr>
              <w:lastRenderedPageBreak/>
              <w:t>AUC: ↔</w:t>
            </w:r>
          </w:p>
          <w:p w14:paraId="005DAE56"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24F5D6AF" w14:textId="77777777"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307D20">
              <w:rPr>
                <w:sz w:val="22"/>
                <w:szCs w:val="22"/>
              </w:rPr>
              <w:t>↔</w:t>
            </w:r>
          </w:p>
          <w:p w14:paraId="0639CF52" w14:textId="77777777" w:rsidR="00307D20" w:rsidRDefault="00307D20" w:rsidP="00A56EA2">
            <w:pPr>
              <w:pStyle w:val="Default"/>
              <w:rPr>
                <w:sz w:val="22"/>
                <w:szCs w:val="22"/>
              </w:rPr>
            </w:pPr>
          </w:p>
          <w:p w14:paraId="72D3332F" w14:textId="77777777" w:rsidR="00307D20" w:rsidRPr="00EB3906" w:rsidRDefault="00307D20" w:rsidP="00A56EA2">
            <w:pPr>
              <w:pStyle w:val="Default"/>
              <w:rPr>
                <w:sz w:val="22"/>
                <w:szCs w:val="22"/>
              </w:rPr>
            </w:pPr>
            <w:r w:rsidRPr="00EB3906">
              <w:rPr>
                <w:sz w:val="22"/>
                <w:szCs w:val="22"/>
              </w:rPr>
              <w:t>Emtricitabinas:</w:t>
            </w:r>
          </w:p>
          <w:p w14:paraId="2B5F8D55" w14:textId="77777777" w:rsidR="00307D20" w:rsidRPr="00EB3906" w:rsidRDefault="00307D20" w:rsidP="00A56EA2">
            <w:pPr>
              <w:pStyle w:val="Default"/>
              <w:rPr>
                <w:sz w:val="22"/>
                <w:szCs w:val="22"/>
              </w:rPr>
            </w:pPr>
            <w:r w:rsidRPr="00EB3906">
              <w:rPr>
                <w:sz w:val="22"/>
                <w:szCs w:val="22"/>
              </w:rPr>
              <w:t>AUC: ↔</w:t>
            </w:r>
          </w:p>
          <w:p w14:paraId="0BBDC814" w14:textId="77777777" w:rsidR="00307D20" w:rsidRPr="00EB3906"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0AB164B6" w14:textId="77777777"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52714B7E" w14:textId="77777777" w:rsidR="00307D20" w:rsidRDefault="00307D20" w:rsidP="00A56EA2">
            <w:pPr>
              <w:pStyle w:val="Default"/>
              <w:rPr>
                <w:sz w:val="22"/>
                <w:szCs w:val="22"/>
              </w:rPr>
            </w:pPr>
          </w:p>
          <w:p w14:paraId="5F6A1583" w14:textId="77777777" w:rsidR="00307D20" w:rsidRPr="00EB3906" w:rsidRDefault="00307D20" w:rsidP="00A56EA2">
            <w:pPr>
              <w:pStyle w:val="Default"/>
              <w:rPr>
                <w:sz w:val="22"/>
                <w:szCs w:val="22"/>
              </w:rPr>
            </w:pPr>
            <w:r w:rsidRPr="00EB3906">
              <w:rPr>
                <w:sz w:val="22"/>
                <w:szCs w:val="22"/>
              </w:rPr>
              <w:t>Tenofoviras:</w:t>
            </w:r>
          </w:p>
          <w:p w14:paraId="03C81C48" w14:textId="141991AE" w:rsidR="00307D20" w:rsidRPr="00EB3906" w:rsidRDefault="00307D20" w:rsidP="00A56EA2">
            <w:pPr>
              <w:pStyle w:val="Default"/>
              <w:rPr>
                <w:sz w:val="22"/>
                <w:szCs w:val="22"/>
              </w:rPr>
            </w:pPr>
            <w:r w:rsidRPr="00EB3906">
              <w:rPr>
                <w:sz w:val="22"/>
                <w:szCs w:val="22"/>
              </w:rPr>
              <w:t xml:space="preserve">AUC: </w:t>
            </w:r>
            <w:r w:rsidR="007B09AC" w:rsidRPr="00EB3906">
              <w:rPr>
                <w:sz w:val="22"/>
                <w:szCs w:val="22"/>
              </w:rPr>
              <w:t>↔</w:t>
            </w:r>
          </w:p>
          <w:p w14:paraId="2EF1B9E5" w14:textId="4CE6F7E0" w:rsidR="00307D20" w:rsidRDefault="00307D20"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 </w:t>
            </w:r>
            <w:r w:rsidR="007B09AC">
              <w:rPr>
                <w:sz w:val="22"/>
                <w:szCs w:val="22"/>
              </w:rPr>
              <w:t>42</w:t>
            </w:r>
            <w:r>
              <w:rPr>
                <w:sz w:val="22"/>
                <w:szCs w:val="22"/>
              </w:rPr>
              <w:t> </w:t>
            </w:r>
            <w:r w:rsidRPr="00EB3906">
              <w:rPr>
                <w:sz w:val="22"/>
                <w:szCs w:val="22"/>
              </w:rPr>
              <w:t>%</w:t>
            </w:r>
          </w:p>
          <w:p w14:paraId="0A754177" w14:textId="2E9EE778" w:rsidR="00307D20" w:rsidRPr="00EB3906" w:rsidRDefault="00307D20"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007B09AC"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F5D1958" w14:textId="0EBD4FB0" w:rsidR="00307D20" w:rsidRDefault="00307D20" w:rsidP="00A56EA2">
            <w:pPr>
              <w:pStyle w:val="Default"/>
              <w:rPr>
                <w:sz w:val="22"/>
                <w:szCs w:val="22"/>
              </w:rPr>
            </w:pPr>
            <w:r w:rsidRPr="00CF5A77">
              <w:rPr>
                <w:sz w:val="22"/>
                <w:szCs w:val="22"/>
              </w:rPr>
              <w:lastRenderedPageBreak/>
              <w:t xml:space="preserve">Dėl tenofoviro dizoproksilio, sofosbuviro / velpatasviro ir </w:t>
            </w:r>
            <w:r w:rsidR="007B09AC">
              <w:rPr>
                <w:sz w:val="22"/>
                <w:szCs w:val="22"/>
              </w:rPr>
              <w:t>lopinaviro</w:t>
            </w:r>
            <w:r w:rsidRPr="00CF5A77">
              <w:rPr>
                <w:sz w:val="22"/>
                <w:szCs w:val="22"/>
              </w:rPr>
              <w:t xml:space="preserve"> / ritonaviro vartojimo kartu padidėjusi tenofoviro koncentracija </w:t>
            </w:r>
            <w:r>
              <w:rPr>
                <w:sz w:val="22"/>
                <w:szCs w:val="22"/>
              </w:rPr>
              <w:t xml:space="preserve">kraujo </w:t>
            </w:r>
            <w:r w:rsidRPr="00CF5A77">
              <w:rPr>
                <w:sz w:val="22"/>
                <w:szCs w:val="22"/>
              </w:rPr>
              <w:t>plazmoje gali padidinti su tenofoviru dizoproksiliu susijusias nepageidaujamas reakcijas, įskaitant inkstų sutrikimus. Tenofoviro dizoproksilio saugumas vartojant kartu su sofosbuviru / velpatasviru ir farmakokinetiką stiprinančia medžiaga (pvz., ritonaviru arba kobicistatu) ne</w:t>
            </w:r>
            <w:r>
              <w:rPr>
                <w:sz w:val="22"/>
                <w:szCs w:val="22"/>
              </w:rPr>
              <w:t>nustatytas</w:t>
            </w:r>
            <w:r w:rsidRPr="00CF5A77">
              <w:rPr>
                <w:sz w:val="22"/>
                <w:szCs w:val="22"/>
              </w:rPr>
              <w:t>.</w:t>
            </w:r>
            <w:r>
              <w:rPr>
                <w:sz w:val="22"/>
                <w:szCs w:val="22"/>
              </w:rPr>
              <w:t xml:space="preserve"> </w:t>
            </w:r>
          </w:p>
          <w:p w14:paraId="41A217C4" w14:textId="77777777" w:rsidR="00307D20" w:rsidRDefault="00307D20" w:rsidP="00A56EA2">
            <w:pPr>
              <w:pStyle w:val="Default"/>
              <w:rPr>
                <w:sz w:val="22"/>
                <w:szCs w:val="22"/>
              </w:rPr>
            </w:pPr>
          </w:p>
          <w:p w14:paraId="02768908" w14:textId="77777777" w:rsidR="00307D20" w:rsidRPr="00EB3906" w:rsidRDefault="00307D20" w:rsidP="00A56EA2">
            <w:pPr>
              <w:pStyle w:val="Default"/>
              <w:rPr>
                <w:sz w:val="22"/>
                <w:szCs w:val="22"/>
              </w:rPr>
            </w:pPr>
            <w:r w:rsidRPr="00CF5A77">
              <w:rPr>
                <w:sz w:val="22"/>
                <w:szCs w:val="22"/>
              </w:rPr>
              <w:lastRenderedPageBreak/>
              <w:t>Tokį derinį reikia vartoti atsargiai, dažnai tikrinant inkstų veiklą (žr. 4.4 skyrių).</w:t>
            </w:r>
          </w:p>
        </w:tc>
      </w:tr>
      <w:tr w:rsidR="007B09AC" w:rsidRPr="00EB3906" w14:paraId="708564F0" w14:textId="77777777" w:rsidTr="007B09AC">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56A8B2B4" w14:textId="57056708" w:rsidR="007B09AC" w:rsidRPr="00EB3906" w:rsidRDefault="007B09AC" w:rsidP="007B09AC">
            <w:pPr>
              <w:pStyle w:val="Default"/>
              <w:rPr>
                <w:sz w:val="22"/>
                <w:szCs w:val="22"/>
              </w:rPr>
            </w:pPr>
            <w:r>
              <w:rPr>
                <w:sz w:val="22"/>
                <w:szCs w:val="22"/>
              </w:rPr>
              <w:lastRenderedPageBreak/>
              <w:t>S</w:t>
            </w:r>
            <w:r w:rsidRPr="00EB3906">
              <w:rPr>
                <w:sz w:val="22"/>
                <w:szCs w:val="22"/>
              </w:rPr>
              <w:t>ofosbuviras</w:t>
            </w:r>
            <w:r>
              <w:rPr>
                <w:sz w:val="22"/>
                <w:szCs w:val="22"/>
              </w:rPr>
              <w:t xml:space="preserve"> /Velpatasviras </w:t>
            </w:r>
            <w:r w:rsidRPr="00EB3906">
              <w:rPr>
                <w:sz w:val="22"/>
                <w:szCs w:val="22"/>
              </w:rPr>
              <w:t>(</w:t>
            </w:r>
            <w:r>
              <w:rPr>
                <w:sz w:val="22"/>
                <w:szCs w:val="22"/>
              </w:rPr>
              <w:t>400 </w:t>
            </w:r>
            <w:r w:rsidRPr="00EB3906">
              <w:rPr>
                <w:sz w:val="22"/>
                <w:szCs w:val="22"/>
              </w:rPr>
              <w:t xml:space="preserve">mg / </w:t>
            </w:r>
            <w:r>
              <w:rPr>
                <w:sz w:val="22"/>
                <w:szCs w:val="22"/>
              </w:rPr>
              <w:t>1</w:t>
            </w:r>
            <w:r w:rsidRPr="00EB3906">
              <w:rPr>
                <w:sz w:val="22"/>
                <w:szCs w:val="22"/>
              </w:rPr>
              <w:t>00</w:t>
            </w:r>
            <w:r>
              <w:rPr>
                <w:sz w:val="22"/>
                <w:szCs w:val="22"/>
              </w:rPr>
              <w:t> </w:t>
            </w:r>
            <w:r w:rsidRPr="00EB3906">
              <w:rPr>
                <w:sz w:val="22"/>
                <w:szCs w:val="22"/>
              </w:rPr>
              <w:t>mg q.d.) +</w:t>
            </w:r>
            <w:r>
              <w:rPr>
                <w:sz w:val="22"/>
                <w:szCs w:val="22"/>
              </w:rPr>
              <w:t xml:space="preserve"> Raltegraviras (400 </w:t>
            </w:r>
            <w:r w:rsidRPr="00EB3906">
              <w:rPr>
                <w:sz w:val="22"/>
                <w:szCs w:val="22"/>
              </w:rPr>
              <w:t xml:space="preserve">mg </w:t>
            </w:r>
            <w:r>
              <w:rPr>
                <w:sz w:val="22"/>
                <w:szCs w:val="22"/>
              </w:rPr>
              <w:t xml:space="preserve">b.i.d.) + Emtricitabinas / Tenofoviras dizoproksilis </w:t>
            </w:r>
            <w:r w:rsidRPr="00EB3906">
              <w:rPr>
                <w:sz w:val="22"/>
                <w:szCs w:val="22"/>
              </w:rPr>
              <w:t>(200</w:t>
            </w:r>
            <w:r>
              <w:rPr>
                <w:sz w:val="22"/>
                <w:szCs w:val="22"/>
              </w:rPr>
              <w:t> </w:t>
            </w:r>
            <w:r w:rsidRPr="00EB3906">
              <w:rPr>
                <w:sz w:val="22"/>
                <w:szCs w:val="22"/>
              </w:rPr>
              <w:t xml:space="preserve">mg /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20DC81BA" w14:textId="77777777" w:rsidR="007B09AC" w:rsidRPr="00EB3906" w:rsidRDefault="007B09AC" w:rsidP="00A56EA2">
            <w:pPr>
              <w:pStyle w:val="Default"/>
              <w:rPr>
                <w:sz w:val="22"/>
                <w:szCs w:val="22"/>
              </w:rPr>
            </w:pPr>
            <w:r w:rsidRPr="00EB3906">
              <w:rPr>
                <w:sz w:val="22"/>
                <w:szCs w:val="22"/>
              </w:rPr>
              <w:t>Sofosbuviras:</w:t>
            </w:r>
          </w:p>
          <w:p w14:paraId="46698A59" w14:textId="19E8B384" w:rsidR="007B09AC" w:rsidRPr="00EB3906" w:rsidRDefault="007B09AC" w:rsidP="00A56EA2">
            <w:pPr>
              <w:pStyle w:val="Default"/>
              <w:rPr>
                <w:sz w:val="22"/>
                <w:szCs w:val="22"/>
              </w:rPr>
            </w:pPr>
            <w:r w:rsidRPr="00EB3906">
              <w:rPr>
                <w:sz w:val="22"/>
                <w:szCs w:val="22"/>
              </w:rPr>
              <w:t>AUC: ↔</w:t>
            </w:r>
          </w:p>
          <w:p w14:paraId="59ED40A3" w14:textId="4938D14D" w:rsidR="007B09AC" w:rsidRPr="00EB3906" w:rsidRDefault="007B09AC"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7DD591EA" w14:textId="77777777" w:rsidR="007B09AC" w:rsidRDefault="007B09AC" w:rsidP="00A56EA2">
            <w:pPr>
              <w:pStyle w:val="Default"/>
              <w:rPr>
                <w:sz w:val="22"/>
                <w:szCs w:val="22"/>
              </w:rPr>
            </w:pPr>
          </w:p>
          <w:p w14:paraId="054BC302" w14:textId="77777777" w:rsidR="007B09AC" w:rsidRPr="00EB3906" w:rsidRDefault="007B09AC" w:rsidP="00A56EA2">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4684E716" w14:textId="77777777" w:rsidR="007B09AC" w:rsidRPr="00EB3906" w:rsidRDefault="007B09AC" w:rsidP="00A56EA2">
            <w:pPr>
              <w:pStyle w:val="Default"/>
              <w:rPr>
                <w:sz w:val="22"/>
                <w:szCs w:val="22"/>
              </w:rPr>
            </w:pPr>
            <w:r w:rsidRPr="00EB3906">
              <w:rPr>
                <w:sz w:val="22"/>
                <w:szCs w:val="22"/>
              </w:rPr>
              <w:t>AUC: ↔</w:t>
            </w:r>
          </w:p>
          <w:p w14:paraId="73A21C24" w14:textId="77777777" w:rsidR="007B09AC" w:rsidRPr="00EB3906" w:rsidRDefault="007B09AC"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2D1E9986" w14:textId="77777777" w:rsidR="007B09AC" w:rsidRPr="00EB3906" w:rsidRDefault="007B09AC"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09F47AAE" w14:textId="77777777" w:rsidR="007B09AC" w:rsidRDefault="007B09AC" w:rsidP="00A56EA2">
            <w:pPr>
              <w:pStyle w:val="Default"/>
              <w:rPr>
                <w:sz w:val="22"/>
                <w:szCs w:val="22"/>
              </w:rPr>
            </w:pPr>
          </w:p>
          <w:p w14:paraId="03132641" w14:textId="77777777" w:rsidR="007B09AC" w:rsidRPr="00EB3906" w:rsidRDefault="007B09AC" w:rsidP="00A56EA2">
            <w:pPr>
              <w:pStyle w:val="Default"/>
              <w:rPr>
                <w:sz w:val="22"/>
                <w:szCs w:val="22"/>
              </w:rPr>
            </w:pPr>
            <w:r>
              <w:rPr>
                <w:sz w:val="22"/>
                <w:szCs w:val="22"/>
              </w:rPr>
              <w:t>Velpatasviras</w:t>
            </w:r>
            <w:r w:rsidRPr="00EB3906">
              <w:rPr>
                <w:sz w:val="22"/>
                <w:szCs w:val="22"/>
              </w:rPr>
              <w:t>:</w:t>
            </w:r>
          </w:p>
          <w:p w14:paraId="10AF3234" w14:textId="77777777" w:rsidR="007B09AC" w:rsidRPr="00EB3906" w:rsidRDefault="007B09AC" w:rsidP="00A56EA2">
            <w:pPr>
              <w:pStyle w:val="Default"/>
              <w:rPr>
                <w:sz w:val="22"/>
                <w:szCs w:val="22"/>
              </w:rPr>
            </w:pPr>
            <w:r w:rsidRPr="00EB3906">
              <w:rPr>
                <w:sz w:val="22"/>
                <w:szCs w:val="22"/>
              </w:rPr>
              <w:t>AUC: ↔</w:t>
            </w:r>
          </w:p>
          <w:p w14:paraId="2C25BD46" w14:textId="41CB0489" w:rsidR="007B09AC" w:rsidRDefault="007B09AC"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3EDB02BE" w14:textId="037C97B7" w:rsidR="007B09AC" w:rsidRDefault="007B09AC"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73050478" w14:textId="77777777" w:rsidR="007B09AC" w:rsidRDefault="007B09AC" w:rsidP="00A56EA2">
            <w:pPr>
              <w:pStyle w:val="Default"/>
              <w:rPr>
                <w:sz w:val="22"/>
                <w:szCs w:val="22"/>
              </w:rPr>
            </w:pPr>
          </w:p>
          <w:p w14:paraId="22895A72" w14:textId="578EF20D" w:rsidR="007B09AC" w:rsidRPr="00EB3906" w:rsidRDefault="007B09AC" w:rsidP="00A56EA2">
            <w:pPr>
              <w:pStyle w:val="Default"/>
              <w:rPr>
                <w:sz w:val="22"/>
                <w:szCs w:val="22"/>
              </w:rPr>
            </w:pPr>
            <w:r>
              <w:rPr>
                <w:sz w:val="22"/>
                <w:szCs w:val="22"/>
              </w:rPr>
              <w:t>Raltegraviras</w:t>
            </w:r>
            <w:r w:rsidRPr="00EB3906">
              <w:rPr>
                <w:sz w:val="22"/>
                <w:szCs w:val="22"/>
              </w:rPr>
              <w:t>:</w:t>
            </w:r>
          </w:p>
          <w:p w14:paraId="0A5F7BA5" w14:textId="77777777" w:rsidR="007B09AC" w:rsidRPr="00EB3906" w:rsidRDefault="007B09AC" w:rsidP="00A56EA2">
            <w:pPr>
              <w:pStyle w:val="Default"/>
              <w:rPr>
                <w:sz w:val="22"/>
                <w:szCs w:val="22"/>
              </w:rPr>
            </w:pPr>
            <w:r w:rsidRPr="00EB3906">
              <w:rPr>
                <w:sz w:val="22"/>
                <w:szCs w:val="22"/>
              </w:rPr>
              <w:t>AUC: ↔</w:t>
            </w:r>
          </w:p>
          <w:p w14:paraId="0C170D36" w14:textId="77777777" w:rsidR="007B09AC" w:rsidRPr="00EB3906" w:rsidRDefault="007B09AC"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6B6280CB" w14:textId="20A3E726" w:rsidR="007B09AC" w:rsidRPr="00EB3906" w:rsidRDefault="007B09AC"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307D20">
              <w:rPr>
                <w:rFonts w:hint="eastAsia"/>
                <w:sz w:val="22"/>
                <w:szCs w:val="22"/>
              </w:rPr>
              <w:t>↓</w:t>
            </w:r>
            <w:r w:rsidRPr="00307D20">
              <w:rPr>
                <w:sz w:val="22"/>
                <w:szCs w:val="22"/>
              </w:rPr>
              <w:t xml:space="preserve"> </w:t>
            </w:r>
            <w:r>
              <w:rPr>
                <w:sz w:val="22"/>
                <w:szCs w:val="22"/>
              </w:rPr>
              <w:t>21</w:t>
            </w:r>
            <w:r w:rsidRPr="00307D20">
              <w:rPr>
                <w:sz w:val="22"/>
                <w:szCs w:val="22"/>
              </w:rPr>
              <w:t> %</w:t>
            </w:r>
          </w:p>
          <w:p w14:paraId="4CAC67CB" w14:textId="77777777" w:rsidR="007B09AC" w:rsidRDefault="007B09AC" w:rsidP="00A56EA2">
            <w:pPr>
              <w:pStyle w:val="Default"/>
              <w:rPr>
                <w:sz w:val="22"/>
                <w:szCs w:val="22"/>
              </w:rPr>
            </w:pPr>
          </w:p>
          <w:p w14:paraId="0D16B2C3" w14:textId="77777777" w:rsidR="007B09AC" w:rsidRPr="00EB3906" w:rsidRDefault="007B09AC" w:rsidP="00A56EA2">
            <w:pPr>
              <w:pStyle w:val="Default"/>
              <w:rPr>
                <w:sz w:val="22"/>
                <w:szCs w:val="22"/>
              </w:rPr>
            </w:pPr>
            <w:r w:rsidRPr="00EB3906">
              <w:rPr>
                <w:sz w:val="22"/>
                <w:szCs w:val="22"/>
              </w:rPr>
              <w:t>Emtricitabinas:</w:t>
            </w:r>
          </w:p>
          <w:p w14:paraId="3AD4986A" w14:textId="77777777" w:rsidR="007B09AC" w:rsidRPr="00EB3906" w:rsidRDefault="007B09AC" w:rsidP="00A56EA2">
            <w:pPr>
              <w:pStyle w:val="Default"/>
              <w:rPr>
                <w:sz w:val="22"/>
                <w:szCs w:val="22"/>
              </w:rPr>
            </w:pPr>
            <w:r w:rsidRPr="00EB3906">
              <w:rPr>
                <w:sz w:val="22"/>
                <w:szCs w:val="22"/>
              </w:rPr>
              <w:t>AUC: ↔</w:t>
            </w:r>
          </w:p>
          <w:p w14:paraId="08E7EF7B" w14:textId="77777777" w:rsidR="007B09AC" w:rsidRPr="00EB3906" w:rsidRDefault="007B09AC"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44DAF469" w14:textId="77777777" w:rsidR="007B09AC" w:rsidRPr="00EB3906" w:rsidRDefault="007B09AC"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1EDF38DD" w14:textId="77777777" w:rsidR="007B09AC" w:rsidRDefault="007B09AC" w:rsidP="00A56EA2">
            <w:pPr>
              <w:pStyle w:val="Default"/>
              <w:rPr>
                <w:sz w:val="22"/>
                <w:szCs w:val="22"/>
              </w:rPr>
            </w:pPr>
          </w:p>
          <w:p w14:paraId="74952C28" w14:textId="77777777" w:rsidR="007B09AC" w:rsidRPr="00EB3906" w:rsidRDefault="007B09AC" w:rsidP="00A56EA2">
            <w:pPr>
              <w:pStyle w:val="Default"/>
              <w:rPr>
                <w:sz w:val="22"/>
                <w:szCs w:val="22"/>
              </w:rPr>
            </w:pPr>
            <w:r w:rsidRPr="00EB3906">
              <w:rPr>
                <w:sz w:val="22"/>
                <w:szCs w:val="22"/>
              </w:rPr>
              <w:t>Tenofoviras:</w:t>
            </w:r>
          </w:p>
          <w:p w14:paraId="19CBEB60" w14:textId="6DFCAF24" w:rsidR="007B09AC" w:rsidRPr="00EB3906" w:rsidRDefault="007B09AC" w:rsidP="00A56EA2">
            <w:pPr>
              <w:pStyle w:val="Default"/>
              <w:rPr>
                <w:sz w:val="22"/>
                <w:szCs w:val="22"/>
              </w:rPr>
            </w:pPr>
            <w:r w:rsidRPr="00EB3906">
              <w:rPr>
                <w:sz w:val="22"/>
                <w:szCs w:val="22"/>
              </w:rPr>
              <w:t xml:space="preserve">AUC: ↑ </w:t>
            </w:r>
            <w:r>
              <w:rPr>
                <w:sz w:val="22"/>
                <w:szCs w:val="22"/>
              </w:rPr>
              <w:t>40 </w:t>
            </w:r>
            <w:r w:rsidRPr="00EB3906">
              <w:rPr>
                <w:sz w:val="22"/>
                <w:szCs w:val="22"/>
              </w:rPr>
              <w:t>%</w:t>
            </w:r>
          </w:p>
          <w:p w14:paraId="3F118A7B" w14:textId="24AD5BB8" w:rsidR="007B09AC" w:rsidRDefault="007B09AC"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46 </w:t>
            </w:r>
            <w:r w:rsidRPr="00EB3906">
              <w:rPr>
                <w:sz w:val="22"/>
                <w:szCs w:val="22"/>
              </w:rPr>
              <w:t>%</w:t>
            </w:r>
          </w:p>
          <w:p w14:paraId="1EFA6AE6" w14:textId="238638A4" w:rsidR="007B09AC" w:rsidRPr="00EB3906" w:rsidRDefault="007B09AC" w:rsidP="007B09AC">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70 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3939913B" w14:textId="260B601B" w:rsidR="007B09AC" w:rsidRPr="00EB3906" w:rsidRDefault="007B09AC" w:rsidP="00A56EA2">
            <w:pPr>
              <w:pStyle w:val="Default"/>
              <w:rPr>
                <w:sz w:val="22"/>
                <w:szCs w:val="22"/>
              </w:rPr>
            </w:pPr>
            <w:r w:rsidRPr="00EB3906">
              <w:rPr>
                <w:sz w:val="22"/>
                <w:szCs w:val="22"/>
              </w:rPr>
              <w:t>Dozę koreguoti nerekomenduojama. Padidėjus tenofoviro ekspozicijai gali sustiprėti su tenofovir</w:t>
            </w:r>
            <w:r>
              <w:rPr>
                <w:sz w:val="22"/>
                <w:szCs w:val="22"/>
              </w:rPr>
              <w:t>u</w:t>
            </w:r>
            <w:r w:rsidRPr="00EB3906">
              <w:rPr>
                <w:sz w:val="22"/>
                <w:szCs w:val="22"/>
              </w:rPr>
              <w:t xml:space="preserve"> dizoproksili</w:t>
            </w:r>
            <w:r>
              <w:rPr>
                <w:sz w:val="22"/>
                <w:szCs w:val="22"/>
              </w:rPr>
              <w:t>u</w:t>
            </w:r>
            <w:r w:rsidRPr="00EB3906">
              <w:rPr>
                <w:sz w:val="22"/>
                <w:szCs w:val="22"/>
              </w:rPr>
              <w:t xml:space="preserve"> susijusios nepageidaujamos reakcijos, įskaitant inkstų sutrikimus. Reikia atidžiai stebėti inkstų funkciją (žr. 4.4 skyrių).</w:t>
            </w:r>
          </w:p>
        </w:tc>
      </w:tr>
      <w:tr w:rsidR="00A56EA2" w:rsidRPr="00EB3906" w14:paraId="2BE157D7" w14:textId="77777777" w:rsidTr="00A56EA2">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176A0BD5" w14:textId="388EBCD0" w:rsidR="00A56EA2" w:rsidRPr="00EB3906" w:rsidRDefault="00A56EA2" w:rsidP="00A56EA2">
            <w:pPr>
              <w:pStyle w:val="Default"/>
              <w:rPr>
                <w:sz w:val="22"/>
                <w:szCs w:val="22"/>
              </w:rPr>
            </w:pPr>
            <w:r>
              <w:rPr>
                <w:sz w:val="22"/>
                <w:szCs w:val="22"/>
              </w:rPr>
              <w:t>S</w:t>
            </w:r>
            <w:r w:rsidRPr="00EB3906">
              <w:rPr>
                <w:sz w:val="22"/>
                <w:szCs w:val="22"/>
              </w:rPr>
              <w:t>ofosbuviras</w:t>
            </w:r>
            <w:r>
              <w:rPr>
                <w:sz w:val="22"/>
                <w:szCs w:val="22"/>
              </w:rPr>
              <w:t xml:space="preserve"> /Velpatasviras </w:t>
            </w:r>
            <w:r w:rsidRPr="00EB3906">
              <w:rPr>
                <w:sz w:val="22"/>
                <w:szCs w:val="22"/>
              </w:rPr>
              <w:t>(</w:t>
            </w:r>
            <w:r>
              <w:rPr>
                <w:sz w:val="22"/>
                <w:szCs w:val="22"/>
              </w:rPr>
              <w:t>400 </w:t>
            </w:r>
            <w:r w:rsidRPr="00EB3906">
              <w:rPr>
                <w:sz w:val="22"/>
                <w:szCs w:val="22"/>
              </w:rPr>
              <w:t xml:space="preserve">mg / </w:t>
            </w:r>
            <w:r>
              <w:rPr>
                <w:sz w:val="22"/>
                <w:szCs w:val="22"/>
              </w:rPr>
              <w:t>1</w:t>
            </w:r>
            <w:r w:rsidRPr="00EB3906">
              <w:rPr>
                <w:sz w:val="22"/>
                <w:szCs w:val="22"/>
              </w:rPr>
              <w:t>00</w:t>
            </w:r>
            <w:r>
              <w:rPr>
                <w:sz w:val="22"/>
                <w:szCs w:val="22"/>
              </w:rPr>
              <w:t> </w:t>
            </w:r>
            <w:r w:rsidRPr="00EB3906">
              <w:rPr>
                <w:sz w:val="22"/>
                <w:szCs w:val="22"/>
              </w:rPr>
              <w:t>mg q.d.) +</w:t>
            </w:r>
            <w:r>
              <w:rPr>
                <w:sz w:val="22"/>
                <w:szCs w:val="22"/>
              </w:rPr>
              <w:t xml:space="preserve"> Efavirenzas/ Emtricitabinas /Tenofoviras dizoproksilis </w:t>
            </w:r>
            <w:r w:rsidRPr="00EB3906">
              <w:rPr>
                <w:sz w:val="22"/>
                <w:szCs w:val="22"/>
              </w:rPr>
              <w:t>(</w:t>
            </w:r>
            <w:r>
              <w:rPr>
                <w:sz w:val="22"/>
                <w:szCs w:val="22"/>
              </w:rPr>
              <w:t>6</w:t>
            </w:r>
            <w:r w:rsidRPr="00EB3906">
              <w:rPr>
                <w:sz w:val="22"/>
                <w:szCs w:val="22"/>
              </w:rPr>
              <w:t>00</w:t>
            </w:r>
            <w:r>
              <w:rPr>
                <w:sz w:val="22"/>
                <w:szCs w:val="22"/>
              </w:rPr>
              <w:t> </w:t>
            </w:r>
            <w:r w:rsidRPr="00EB3906">
              <w:rPr>
                <w:sz w:val="22"/>
                <w:szCs w:val="22"/>
              </w:rPr>
              <w:t xml:space="preserve">mg / </w:t>
            </w:r>
            <w:r>
              <w:rPr>
                <w:sz w:val="22"/>
                <w:szCs w:val="22"/>
              </w:rPr>
              <w:t>200 mg / 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5A54A220" w14:textId="77777777" w:rsidR="00A56EA2" w:rsidRPr="00EB3906" w:rsidRDefault="00A56EA2" w:rsidP="00A56EA2">
            <w:pPr>
              <w:pStyle w:val="Default"/>
              <w:rPr>
                <w:sz w:val="22"/>
                <w:szCs w:val="22"/>
              </w:rPr>
            </w:pPr>
            <w:r w:rsidRPr="00EB3906">
              <w:rPr>
                <w:sz w:val="22"/>
                <w:szCs w:val="22"/>
              </w:rPr>
              <w:t>Sofosbuviras:</w:t>
            </w:r>
          </w:p>
          <w:p w14:paraId="7BDC84DB" w14:textId="77777777" w:rsidR="00A56EA2" w:rsidRPr="00EB3906" w:rsidRDefault="00A56EA2" w:rsidP="00A56EA2">
            <w:pPr>
              <w:pStyle w:val="Default"/>
              <w:rPr>
                <w:sz w:val="22"/>
                <w:szCs w:val="22"/>
              </w:rPr>
            </w:pPr>
            <w:r w:rsidRPr="00EB3906">
              <w:rPr>
                <w:sz w:val="22"/>
                <w:szCs w:val="22"/>
              </w:rPr>
              <w:t>AUC: ↔</w:t>
            </w:r>
          </w:p>
          <w:p w14:paraId="55E1C097" w14:textId="22757E7D"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38 </w:t>
            </w:r>
            <w:r w:rsidRPr="00EB3906">
              <w:rPr>
                <w:sz w:val="22"/>
                <w:szCs w:val="22"/>
              </w:rPr>
              <w:t>%</w:t>
            </w:r>
          </w:p>
          <w:p w14:paraId="50A6446F" w14:textId="77777777" w:rsidR="00A56EA2" w:rsidRDefault="00A56EA2" w:rsidP="00A56EA2">
            <w:pPr>
              <w:pStyle w:val="Default"/>
              <w:rPr>
                <w:sz w:val="22"/>
                <w:szCs w:val="22"/>
              </w:rPr>
            </w:pPr>
          </w:p>
          <w:p w14:paraId="159C3F87" w14:textId="77777777" w:rsidR="00A56EA2" w:rsidRPr="00EB3906" w:rsidRDefault="00A56EA2" w:rsidP="00A56EA2">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263DD26B" w14:textId="77777777" w:rsidR="00A56EA2" w:rsidRPr="00EB3906" w:rsidRDefault="00A56EA2" w:rsidP="00A56EA2">
            <w:pPr>
              <w:pStyle w:val="Default"/>
              <w:rPr>
                <w:sz w:val="22"/>
                <w:szCs w:val="22"/>
              </w:rPr>
            </w:pPr>
            <w:r w:rsidRPr="00EB3906">
              <w:rPr>
                <w:sz w:val="22"/>
                <w:szCs w:val="22"/>
              </w:rPr>
              <w:t>AUC: ↔</w:t>
            </w:r>
          </w:p>
          <w:p w14:paraId="2CBE2B70" w14:textId="77777777"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169535FE" w14:textId="77777777"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7544FDA1" w14:textId="77777777" w:rsidR="00A56EA2" w:rsidRDefault="00A56EA2" w:rsidP="00A56EA2">
            <w:pPr>
              <w:pStyle w:val="Default"/>
              <w:rPr>
                <w:sz w:val="22"/>
                <w:szCs w:val="22"/>
              </w:rPr>
            </w:pPr>
          </w:p>
          <w:p w14:paraId="72C2F7B4" w14:textId="77777777" w:rsidR="00A56EA2" w:rsidRPr="00EB3906" w:rsidRDefault="00A56EA2" w:rsidP="00A56EA2">
            <w:pPr>
              <w:pStyle w:val="Default"/>
              <w:rPr>
                <w:sz w:val="22"/>
                <w:szCs w:val="22"/>
              </w:rPr>
            </w:pPr>
            <w:r>
              <w:rPr>
                <w:sz w:val="22"/>
                <w:szCs w:val="22"/>
              </w:rPr>
              <w:t>Velpatasviras</w:t>
            </w:r>
            <w:r w:rsidRPr="00EB3906">
              <w:rPr>
                <w:sz w:val="22"/>
                <w:szCs w:val="22"/>
              </w:rPr>
              <w:t>:</w:t>
            </w:r>
          </w:p>
          <w:p w14:paraId="3CA5BC16" w14:textId="296D48AF" w:rsidR="00A56EA2" w:rsidRPr="00EB3906" w:rsidRDefault="00A56EA2" w:rsidP="00A56EA2">
            <w:pPr>
              <w:pStyle w:val="Default"/>
              <w:rPr>
                <w:sz w:val="22"/>
                <w:szCs w:val="22"/>
              </w:rPr>
            </w:pPr>
            <w:r w:rsidRPr="00EB3906">
              <w:rPr>
                <w:sz w:val="22"/>
                <w:szCs w:val="22"/>
              </w:rPr>
              <w:t xml:space="preserve">AUC: </w:t>
            </w:r>
            <w:r w:rsidRPr="00307D20">
              <w:rPr>
                <w:rFonts w:hint="eastAsia"/>
                <w:sz w:val="22"/>
                <w:szCs w:val="22"/>
              </w:rPr>
              <w:t>↓</w:t>
            </w:r>
            <w:r w:rsidRPr="00307D20">
              <w:rPr>
                <w:sz w:val="22"/>
                <w:szCs w:val="22"/>
              </w:rPr>
              <w:t xml:space="preserve"> </w:t>
            </w:r>
            <w:r>
              <w:rPr>
                <w:sz w:val="22"/>
                <w:szCs w:val="22"/>
              </w:rPr>
              <w:t>53</w:t>
            </w:r>
            <w:r w:rsidRPr="00307D20">
              <w:rPr>
                <w:sz w:val="22"/>
                <w:szCs w:val="22"/>
              </w:rPr>
              <w:t> %</w:t>
            </w:r>
          </w:p>
          <w:p w14:paraId="3D2D7009" w14:textId="2F3C0408" w:rsidR="00A56EA2"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w:t>
            </w:r>
            <w:r w:rsidRPr="00307D20">
              <w:rPr>
                <w:rFonts w:hint="eastAsia"/>
                <w:sz w:val="22"/>
                <w:szCs w:val="22"/>
              </w:rPr>
              <w:t>↓</w:t>
            </w:r>
            <w:r w:rsidRPr="00307D20">
              <w:rPr>
                <w:sz w:val="22"/>
                <w:szCs w:val="22"/>
              </w:rPr>
              <w:t xml:space="preserve"> </w:t>
            </w:r>
            <w:r>
              <w:rPr>
                <w:sz w:val="22"/>
                <w:szCs w:val="22"/>
              </w:rPr>
              <w:t>47</w:t>
            </w:r>
            <w:r w:rsidRPr="00307D20">
              <w:rPr>
                <w:sz w:val="22"/>
                <w:szCs w:val="22"/>
              </w:rPr>
              <w:t> %</w:t>
            </w:r>
          </w:p>
          <w:p w14:paraId="132FCD28" w14:textId="61F1A12B" w:rsidR="00A56EA2"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307D20">
              <w:rPr>
                <w:rFonts w:hint="eastAsia"/>
                <w:sz w:val="22"/>
                <w:szCs w:val="22"/>
              </w:rPr>
              <w:t>↓</w:t>
            </w:r>
            <w:r w:rsidRPr="00307D20">
              <w:rPr>
                <w:sz w:val="22"/>
                <w:szCs w:val="22"/>
              </w:rPr>
              <w:t xml:space="preserve"> </w:t>
            </w:r>
            <w:r>
              <w:rPr>
                <w:sz w:val="22"/>
                <w:szCs w:val="22"/>
              </w:rPr>
              <w:t>57</w:t>
            </w:r>
            <w:r w:rsidRPr="00307D20">
              <w:rPr>
                <w:sz w:val="22"/>
                <w:szCs w:val="22"/>
              </w:rPr>
              <w:t> %</w:t>
            </w:r>
          </w:p>
          <w:p w14:paraId="2BDE40BD" w14:textId="77777777" w:rsidR="00A56EA2" w:rsidRDefault="00A56EA2" w:rsidP="00A56EA2">
            <w:pPr>
              <w:pStyle w:val="Default"/>
              <w:rPr>
                <w:sz w:val="22"/>
                <w:szCs w:val="22"/>
              </w:rPr>
            </w:pPr>
          </w:p>
          <w:p w14:paraId="086657E6" w14:textId="378C6BE7" w:rsidR="00A56EA2" w:rsidRPr="00EB3906" w:rsidRDefault="00A56EA2" w:rsidP="00A56EA2">
            <w:pPr>
              <w:pStyle w:val="Default"/>
              <w:rPr>
                <w:sz w:val="22"/>
                <w:szCs w:val="22"/>
              </w:rPr>
            </w:pPr>
            <w:r>
              <w:rPr>
                <w:sz w:val="22"/>
                <w:szCs w:val="22"/>
              </w:rPr>
              <w:t>Efavirenzas</w:t>
            </w:r>
            <w:r w:rsidRPr="00EB3906">
              <w:rPr>
                <w:sz w:val="22"/>
                <w:szCs w:val="22"/>
              </w:rPr>
              <w:t>:</w:t>
            </w:r>
          </w:p>
          <w:p w14:paraId="5946BFBC" w14:textId="77777777" w:rsidR="00A56EA2" w:rsidRPr="00EB3906" w:rsidRDefault="00A56EA2" w:rsidP="00A56EA2">
            <w:pPr>
              <w:pStyle w:val="Default"/>
              <w:rPr>
                <w:sz w:val="22"/>
                <w:szCs w:val="22"/>
              </w:rPr>
            </w:pPr>
            <w:r w:rsidRPr="00EB3906">
              <w:rPr>
                <w:sz w:val="22"/>
                <w:szCs w:val="22"/>
              </w:rPr>
              <w:t>AUC: ↔</w:t>
            </w:r>
          </w:p>
          <w:p w14:paraId="0A367D72" w14:textId="77777777" w:rsidR="00A56EA2" w:rsidRPr="00EB3906" w:rsidRDefault="00A56EA2" w:rsidP="00A56EA2">
            <w:pPr>
              <w:pStyle w:val="Default"/>
              <w:rPr>
                <w:sz w:val="22"/>
                <w:szCs w:val="22"/>
              </w:rPr>
            </w:pPr>
            <w:r w:rsidRPr="00EB3906">
              <w:rPr>
                <w:sz w:val="22"/>
                <w:szCs w:val="22"/>
              </w:rPr>
              <w:lastRenderedPageBreak/>
              <w:t>C</w:t>
            </w:r>
            <w:r w:rsidRPr="006F54D9">
              <w:rPr>
                <w:sz w:val="22"/>
                <w:szCs w:val="22"/>
              </w:rPr>
              <w:t>max</w:t>
            </w:r>
            <w:r w:rsidRPr="00EB3906">
              <w:rPr>
                <w:sz w:val="22"/>
                <w:szCs w:val="22"/>
              </w:rPr>
              <w:t>: ↔</w:t>
            </w:r>
          </w:p>
          <w:p w14:paraId="67773256" w14:textId="2482D60D"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62D308B9" w14:textId="77777777" w:rsidR="00A56EA2" w:rsidRDefault="00A56EA2" w:rsidP="00A56EA2">
            <w:pPr>
              <w:pStyle w:val="Default"/>
              <w:rPr>
                <w:sz w:val="22"/>
                <w:szCs w:val="22"/>
              </w:rPr>
            </w:pPr>
          </w:p>
          <w:p w14:paraId="5502883C" w14:textId="77777777" w:rsidR="00A56EA2" w:rsidRPr="00EB3906" w:rsidRDefault="00A56EA2" w:rsidP="00A56EA2">
            <w:pPr>
              <w:pStyle w:val="Default"/>
              <w:rPr>
                <w:sz w:val="22"/>
                <w:szCs w:val="22"/>
              </w:rPr>
            </w:pPr>
            <w:r w:rsidRPr="00EB3906">
              <w:rPr>
                <w:sz w:val="22"/>
                <w:szCs w:val="22"/>
              </w:rPr>
              <w:t>Emtricitabinas:</w:t>
            </w:r>
          </w:p>
          <w:p w14:paraId="5D313645" w14:textId="77777777" w:rsidR="00A56EA2" w:rsidRPr="00EB3906" w:rsidRDefault="00A56EA2" w:rsidP="00A56EA2">
            <w:pPr>
              <w:pStyle w:val="Default"/>
              <w:rPr>
                <w:sz w:val="22"/>
                <w:szCs w:val="22"/>
              </w:rPr>
            </w:pPr>
            <w:r w:rsidRPr="00EB3906">
              <w:rPr>
                <w:sz w:val="22"/>
                <w:szCs w:val="22"/>
              </w:rPr>
              <w:t>AUC: ↔</w:t>
            </w:r>
          </w:p>
          <w:p w14:paraId="43FBD20D" w14:textId="77777777"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2EB62686" w14:textId="77777777"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1CF0A871" w14:textId="77777777" w:rsidR="00A56EA2" w:rsidRDefault="00A56EA2" w:rsidP="00A56EA2">
            <w:pPr>
              <w:pStyle w:val="Default"/>
              <w:rPr>
                <w:sz w:val="22"/>
                <w:szCs w:val="22"/>
              </w:rPr>
            </w:pPr>
          </w:p>
          <w:p w14:paraId="577AAEA5" w14:textId="77777777" w:rsidR="00A56EA2" w:rsidRPr="00EB3906" w:rsidRDefault="00A56EA2" w:rsidP="00A56EA2">
            <w:pPr>
              <w:pStyle w:val="Default"/>
              <w:rPr>
                <w:sz w:val="22"/>
                <w:szCs w:val="22"/>
              </w:rPr>
            </w:pPr>
            <w:r w:rsidRPr="00EB3906">
              <w:rPr>
                <w:sz w:val="22"/>
                <w:szCs w:val="22"/>
              </w:rPr>
              <w:t>Tenofoviras:</w:t>
            </w:r>
          </w:p>
          <w:p w14:paraId="188AE79B" w14:textId="1C276368" w:rsidR="00A56EA2" w:rsidRPr="00EB3906" w:rsidRDefault="00A56EA2" w:rsidP="00A56EA2">
            <w:pPr>
              <w:pStyle w:val="Default"/>
              <w:rPr>
                <w:sz w:val="22"/>
                <w:szCs w:val="22"/>
              </w:rPr>
            </w:pPr>
            <w:r w:rsidRPr="00EB3906">
              <w:rPr>
                <w:sz w:val="22"/>
                <w:szCs w:val="22"/>
              </w:rPr>
              <w:t xml:space="preserve">AUC: ↑ </w:t>
            </w:r>
            <w:r>
              <w:rPr>
                <w:sz w:val="22"/>
                <w:szCs w:val="22"/>
              </w:rPr>
              <w:t>81 </w:t>
            </w:r>
            <w:r w:rsidRPr="00EB3906">
              <w:rPr>
                <w:sz w:val="22"/>
                <w:szCs w:val="22"/>
              </w:rPr>
              <w:t>%</w:t>
            </w:r>
          </w:p>
          <w:p w14:paraId="23E3DBDC" w14:textId="5B2EABD2" w:rsidR="00A56EA2"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77 </w:t>
            </w:r>
            <w:r w:rsidRPr="00EB3906">
              <w:rPr>
                <w:sz w:val="22"/>
                <w:szCs w:val="22"/>
              </w:rPr>
              <w:t>%</w:t>
            </w:r>
          </w:p>
          <w:p w14:paraId="77764363" w14:textId="2FEFE884"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121 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31F9B9A" w14:textId="7E48C706" w:rsidR="00A56EA2" w:rsidRPr="00945A0C" w:rsidRDefault="00A56EA2" w:rsidP="00A56EA2">
            <w:pPr>
              <w:pStyle w:val="Default"/>
              <w:rPr>
                <w:sz w:val="22"/>
                <w:szCs w:val="22"/>
              </w:rPr>
            </w:pPr>
            <w:r w:rsidRPr="00945A0C">
              <w:rPr>
                <w:sz w:val="22"/>
                <w:szCs w:val="22"/>
              </w:rPr>
              <w:lastRenderedPageBreak/>
              <w:t xml:space="preserve">Kartu vartojant sofosbuviro / velpatasviro ir efavirenzo, tikėtinas velpatasviro koncentracijos kraujo plazmoje sumažėjimas. Gydymo sofosbuviru / velpatasviru nerekomenduojama derinti su gydymo </w:t>
            </w:r>
            <w:r w:rsidR="00520290">
              <w:rPr>
                <w:sz w:val="22"/>
                <w:szCs w:val="22"/>
              </w:rPr>
              <w:t>schemomis</w:t>
            </w:r>
            <w:r w:rsidRPr="00945A0C">
              <w:rPr>
                <w:sz w:val="22"/>
                <w:szCs w:val="22"/>
              </w:rPr>
              <w:t xml:space="preserve">, kurių metu vartojama efavirenzo. </w:t>
            </w:r>
          </w:p>
          <w:p w14:paraId="0F041D36" w14:textId="2457928E" w:rsidR="00A56EA2" w:rsidRPr="00EB3906" w:rsidRDefault="00A56EA2" w:rsidP="00A56EA2">
            <w:pPr>
              <w:pStyle w:val="Default"/>
              <w:rPr>
                <w:sz w:val="22"/>
                <w:szCs w:val="22"/>
              </w:rPr>
            </w:pPr>
          </w:p>
        </w:tc>
      </w:tr>
      <w:tr w:rsidR="00A56EA2" w:rsidRPr="00EB3906" w14:paraId="135C5C78" w14:textId="77777777" w:rsidTr="00A56EA2">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40881095" w14:textId="192B2CB7" w:rsidR="00A56EA2" w:rsidRPr="00EB3906" w:rsidRDefault="00A56EA2" w:rsidP="00A56EA2">
            <w:pPr>
              <w:pStyle w:val="Default"/>
              <w:rPr>
                <w:sz w:val="22"/>
                <w:szCs w:val="22"/>
              </w:rPr>
            </w:pPr>
            <w:r>
              <w:rPr>
                <w:sz w:val="22"/>
                <w:szCs w:val="22"/>
              </w:rPr>
              <w:t>S</w:t>
            </w:r>
            <w:r w:rsidRPr="00EB3906">
              <w:rPr>
                <w:sz w:val="22"/>
                <w:szCs w:val="22"/>
              </w:rPr>
              <w:t>ofosbuviras</w:t>
            </w:r>
            <w:r>
              <w:rPr>
                <w:sz w:val="22"/>
                <w:szCs w:val="22"/>
              </w:rPr>
              <w:t xml:space="preserve"> /Velpatasviras </w:t>
            </w:r>
            <w:r w:rsidRPr="00EB3906">
              <w:rPr>
                <w:sz w:val="22"/>
                <w:szCs w:val="22"/>
              </w:rPr>
              <w:t>(</w:t>
            </w:r>
            <w:r>
              <w:rPr>
                <w:sz w:val="22"/>
                <w:szCs w:val="22"/>
              </w:rPr>
              <w:t>400 </w:t>
            </w:r>
            <w:r w:rsidRPr="00EB3906">
              <w:rPr>
                <w:sz w:val="22"/>
                <w:szCs w:val="22"/>
              </w:rPr>
              <w:t xml:space="preserve">mg / </w:t>
            </w:r>
            <w:r>
              <w:rPr>
                <w:sz w:val="22"/>
                <w:szCs w:val="22"/>
              </w:rPr>
              <w:t>1</w:t>
            </w:r>
            <w:r w:rsidRPr="00EB3906">
              <w:rPr>
                <w:sz w:val="22"/>
                <w:szCs w:val="22"/>
              </w:rPr>
              <w:t>00</w:t>
            </w:r>
            <w:r>
              <w:rPr>
                <w:sz w:val="22"/>
                <w:szCs w:val="22"/>
              </w:rPr>
              <w:t> </w:t>
            </w:r>
            <w:r w:rsidRPr="00EB3906">
              <w:rPr>
                <w:sz w:val="22"/>
                <w:szCs w:val="22"/>
              </w:rPr>
              <w:t>mg q.d.) +</w:t>
            </w:r>
            <w:r>
              <w:rPr>
                <w:sz w:val="22"/>
                <w:szCs w:val="22"/>
              </w:rPr>
              <w:t xml:space="preserve"> + Emtricitabinas / Rilpivirinas / Tenofoviras dizoproksilis </w:t>
            </w:r>
            <w:r w:rsidRPr="00EB3906">
              <w:rPr>
                <w:sz w:val="22"/>
                <w:szCs w:val="22"/>
              </w:rPr>
              <w:t>(200</w:t>
            </w:r>
            <w:r>
              <w:rPr>
                <w:sz w:val="22"/>
                <w:szCs w:val="22"/>
              </w:rPr>
              <w:t> </w:t>
            </w:r>
            <w:r w:rsidRPr="00EB3906">
              <w:rPr>
                <w:sz w:val="22"/>
                <w:szCs w:val="22"/>
              </w:rPr>
              <w:t xml:space="preserve">mg </w:t>
            </w:r>
            <w:r>
              <w:rPr>
                <w:sz w:val="22"/>
                <w:szCs w:val="22"/>
              </w:rPr>
              <w:t>/25 mg/</w:t>
            </w:r>
            <w:r w:rsidRPr="00EB3906">
              <w:rPr>
                <w:sz w:val="22"/>
                <w:szCs w:val="22"/>
              </w:rPr>
              <w:t xml:space="preserve">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3EF0EA30" w14:textId="77777777" w:rsidR="00A56EA2" w:rsidRPr="00EB3906" w:rsidRDefault="00A56EA2" w:rsidP="00A56EA2">
            <w:pPr>
              <w:pStyle w:val="Default"/>
              <w:rPr>
                <w:sz w:val="22"/>
                <w:szCs w:val="22"/>
              </w:rPr>
            </w:pPr>
            <w:r w:rsidRPr="00EB3906">
              <w:rPr>
                <w:sz w:val="22"/>
                <w:szCs w:val="22"/>
              </w:rPr>
              <w:t>Sofosbuviras:</w:t>
            </w:r>
          </w:p>
          <w:p w14:paraId="3B5506E9" w14:textId="77777777" w:rsidR="00A56EA2" w:rsidRPr="00EB3906" w:rsidRDefault="00A56EA2" w:rsidP="00A56EA2">
            <w:pPr>
              <w:pStyle w:val="Default"/>
              <w:rPr>
                <w:sz w:val="22"/>
                <w:szCs w:val="22"/>
              </w:rPr>
            </w:pPr>
            <w:r w:rsidRPr="00EB3906">
              <w:rPr>
                <w:sz w:val="22"/>
                <w:szCs w:val="22"/>
              </w:rPr>
              <w:t>AUC: ↔</w:t>
            </w:r>
          </w:p>
          <w:p w14:paraId="47F6D975" w14:textId="77777777"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64013BE9" w14:textId="77777777" w:rsidR="00A56EA2" w:rsidRDefault="00A56EA2" w:rsidP="00A56EA2">
            <w:pPr>
              <w:pStyle w:val="Default"/>
              <w:rPr>
                <w:sz w:val="22"/>
                <w:szCs w:val="22"/>
              </w:rPr>
            </w:pPr>
          </w:p>
          <w:p w14:paraId="1E6454C1" w14:textId="77777777" w:rsidR="00A56EA2" w:rsidRPr="00EB3906" w:rsidRDefault="00A56EA2" w:rsidP="00A56EA2">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0A14344D" w14:textId="77777777" w:rsidR="00A56EA2" w:rsidRPr="00EB3906" w:rsidRDefault="00A56EA2" w:rsidP="00A56EA2">
            <w:pPr>
              <w:pStyle w:val="Default"/>
              <w:rPr>
                <w:sz w:val="22"/>
                <w:szCs w:val="22"/>
              </w:rPr>
            </w:pPr>
            <w:r w:rsidRPr="00EB3906">
              <w:rPr>
                <w:sz w:val="22"/>
                <w:szCs w:val="22"/>
              </w:rPr>
              <w:t>AUC: ↔</w:t>
            </w:r>
          </w:p>
          <w:p w14:paraId="44272CB0" w14:textId="77777777"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2DEA370D" w14:textId="77777777"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0D4EC2C5" w14:textId="77777777" w:rsidR="00A56EA2" w:rsidRDefault="00A56EA2" w:rsidP="00A56EA2">
            <w:pPr>
              <w:pStyle w:val="Default"/>
              <w:rPr>
                <w:sz w:val="22"/>
                <w:szCs w:val="22"/>
              </w:rPr>
            </w:pPr>
          </w:p>
          <w:p w14:paraId="2192B943" w14:textId="77777777" w:rsidR="00A56EA2" w:rsidRPr="00EB3906" w:rsidRDefault="00A56EA2" w:rsidP="00A56EA2">
            <w:pPr>
              <w:pStyle w:val="Default"/>
              <w:rPr>
                <w:sz w:val="22"/>
                <w:szCs w:val="22"/>
              </w:rPr>
            </w:pPr>
            <w:r>
              <w:rPr>
                <w:sz w:val="22"/>
                <w:szCs w:val="22"/>
              </w:rPr>
              <w:t>Velpatasviras</w:t>
            </w:r>
            <w:r w:rsidRPr="00EB3906">
              <w:rPr>
                <w:sz w:val="22"/>
                <w:szCs w:val="22"/>
              </w:rPr>
              <w:t>:</w:t>
            </w:r>
          </w:p>
          <w:p w14:paraId="14DA13F0" w14:textId="77777777" w:rsidR="00A56EA2" w:rsidRPr="00EB3906" w:rsidRDefault="00A56EA2" w:rsidP="00A56EA2">
            <w:pPr>
              <w:pStyle w:val="Default"/>
              <w:rPr>
                <w:sz w:val="22"/>
                <w:szCs w:val="22"/>
              </w:rPr>
            </w:pPr>
            <w:r w:rsidRPr="00EB3906">
              <w:rPr>
                <w:sz w:val="22"/>
                <w:szCs w:val="22"/>
              </w:rPr>
              <w:t>AUC: ↔</w:t>
            </w:r>
          </w:p>
          <w:p w14:paraId="0D3B9470" w14:textId="77777777" w:rsidR="00A56EA2"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41BA53A5" w14:textId="77777777" w:rsidR="00A56EA2"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2427BB4F" w14:textId="77777777" w:rsidR="00A56EA2" w:rsidRDefault="00A56EA2" w:rsidP="00A56EA2">
            <w:pPr>
              <w:pStyle w:val="Default"/>
              <w:rPr>
                <w:sz w:val="22"/>
                <w:szCs w:val="22"/>
              </w:rPr>
            </w:pPr>
          </w:p>
          <w:p w14:paraId="42F006DC" w14:textId="77777777" w:rsidR="00A56EA2" w:rsidRPr="00EB3906" w:rsidRDefault="00A56EA2" w:rsidP="00A56EA2">
            <w:pPr>
              <w:pStyle w:val="Default"/>
              <w:rPr>
                <w:sz w:val="22"/>
                <w:szCs w:val="22"/>
              </w:rPr>
            </w:pPr>
            <w:r w:rsidRPr="00EB3906">
              <w:rPr>
                <w:sz w:val="22"/>
                <w:szCs w:val="22"/>
              </w:rPr>
              <w:t>Emtricitabinas:</w:t>
            </w:r>
          </w:p>
          <w:p w14:paraId="0D43F247" w14:textId="77777777" w:rsidR="00A56EA2" w:rsidRPr="00EB3906" w:rsidRDefault="00A56EA2" w:rsidP="00A56EA2">
            <w:pPr>
              <w:pStyle w:val="Default"/>
              <w:rPr>
                <w:sz w:val="22"/>
                <w:szCs w:val="22"/>
              </w:rPr>
            </w:pPr>
            <w:r w:rsidRPr="00EB3906">
              <w:rPr>
                <w:sz w:val="22"/>
                <w:szCs w:val="22"/>
              </w:rPr>
              <w:t>AUC: ↔</w:t>
            </w:r>
          </w:p>
          <w:p w14:paraId="02B244CB" w14:textId="77777777"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0C05DFAA" w14:textId="77777777"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58622DE9" w14:textId="77777777" w:rsidR="00A56EA2" w:rsidRDefault="00A56EA2" w:rsidP="00A56EA2">
            <w:pPr>
              <w:pStyle w:val="Default"/>
              <w:rPr>
                <w:sz w:val="22"/>
                <w:szCs w:val="22"/>
              </w:rPr>
            </w:pPr>
          </w:p>
          <w:p w14:paraId="57A3A316" w14:textId="19EF66C5" w:rsidR="00A56EA2" w:rsidRPr="00EB3906" w:rsidRDefault="00A56EA2" w:rsidP="00A56EA2">
            <w:pPr>
              <w:pStyle w:val="Default"/>
              <w:rPr>
                <w:sz w:val="22"/>
                <w:szCs w:val="22"/>
              </w:rPr>
            </w:pPr>
            <w:r>
              <w:rPr>
                <w:sz w:val="22"/>
                <w:szCs w:val="22"/>
              </w:rPr>
              <w:t>Rilpivirinas</w:t>
            </w:r>
            <w:r w:rsidRPr="00EB3906">
              <w:rPr>
                <w:sz w:val="22"/>
                <w:szCs w:val="22"/>
              </w:rPr>
              <w:t>:</w:t>
            </w:r>
          </w:p>
          <w:p w14:paraId="3BB46EE4" w14:textId="77777777" w:rsidR="00A56EA2" w:rsidRPr="00EB3906" w:rsidRDefault="00A56EA2" w:rsidP="00A56EA2">
            <w:pPr>
              <w:pStyle w:val="Default"/>
              <w:rPr>
                <w:sz w:val="22"/>
                <w:szCs w:val="22"/>
              </w:rPr>
            </w:pPr>
            <w:r w:rsidRPr="00EB3906">
              <w:rPr>
                <w:sz w:val="22"/>
                <w:szCs w:val="22"/>
              </w:rPr>
              <w:t>AUC: ↔</w:t>
            </w:r>
          </w:p>
          <w:p w14:paraId="140EE9E3" w14:textId="77777777" w:rsidR="00A56EA2" w:rsidRPr="00EB3906"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w:t>
            </w:r>
          </w:p>
          <w:p w14:paraId="1B2F60C4" w14:textId="77777777" w:rsidR="00A56EA2" w:rsidRPr="00EB3906" w:rsidRDefault="00A56EA2" w:rsidP="00A56EA2">
            <w:pPr>
              <w:pStyle w:val="Default"/>
              <w:rPr>
                <w:sz w:val="22"/>
                <w:szCs w:val="22"/>
              </w:rPr>
            </w:pPr>
            <w:r w:rsidRPr="00EB3906">
              <w:rPr>
                <w:sz w:val="22"/>
                <w:szCs w:val="22"/>
              </w:rPr>
              <w:t>C</w:t>
            </w:r>
            <w:r w:rsidRPr="006F54D9">
              <w:rPr>
                <w:sz w:val="22"/>
                <w:szCs w:val="22"/>
              </w:rPr>
              <w:t>min</w:t>
            </w:r>
            <w:r w:rsidRPr="00EB3906">
              <w:rPr>
                <w:sz w:val="22"/>
                <w:szCs w:val="22"/>
              </w:rPr>
              <w:t>: ↔</w:t>
            </w:r>
          </w:p>
          <w:p w14:paraId="38D61A6C" w14:textId="77777777" w:rsidR="00A56EA2" w:rsidRDefault="00A56EA2" w:rsidP="00A56EA2">
            <w:pPr>
              <w:pStyle w:val="Default"/>
              <w:rPr>
                <w:sz w:val="22"/>
                <w:szCs w:val="22"/>
              </w:rPr>
            </w:pPr>
          </w:p>
          <w:p w14:paraId="49883A79" w14:textId="77777777" w:rsidR="00A56EA2" w:rsidRPr="00EB3906" w:rsidRDefault="00A56EA2" w:rsidP="00A56EA2">
            <w:pPr>
              <w:pStyle w:val="Default"/>
              <w:rPr>
                <w:sz w:val="22"/>
                <w:szCs w:val="22"/>
              </w:rPr>
            </w:pPr>
            <w:r w:rsidRPr="00EB3906">
              <w:rPr>
                <w:sz w:val="22"/>
                <w:szCs w:val="22"/>
              </w:rPr>
              <w:t>Tenofoviras:</w:t>
            </w:r>
          </w:p>
          <w:p w14:paraId="0A3801A9" w14:textId="77777777" w:rsidR="00A56EA2" w:rsidRPr="00EB3906" w:rsidRDefault="00A56EA2" w:rsidP="00A56EA2">
            <w:pPr>
              <w:pStyle w:val="Default"/>
              <w:rPr>
                <w:sz w:val="22"/>
                <w:szCs w:val="22"/>
              </w:rPr>
            </w:pPr>
            <w:r w:rsidRPr="00EB3906">
              <w:rPr>
                <w:sz w:val="22"/>
                <w:szCs w:val="22"/>
              </w:rPr>
              <w:t xml:space="preserve">AUC: ↑ </w:t>
            </w:r>
            <w:r>
              <w:rPr>
                <w:sz w:val="22"/>
                <w:szCs w:val="22"/>
              </w:rPr>
              <w:t>40 </w:t>
            </w:r>
            <w:r w:rsidRPr="00EB3906">
              <w:rPr>
                <w:sz w:val="22"/>
                <w:szCs w:val="22"/>
              </w:rPr>
              <w:t>%</w:t>
            </w:r>
          </w:p>
          <w:p w14:paraId="21A471BC" w14:textId="512B4160" w:rsidR="00A56EA2" w:rsidRDefault="00A56EA2" w:rsidP="00A56EA2">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4</w:t>
            </w:r>
            <w:r w:rsidR="00467497">
              <w:rPr>
                <w:sz w:val="22"/>
                <w:szCs w:val="22"/>
              </w:rPr>
              <w:t>4</w:t>
            </w:r>
            <w:r>
              <w:rPr>
                <w:sz w:val="22"/>
                <w:szCs w:val="22"/>
              </w:rPr>
              <w:t> </w:t>
            </w:r>
            <w:r w:rsidRPr="00EB3906">
              <w:rPr>
                <w:sz w:val="22"/>
                <w:szCs w:val="22"/>
              </w:rPr>
              <w:t>%</w:t>
            </w:r>
          </w:p>
          <w:p w14:paraId="3CABFBC2" w14:textId="2B660AEF" w:rsidR="00A56EA2" w:rsidRPr="00EB3906" w:rsidRDefault="00A56EA2" w:rsidP="00467497">
            <w:pPr>
              <w:pStyle w:val="Default"/>
              <w:rPr>
                <w:sz w:val="22"/>
                <w:szCs w:val="22"/>
              </w:rPr>
            </w:pPr>
            <w:r w:rsidRPr="00EB3906">
              <w:rPr>
                <w:sz w:val="22"/>
                <w:szCs w:val="22"/>
              </w:rPr>
              <w:t>C</w:t>
            </w:r>
            <w:r w:rsidRPr="006F54D9">
              <w:rPr>
                <w:sz w:val="22"/>
                <w:szCs w:val="22"/>
              </w:rPr>
              <w:t>min</w:t>
            </w:r>
            <w:r w:rsidRPr="00EB3906">
              <w:rPr>
                <w:sz w:val="22"/>
                <w:szCs w:val="22"/>
              </w:rPr>
              <w:t xml:space="preserve">: ↑ </w:t>
            </w:r>
            <w:r w:rsidR="00467497">
              <w:rPr>
                <w:sz w:val="22"/>
                <w:szCs w:val="22"/>
              </w:rPr>
              <w:t>84</w:t>
            </w:r>
            <w:r>
              <w:rPr>
                <w:sz w:val="22"/>
                <w:szCs w:val="22"/>
              </w:rPr>
              <w:t>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2CE61FBD" w14:textId="77777777" w:rsidR="00A56EA2" w:rsidRPr="00EB3906" w:rsidRDefault="00A56EA2" w:rsidP="00A56EA2">
            <w:pPr>
              <w:pStyle w:val="Default"/>
              <w:rPr>
                <w:sz w:val="22"/>
                <w:szCs w:val="22"/>
              </w:rPr>
            </w:pPr>
            <w:r w:rsidRPr="00EB3906">
              <w:rPr>
                <w:sz w:val="22"/>
                <w:szCs w:val="22"/>
              </w:rPr>
              <w:t>Dozę koreguoti nerekomenduojama. Padidėjus tenofoviro ekspozicijai gali sustiprėti su tenofovir</w:t>
            </w:r>
            <w:r>
              <w:rPr>
                <w:sz w:val="22"/>
                <w:szCs w:val="22"/>
              </w:rPr>
              <w:t>u</w:t>
            </w:r>
            <w:r w:rsidRPr="00EB3906">
              <w:rPr>
                <w:sz w:val="22"/>
                <w:szCs w:val="22"/>
              </w:rPr>
              <w:t xml:space="preserve"> dizoproksili</w:t>
            </w:r>
            <w:r>
              <w:rPr>
                <w:sz w:val="22"/>
                <w:szCs w:val="22"/>
              </w:rPr>
              <w:t>u</w:t>
            </w:r>
            <w:r w:rsidRPr="00EB3906">
              <w:rPr>
                <w:sz w:val="22"/>
                <w:szCs w:val="22"/>
              </w:rPr>
              <w:t xml:space="preserve"> susijusios nepageidaujamos reakcijos, įskaitant inkstų sutrikimus. Reikia atidžiai stebėti inkstų funkciją (žr. 4.4 skyrių).</w:t>
            </w:r>
          </w:p>
        </w:tc>
      </w:tr>
      <w:tr w:rsidR="00467497" w:rsidRPr="00EB3906" w14:paraId="671D3637" w14:textId="77777777" w:rsidTr="00467497">
        <w:tc>
          <w:tcPr>
            <w:tcW w:w="3095" w:type="dxa"/>
            <w:gridSpan w:val="2"/>
            <w:tcBorders>
              <w:top w:val="single" w:sz="4" w:space="0" w:color="auto"/>
              <w:left w:val="single" w:sz="4" w:space="0" w:color="auto"/>
              <w:bottom w:val="single" w:sz="4" w:space="0" w:color="auto"/>
              <w:right w:val="single" w:sz="4" w:space="0" w:color="auto"/>
            </w:tcBorders>
            <w:shd w:val="clear" w:color="auto" w:fill="auto"/>
          </w:tcPr>
          <w:p w14:paraId="197B5984" w14:textId="2E611E3F" w:rsidR="00467497" w:rsidRPr="00EB3906" w:rsidRDefault="00467497" w:rsidP="00467497">
            <w:pPr>
              <w:pStyle w:val="Default"/>
              <w:rPr>
                <w:sz w:val="22"/>
                <w:szCs w:val="22"/>
              </w:rPr>
            </w:pPr>
            <w:r>
              <w:rPr>
                <w:sz w:val="22"/>
                <w:szCs w:val="22"/>
              </w:rPr>
              <w:t>S</w:t>
            </w:r>
            <w:r w:rsidRPr="00EB3906">
              <w:rPr>
                <w:sz w:val="22"/>
                <w:szCs w:val="22"/>
              </w:rPr>
              <w:t>ofosbuviras</w:t>
            </w:r>
            <w:r>
              <w:rPr>
                <w:sz w:val="22"/>
                <w:szCs w:val="22"/>
              </w:rPr>
              <w:t xml:space="preserve"> /Velpatasviras / Voksilapreviras </w:t>
            </w:r>
            <w:r w:rsidRPr="00EB3906">
              <w:rPr>
                <w:sz w:val="22"/>
                <w:szCs w:val="22"/>
              </w:rPr>
              <w:t>(</w:t>
            </w:r>
            <w:r>
              <w:rPr>
                <w:sz w:val="22"/>
                <w:szCs w:val="22"/>
              </w:rPr>
              <w:t>400 </w:t>
            </w:r>
            <w:r w:rsidRPr="00EB3906">
              <w:rPr>
                <w:sz w:val="22"/>
                <w:szCs w:val="22"/>
              </w:rPr>
              <w:t xml:space="preserve">mg / </w:t>
            </w:r>
            <w:r>
              <w:rPr>
                <w:sz w:val="22"/>
                <w:szCs w:val="22"/>
              </w:rPr>
              <w:t>1</w:t>
            </w:r>
            <w:r w:rsidRPr="00EB3906">
              <w:rPr>
                <w:sz w:val="22"/>
                <w:szCs w:val="22"/>
              </w:rPr>
              <w:t>00</w:t>
            </w:r>
            <w:r>
              <w:rPr>
                <w:sz w:val="22"/>
                <w:szCs w:val="22"/>
              </w:rPr>
              <w:t> </w:t>
            </w:r>
            <w:r w:rsidRPr="00EB3906">
              <w:rPr>
                <w:sz w:val="22"/>
                <w:szCs w:val="22"/>
              </w:rPr>
              <w:t xml:space="preserve">mg </w:t>
            </w:r>
            <w:r>
              <w:rPr>
                <w:sz w:val="22"/>
                <w:szCs w:val="22"/>
              </w:rPr>
              <w:t xml:space="preserve">/ 100 mg + 100 mg </w:t>
            </w:r>
            <w:r w:rsidRPr="00EB3906">
              <w:rPr>
                <w:sz w:val="22"/>
                <w:szCs w:val="22"/>
              </w:rPr>
              <w:t>q.d.)</w:t>
            </w:r>
            <w:r w:rsidRPr="00945A0C">
              <w:rPr>
                <w:sz w:val="22"/>
                <w:szCs w:val="22"/>
                <w:vertAlign w:val="superscript"/>
              </w:rPr>
              <w:t>3</w:t>
            </w:r>
            <w:r w:rsidRPr="00EB3906">
              <w:rPr>
                <w:sz w:val="22"/>
                <w:szCs w:val="22"/>
              </w:rPr>
              <w:t xml:space="preserve"> +</w:t>
            </w:r>
            <w:r>
              <w:rPr>
                <w:sz w:val="22"/>
                <w:szCs w:val="22"/>
              </w:rPr>
              <w:t xml:space="preserve"> Darunaviras / (800 </w:t>
            </w:r>
            <w:r w:rsidRPr="00EB3906">
              <w:rPr>
                <w:sz w:val="22"/>
                <w:szCs w:val="22"/>
              </w:rPr>
              <w:t>mg q.d</w:t>
            </w:r>
            <w:r>
              <w:rPr>
                <w:sz w:val="22"/>
                <w:szCs w:val="22"/>
              </w:rPr>
              <w:t xml:space="preserve">.) + Ritonaviras (100 mg q.d.) + Emtricitabinas / Tenofoviras dizoproksilis </w:t>
            </w:r>
            <w:r w:rsidRPr="00EB3906">
              <w:rPr>
                <w:sz w:val="22"/>
                <w:szCs w:val="22"/>
              </w:rPr>
              <w:t>(200</w:t>
            </w:r>
            <w:r>
              <w:rPr>
                <w:sz w:val="22"/>
                <w:szCs w:val="22"/>
              </w:rPr>
              <w:t> </w:t>
            </w:r>
            <w:r w:rsidRPr="00EB3906">
              <w:rPr>
                <w:sz w:val="22"/>
                <w:szCs w:val="22"/>
              </w:rPr>
              <w:t xml:space="preserve">mg / </w:t>
            </w:r>
            <w:r>
              <w:rPr>
                <w:sz w:val="22"/>
                <w:szCs w:val="22"/>
              </w:rPr>
              <w:t>245 </w:t>
            </w:r>
            <w:r w:rsidRPr="00EB3906">
              <w:rPr>
                <w:sz w:val="22"/>
                <w:szCs w:val="22"/>
              </w:rPr>
              <w:t>mg q.d.)</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14:paraId="2C25E170" w14:textId="77777777" w:rsidR="00467497" w:rsidRPr="00EB3906" w:rsidRDefault="00467497" w:rsidP="00152A0E">
            <w:pPr>
              <w:pStyle w:val="Default"/>
              <w:rPr>
                <w:sz w:val="22"/>
                <w:szCs w:val="22"/>
              </w:rPr>
            </w:pPr>
            <w:r w:rsidRPr="00EB3906">
              <w:rPr>
                <w:sz w:val="22"/>
                <w:szCs w:val="22"/>
              </w:rPr>
              <w:t>Sofosbuviras:</w:t>
            </w:r>
          </w:p>
          <w:p w14:paraId="44466047" w14:textId="1BE2E162" w:rsidR="00467497" w:rsidRPr="00EB3906" w:rsidRDefault="00467497" w:rsidP="00152A0E">
            <w:pPr>
              <w:pStyle w:val="Default"/>
              <w:rPr>
                <w:sz w:val="22"/>
                <w:szCs w:val="22"/>
              </w:rPr>
            </w:pPr>
            <w:r w:rsidRPr="00EB3906">
              <w:rPr>
                <w:sz w:val="22"/>
                <w:szCs w:val="22"/>
              </w:rPr>
              <w:t>AUC: ↔</w:t>
            </w:r>
          </w:p>
          <w:p w14:paraId="55A4309D" w14:textId="69349852" w:rsidR="00467497" w:rsidRPr="00EB3906" w:rsidRDefault="00467497" w:rsidP="00467497">
            <w:pPr>
              <w:pStyle w:val="Default"/>
              <w:rPr>
                <w:sz w:val="22"/>
                <w:szCs w:val="22"/>
              </w:rPr>
            </w:pPr>
            <w:r w:rsidRPr="00EB3906">
              <w:rPr>
                <w:sz w:val="22"/>
                <w:szCs w:val="22"/>
              </w:rPr>
              <w:t>C</w:t>
            </w:r>
            <w:r w:rsidRPr="006F54D9">
              <w:rPr>
                <w:sz w:val="22"/>
                <w:szCs w:val="22"/>
              </w:rPr>
              <w:t>max</w:t>
            </w:r>
            <w:r w:rsidRPr="00EB3906">
              <w:rPr>
                <w:sz w:val="22"/>
                <w:szCs w:val="22"/>
              </w:rPr>
              <w:t xml:space="preserve">: </w:t>
            </w:r>
            <w:r w:rsidRPr="00467497">
              <w:rPr>
                <w:rFonts w:hint="eastAsia"/>
                <w:sz w:val="22"/>
                <w:szCs w:val="22"/>
              </w:rPr>
              <w:t>↓</w:t>
            </w:r>
            <w:r w:rsidRPr="00467497">
              <w:rPr>
                <w:sz w:val="22"/>
                <w:szCs w:val="22"/>
              </w:rPr>
              <w:t xml:space="preserve"> 3</w:t>
            </w:r>
            <w:r>
              <w:rPr>
                <w:sz w:val="22"/>
                <w:szCs w:val="22"/>
              </w:rPr>
              <w:t>0</w:t>
            </w:r>
            <w:r w:rsidRPr="00467497">
              <w:rPr>
                <w:sz w:val="22"/>
                <w:szCs w:val="22"/>
              </w:rPr>
              <w:t> %</w:t>
            </w:r>
          </w:p>
          <w:p w14:paraId="5AE84E6C" w14:textId="20548F6D" w:rsidR="00467497" w:rsidRPr="00EB3906" w:rsidRDefault="00467497" w:rsidP="00152A0E">
            <w:pPr>
              <w:pStyle w:val="Default"/>
              <w:rPr>
                <w:sz w:val="22"/>
                <w:szCs w:val="22"/>
              </w:rPr>
            </w:pPr>
            <w:r w:rsidRPr="00EB3906">
              <w:rPr>
                <w:sz w:val="22"/>
                <w:szCs w:val="22"/>
              </w:rPr>
              <w:t>C</w:t>
            </w:r>
            <w:r w:rsidRPr="006F54D9">
              <w:rPr>
                <w:sz w:val="22"/>
                <w:szCs w:val="22"/>
              </w:rPr>
              <w:t>m</w:t>
            </w:r>
            <w:r>
              <w:rPr>
                <w:sz w:val="22"/>
                <w:szCs w:val="22"/>
              </w:rPr>
              <w:t>in</w:t>
            </w:r>
            <w:r w:rsidRPr="00EB3906">
              <w:rPr>
                <w:sz w:val="22"/>
                <w:szCs w:val="22"/>
              </w:rPr>
              <w:t xml:space="preserve">: </w:t>
            </w:r>
            <w:r>
              <w:rPr>
                <w:sz w:val="22"/>
                <w:szCs w:val="22"/>
              </w:rPr>
              <w:t>N/A</w:t>
            </w:r>
          </w:p>
          <w:p w14:paraId="1D155BC7" w14:textId="77777777" w:rsidR="00467497" w:rsidRDefault="00467497" w:rsidP="00152A0E">
            <w:pPr>
              <w:pStyle w:val="Default"/>
              <w:rPr>
                <w:sz w:val="22"/>
                <w:szCs w:val="22"/>
              </w:rPr>
            </w:pPr>
          </w:p>
          <w:p w14:paraId="576EB343" w14:textId="77777777" w:rsidR="00467497" w:rsidRPr="00EB3906" w:rsidRDefault="00467497" w:rsidP="00152A0E">
            <w:pPr>
              <w:pStyle w:val="Default"/>
              <w:rPr>
                <w:sz w:val="22"/>
                <w:szCs w:val="22"/>
              </w:rPr>
            </w:pPr>
            <w:r w:rsidRPr="00EB3906">
              <w:rPr>
                <w:sz w:val="22"/>
                <w:szCs w:val="22"/>
              </w:rPr>
              <w:t>GS-331007</w:t>
            </w:r>
            <w:r w:rsidRPr="00945A0C">
              <w:rPr>
                <w:sz w:val="22"/>
                <w:szCs w:val="22"/>
                <w:vertAlign w:val="superscript"/>
              </w:rPr>
              <w:t>2</w:t>
            </w:r>
            <w:r w:rsidRPr="00EB3906">
              <w:rPr>
                <w:sz w:val="22"/>
                <w:szCs w:val="22"/>
              </w:rPr>
              <w:t>:</w:t>
            </w:r>
          </w:p>
          <w:p w14:paraId="4CE0069A" w14:textId="77777777" w:rsidR="00467497" w:rsidRPr="00EB3906" w:rsidRDefault="00467497" w:rsidP="00152A0E">
            <w:pPr>
              <w:pStyle w:val="Default"/>
              <w:rPr>
                <w:sz w:val="22"/>
                <w:szCs w:val="22"/>
              </w:rPr>
            </w:pPr>
            <w:r w:rsidRPr="00EB3906">
              <w:rPr>
                <w:sz w:val="22"/>
                <w:szCs w:val="22"/>
              </w:rPr>
              <w:t>AUC: ↔</w:t>
            </w:r>
          </w:p>
          <w:p w14:paraId="496A260D" w14:textId="77777777" w:rsidR="00467497" w:rsidRPr="00EB3906" w:rsidRDefault="00467497" w:rsidP="00152A0E">
            <w:pPr>
              <w:pStyle w:val="Default"/>
              <w:rPr>
                <w:sz w:val="22"/>
                <w:szCs w:val="22"/>
              </w:rPr>
            </w:pPr>
            <w:r w:rsidRPr="00EB3906">
              <w:rPr>
                <w:sz w:val="22"/>
                <w:szCs w:val="22"/>
              </w:rPr>
              <w:t>C</w:t>
            </w:r>
            <w:r w:rsidRPr="006F54D9">
              <w:rPr>
                <w:sz w:val="22"/>
                <w:szCs w:val="22"/>
              </w:rPr>
              <w:t>max</w:t>
            </w:r>
            <w:r w:rsidRPr="00EB3906">
              <w:rPr>
                <w:sz w:val="22"/>
                <w:szCs w:val="22"/>
              </w:rPr>
              <w:t>: ↔</w:t>
            </w:r>
          </w:p>
          <w:p w14:paraId="08428DFA" w14:textId="56F17717" w:rsidR="00467497" w:rsidRPr="00EB3906" w:rsidRDefault="00467497" w:rsidP="00152A0E">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467497">
              <w:rPr>
                <w:sz w:val="22"/>
                <w:szCs w:val="22"/>
              </w:rPr>
              <w:t>N/A</w:t>
            </w:r>
          </w:p>
          <w:p w14:paraId="7C4D6DB5" w14:textId="77777777" w:rsidR="00467497" w:rsidRDefault="00467497" w:rsidP="00152A0E">
            <w:pPr>
              <w:pStyle w:val="Default"/>
              <w:rPr>
                <w:sz w:val="22"/>
                <w:szCs w:val="22"/>
              </w:rPr>
            </w:pPr>
          </w:p>
          <w:p w14:paraId="4176BA4E" w14:textId="77777777" w:rsidR="00467497" w:rsidRPr="00EB3906" w:rsidRDefault="00467497" w:rsidP="00152A0E">
            <w:pPr>
              <w:pStyle w:val="Default"/>
              <w:rPr>
                <w:sz w:val="22"/>
                <w:szCs w:val="22"/>
              </w:rPr>
            </w:pPr>
            <w:r>
              <w:rPr>
                <w:sz w:val="22"/>
                <w:szCs w:val="22"/>
              </w:rPr>
              <w:t>Velpatasviras</w:t>
            </w:r>
            <w:r w:rsidRPr="00EB3906">
              <w:rPr>
                <w:sz w:val="22"/>
                <w:szCs w:val="22"/>
              </w:rPr>
              <w:t>:</w:t>
            </w:r>
          </w:p>
          <w:p w14:paraId="02D61E6D" w14:textId="77777777" w:rsidR="00467497" w:rsidRPr="00EB3906" w:rsidRDefault="00467497" w:rsidP="00152A0E">
            <w:pPr>
              <w:pStyle w:val="Default"/>
              <w:rPr>
                <w:sz w:val="22"/>
                <w:szCs w:val="22"/>
              </w:rPr>
            </w:pPr>
            <w:r w:rsidRPr="00EB3906">
              <w:rPr>
                <w:sz w:val="22"/>
                <w:szCs w:val="22"/>
              </w:rPr>
              <w:t>AUC: ↔</w:t>
            </w:r>
          </w:p>
          <w:p w14:paraId="6B59F823" w14:textId="708B6596" w:rsidR="00467497" w:rsidRDefault="00467497" w:rsidP="00152A0E">
            <w:pPr>
              <w:pStyle w:val="Default"/>
              <w:rPr>
                <w:sz w:val="22"/>
                <w:szCs w:val="22"/>
              </w:rPr>
            </w:pPr>
            <w:r w:rsidRPr="00EB3906">
              <w:rPr>
                <w:sz w:val="22"/>
                <w:szCs w:val="22"/>
              </w:rPr>
              <w:t>C</w:t>
            </w:r>
            <w:r w:rsidRPr="006F54D9">
              <w:rPr>
                <w:sz w:val="22"/>
                <w:szCs w:val="22"/>
              </w:rPr>
              <w:t>max</w:t>
            </w:r>
            <w:r w:rsidRPr="00EB3906">
              <w:rPr>
                <w:sz w:val="22"/>
                <w:szCs w:val="22"/>
              </w:rPr>
              <w:t>: ↔</w:t>
            </w:r>
          </w:p>
          <w:p w14:paraId="75914DED" w14:textId="77777777" w:rsidR="00467497" w:rsidRDefault="00467497" w:rsidP="00152A0E">
            <w:pPr>
              <w:pStyle w:val="Default"/>
              <w:rPr>
                <w:sz w:val="22"/>
                <w:szCs w:val="22"/>
              </w:rPr>
            </w:pPr>
            <w:r w:rsidRPr="00EB3906">
              <w:rPr>
                <w:sz w:val="22"/>
                <w:szCs w:val="22"/>
              </w:rPr>
              <w:t>C</w:t>
            </w:r>
            <w:r w:rsidRPr="006F54D9">
              <w:rPr>
                <w:sz w:val="22"/>
                <w:szCs w:val="22"/>
              </w:rPr>
              <w:t>min</w:t>
            </w:r>
            <w:r w:rsidRPr="00EB3906">
              <w:rPr>
                <w:sz w:val="22"/>
                <w:szCs w:val="22"/>
              </w:rPr>
              <w:t>: ↔</w:t>
            </w:r>
          </w:p>
          <w:p w14:paraId="62676D90" w14:textId="77777777" w:rsidR="00467497" w:rsidRDefault="00467497" w:rsidP="00152A0E">
            <w:pPr>
              <w:pStyle w:val="Default"/>
              <w:rPr>
                <w:sz w:val="22"/>
                <w:szCs w:val="22"/>
              </w:rPr>
            </w:pPr>
          </w:p>
          <w:p w14:paraId="7906068A" w14:textId="26F12B97" w:rsidR="00467497" w:rsidRPr="00EB3906" w:rsidRDefault="00467497" w:rsidP="00467497">
            <w:pPr>
              <w:pStyle w:val="Default"/>
              <w:rPr>
                <w:sz w:val="22"/>
                <w:szCs w:val="22"/>
              </w:rPr>
            </w:pPr>
            <w:r>
              <w:rPr>
                <w:sz w:val="22"/>
                <w:szCs w:val="22"/>
              </w:rPr>
              <w:t>Voksilapre</w:t>
            </w:r>
            <w:r w:rsidRPr="00EB3906">
              <w:rPr>
                <w:sz w:val="22"/>
                <w:szCs w:val="22"/>
              </w:rPr>
              <w:t>viras:</w:t>
            </w:r>
          </w:p>
          <w:p w14:paraId="7735C794" w14:textId="6CF6593A" w:rsidR="00467497" w:rsidRPr="00EB3906" w:rsidRDefault="00467497" w:rsidP="00467497">
            <w:pPr>
              <w:pStyle w:val="Default"/>
              <w:rPr>
                <w:sz w:val="22"/>
                <w:szCs w:val="22"/>
              </w:rPr>
            </w:pPr>
            <w:r w:rsidRPr="00EB3906">
              <w:rPr>
                <w:sz w:val="22"/>
                <w:szCs w:val="22"/>
              </w:rPr>
              <w:t xml:space="preserve">AUC: ↑ </w:t>
            </w:r>
            <w:r>
              <w:rPr>
                <w:sz w:val="22"/>
                <w:szCs w:val="22"/>
              </w:rPr>
              <w:t>143 </w:t>
            </w:r>
            <w:r w:rsidRPr="00EB3906">
              <w:rPr>
                <w:sz w:val="22"/>
                <w:szCs w:val="22"/>
              </w:rPr>
              <w:t>%</w:t>
            </w:r>
          </w:p>
          <w:p w14:paraId="653664BC" w14:textId="3AAB67E7" w:rsidR="00467497" w:rsidRDefault="00467497" w:rsidP="00467497">
            <w:pPr>
              <w:pStyle w:val="Default"/>
              <w:rPr>
                <w:sz w:val="22"/>
                <w:szCs w:val="22"/>
              </w:rPr>
            </w:pPr>
            <w:r w:rsidRPr="00EB3906">
              <w:rPr>
                <w:sz w:val="22"/>
                <w:szCs w:val="22"/>
              </w:rPr>
              <w:lastRenderedPageBreak/>
              <w:t>C</w:t>
            </w:r>
            <w:r w:rsidRPr="006F54D9">
              <w:rPr>
                <w:sz w:val="22"/>
                <w:szCs w:val="22"/>
              </w:rPr>
              <w:t>max</w:t>
            </w:r>
            <w:r w:rsidRPr="00EB3906">
              <w:rPr>
                <w:sz w:val="22"/>
                <w:szCs w:val="22"/>
              </w:rPr>
              <w:t xml:space="preserve">: ↑ </w:t>
            </w:r>
            <w:r>
              <w:rPr>
                <w:sz w:val="22"/>
                <w:szCs w:val="22"/>
              </w:rPr>
              <w:t>72 </w:t>
            </w:r>
            <w:r w:rsidRPr="00EB3906">
              <w:rPr>
                <w:sz w:val="22"/>
                <w:szCs w:val="22"/>
              </w:rPr>
              <w:t>%</w:t>
            </w:r>
          </w:p>
          <w:p w14:paraId="6778BB79" w14:textId="7BC23D5E" w:rsidR="00467497" w:rsidRDefault="00467497" w:rsidP="00467497">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300 </w:t>
            </w:r>
            <w:r w:rsidRPr="00EB3906">
              <w:rPr>
                <w:sz w:val="22"/>
                <w:szCs w:val="22"/>
              </w:rPr>
              <w:t>%</w:t>
            </w:r>
          </w:p>
          <w:p w14:paraId="1DBD0F70" w14:textId="77777777" w:rsidR="00467497" w:rsidRDefault="00467497" w:rsidP="00152A0E">
            <w:pPr>
              <w:pStyle w:val="Default"/>
              <w:rPr>
                <w:sz w:val="22"/>
                <w:szCs w:val="22"/>
              </w:rPr>
            </w:pPr>
          </w:p>
          <w:p w14:paraId="34E31FE1" w14:textId="77777777" w:rsidR="00467497" w:rsidRPr="00EB3906" w:rsidRDefault="00467497" w:rsidP="00152A0E">
            <w:pPr>
              <w:pStyle w:val="Default"/>
              <w:rPr>
                <w:sz w:val="22"/>
                <w:szCs w:val="22"/>
              </w:rPr>
            </w:pPr>
            <w:r>
              <w:rPr>
                <w:sz w:val="22"/>
                <w:szCs w:val="22"/>
              </w:rPr>
              <w:t>Darunaviras</w:t>
            </w:r>
            <w:r w:rsidRPr="00EB3906">
              <w:rPr>
                <w:sz w:val="22"/>
                <w:szCs w:val="22"/>
              </w:rPr>
              <w:t>:</w:t>
            </w:r>
          </w:p>
          <w:p w14:paraId="084ACA2A" w14:textId="77777777" w:rsidR="00467497" w:rsidRPr="00EB3906" w:rsidRDefault="00467497" w:rsidP="00152A0E">
            <w:pPr>
              <w:pStyle w:val="Default"/>
              <w:rPr>
                <w:sz w:val="22"/>
                <w:szCs w:val="22"/>
              </w:rPr>
            </w:pPr>
            <w:r w:rsidRPr="00EB3906">
              <w:rPr>
                <w:sz w:val="22"/>
                <w:szCs w:val="22"/>
              </w:rPr>
              <w:t>AUC: ↔</w:t>
            </w:r>
          </w:p>
          <w:p w14:paraId="383A756A" w14:textId="77777777" w:rsidR="00467497" w:rsidRPr="00EB3906" w:rsidRDefault="00467497" w:rsidP="00152A0E">
            <w:pPr>
              <w:pStyle w:val="Default"/>
              <w:rPr>
                <w:sz w:val="22"/>
                <w:szCs w:val="22"/>
              </w:rPr>
            </w:pPr>
            <w:r w:rsidRPr="00EB3906">
              <w:rPr>
                <w:sz w:val="22"/>
                <w:szCs w:val="22"/>
              </w:rPr>
              <w:t>C</w:t>
            </w:r>
            <w:r w:rsidRPr="006F54D9">
              <w:rPr>
                <w:sz w:val="22"/>
                <w:szCs w:val="22"/>
              </w:rPr>
              <w:t>max</w:t>
            </w:r>
            <w:r w:rsidRPr="00EB3906">
              <w:rPr>
                <w:sz w:val="22"/>
                <w:szCs w:val="22"/>
              </w:rPr>
              <w:t>: ↔</w:t>
            </w:r>
          </w:p>
          <w:p w14:paraId="35B73A47" w14:textId="4A7C8A3A" w:rsidR="00467497" w:rsidRPr="00EB3906" w:rsidRDefault="00467497" w:rsidP="00152A0E">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467497">
              <w:rPr>
                <w:rFonts w:hint="eastAsia"/>
                <w:sz w:val="22"/>
                <w:szCs w:val="22"/>
              </w:rPr>
              <w:t>↓</w:t>
            </w:r>
            <w:r w:rsidRPr="00467497">
              <w:rPr>
                <w:sz w:val="22"/>
                <w:szCs w:val="22"/>
              </w:rPr>
              <w:t xml:space="preserve"> 3</w:t>
            </w:r>
            <w:r>
              <w:rPr>
                <w:sz w:val="22"/>
                <w:szCs w:val="22"/>
              </w:rPr>
              <w:t>4</w:t>
            </w:r>
            <w:r w:rsidRPr="00467497">
              <w:rPr>
                <w:sz w:val="22"/>
                <w:szCs w:val="22"/>
              </w:rPr>
              <w:t> %</w:t>
            </w:r>
          </w:p>
          <w:p w14:paraId="5143764E" w14:textId="77777777" w:rsidR="00467497" w:rsidRDefault="00467497" w:rsidP="00152A0E">
            <w:pPr>
              <w:pStyle w:val="Default"/>
              <w:rPr>
                <w:sz w:val="22"/>
                <w:szCs w:val="22"/>
              </w:rPr>
            </w:pPr>
          </w:p>
          <w:p w14:paraId="241E773D" w14:textId="77777777" w:rsidR="00467497" w:rsidRPr="00EB3906" w:rsidRDefault="00467497" w:rsidP="00152A0E">
            <w:pPr>
              <w:pStyle w:val="Default"/>
              <w:rPr>
                <w:sz w:val="22"/>
                <w:szCs w:val="22"/>
              </w:rPr>
            </w:pPr>
            <w:r>
              <w:rPr>
                <w:sz w:val="22"/>
                <w:szCs w:val="22"/>
              </w:rPr>
              <w:t>Ritonaviras</w:t>
            </w:r>
            <w:r w:rsidRPr="00EB3906">
              <w:rPr>
                <w:sz w:val="22"/>
                <w:szCs w:val="22"/>
              </w:rPr>
              <w:t>:</w:t>
            </w:r>
          </w:p>
          <w:p w14:paraId="3FD11E06" w14:textId="471A4A34" w:rsidR="00467497" w:rsidRPr="00EB3906" w:rsidRDefault="00467497" w:rsidP="00152A0E">
            <w:pPr>
              <w:pStyle w:val="Default"/>
              <w:rPr>
                <w:sz w:val="22"/>
                <w:szCs w:val="22"/>
              </w:rPr>
            </w:pPr>
            <w:r w:rsidRPr="00EB3906">
              <w:rPr>
                <w:sz w:val="22"/>
                <w:szCs w:val="22"/>
              </w:rPr>
              <w:t xml:space="preserve">AUC: ↑ </w:t>
            </w:r>
            <w:r>
              <w:rPr>
                <w:sz w:val="22"/>
                <w:szCs w:val="22"/>
              </w:rPr>
              <w:t>45 </w:t>
            </w:r>
            <w:r w:rsidRPr="00EB3906">
              <w:rPr>
                <w:sz w:val="22"/>
                <w:szCs w:val="22"/>
              </w:rPr>
              <w:t>%</w:t>
            </w:r>
          </w:p>
          <w:p w14:paraId="5479B53A" w14:textId="2BDAA933" w:rsidR="00467497" w:rsidRPr="00EB3906" w:rsidRDefault="00467497" w:rsidP="00152A0E">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60 </w:t>
            </w:r>
            <w:r w:rsidRPr="00EB3906">
              <w:rPr>
                <w:sz w:val="22"/>
                <w:szCs w:val="22"/>
              </w:rPr>
              <w:t>%</w:t>
            </w:r>
          </w:p>
          <w:p w14:paraId="5C2A653C" w14:textId="77777777" w:rsidR="00467497" w:rsidRPr="00EB3906" w:rsidRDefault="00467497" w:rsidP="00152A0E">
            <w:pPr>
              <w:pStyle w:val="Default"/>
              <w:rPr>
                <w:sz w:val="22"/>
                <w:szCs w:val="22"/>
              </w:rPr>
            </w:pPr>
            <w:r w:rsidRPr="00EB3906">
              <w:rPr>
                <w:sz w:val="22"/>
                <w:szCs w:val="22"/>
              </w:rPr>
              <w:t>C</w:t>
            </w:r>
            <w:r w:rsidRPr="006F54D9">
              <w:rPr>
                <w:sz w:val="22"/>
                <w:szCs w:val="22"/>
              </w:rPr>
              <w:t>min</w:t>
            </w:r>
            <w:r w:rsidRPr="00EB3906">
              <w:rPr>
                <w:sz w:val="22"/>
                <w:szCs w:val="22"/>
              </w:rPr>
              <w:t xml:space="preserve">: </w:t>
            </w:r>
            <w:r w:rsidRPr="00307D20">
              <w:rPr>
                <w:sz w:val="22"/>
                <w:szCs w:val="22"/>
              </w:rPr>
              <w:t>↔</w:t>
            </w:r>
          </w:p>
          <w:p w14:paraId="617A8F9A" w14:textId="77777777" w:rsidR="00467497" w:rsidRDefault="00467497" w:rsidP="00152A0E">
            <w:pPr>
              <w:pStyle w:val="Default"/>
              <w:rPr>
                <w:sz w:val="22"/>
                <w:szCs w:val="22"/>
              </w:rPr>
            </w:pPr>
          </w:p>
          <w:p w14:paraId="35E3FADC" w14:textId="77777777" w:rsidR="00467497" w:rsidRPr="00EB3906" w:rsidRDefault="00467497" w:rsidP="00152A0E">
            <w:pPr>
              <w:pStyle w:val="Default"/>
              <w:rPr>
                <w:sz w:val="22"/>
                <w:szCs w:val="22"/>
              </w:rPr>
            </w:pPr>
            <w:r w:rsidRPr="00EB3906">
              <w:rPr>
                <w:sz w:val="22"/>
                <w:szCs w:val="22"/>
              </w:rPr>
              <w:t>Emtricitabinas:</w:t>
            </w:r>
          </w:p>
          <w:p w14:paraId="061BA3B1" w14:textId="77777777" w:rsidR="00467497" w:rsidRPr="00EB3906" w:rsidRDefault="00467497" w:rsidP="00152A0E">
            <w:pPr>
              <w:pStyle w:val="Default"/>
              <w:rPr>
                <w:sz w:val="22"/>
                <w:szCs w:val="22"/>
              </w:rPr>
            </w:pPr>
            <w:r w:rsidRPr="00EB3906">
              <w:rPr>
                <w:sz w:val="22"/>
                <w:szCs w:val="22"/>
              </w:rPr>
              <w:t>AUC: ↔</w:t>
            </w:r>
          </w:p>
          <w:p w14:paraId="6D6361A3" w14:textId="77777777" w:rsidR="00467497" w:rsidRPr="00EB3906" w:rsidRDefault="00467497" w:rsidP="00152A0E">
            <w:pPr>
              <w:pStyle w:val="Default"/>
              <w:rPr>
                <w:sz w:val="22"/>
                <w:szCs w:val="22"/>
              </w:rPr>
            </w:pPr>
            <w:r w:rsidRPr="00EB3906">
              <w:rPr>
                <w:sz w:val="22"/>
                <w:szCs w:val="22"/>
              </w:rPr>
              <w:t>C</w:t>
            </w:r>
            <w:r w:rsidRPr="006F54D9">
              <w:rPr>
                <w:sz w:val="22"/>
                <w:szCs w:val="22"/>
              </w:rPr>
              <w:t>max</w:t>
            </w:r>
            <w:r w:rsidRPr="00EB3906">
              <w:rPr>
                <w:sz w:val="22"/>
                <w:szCs w:val="22"/>
              </w:rPr>
              <w:t>: ↔</w:t>
            </w:r>
          </w:p>
          <w:p w14:paraId="18A5AE17" w14:textId="77777777" w:rsidR="00467497" w:rsidRPr="00EB3906" w:rsidRDefault="00467497" w:rsidP="00152A0E">
            <w:pPr>
              <w:pStyle w:val="Default"/>
              <w:rPr>
                <w:sz w:val="22"/>
                <w:szCs w:val="22"/>
              </w:rPr>
            </w:pPr>
            <w:r w:rsidRPr="00EB3906">
              <w:rPr>
                <w:sz w:val="22"/>
                <w:szCs w:val="22"/>
              </w:rPr>
              <w:t>C</w:t>
            </w:r>
            <w:r w:rsidRPr="006F54D9">
              <w:rPr>
                <w:sz w:val="22"/>
                <w:szCs w:val="22"/>
              </w:rPr>
              <w:t>min</w:t>
            </w:r>
            <w:r w:rsidRPr="00EB3906">
              <w:rPr>
                <w:sz w:val="22"/>
                <w:szCs w:val="22"/>
              </w:rPr>
              <w:t>: ↔</w:t>
            </w:r>
          </w:p>
          <w:p w14:paraId="27147635" w14:textId="77777777" w:rsidR="00467497" w:rsidRDefault="00467497" w:rsidP="00152A0E">
            <w:pPr>
              <w:pStyle w:val="Default"/>
              <w:rPr>
                <w:sz w:val="22"/>
                <w:szCs w:val="22"/>
              </w:rPr>
            </w:pPr>
          </w:p>
          <w:p w14:paraId="57079E87" w14:textId="77777777" w:rsidR="00467497" w:rsidRPr="00EB3906" w:rsidRDefault="00467497" w:rsidP="00152A0E">
            <w:pPr>
              <w:pStyle w:val="Default"/>
              <w:rPr>
                <w:sz w:val="22"/>
                <w:szCs w:val="22"/>
              </w:rPr>
            </w:pPr>
            <w:r w:rsidRPr="00EB3906">
              <w:rPr>
                <w:sz w:val="22"/>
                <w:szCs w:val="22"/>
              </w:rPr>
              <w:t>Tenofoviras:</w:t>
            </w:r>
          </w:p>
          <w:p w14:paraId="5A5981A0" w14:textId="77777777" w:rsidR="00467497" w:rsidRPr="00EB3906" w:rsidRDefault="00467497" w:rsidP="00152A0E">
            <w:pPr>
              <w:pStyle w:val="Default"/>
              <w:rPr>
                <w:sz w:val="22"/>
                <w:szCs w:val="22"/>
              </w:rPr>
            </w:pPr>
            <w:r w:rsidRPr="00EB3906">
              <w:rPr>
                <w:sz w:val="22"/>
                <w:szCs w:val="22"/>
              </w:rPr>
              <w:t xml:space="preserve">AUC: ↑ </w:t>
            </w:r>
            <w:r>
              <w:rPr>
                <w:sz w:val="22"/>
                <w:szCs w:val="22"/>
              </w:rPr>
              <w:t>39 </w:t>
            </w:r>
            <w:r w:rsidRPr="00EB3906">
              <w:rPr>
                <w:sz w:val="22"/>
                <w:szCs w:val="22"/>
              </w:rPr>
              <w:t>%</w:t>
            </w:r>
          </w:p>
          <w:p w14:paraId="36CEB623" w14:textId="6FA90AD8" w:rsidR="00467497" w:rsidRDefault="00467497" w:rsidP="00152A0E">
            <w:pPr>
              <w:pStyle w:val="Default"/>
              <w:rPr>
                <w:sz w:val="22"/>
                <w:szCs w:val="22"/>
              </w:rPr>
            </w:pPr>
            <w:r w:rsidRPr="00EB3906">
              <w:rPr>
                <w:sz w:val="22"/>
                <w:szCs w:val="22"/>
              </w:rPr>
              <w:t>C</w:t>
            </w:r>
            <w:r w:rsidRPr="006F54D9">
              <w:rPr>
                <w:sz w:val="22"/>
                <w:szCs w:val="22"/>
              </w:rPr>
              <w:t>max</w:t>
            </w:r>
            <w:r w:rsidRPr="00EB3906">
              <w:rPr>
                <w:sz w:val="22"/>
                <w:szCs w:val="22"/>
              </w:rPr>
              <w:t xml:space="preserve">: ↑ </w:t>
            </w:r>
            <w:r>
              <w:rPr>
                <w:sz w:val="22"/>
                <w:szCs w:val="22"/>
              </w:rPr>
              <w:t>48 </w:t>
            </w:r>
            <w:r w:rsidRPr="00EB3906">
              <w:rPr>
                <w:sz w:val="22"/>
                <w:szCs w:val="22"/>
              </w:rPr>
              <w:t>%</w:t>
            </w:r>
          </w:p>
          <w:p w14:paraId="332E1C7B" w14:textId="2493D987" w:rsidR="00467497" w:rsidRPr="00EB3906" w:rsidRDefault="00467497" w:rsidP="00467497">
            <w:pPr>
              <w:pStyle w:val="Default"/>
              <w:rPr>
                <w:sz w:val="22"/>
                <w:szCs w:val="22"/>
              </w:rPr>
            </w:pPr>
            <w:r w:rsidRPr="00EB3906">
              <w:rPr>
                <w:sz w:val="22"/>
                <w:szCs w:val="22"/>
              </w:rPr>
              <w:t>C</w:t>
            </w:r>
            <w:r w:rsidRPr="006F54D9">
              <w:rPr>
                <w:sz w:val="22"/>
                <w:szCs w:val="22"/>
              </w:rPr>
              <w:t>min</w:t>
            </w:r>
            <w:r w:rsidRPr="00EB3906">
              <w:rPr>
                <w:sz w:val="22"/>
                <w:szCs w:val="22"/>
              </w:rPr>
              <w:t xml:space="preserve">: ↑ </w:t>
            </w:r>
            <w:r>
              <w:rPr>
                <w:sz w:val="22"/>
                <w:szCs w:val="22"/>
              </w:rPr>
              <w:t>47 </w:t>
            </w:r>
            <w:r w:rsidRPr="00EB3906">
              <w:rPr>
                <w:sz w:val="22"/>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0B076444" w14:textId="3778B1C0" w:rsidR="00467497" w:rsidRDefault="00467497" w:rsidP="00152A0E">
            <w:pPr>
              <w:pStyle w:val="Default"/>
              <w:rPr>
                <w:sz w:val="22"/>
                <w:szCs w:val="22"/>
              </w:rPr>
            </w:pPr>
            <w:r w:rsidRPr="00CF5A77">
              <w:rPr>
                <w:sz w:val="22"/>
                <w:szCs w:val="22"/>
              </w:rPr>
              <w:lastRenderedPageBreak/>
              <w:t>Dėl tenofoviro dizoproksilio, sofosbuviro / velpatasviro</w:t>
            </w:r>
            <w:r w:rsidR="002E6EAD">
              <w:rPr>
                <w:sz w:val="22"/>
                <w:szCs w:val="22"/>
              </w:rPr>
              <w:t>/voksilapreviro</w:t>
            </w:r>
            <w:r w:rsidRPr="00CF5A77">
              <w:rPr>
                <w:sz w:val="22"/>
                <w:szCs w:val="22"/>
              </w:rPr>
              <w:t xml:space="preserve"> ir </w:t>
            </w:r>
            <w:r>
              <w:rPr>
                <w:sz w:val="22"/>
                <w:szCs w:val="22"/>
              </w:rPr>
              <w:t>darunaviro</w:t>
            </w:r>
            <w:r w:rsidRPr="00CF5A77">
              <w:rPr>
                <w:sz w:val="22"/>
                <w:szCs w:val="22"/>
              </w:rPr>
              <w:t xml:space="preserve"> / ritonaviro vartojimo kartu padidėjusi tenofoviro koncentracija </w:t>
            </w:r>
            <w:r>
              <w:rPr>
                <w:sz w:val="22"/>
                <w:szCs w:val="22"/>
              </w:rPr>
              <w:t xml:space="preserve">kraujo </w:t>
            </w:r>
            <w:r w:rsidRPr="00CF5A77">
              <w:rPr>
                <w:sz w:val="22"/>
                <w:szCs w:val="22"/>
              </w:rPr>
              <w:t>plazmoje gali padidinti su tenofoviru dizoproksiliu susijusias nepageidaujamas reakcijas, įskaitant inkstų sutrikimus. Tenofoviro dizoproksilio saugumas vartojant kartu su sofosbuviru / velpatasviru</w:t>
            </w:r>
            <w:r w:rsidR="002E6EAD">
              <w:rPr>
                <w:sz w:val="22"/>
                <w:szCs w:val="22"/>
              </w:rPr>
              <w:t xml:space="preserve"> /voksilapreviru</w:t>
            </w:r>
            <w:r w:rsidRPr="00CF5A77">
              <w:rPr>
                <w:sz w:val="22"/>
                <w:szCs w:val="22"/>
              </w:rPr>
              <w:t xml:space="preserve"> ir farmakokinetiką stiprinančia medžiaga (pvz., ritonaviru </w:t>
            </w:r>
            <w:r w:rsidRPr="00CF5A77">
              <w:rPr>
                <w:sz w:val="22"/>
                <w:szCs w:val="22"/>
              </w:rPr>
              <w:lastRenderedPageBreak/>
              <w:t>arba kobicistatu) ne</w:t>
            </w:r>
            <w:r>
              <w:rPr>
                <w:sz w:val="22"/>
                <w:szCs w:val="22"/>
              </w:rPr>
              <w:t>nustatytas</w:t>
            </w:r>
            <w:r w:rsidRPr="00CF5A77">
              <w:rPr>
                <w:sz w:val="22"/>
                <w:szCs w:val="22"/>
              </w:rPr>
              <w:t>.</w:t>
            </w:r>
            <w:r>
              <w:rPr>
                <w:sz w:val="22"/>
                <w:szCs w:val="22"/>
              </w:rPr>
              <w:t xml:space="preserve"> </w:t>
            </w:r>
          </w:p>
          <w:p w14:paraId="359E466B" w14:textId="77777777" w:rsidR="00467497" w:rsidRDefault="00467497" w:rsidP="00152A0E">
            <w:pPr>
              <w:pStyle w:val="Default"/>
              <w:rPr>
                <w:sz w:val="22"/>
                <w:szCs w:val="22"/>
              </w:rPr>
            </w:pPr>
          </w:p>
          <w:p w14:paraId="140035D0" w14:textId="77777777" w:rsidR="00467497" w:rsidRPr="00EB3906" w:rsidRDefault="00467497" w:rsidP="00152A0E">
            <w:pPr>
              <w:pStyle w:val="Default"/>
              <w:rPr>
                <w:sz w:val="22"/>
                <w:szCs w:val="22"/>
              </w:rPr>
            </w:pPr>
            <w:r w:rsidRPr="00CF5A77">
              <w:rPr>
                <w:sz w:val="22"/>
                <w:szCs w:val="22"/>
              </w:rPr>
              <w:t>Tokį derinį reikia vartoti atsargiai, dažnai tikrinant inkstų veiklą (žr. 4.4 skyrių).</w:t>
            </w:r>
          </w:p>
        </w:tc>
      </w:tr>
      <w:tr w:rsidR="00B54A09" w:rsidRPr="00EB3906" w14:paraId="20FEECFD" w14:textId="77777777" w:rsidTr="00EB3906">
        <w:tc>
          <w:tcPr>
            <w:tcW w:w="3095" w:type="dxa"/>
            <w:gridSpan w:val="2"/>
            <w:shd w:val="clear" w:color="auto" w:fill="auto"/>
          </w:tcPr>
          <w:p w14:paraId="418A87F6" w14:textId="77777777" w:rsidR="00E14B3D" w:rsidRPr="00EB3906" w:rsidRDefault="00E14B3D" w:rsidP="00E14B3D">
            <w:pPr>
              <w:pStyle w:val="Default"/>
              <w:rPr>
                <w:sz w:val="22"/>
                <w:szCs w:val="22"/>
              </w:rPr>
            </w:pPr>
            <w:r w:rsidRPr="00EB3906">
              <w:rPr>
                <w:sz w:val="22"/>
                <w:szCs w:val="22"/>
              </w:rPr>
              <w:lastRenderedPageBreak/>
              <w:t>Sofosbuviras</w:t>
            </w:r>
          </w:p>
          <w:p w14:paraId="7A8EBD8F" w14:textId="77777777" w:rsidR="00E14B3D" w:rsidRPr="00EB3906" w:rsidRDefault="00E14B3D" w:rsidP="00E14B3D">
            <w:pPr>
              <w:pStyle w:val="Default"/>
              <w:rPr>
                <w:sz w:val="22"/>
                <w:szCs w:val="22"/>
              </w:rPr>
            </w:pPr>
            <w:r w:rsidRPr="00EB3906">
              <w:rPr>
                <w:sz w:val="22"/>
                <w:szCs w:val="22"/>
              </w:rPr>
              <w:t>(400</w:t>
            </w:r>
            <w:r w:rsidR="00DA79BF">
              <w:rPr>
                <w:sz w:val="22"/>
                <w:szCs w:val="22"/>
              </w:rPr>
              <w:t> </w:t>
            </w:r>
            <w:r w:rsidRPr="00EB3906">
              <w:rPr>
                <w:sz w:val="22"/>
                <w:szCs w:val="22"/>
              </w:rPr>
              <w:t>mg q.d.) +</w:t>
            </w:r>
          </w:p>
          <w:p w14:paraId="510B04F1" w14:textId="0E1231C4" w:rsidR="00E14B3D" w:rsidRPr="00EB3906" w:rsidRDefault="00462913" w:rsidP="00E14B3D">
            <w:pPr>
              <w:pStyle w:val="Default"/>
              <w:rPr>
                <w:sz w:val="22"/>
                <w:szCs w:val="22"/>
              </w:rPr>
            </w:pPr>
            <w:r>
              <w:rPr>
                <w:sz w:val="22"/>
                <w:szCs w:val="22"/>
              </w:rPr>
              <w:t>E</w:t>
            </w:r>
            <w:r w:rsidR="00E14B3D" w:rsidRPr="00EB3906">
              <w:rPr>
                <w:sz w:val="22"/>
                <w:szCs w:val="22"/>
              </w:rPr>
              <w:t xml:space="preserve">favirenzas / </w:t>
            </w:r>
            <w:r>
              <w:rPr>
                <w:sz w:val="22"/>
                <w:szCs w:val="22"/>
              </w:rPr>
              <w:t>E</w:t>
            </w:r>
            <w:r w:rsidR="00E14B3D" w:rsidRPr="00EB3906">
              <w:rPr>
                <w:sz w:val="22"/>
                <w:szCs w:val="22"/>
              </w:rPr>
              <w:t>mtricita</w:t>
            </w:r>
            <w:r w:rsidR="00E17725">
              <w:rPr>
                <w:sz w:val="22"/>
                <w:szCs w:val="22"/>
              </w:rPr>
              <w:t xml:space="preserve">binas / </w:t>
            </w:r>
            <w:r>
              <w:rPr>
                <w:sz w:val="22"/>
                <w:szCs w:val="22"/>
              </w:rPr>
              <w:t>T</w:t>
            </w:r>
            <w:r w:rsidR="00E17725">
              <w:rPr>
                <w:sz w:val="22"/>
                <w:szCs w:val="22"/>
              </w:rPr>
              <w:t>enofovir</w:t>
            </w:r>
            <w:r w:rsidR="00D400A8">
              <w:rPr>
                <w:sz w:val="22"/>
                <w:szCs w:val="22"/>
              </w:rPr>
              <w:t>as</w:t>
            </w:r>
            <w:r w:rsidR="00E17725">
              <w:rPr>
                <w:sz w:val="22"/>
                <w:szCs w:val="22"/>
              </w:rPr>
              <w:t xml:space="preserve"> </w:t>
            </w:r>
            <w:r w:rsidR="00D400A8">
              <w:rPr>
                <w:sz w:val="22"/>
                <w:szCs w:val="22"/>
              </w:rPr>
              <w:t xml:space="preserve">dizoproksilis </w:t>
            </w:r>
          </w:p>
          <w:p w14:paraId="2EC98444" w14:textId="77777777" w:rsidR="00B54A09" w:rsidRPr="00EB3906" w:rsidRDefault="00E14B3D" w:rsidP="00DA79BF">
            <w:pPr>
              <w:pStyle w:val="Default"/>
              <w:rPr>
                <w:sz w:val="22"/>
                <w:szCs w:val="22"/>
              </w:rPr>
            </w:pPr>
            <w:r w:rsidRPr="00EB3906">
              <w:rPr>
                <w:sz w:val="22"/>
                <w:szCs w:val="22"/>
              </w:rPr>
              <w:t>(600</w:t>
            </w:r>
            <w:r w:rsidR="00DA79BF">
              <w:rPr>
                <w:sz w:val="22"/>
                <w:szCs w:val="22"/>
              </w:rPr>
              <w:t> </w:t>
            </w:r>
            <w:r w:rsidRPr="00EB3906">
              <w:rPr>
                <w:sz w:val="22"/>
                <w:szCs w:val="22"/>
              </w:rPr>
              <w:t>mg / 200</w:t>
            </w:r>
            <w:r w:rsidR="00DA79BF">
              <w:rPr>
                <w:sz w:val="22"/>
                <w:szCs w:val="22"/>
              </w:rPr>
              <w:t> </w:t>
            </w:r>
            <w:r w:rsidRPr="00EB3906">
              <w:rPr>
                <w:sz w:val="22"/>
                <w:szCs w:val="22"/>
              </w:rPr>
              <w:t>mg / 300</w:t>
            </w:r>
            <w:r w:rsidR="00DA79BF">
              <w:rPr>
                <w:sz w:val="22"/>
                <w:szCs w:val="22"/>
              </w:rPr>
              <w:t> </w:t>
            </w:r>
            <w:r w:rsidRPr="00EB3906">
              <w:rPr>
                <w:sz w:val="22"/>
                <w:szCs w:val="22"/>
              </w:rPr>
              <w:t>mg q.d.)</w:t>
            </w:r>
          </w:p>
        </w:tc>
        <w:tc>
          <w:tcPr>
            <w:tcW w:w="3392" w:type="dxa"/>
            <w:gridSpan w:val="2"/>
            <w:shd w:val="clear" w:color="auto" w:fill="auto"/>
          </w:tcPr>
          <w:p w14:paraId="03E40211" w14:textId="77777777" w:rsidR="00E14B3D" w:rsidRPr="00EB3906" w:rsidRDefault="00E14B3D" w:rsidP="00E14B3D">
            <w:pPr>
              <w:pStyle w:val="Default"/>
              <w:rPr>
                <w:sz w:val="22"/>
                <w:szCs w:val="22"/>
              </w:rPr>
            </w:pPr>
            <w:r w:rsidRPr="00EB3906">
              <w:rPr>
                <w:sz w:val="22"/>
                <w:szCs w:val="22"/>
              </w:rPr>
              <w:t>Sofosbuviras:</w:t>
            </w:r>
          </w:p>
          <w:p w14:paraId="5D300617" w14:textId="77777777" w:rsidR="00E14B3D" w:rsidRPr="00EB3906" w:rsidRDefault="00E14B3D" w:rsidP="00E14B3D">
            <w:pPr>
              <w:pStyle w:val="Default"/>
              <w:rPr>
                <w:sz w:val="22"/>
                <w:szCs w:val="22"/>
              </w:rPr>
            </w:pPr>
            <w:r w:rsidRPr="00EB3906">
              <w:rPr>
                <w:sz w:val="22"/>
                <w:szCs w:val="22"/>
              </w:rPr>
              <w:t>AUC: ↔</w:t>
            </w:r>
          </w:p>
          <w:p w14:paraId="166677E0"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19</w:t>
            </w:r>
            <w:r w:rsidR="00DA79BF">
              <w:rPr>
                <w:sz w:val="22"/>
                <w:szCs w:val="22"/>
              </w:rPr>
              <w:t> </w:t>
            </w:r>
            <w:r w:rsidRPr="00EB3906">
              <w:rPr>
                <w:sz w:val="22"/>
                <w:szCs w:val="22"/>
              </w:rPr>
              <w:t>%</w:t>
            </w:r>
          </w:p>
          <w:p w14:paraId="741185D8" w14:textId="77777777" w:rsidR="00E14B3D" w:rsidRPr="00EB3906" w:rsidRDefault="00E14B3D" w:rsidP="00E14B3D">
            <w:pPr>
              <w:pStyle w:val="Default"/>
              <w:rPr>
                <w:sz w:val="22"/>
                <w:szCs w:val="22"/>
              </w:rPr>
            </w:pPr>
            <w:r w:rsidRPr="00EB3906">
              <w:rPr>
                <w:sz w:val="22"/>
                <w:szCs w:val="22"/>
              </w:rPr>
              <w:t>GS-331007</w:t>
            </w:r>
            <w:r w:rsidRPr="00EB3906">
              <w:rPr>
                <w:b/>
                <w:sz w:val="22"/>
                <w:szCs w:val="22"/>
                <w:vertAlign w:val="superscript"/>
              </w:rPr>
              <w:t>2</w:t>
            </w:r>
            <w:r w:rsidRPr="00EB3906">
              <w:rPr>
                <w:sz w:val="22"/>
                <w:szCs w:val="22"/>
              </w:rPr>
              <w:t>:</w:t>
            </w:r>
          </w:p>
          <w:p w14:paraId="5F489585" w14:textId="77777777" w:rsidR="00E14B3D" w:rsidRPr="00EB3906" w:rsidRDefault="00E14B3D" w:rsidP="00E14B3D">
            <w:pPr>
              <w:pStyle w:val="Default"/>
              <w:rPr>
                <w:sz w:val="22"/>
                <w:szCs w:val="22"/>
              </w:rPr>
            </w:pPr>
            <w:r w:rsidRPr="00EB3906">
              <w:rPr>
                <w:sz w:val="22"/>
                <w:szCs w:val="22"/>
              </w:rPr>
              <w:t>AUC: ↔</w:t>
            </w:r>
          </w:p>
          <w:p w14:paraId="7E9CF870"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23</w:t>
            </w:r>
            <w:r w:rsidR="00DA79BF">
              <w:rPr>
                <w:sz w:val="22"/>
                <w:szCs w:val="22"/>
              </w:rPr>
              <w:t> </w:t>
            </w:r>
            <w:r w:rsidRPr="00EB3906">
              <w:rPr>
                <w:sz w:val="22"/>
                <w:szCs w:val="22"/>
              </w:rPr>
              <w:t>%</w:t>
            </w:r>
          </w:p>
          <w:p w14:paraId="66F3DAD2" w14:textId="77777777" w:rsidR="00E14B3D" w:rsidRPr="00EB3906" w:rsidRDefault="00E14B3D" w:rsidP="00E14B3D">
            <w:pPr>
              <w:pStyle w:val="Default"/>
              <w:rPr>
                <w:sz w:val="22"/>
                <w:szCs w:val="22"/>
              </w:rPr>
            </w:pPr>
            <w:r w:rsidRPr="00EB3906">
              <w:rPr>
                <w:sz w:val="22"/>
                <w:szCs w:val="22"/>
              </w:rPr>
              <w:t>Efavirenzas:</w:t>
            </w:r>
          </w:p>
          <w:p w14:paraId="341E8720" w14:textId="77777777" w:rsidR="00E14B3D" w:rsidRPr="00EB3906" w:rsidRDefault="00E14B3D" w:rsidP="00E14B3D">
            <w:pPr>
              <w:pStyle w:val="Default"/>
              <w:rPr>
                <w:sz w:val="22"/>
                <w:szCs w:val="22"/>
              </w:rPr>
            </w:pPr>
            <w:r w:rsidRPr="00EB3906">
              <w:rPr>
                <w:sz w:val="22"/>
                <w:szCs w:val="22"/>
              </w:rPr>
              <w:t>AUC: ↔</w:t>
            </w:r>
          </w:p>
          <w:p w14:paraId="1232B27D"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3DF63369"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291F205B" w14:textId="77777777" w:rsidR="00E14B3D" w:rsidRPr="00EB3906" w:rsidRDefault="00E14B3D" w:rsidP="00E14B3D">
            <w:pPr>
              <w:pStyle w:val="Default"/>
              <w:rPr>
                <w:sz w:val="22"/>
                <w:szCs w:val="22"/>
              </w:rPr>
            </w:pPr>
            <w:r w:rsidRPr="00EB3906">
              <w:rPr>
                <w:sz w:val="22"/>
                <w:szCs w:val="22"/>
              </w:rPr>
              <w:t>Emtricitabinas:</w:t>
            </w:r>
          </w:p>
          <w:p w14:paraId="2A291B67" w14:textId="77777777" w:rsidR="00E14B3D" w:rsidRPr="00EB3906" w:rsidRDefault="00E14B3D" w:rsidP="00E14B3D">
            <w:pPr>
              <w:pStyle w:val="Default"/>
              <w:rPr>
                <w:sz w:val="22"/>
                <w:szCs w:val="22"/>
              </w:rPr>
            </w:pPr>
            <w:r w:rsidRPr="00EB3906">
              <w:rPr>
                <w:sz w:val="22"/>
                <w:szCs w:val="22"/>
              </w:rPr>
              <w:t>AUC: ↔</w:t>
            </w:r>
          </w:p>
          <w:p w14:paraId="060CF7D1"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w:t>
            </w:r>
          </w:p>
          <w:p w14:paraId="3A8BC5A6"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p w14:paraId="1F2A380A" w14:textId="77777777" w:rsidR="00E14B3D" w:rsidRPr="00EB3906" w:rsidRDefault="00E14B3D" w:rsidP="00E14B3D">
            <w:pPr>
              <w:pStyle w:val="Default"/>
              <w:rPr>
                <w:sz w:val="22"/>
                <w:szCs w:val="22"/>
              </w:rPr>
            </w:pPr>
            <w:r w:rsidRPr="00EB3906">
              <w:rPr>
                <w:sz w:val="22"/>
                <w:szCs w:val="22"/>
              </w:rPr>
              <w:t>Tenofoviras:</w:t>
            </w:r>
          </w:p>
          <w:p w14:paraId="31B49D18" w14:textId="77777777" w:rsidR="00E14B3D" w:rsidRPr="00EB3906" w:rsidRDefault="00E14B3D" w:rsidP="00E14B3D">
            <w:pPr>
              <w:pStyle w:val="Default"/>
              <w:rPr>
                <w:sz w:val="22"/>
                <w:szCs w:val="22"/>
              </w:rPr>
            </w:pPr>
            <w:r w:rsidRPr="00EB3906">
              <w:rPr>
                <w:sz w:val="22"/>
                <w:szCs w:val="22"/>
              </w:rPr>
              <w:t>AUC: ↔</w:t>
            </w:r>
          </w:p>
          <w:p w14:paraId="78FB63CD" w14:textId="77777777" w:rsidR="00E14B3D" w:rsidRPr="00EB3906" w:rsidRDefault="00E14B3D" w:rsidP="00E14B3D">
            <w:pPr>
              <w:pStyle w:val="Default"/>
              <w:rPr>
                <w:sz w:val="22"/>
                <w:szCs w:val="22"/>
              </w:rPr>
            </w:pPr>
            <w:r w:rsidRPr="00EB3906">
              <w:rPr>
                <w:sz w:val="22"/>
                <w:szCs w:val="22"/>
              </w:rPr>
              <w:t>C</w:t>
            </w:r>
            <w:r w:rsidRPr="00EB3906">
              <w:rPr>
                <w:sz w:val="22"/>
                <w:szCs w:val="22"/>
                <w:vertAlign w:val="subscript"/>
              </w:rPr>
              <w:t>max</w:t>
            </w:r>
            <w:r w:rsidRPr="00EB3906">
              <w:rPr>
                <w:sz w:val="22"/>
                <w:szCs w:val="22"/>
              </w:rPr>
              <w:t>: ↑ 25</w:t>
            </w:r>
            <w:r w:rsidR="00DA79BF">
              <w:rPr>
                <w:sz w:val="22"/>
                <w:szCs w:val="22"/>
              </w:rPr>
              <w:t> </w:t>
            </w:r>
            <w:r w:rsidRPr="00EB3906">
              <w:rPr>
                <w:sz w:val="22"/>
                <w:szCs w:val="22"/>
              </w:rPr>
              <w:t>%</w:t>
            </w:r>
          </w:p>
          <w:p w14:paraId="5F30B79E" w14:textId="77777777" w:rsidR="00B54A09" w:rsidRPr="00EB3906" w:rsidRDefault="00E14B3D" w:rsidP="00E14B3D">
            <w:pPr>
              <w:pStyle w:val="Default"/>
              <w:rPr>
                <w:sz w:val="22"/>
                <w:szCs w:val="22"/>
              </w:rPr>
            </w:pPr>
            <w:r w:rsidRPr="00EB3906">
              <w:rPr>
                <w:sz w:val="22"/>
                <w:szCs w:val="22"/>
              </w:rPr>
              <w:t>C</w:t>
            </w:r>
            <w:r w:rsidRPr="00EB3906">
              <w:rPr>
                <w:sz w:val="22"/>
                <w:szCs w:val="22"/>
                <w:vertAlign w:val="subscript"/>
              </w:rPr>
              <w:t>min</w:t>
            </w:r>
            <w:r w:rsidRPr="00EB3906">
              <w:rPr>
                <w:sz w:val="22"/>
                <w:szCs w:val="22"/>
              </w:rPr>
              <w:t>: ↔</w:t>
            </w:r>
          </w:p>
        </w:tc>
        <w:tc>
          <w:tcPr>
            <w:tcW w:w="2799" w:type="dxa"/>
            <w:shd w:val="clear" w:color="auto" w:fill="auto"/>
          </w:tcPr>
          <w:p w14:paraId="6B0103E2" w14:textId="77777777" w:rsidR="00B54A09" w:rsidRPr="00EB3906" w:rsidRDefault="00E14B3D" w:rsidP="004A0EEC">
            <w:pPr>
              <w:pStyle w:val="Default"/>
              <w:rPr>
                <w:sz w:val="22"/>
                <w:szCs w:val="22"/>
              </w:rPr>
            </w:pPr>
            <w:r w:rsidRPr="00EB3906">
              <w:rPr>
                <w:sz w:val="22"/>
                <w:szCs w:val="22"/>
              </w:rPr>
              <w:t>Dozės koreguoti nereikia</w:t>
            </w:r>
            <w:r w:rsidR="00DA79BF">
              <w:rPr>
                <w:sz w:val="22"/>
                <w:szCs w:val="22"/>
              </w:rPr>
              <w:t>.</w:t>
            </w:r>
          </w:p>
        </w:tc>
      </w:tr>
    </w:tbl>
    <w:p w14:paraId="6ED6715C" w14:textId="77777777" w:rsidR="00E14B3D" w:rsidRPr="000C4A26" w:rsidRDefault="00E14B3D" w:rsidP="00EE7979">
      <w:pPr>
        <w:pStyle w:val="Default"/>
        <w:ind w:left="142" w:hanging="142"/>
        <w:rPr>
          <w:sz w:val="20"/>
          <w:szCs w:val="20"/>
        </w:rPr>
      </w:pPr>
      <w:r w:rsidRPr="000C4A26">
        <w:rPr>
          <w:b/>
          <w:sz w:val="20"/>
          <w:szCs w:val="20"/>
          <w:vertAlign w:val="superscript"/>
        </w:rPr>
        <w:t>1</w:t>
      </w:r>
      <w:r w:rsidRPr="000C4A26">
        <w:rPr>
          <w:sz w:val="20"/>
          <w:szCs w:val="20"/>
        </w:rPr>
        <w:t xml:space="preserve"> Duomenys gauti vaistinio preparato skiriant vienu metu su ledipasviru / sofosbuviru. Vartojant ne vienu metu (su 12 val. pertrauka), gauti panašūs rezultatai.</w:t>
      </w:r>
    </w:p>
    <w:p w14:paraId="33C7D341" w14:textId="77777777" w:rsidR="00012043" w:rsidRDefault="00E14B3D" w:rsidP="00E14B3D">
      <w:pPr>
        <w:pStyle w:val="Default"/>
        <w:rPr>
          <w:sz w:val="20"/>
          <w:szCs w:val="20"/>
        </w:rPr>
      </w:pPr>
      <w:r w:rsidRPr="000C4A26">
        <w:rPr>
          <w:b/>
          <w:sz w:val="20"/>
          <w:szCs w:val="20"/>
          <w:vertAlign w:val="superscript"/>
        </w:rPr>
        <w:t>2</w:t>
      </w:r>
      <w:r w:rsidRPr="00EE7979">
        <w:rPr>
          <w:sz w:val="20"/>
        </w:rPr>
        <w:t xml:space="preserve"> </w:t>
      </w:r>
      <w:r w:rsidRPr="000C4A26">
        <w:rPr>
          <w:sz w:val="20"/>
          <w:szCs w:val="20"/>
        </w:rPr>
        <w:t>Pagrindinis kraujotakos sistemoje esantis sofosbuviro metabolitas.</w:t>
      </w:r>
    </w:p>
    <w:p w14:paraId="2C47D1D7" w14:textId="7B7FE91D" w:rsidR="002E6EAD" w:rsidRPr="000C4A26" w:rsidRDefault="002E6EAD" w:rsidP="00945A0C">
      <w:pPr>
        <w:pStyle w:val="Default"/>
        <w:ind w:left="142" w:hanging="142"/>
        <w:rPr>
          <w:sz w:val="20"/>
          <w:szCs w:val="20"/>
        </w:rPr>
      </w:pPr>
      <w:r w:rsidRPr="00945A0C">
        <w:rPr>
          <w:sz w:val="20"/>
          <w:szCs w:val="20"/>
          <w:vertAlign w:val="superscript"/>
        </w:rPr>
        <w:t>3</w:t>
      </w:r>
      <w:r w:rsidRPr="002E6EAD">
        <w:rPr>
          <w:sz w:val="20"/>
          <w:szCs w:val="20"/>
        </w:rPr>
        <w:t xml:space="preserve"> </w:t>
      </w:r>
      <w:r>
        <w:rPr>
          <w:sz w:val="20"/>
          <w:szCs w:val="20"/>
        </w:rPr>
        <w:t>Tyrimas atliktas papildomai skiriant 100 mg voksilapreviro, kad būtų pasiekta HCV infekuotiems pacientams numatyta voksilapreviro ekspozicija.</w:t>
      </w:r>
    </w:p>
    <w:p w14:paraId="14002FC5" w14:textId="77777777" w:rsidR="00012043" w:rsidRPr="00012043" w:rsidRDefault="00012043" w:rsidP="004A0EEC">
      <w:pPr>
        <w:pStyle w:val="Default"/>
        <w:rPr>
          <w:sz w:val="22"/>
          <w:szCs w:val="22"/>
        </w:rPr>
      </w:pPr>
    </w:p>
    <w:p w14:paraId="66355329" w14:textId="77777777" w:rsidR="000C4A26" w:rsidRPr="000C4A26" w:rsidRDefault="000C4A26" w:rsidP="000C4A26">
      <w:pPr>
        <w:pStyle w:val="Default"/>
        <w:rPr>
          <w:sz w:val="22"/>
          <w:szCs w:val="22"/>
          <w:u w:val="single"/>
        </w:rPr>
      </w:pPr>
      <w:r>
        <w:rPr>
          <w:sz w:val="22"/>
          <w:szCs w:val="22"/>
          <w:u w:val="single"/>
        </w:rPr>
        <w:t>Tyrimai su kitais vaistiniais preparatais</w:t>
      </w:r>
    </w:p>
    <w:p w14:paraId="26C42762" w14:textId="77777777" w:rsidR="000C4A26" w:rsidRPr="000C4A26" w:rsidRDefault="003C36B8" w:rsidP="000C4A26">
      <w:pPr>
        <w:pStyle w:val="Default"/>
        <w:rPr>
          <w:sz w:val="22"/>
          <w:szCs w:val="22"/>
        </w:rPr>
      </w:pPr>
      <w:r>
        <w:rPr>
          <w:sz w:val="22"/>
          <w:szCs w:val="22"/>
        </w:rPr>
        <w:t>T</w:t>
      </w:r>
      <w:r w:rsidR="000C4A26" w:rsidRPr="000C4A26">
        <w:rPr>
          <w:sz w:val="22"/>
          <w:szCs w:val="22"/>
        </w:rPr>
        <w:t xml:space="preserve">enofoviro dizoproksilio </w:t>
      </w:r>
      <w:r w:rsidR="000C4A26">
        <w:rPr>
          <w:sz w:val="22"/>
          <w:szCs w:val="22"/>
        </w:rPr>
        <w:t>vartojant kartu su</w:t>
      </w:r>
      <w:r w:rsidR="000C4A26" w:rsidRPr="000C4A26">
        <w:rPr>
          <w:sz w:val="22"/>
          <w:szCs w:val="22"/>
        </w:rPr>
        <w:t xml:space="preserve"> emtricitabin</w:t>
      </w:r>
      <w:r w:rsidR="000C4A26">
        <w:rPr>
          <w:sz w:val="22"/>
          <w:szCs w:val="22"/>
        </w:rPr>
        <w:t>u</w:t>
      </w:r>
      <w:r w:rsidR="000C4A26" w:rsidRPr="000C4A26">
        <w:rPr>
          <w:sz w:val="22"/>
          <w:szCs w:val="22"/>
        </w:rPr>
        <w:t>, lamivudin</w:t>
      </w:r>
      <w:r w:rsidR="000C4A26">
        <w:rPr>
          <w:sz w:val="22"/>
          <w:szCs w:val="22"/>
        </w:rPr>
        <w:t>u</w:t>
      </w:r>
      <w:r w:rsidR="000C4A26" w:rsidRPr="000C4A26">
        <w:rPr>
          <w:sz w:val="22"/>
          <w:szCs w:val="22"/>
        </w:rPr>
        <w:t>, indinavir</w:t>
      </w:r>
      <w:r w:rsidR="000C4A26">
        <w:rPr>
          <w:sz w:val="22"/>
          <w:szCs w:val="22"/>
        </w:rPr>
        <w:t>u</w:t>
      </w:r>
      <w:r w:rsidR="000C4A26" w:rsidRPr="000C4A26">
        <w:rPr>
          <w:sz w:val="22"/>
          <w:szCs w:val="22"/>
        </w:rPr>
        <w:t>, efavirenz</w:t>
      </w:r>
      <w:r w:rsidR="000C4A26">
        <w:rPr>
          <w:sz w:val="22"/>
          <w:szCs w:val="22"/>
        </w:rPr>
        <w:t>u</w:t>
      </w:r>
      <w:r w:rsidR="000C4A26" w:rsidRPr="000C4A26">
        <w:rPr>
          <w:sz w:val="22"/>
          <w:szCs w:val="22"/>
        </w:rPr>
        <w:t>, nelfinavir</w:t>
      </w:r>
      <w:r w:rsidR="000C4A26">
        <w:rPr>
          <w:sz w:val="22"/>
          <w:szCs w:val="22"/>
        </w:rPr>
        <w:t>u</w:t>
      </w:r>
      <w:r w:rsidR="000C4A26" w:rsidRPr="000C4A26">
        <w:rPr>
          <w:sz w:val="22"/>
          <w:szCs w:val="22"/>
        </w:rPr>
        <w:t>, sakvinavir</w:t>
      </w:r>
      <w:r w:rsidR="000C4A26">
        <w:rPr>
          <w:sz w:val="22"/>
          <w:szCs w:val="22"/>
        </w:rPr>
        <w:t>u</w:t>
      </w:r>
      <w:r w:rsidR="000C4A26" w:rsidRPr="000C4A26">
        <w:rPr>
          <w:sz w:val="22"/>
          <w:szCs w:val="22"/>
        </w:rPr>
        <w:t xml:space="preserve"> (sustiprint</w:t>
      </w:r>
      <w:r w:rsidR="000C4A26">
        <w:rPr>
          <w:sz w:val="22"/>
          <w:szCs w:val="22"/>
        </w:rPr>
        <w:t>u</w:t>
      </w:r>
      <w:r w:rsidR="000C4A26" w:rsidRPr="000C4A26">
        <w:rPr>
          <w:sz w:val="22"/>
          <w:szCs w:val="22"/>
        </w:rPr>
        <w:t xml:space="preserve"> ritonavir</w:t>
      </w:r>
      <w:r w:rsidR="000C4A26">
        <w:rPr>
          <w:sz w:val="22"/>
          <w:szCs w:val="22"/>
        </w:rPr>
        <w:t>u</w:t>
      </w:r>
      <w:r w:rsidR="000C4A26" w:rsidRPr="000C4A26">
        <w:rPr>
          <w:sz w:val="22"/>
          <w:szCs w:val="22"/>
        </w:rPr>
        <w:t>), metadon</w:t>
      </w:r>
      <w:r w:rsidR="000C4A26">
        <w:rPr>
          <w:sz w:val="22"/>
          <w:szCs w:val="22"/>
        </w:rPr>
        <w:t>u,</w:t>
      </w:r>
      <w:r w:rsidR="000C4A26" w:rsidRPr="000C4A26">
        <w:rPr>
          <w:sz w:val="22"/>
          <w:szCs w:val="22"/>
        </w:rPr>
        <w:t xml:space="preserve"> ribavirin</w:t>
      </w:r>
      <w:r w:rsidR="000C4A26">
        <w:rPr>
          <w:sz w:val="22"/>
          <w:szCs w:val="22"/>
        </w:rPr>
        <w:t>u</w:t>
      </w:r>
      <w:r w:rsidR="000C4A26" w:rsidRPr="000C4A26">
        <w:rPr>
          <w:sz w:val="22"/>
          <w:szCs w:val="22"/>
        </w:rPr>
        <w:t>, rifampicin</w:t>
      </w:r>
      <w:r w:rsidR="000C4A26">
        <w:rPr>
          <w:sz w:val="22"/>
          <w:szCs w:val="22"/>
        </w:rPr>
        <w:t>u</w:t>
      </w:r>
      <w:r w:rsidR="000C4A26" w:rsidRPr="000C4A26">
        <w:rPr>
          <w:sz w:val="22"/>
          <w:szCs w:val="22"/>
        </w:rPr>
        <w:t>, takrolimuz</w:t>
      </w:r>
      <w:r w:rsidR="000C4A26">
        <w:rPr>
          <w:sz w:val="22"/>
          <w:szCs w:val="22"/>
        </w:rPr>
        <w:t>u</w:t>
      </w:r>
      <w:r w:rsidR="000C4A26" w:rsidRPr="000C4A26">
        <w:rPr>
          <w:sz w:val="22"/>
          <w:szCs w:val="22"/>
        </w:rPr>
        <w:t xml:space="preserve"> ar hormonini</w:t>
      </w:r>
      <w:r w:rsidR="000C4A26">
        <w:rPr>
          <w:sz w:val="22"/>
          <w:szCs w:val="22"/>
        </w:rPr>
        <w:t>u</w:t>
      </w:r>
      <w:r w:rsidR="000C4A26" w:rsidRPr="000C4A26">
        <w:rPr>
          <w:sz w:val="22"/>
          <w:szCs w:val="22"/>
        </w:rPr>
        <w:t xml:space="preserve"> kontraceptik</w:t>
      </w:r>
      <w:r w:rsidR="000C4A26">
        <w:rPr>
          <w:sz w:val="22"/>
          <w:szCs w:val="22"/>
        </w:rPr>
        <w:t>u</w:t>
      </w:r>
      <w:r w:rsidR="000C4A26" w:rsidRPr="000C4A26">
        <w:rPr>
          <w:sz w:val="22"/>
          <w:szCs w:val="22"/>
        </w:rPr>
        <w:t xml:space="preserve"> norgestimat</w:t>
      </w:r>
      <w:r w:rsidR="000C4A26">
        <w:rPr>
          <w:sz w:val="22"/>
          <w:szCs w:val="22"/>
        </w:rPr>
        <w:t>u</w:t>
      </w:r>
      <w:r w:rsidR="000C4A26" w:rsidRPr="000C4A26">
        <w:rPr>
          <w:sz w:val="22"/>
          <w:szCs w:val="22"/>
        </w:rPr>
        <w:t>/etinilestradioli</w:t>
      </w:r>
      <w:r w:rsidR="000C4A26">
        <w:rPr>
          <w:sz w:val="22"/>
          <w:szCs w:val="22"/>
        </w:rPr>
        <w:t>u</w:t>
      </w:r>
      <w:r w:rsidR="000C4A26" w:rsidRPr="000C4A26">
        <w:rPr>
          <w:sz w:val="22"/>
          <w:szCs w:val="22"/>
        </w:rPr>
        <w:t xml:space="preserve"> </w:t>
      </w:r>
      <w:r w:rsidR="000C4A26">
        <w:rPr>
          <w:sz w:val="22"/>
          <w:szCs w:val="22"/>
        </w:rPr>
        <w:t>k</w:t>
      </w:r>
      <w:r w:rsidR="000C4A26" w:rsidRPr="000C4A26">
        <w:rPr>
          <w:sz w:val="22"/>
          <w:szCs w:val="22"/>
        </w:rPr>
        <w:t>liniškai reikšming</w:t>
      </w:r>
      <w:r w:rsidR="000C4A26">
        <w:rPr>
          <w:sz w:val="22"/>
          <w:szCs w:val="22"/>
        </w:rPr>
        <w:t>a</w:t>
      </w:r>
      <w:r w:rsidR="000C4A26" w:rsidRPr="000C4A26">
        <w:rPr>
          <w:sz w:val="22"/>
          <w:szCs w:val="22"/>
        </w:rPr>
        <w:t xml:space="preserve"> farmakokinetinė </w:t>
      </w:r>
      <w:r w:rsidR="000C4A26">
        <w:rPr>
          <w:sz w:val="22"/>
          <w:szCs w:val="22"/>
        </w:rPr>
        <w:t>sąveika nepasireiškė</w:t>
      </w:r>
      <w:r w:rsidR="000C4A26" w:rsidRPr="000C4A26">
        <w:rPr>
          <w:sz w:val="22"/>
          <w:szCs w:val="22"/>
        </w:rPr>
        <w:t>.</w:t>
      </w:r>
    </w:p>
    <w:p w14:paraId="4E27AC1F" w14:textId="77777777" w:rsidR="000C4A26" w:rsidRPr="000C4A26" w:rsidRDefault="000C4A26" w:rsidP="000C4A26">
      <w:pPr>
        <w:pStyle w:val="Default"/>
        <w:rPr>
          <w:sz w:val="22"/>
          <w:szCs w:val="22"/>
        </w:rPr>
      </w:pPr>
      <w:r w:rsidRPr="000C4A26">
        <w:rPr>
          <w:sz w:val="22"/>
          <w:szCs w:val="22"/>
        </w:rPr>
        <w:t>Tenofoviro dizoproksilio reikia vartoti kartu su maistu, kadangi maistas didina jo biologinį pasisavinimą (žr. 5.2 skyrių).</w:t>
      </w:r>
    </w:p>
    <w:p w14:paraId="63031313" w14:textId="77777777" w:rsidR="00B27651" w:rsidRDefault="00B27651" w:rsidP="009A0494">
      <w:pPr>
        <w:pStyle w:val="Default"/>
        <w:rPr>
          <w:b/>
          <w:bCs/>
          <w:sz w:val="22"/>
          <w:szCs w:val="22"/>
        </w:rPr>
      </w:pPr>
    </w:p>
    <w:p w14:paraId="07FFBCBD" w14:textId="77777777" w:rsidR="009A0494" w:rsidRDefault="009A0494" w:rsidP="009A0494">
      <w:pPr>
        <w:pStyle w:val="Default"/>
        <w:rPr>
          <w:sz w:val="22"/>
          <w:szCs w:val="22"/>
        </w:rPr>
      </w:pPr>
      <w:r w:rsidRPr="00C33019">
        <w:rPr>
          <w:b/>
          <w:bCs/>
          <w:sz w:val="22"/>
          <w:szCs w:val="22"/>
        </w:rPr>
        <w:t>4.6</w:t>
      </w:r>
      <w:r w:rsidR="00BF4811" w:rsidRPr="0004001B">
        <w:rPr>
          <w:b/>
          <w:bCs/>
          <w:sz w:val="22"/>
          <w:szCs w:val="22"/>
        </w:rPr>
        <w:tab/>
      </w:r>
      <w:r w:rsidRPr="0004001B">
        <w:rPr>
          <w:b/>
          <w:bCs/>
          <w:sz w:val="22"/>
          <w:szCs w:val="22"/>
        </w:rPr>
        <w:t>Vaisingumas, nėštumo ir žindymo laikotarpis</w:t>
      </w:r>
      <w:r>
        <w:rPr>
          <w:b/>
          <w:bCs/>
          <w:sz w:val="22"/>
          <w:szCs w:val="22"/>
        </w:rPr>
        <w:t xml:space="preserve"> </w:t>
      </w:r>
    </w:p>
    <w:p w14:paraId="78F8434C" w14:textId="77777777" w:rsidR="00BF4811" w:rsidRDefault="00BF4811" w:rsidP="009A0494">
      <w:pPr>
        <w:pStyle w:val="Default"/>
        <w:rPr>
          <w:sz w:val="22"/>
          <w:szCs w:val="22"/>
        </w:rPr>
      </w:pPr>
    </w:p>
    <w:p w14:paraId="673AB3FE" w14:textId="77777777" w:rsidR="002B273A" w:rsidRPr="002B273A" w:rsidRDefault="002B273A" w:rsidP="002B273A">
      <w:pPr>
        <w:pStyle w:val="Default"/>
        <w:rPr>
          <w:sz w:val="22"/>
          <w:szCs w:val="22"/>
          <w:u w:val="single"/>
        </w:rPr>
      </w:pPr>
      <w:r w:rsidRPr="002B273A">
        <w:rPr>
          <w:sz w:val="22"/>
          <w:szCs w:val="22"/>
          <w:u w:val="single"/>
        </w:rPr>
        <w:t>Nėštumas</w:t>
      </w:r>
    </w:p>
    <w:p w14:paraId="5217FB01" w14:textId="24DDD951" w:rsidR="002B273A" w:rsidRPr="002B273A" w:rsidRDefault="002E6EAD" w:rsidP="002B273A">
      <w:pPr>
        <w:pStyle w:val="Default"/>
        <w:rPr>
          <w:sz w:val="22"/>
          <w:szCs w:val="22"/>
        </w:rPr>
      </w:pPr>
      <w:r>
        <w:rPr>
          <w:sz w:val="22"/>
          <w:szCs w:val="22"/>
        </w:rPr>
        <w:lastRenderedPageBreak/>
        <w:t>D</w:t>
      </w:r>
      <w:r w:rsidRPr="002B273A">
        <w:rPr>
          <w:sz w:val="22"/>
          <w:szCs w:val="22"/>
        </w:rPr>
        <w:t xml:space="preserve">idelis </w:t>
      </w:r>
      <w:r w:rsidR="002B273A" w:rsidRPr="002B273A">
        <w:rPr>
          <w:sz w:val="22"/>
          <w:szCs w:val="22"/>
        </w:rPr>
        <w:t>kiekis duomenų (</w:t>
      </w:r>
      <w:r>
        <w:rPr>
          <w:sz w:val="22"/>
          <w:szCs w:val="22"/>
        </w:rPr>
        <w:t>daugiau negu</w:t>
      </w:r>
      <w:r w:rsidR="003B73E6">
        <w:rPr>
          <w:sz w:val="22"/>
          <w:szCs w:val="22"/>
        </w:rPr>
        <w:t xml:space="preserve"> </w:t>
      </w:r>
      <w:r w:rsidR="002B273A" w:rsidRPr="002B273A">
        <w:rPr>
          <w:sz w:val="22"/>
          <w:szCs w:val="22"/>
        </w:rPr>
        <w:t xml:space="preserve">1000 nėštumų baigtis) nerodo su </w:t>
      </w:r>
      <w:r w:rsidRPr="002B273A">
        <w:rPr>
          <w:sz w:val="22"/>
          <w:szCs w:val="22"/>
        </w:rPr>
        <w:t>tenofovir</w:t>
      </w:r>
      <w:r>
        <w:rPr>
          <w:sz w:val="22"/>
          <w:szCs w:val="22"/>
        </w:rPr>
        <w:t>u</w:t>
      </w:r>
      <w:r w:rsidRPr="002B273A">
        <w:rPr>
          <w:sz w:val="22"/>
          <w:szCs w:val="22"/>
        </w:rPr>
        <w:t xml:space="preserve"> </w:t>
      </w:r>
      <w:r w:rsidR="002B273A" w:rsidRPr="002B273A">
        <w:rPr>
          <w:sz w:val="22"/>
          <w:szCs w:val="22"/>
        </w:rPr>
        <w:t>dizoproksili</w:t>
      </w:r>
      <w:r w:rsidR="003C36B8">
        <w:rPr>
          <w:sz w:val="22"/>
          <w:szCs w:val="22"/>
        </w:rPr>
        <w:t>u</w:t>
      </w:r>
      <w:r w:rsidR="002B273A" w:rsidRPr="002B273A">
        <w:rPr>
          <w:sz w:val="22"/>
          <w:szCs w:val="22"/>
        </w:rPr>
        <w:t xml:space="preserve"> susijusi</w:t>
      </w:r>
      <w:r w:rsidR="002B273A">
        <w:rPr>
          <w:sz w:val="22"/>
          <w:szCs w:val="22"/>
        </w:rPr>
        <w:t>ų</w:t>
      </w:r>
      <w:r w:rsidR="002B273A" w:rsidRPr="002B273A">
        <w:rPr>
          <w:sz w:val="22"/>
          <w:szCs w:val="22"/>
        </w:rPr>
        <w:t xml:space="preserve"> apsigimim</w:t>
      </w:r>
      <w:r w:rsidR="002B273A">
        <w:rPr>
          <w:sz w:val="22"/>
          <w:szCs w:val="22"/>
        </w:rPr>
        <w:t>ų</w:t>
      </w:r>
      <w:r w:rsidR="002B273A" w:rsidRPr="002B273A">
        <w:rPr>
          <w:sz w:val="22"/>
          <w:szCs w:val="22"/>
        </w:rPr>
        <w:t xml:space="preserve"> ar toksinio poveikio vaisiui </w:t>
      </w:r>
      <w:r w:rsidR="00FD6C14">
        <w:rPr>
          <w:sz w:val="22"/>
          <w:szCs w:val="22"/>
        </w:rPr>
        <w:t xml:space="preserve">ir </w:t>
      </w:r>
      <w:r w:rsidR="002B273A" w:rsidRPr="002B273A">
        <w:rPr>
          <w:sz w:val="22"/>
          <w:szCs w:val="22"/>
        </w:rPr>
        <w:t>(ar</w:t>
      </w:r>
      <w:r w:rsidR="002B273A">
        <w:rPr>
          <w:sz w:val="22"/>
          <w:szCs w:val="22"/>
        </w:rPr>
        <w:t>ba</w:t>
      </w:r>
      <w:r w:rsidR="002B273A" w:rsidRPr="002B273A">
        <w:rPr>
          <w:sz w:val="22"/>
          <w:szCs w:val="22"/>
        </w:rPr>
        <w:t>) naujagimiui. Su gyvūnais atlikti tyrimai neparodė toksinio poveikio reprodukcijai (žr. 5.3 skyrių). Jei būtina, galima apsvarstyti tenofoviro dizoproksilio vartojimą nėštumo metu.</w:t>
      </w:r>
    </w:p>
    <w:p w14:paraId="7D052622" w14:textId="77777777" w:rsidR="002B273A" w:rsidRDefault="002B273A" w:rsidP="009A0494">
      <w:pPr>
        <w:pStyle w:val="Default"/>
        <w:rPr>
          <w:sz w:val="22"/>
          <w:szCs w:val="22"/>
        </w:rPr>
      </w:pPr>
    </w:p>
    <w:p w14:paraId="4994DF36" w14:textId="77777777" w:rsidR="00FD6C14" w:rsidRPr="00FD6C14" w:rsidRDefault="00FD6C14" w:rsidP="00FD6C14">
      <w:pPr>
        <w:pStyle w:val="Default"/>
        <w:rPr>
          <w:sz w:val="22"/>
          <w:szCs w:val="22"/>
          <w:u w:val="single"/>
        </w:rPr>
      </w:pPr>
      <w:r w:rsidRPr="00FD6C14">
        <w:rPr>
          <w:sz w:val="22"/>
          <w:szCs w:val="22"/>
          <w:u w:val="single"/>
        </w:rPr>
        <w:t>Žindymas</w:t>
      </w:r>
    </w:p>
    <w:p w14:paraId="6F43F401" w14:textId="77777777" w:rsidR="002B273A" w:rsidRDefault="00FD6C14" w:rsidP="00FD6C14">
      <w:pPr>
        <w:pStyle w:val="Default"/>
        <w:rPr>
          <w:sz w:val="22"/>
          <w:szCs w:val="22"/>
        </w:rPr>
      </w:pPr>
      <w:r w:rsidRPr="00FD6C14">
        <w:rPr>
          <w:sz w:val="22"/>
          <w:szCs w:val="22"/>
        </w:rPr>
        <w:t>Nustatyta, kad tenofoviras iš</w:t>
      </w:r>
      <w:r>
        <w:rPr>
          <w:sz w:val="22"/>
          <w:szCs w:val="22"/>
        </w:rPr>
        <w:t>skiriamas su</w:t>
      </w:r>
      <w:r w:rsidRPr="00FD6C14">
        <w:rPr>
          <w:sz w:val="22"/>
          <w:szCs w:val="22"/>
        </w:rPr>
        <w:t xml:space="preserve"> moter</w:t>
      </w:r>
      <w:r>
        <w:rPr>
          <w:sz w:val="22"/>
          <w:szCs w:val="22"/>
        </w:rPr>
        <w:t>s</w:t>
      </w:r>
      <w:r w:rsidRPr="00FD6C14">
        <w:rPr>
          <w:sz w:val="22"/>
          <w:szCs w:val="22"/>
        </w:rPr>
        <w:t xml:space="preserve"> pien</w:t>
      </w:r>
      <w:r>
        <w:rPr>
          <w:sz w:val="22"/>
          <w:szCs w:val="22"/>
        </w:rPr>
        <w:t>u</w:t>
      </w:r>
      <w:r w:rsidRPr="00FD6C14">
        <w:rPr>
          <w:sz w:val="22"/>
          <w:szCs w:val="22"/>
        </w:rPr>
        <w:t>. Nėra pakankamai duomenų apie tenofoviro poveikį naujagimiams</w:t>
      </w:r>
      <w:r>
        <w:rPr>
          <w:sz w:val="22"/>
          <w:szCs w:val="22"/>
        </w:rPr>
        <w:t xml:space="preserve"> ir (arba) </w:t>
      </w:r>
      <w:r w:rsidRPr="00FD6C14">
        <w:rPr>
          <w:sz w:val="22"/>
          <w:szCs w:val="22"/>
        </w:rPr>
        <w:t xml:space="preserve">kūdikiams. </w:t>
      </w:r>
      <w:r>
        <w:rPr>
          <w:sz w:val="22"/>
          <w:szCs w:val="22"/>
        </w:rPr>
        <w:t>Dėl to</w:t>
      </w:r>
      <w:r w:rsidRPr="00FD6C14">
        <w:rPr>
          <w:sz w:val="22"/>
          <w:szCs w:val="22"/>
        </w:rPr>
        <w:t xml:space="preserve"> Tenofovir disoproxil Sandoz turi būti </w:t>
      </w:r>
      <w:r>
        <w:rPr>
          <w:sz w:val="22"/>
          <w:szCs w:val="22"/>
        </w:rPr>
        <w:t>ne</w:t>
      </w:r>
      <w:r w:rsidRPr="00FD6C14">
        <w:rPr>
          <w:sz w:val="22"/>
          <w:szCs w:val="22"/>
        </w:rPr>
        <w:t>vartojama žindymo metu.</w:t>
      </w:r>
    </w:p>
    <w:p w14:paraId="1CF4BEF4" w14:textId="77777777" w:rsidR="00FD6C14" w:rsidRPr="00FD6C14" w:rsidRDefault="00FD6C14" w:rsidP="00FD6C14">
      <w:pPr>
        <w:pStyle w:val="Default"/>
        <w:rPr>
          <w:sz w:val="22"/>
          <w:szCs w:val="22"/>
        </w:rPr>
      </w:pPr>
      <w:r w:rsidRPr="00FD6C14">
        <w:rPr>
          <w:sz w:val="22"/>
          <w:szCs w:val="22"/>
        </w:rPr>
        <w:t>Paprastai, kad būtų išvengta ŽIV ir HBV perdavimo kūdikiui, ŽIV ir HBV infekuotoms moterims rekomenduojama nemaitinti kūdikių krūtimi.</w:t>
      </w:r>
    </w:p>
    <w:p w14:paraId="744E6264" w14:textId="77777777" w:rsidR="00FD6C14" w:rsidRDefault="00FD6C14" w:rsidP="00FD6C14">
      <w:pPr>
        <w:pStyle w:val="Default"/>
        <w:rPr>
          <w:sz w:val="22"/>
          <w:szCs w:val="22"/>
        </w:rPr>
      </w:pPr>
    </w:p>
    <w:p w14:paraId="7E2188AA" w14:textId="77777777" w:rsidR="00FD6C14" w:rsidRPr="00FD6C14" w:rsidRDefault="00FD6C14" w:rsidP="00FD6C14">
      <w:pPr>
        <w:pStyle w:val="Default"/>
        <w:rPr>
          <w:sz w:val="22"/>
          <w:szCs w:val="22"/>
          <w:u w:val="single"/>
        </w:rPr>
      </w:pPr>
      <w:r w:rsidRPr="00FD6C14">
        <w:rPr>
          <w:sz w:val="22"/>
          <w:szCs w:val="22"/>
          <w:u w:val="single"/>
        </w:rPr>
        <w:t>Vaisingumas</w:t>
      </w:r>
    </w:p>
    <w:p w14:paraId="6784E927" w14:textId="77777777" w:rsidR="00FD6C14" w:rsidRPr="00FD6C14" w:rsidRDefault="00FD6C14" w:rsidP="00FD6C14">
      <w:pPr>
        <w:pStyle w:val="Default"/>
        <w:rPr>
          <w:sz w:val="22"/>
          <w:szCs w:val="22"/>
        </w:rPr>
      </w:pPr>
      <w:r>
        <w:rPr>
          <w:sz w:val="22"/>
          <w:szCs w:val="22"/>
        </w:rPr>
        <w:t>K</w:t>
      </w:r>
      <w:r w:rsidRPr="00FD6C14">
        <w:rPr>
          <w:sz w:val="22"/>
          <w:szCs w:val="22"/>
        </w:rPr>
        <w:t>linikinių duomenų apie tenofoviro dizoproksilio poveikį vaisingumui</w:t>
      </w:r>
      <w:r>
        <w:rPr>
          <w:sz w:val="22"/>
          <w:szCs w:val="22"/>
        </w:rPr>
        <w:t xml:space="preserve"> yra nedaug</w:t>
      </w:r>
      <w:r w:rsidRPr="00FD6C14">
        <w:rPr>
          <w:sz w:val="22"/>
          <w:szCs w:val="22"/>
        </w:rPr>
        <w:t>. Tyrimai su gyvūnais tenofoviro dizoproksilio kenksmingo poveikio vaisingumui neparodė.</w:t>
      </w:r>
    </w:p>
    <w:p w14:paraId="70F15FB2" w14:textId="77777777" w:rsidR="00FD6C14" w:rsidRDefault="00FD6C14" w:rsidP="00FD6C14">
      <w:pPr>
        <w:pStyle w:val="Default"/>
        <w:rPr>
          <w:sz w:val="22"/>
          <w:szCs w:val="22"/>
        </w:rPr>
      </w:pPr>
    </w:p>
    <w:p w14:paraId="76F12A65" w14:textId="77777777" w:rsidR="00FD6C14" w:rsidRPr="00FD6C14" w:rsidRDefault="00FD6C14" w:rsidP="00FD6C14">
      <w:pPr>
        <w:pStyle w:val="Default"/>
        <w:rPr>
          <w:b/>
          <w:sz w:val="22"/>
          <w:szCs w:val="22"/>
        </w:rPr>
      </w:pPr>
      <w:r w:rsidRPr="00FD6C14">
        <w:rPr>
          <w:b/>
          <w:sz w:val="22"/>
          <w:szCs w:val="22"/>
        </w:rPr>
        <w:t>4.7</w:t>
      </w:r>
      <w:r w:rsidRPr="00FD6C14">
        <w:rPr>
          <w:b/>
          <w:sz w:val="22"/>
          <w:szCs w:val="22"/>
        </w:rPr>
        <w:tab/>
        <w:t>Poveikis gebėjimui vairuoti ir valdyti mechanizmus</w:t>
      </w:r>
    </w:p>
    <w:p w14:paraId="1CF452EA" w14:textId="77777777" w:rsidR="00FD6C14" w:rsidRDefault="00FD6C14" w:rsidP="00FD6C14">
      <w:pPr>
        <w:pStyle w:val="Default"/>
        <w:rPr>
          <w:sz w:val="22"/>
          <w:szCs w:val="22"/>
        </w:rPr>
      </w:pPr>
    </w:p>
    <w:p w14:paraId="641D95F9" w14:textId="77777777" w:rsidR="002B273A" w:rsidRDefault="00FD6C14" w:rsidP="00FD6C14">
      <w:pPr>
        <w:pStyle w:val="Default"/>
        <w:rPr>
          <w:sz w:val="22"/>
          <w:szCs w:val="22"/>
        </w:rPr>
      </w:pPr>
      <w:r w:rsidRPr="00FD6C14">
        <w:rPr>
          <w:sz w:val="22"/>
          <w:szCs w:val="22"/>
        </w:rPr>
        <w:t xml:space="preserve">Poveikio gebėjimui vairuoti ir valdyti mechanizmus tyrimų neatlikta. </w:t>
      </w:r>
      <w:r>
        <w:rPr>
          <w:sz w:val="22"/>
          <w:szCs w:val="22"/>
        </w:rPr>
        <w:t>Vis dėlto</w:t>
      </w:r>
      <w:r w:rsidRPr="00FD6C14">
        <w:rPr>
          <w:sz w:val="22"/>
          <w:szCs w:val="22"/>
        </w:rPr>
        <w:t xml:space="preserve"> pacient</w:t>
      </w:r>
      <w:r>
        <w:rPr>
          <w:sz w:val="22"/>
          <w:szCs w:val="22"/>
        </w:rPr>
        <w:t>ai turi būti informuoti</w:t>
      </w:r>
      <w:r w:rsidRPr="00FD6C14">
        <w:rPr>
          <w:sz w:val="22"/>
          <w:szCs w:val="22"/>
        </w:rPr>
        <w:t>, kad gyd</w:t>
      </w:r>
      <w:r>
        <w:rPr>
          <w:sz w:val="22"/>
          <w:szCs w:val="22"/>
        </w:rPr>
        <w:t>ymo</w:t>
      </w:r>
      <w:r w:rsidR="00653D08">
        <w:rPr>
          <w:sz w:val="22"/>
          <w:szCs w:val="22"/>
        </w:rPr>
        <w:t xml:space="preserve"> tenofoviro dizoproksiliu </w:t>
      </w:r>
      <w:r>
        <w:rPr>
          <w:sz w:val="22"/>
          <w:szCs w:val="22"/>
        </w:rPr>
        <w:t>metu gauta pranešimų apie svaigulį</w:t>
      </w:r>
      <w:r w:rsidRPr="00FD6C14">
        <w:rPr>
          <w:sz w:val="22"/>
          <w:szCs w:val="22"/>
        </w:rPr>
        <w:t>.</w:t>
      </w:r>
    </w:p>
    <w:p w14:paraId="5E0F6FC9" w14:textId="77777777" w:rsidR="00BF4811" w:rsidRDefault="00BF4811" w:rsidP="00A26E66">
      <w:pPr>
        <w:tabs>
          <w:tab w:val="left" w:pos="567"/>
        </w:tabs>
        <w:rPr>
          <w:szCs w:val="22"/>
        </w:rPr>
      </w:pPr>
    </w:p>
    <w:p w14:paraId="1140554D" w14:textId="77777777" w:rsidR="004F6DB1" w:rsidRDefault="00CC482A" w:rsidP="00CC482A">
      <w:pPr>
        <w:tabs>
          <w:tab w:val="left" w:pos="567"/>
        </w:tabs>
        <w:rPr>
          <w:szCs w:val="22"/>
          <w:lang w:eastAsia="en-US"/>
        </w:rPr>
      </w:pPr>
      <w:r w:rsidRPr="00A50A7D">
        <w:rPr>
          <w:b/>
          <w:bCs/>
          <w:szCs w:val="22"/>
        </w:rPr>
        <w:t>4.8</w:t>
      </w:r>
      <w:r w:rsidRPr="00A50A7D">
        <w:rPr>
          <w:b/>
          <w:bCs/>
          <w:szCs w:val="22"/>
        </w:rPr>
        <w:tab/>
        <w:t>Nepageidaujamas poveikis</w:t>
      </w:r>
    </w:p>
    <w:p w14:paraId="6C15384C" w14:textId="77777777" w:rsidR="004F6DB1" w:rsidRDefault="004F6DB1" w:rsidP="006D2D23">
      <w:pPr>
        <w:tabs>
          <w:tab w:val="left" w:pos="567"/>
        </w:tabs>
        <w:rPr>
          <w:szCs w:val="22"/>
          <w:lang w:eastAsia="en-US"/>
        </w:rPr>
      </w:pPr>
    </w:p>
    <w:p w14:paraId="051DA6D6" w14:textId="77777777" w:rsidR="00A50A7D" w:rsidRPr="00A50A7D" w:rsidRDefault="00A50A7D" w:rsidP="00A50A7D">
      <w:pPr>
        <w:pStyle w:val="Default"/>
        <w:rPr>
          <w:sz w:val="22"/>
          <w:szCs w:val="22"/>
          <w:u w:val="single"/>
        </w:rPr>
      </w:pPr>
      <w:r w:rsidRPr="00A50A7D">
        <w:rPr>
          <w:sz w:val="22"/>
          <w:szCs w:val="22"/>
          <w:u w:val="single"/>
        </w:rPr>
        <w:t xml:space="preserve">Saugumo duomenų santrauka </w:t>
      </w:r>
    </w:p>
    <w:p w14:paraId="5D961085" w14:textId="137DB71A" w:rsidR="0066169B" w:rsidRDefault="0066169B" w:rsidP="0066169B">
      <w:pPr>
        <w:pStyle w:val="Default"/>
        <w:rPr>
          <w:sz w:val="22"/>
          <w:szCs w:val="22"/>
        </w:rPr>
      </w:pPr>
      <w:r w:rsidRPr="0066169B">
        <w:rPr>
          <w:i/>
          <w:sz w:val="22"/>
          <w:szCs w:val="22"/>
        </w:rPr>
        <w:t>ŽIV-1 ir hepatitas B</w:t>
      </w:r>
      <w:r w:rsidRPr="0066169B">
        <w:rPr>
          <w:sz w:val="22"/>
          <w:szCs w:val="22"/>
        </w:rPr>
        <w:t xml:space="preserve">. </w:t>
      </w:r>
      <w:r w:rsidR="00292C7B">
        <w:rPr>
          <w:sz w:val="22"/>
          <w:szCs w:val="22"/>
        </w:rPr>
        <w:t>Retai g</w:t>
      </w:r>
      <w:r w:rsidRPr="0066169B">
        <w:rPr>
          <w:sz w:val="22"/>
          <w:szCs w:val="22"/>
        </w:rPr>
        <w:t xml:space="preserve">auta pranešimų apie inkstų funkcijos </w:t>
      </w:r>
      <w:r w:rsidR="0004001B">
        <w:rPr>
          <w:sz w:val="22"/>
          <w:szCs w:val="22"/>
        </w:rPr>
        <w:t>sutrikimo</w:t>
      </w:r>
      <w:r w:rsidRPr="0066169B">
        <w:rPr>
          <w:sz w:val="22"/>
          <w:szCs w:val="22"/>
        </w:rPr>
        <w:t xml:space="preserve">, inkstų </w:t>
      </w:r>
      <w:r w:rsidR="0004001B">
        <w:rPr>
          <w:sz w:val="22"/>
          <w:szCs w:val="22"/>
        </w:rPr>
        <w:t xml:space="preserve">nepakankamumo </w:t>
      </w:r>
      <w:r w:rsidRPr="0066169B">
        <w:rPr>
          <w:sz w:val="22"/>
          <w:szCs w:val="22"/>
        </w:rPr>
        <w:t xml:space="preserve">ir </w:t>
      </w:r>
      <w:r w:rsidR="00292C7B">
        <w:rPr>
          <w:sz w:val="22"/>
          <w:szCs w:val="22"/>
        </w:rPr>
        <w:t xml:space="preserve">nedažnai –apie </w:t>
      </w:r>
      <w:r w:rsidRPr="00AE3AFC">
        <w:rPr>
          <w:sz w:val="22"/>
          <w:szCs w:val="22"/>
        </w:rPr>
        <w:t>proksimalinės tubulopatijos</w:t>
      </w:r>
      <w:r w:rsidRPr="0066169B">
        <w:rPr>
          <w:sz w:val="22"/>
          <w:szCs w:val="22"/>
        </w:rPr>
        <w:t xml:space="preserve"> (įskaitant </w:t>
      </w:r>
      <w:r w:rsidR="0004001B">
        <w:rPr>
          <w:sz w:val="22"/>
          <w:szCs w:val="22"/>
        </w:rPr>
        <w:t>Fankoni (</w:t>
      </w:r>
      <w:r w:rsidRPr="00CA49A8">
        <w:rPr>
          <w:i/>
          <w:sz w:val="22"/>
          <w:szCs w:val="22"/>
        </w:rPr>
        <w:t>Fanconi</w:t>
      </w:r>
      <w:r w:rsidR="0004001B">
        <w:rPr>
          <w:sz w:val="22"/>
          <w:szCs w:val="22"/>
        </w:rPr>
        <w:t>)</w:t>
      </w:r>
      <w:r w:rsidRPr="0066169B">
        <w:rPr>
          <w:sz w:val="22"/>
          <w:szCs w:val="22"/>
        </w:rPr>
        <w:t xml:space="preserve"> sindromą) atvejus, kartais </w:t>
      </w:r>
      <w:r w:rsidR="0026751C">
        <w:rPr>
          <w:sz w:val="22"/>
          <w:szCs w:val="22"/>
        </w:rPr>
        <w:t xml:space="preserve">skatinančius </w:t>
      </w:r>
      <w:r w:rsidRPr="0066169B">
        <w:rPr>
          <w:sz w:val="22"/>
          <w:szCs w:val="22"/>
        </w:rPr>
        <w:t xml:space="preserve">kaulų </w:t>
      </w:r>
      <w:r w:rsidR="00F14E47">
        <w:rPr>
          <w:sz w:val="22"/>
          <w:szCs w:val="22"/>
        </w:rPr>
        <w:t xml:space="preserve">sutrikimus </w:t>
      </w:r>
      <w:r w:rsidRPr="0066169B">
        <w:rPr>
          <w:sz w:val="22"/>
          <w:szCs w:val="22"/>
        </w:rPr>
        <w:t>(</w:t>
      </w:r>
      <w:r w:rsidR="00F14E47">
        <w:rPr>
          <w:sz w:val="22"/>
          <w:szCs w:val="22"/>
        </w:rPr>
        <w:t xml:space="preserve">kurie </w:t>
      </w:r>
      <w:r w:rsidR="00292C7B">
        <w:rPr>
          <w:sz w:val="22"/>
          <w:szCs w:val="22"/>
        </w:rPr>
        <w:t xml:space="preserve">nedažnais </w:t>
      </w:r>
      <w:r w:rsidR="00F14E47">
        <w:rPr>
          <w:sz w:val="22"/>
          <w:szCs w:val="22"/>
        </w:rPr>
        <w:t xml:space="preserve">atvejais sukelia kaulų </w:t>
      </w:r>
      <w:r w:rsidRPr="0066169B">
        <w:rPr>
          <w:sz w:val="22"/>
          <w:szCs w:val="22"/>
        </w:rPr>
        <w:t>lūži</w:t>
      </w:r>
      <w:r w:rsidR="00F14E47">
        <w:rPr>
          <w:sz w:val="22"/>
          <w:szCs w:val="22"/>
        </w:rPr>
        <w:t>us</w:t>
      </w:r>
      <w:r w:rsidRPr="0066169B">
        <w:rPr>
          <w:sz w:val="22"/>
          <w:szCs w:val="22"/>
        </w:rPr>
        <w:t xml:space="preserve">), pacientams, vartojantiems tenofoviro dizoproksilio. </w:t>
      </w:r>
      <w:r w:rsidR="00DC2FC8">
        <w:rPr>
          <w:sz w:val="22"/>
          <w:szCs w:val="22"/>
        </w:rPr>
        <w:t>Rekomenduojama stebėti t</w:t>
      </w:r>
      <w:r>
        <w:rPr>
          <w:sz w:val="22"/>
          <w:szCs w:val="22"/>
        </w:rPr>
        <w:t xml:space="preserve">enofoviro </w:t>
      </w:r>
      <w:r w:rsidRPr="0066169B">
        <w:rPr>
          <w:sz w:val="22"/>
          <w:szCs w:val="22"/>
        </w:rPr>
        <w:t>vartojan</w:t>
      </w:r>
      <w:r w:rsidR="00DC2FC8">
        <w:rPr>
          <w:sz w:val="22"/>
          <w:szCs w:val="22"/>
        </w:rPr>
        <w:t>čių</w:t>
      </w:r>
      <w:r w:rsidRPr="0066169B">
        <w:rPr>
          <w:sz w:val="22"/>
          <w:szCs w:val="22"/>
        </w:rPr>
        <w:t xml:space="preserve"> pacient</w:t>
      </w:r>
      <w:r w:rsidR="00DC2FC8">
        <w:rPr>
          <w:sz w:val="22"/>
          <w:szCs w:val="22"/>
        </w:rPr>
        <w:t>ų</w:t>
      </w:r>
      <w:r w:rsidRPr="0066169B">
        <w:rPr>
          <w:sz w:val="22"/>
          <w:szCs w:val="22"/>
        </w:rPr>
        <w:t xml:space="preserve"> inkstų funkciją (žr. 4.4 skyrių).</w:t>
      </w:r>
    </w:p>
    <w:p w14:paraId="6104A1AB" w14:textId="77777777" w:rsidR="00DC2FC8" w:rsidRPr="0066169B" w:rsidRDefault="00DC2FC8" w:rsidP="0066169B">
      <w:pPr>
        <w:pStyle w:val="Default"/>
        <w:rPr>
          <w:sz w:val="22"/>
          <w:szCs w:val="22"/>
        </w:rPr>
      </w:pPr>
    </w:p>
    <w:p w14:paraId="09BB17C8" w14:textId="1A0B03EC" w:rsidR="0066169B" w:rsidRPr="0066169B" w:rsidRDefault="0066169B" w:rsidP="0066169B">
      <w:pPr>
        <w:pStyle w:val="Default"/>
        <w:rPr>
          <w:sz w:val="22"/>
          <w:szCs w:val="22"/>
        </w:rPr>
      </w:pPr>
      <w:r w:rsidRPr="00DC2FC8">
        <w:rPr>
          <w:i/>
          <w:sz w:val="22"/>
          <w:szCs w:val="22"/>
        </w:rPr>
        <w:t>ŽIV-1</w:t>
      </w:r>
      <w:r w:rsidRPr="0066169B">
        <w:rPr>
          <w:sz w:val="22"/>
          <w:szCs w:val="22"/>
        </w:rPr>
        <w:t>. Maždaug trečdali</w:t>
      </w:r>
      <w:r w:rsidR="00DC2FC8">
        <w:rPr>
          <w:sz w:val="22"/>
          <w:szCs w:val="22"/>
        </w:rPr>
        <w:t>s</w:t>
      </w:r>
      <w:r w:rsidRPr="0066169B">
        <w:rPr>
          <w:sz w:val="22"/>
          <w:szCs w:val="22"/>
        </w:rPr>
        <w:t xml:space="preserve"> pacientų</w:t>
      </w:r>
      <w:r w:rsidR="00DC2FC8">
        <w:rPr>
          <w:sz w:val="22"/>
          <w:szCs w:val="22"/>
        </w:rPr>
        <w:t>, kurie gydomi</w:t>
      </w:r>
      <w:r w:rsidRPr="0066169B">
        <w:rPr>
          <w:sz w:val="22"/>
          <w:szCs w:val="22"/>
        </w:rPr>
        <w:t xml:space="preserve"> </w:t>
      </w:r>
      <w:r w:rsidR="00292C7B" w:rsidRPr="0066169B">
        <w:rPr>
          <w:sz w:val="22"/>
          <w:szCs w:val="22"/>
        </w:rPr>
        <w:t>tenofovir</w:t>
      </w:r>
      <w:r w:rsidR="00292C7B">
        <w:rPr>
          <w:sz w:val="22"/>
          <w:szCs w:val="22"/>
        </w:rPr>
        <w:t>u</w:t>
      </w:r>
      <w:r w:rsidR="00292C7B" w:rsidRPr="0066169B">
        <w:rPr>
          <w:sz w:val="22"/>
          <w:szCs w:val="22"/>
        </w:rPr>
        <w:t xml:space="preserve"> </w:t>
      </w:r>
      <w:r w:rsidRPr="0066169B">
        <w:rPr>
          <w:sz w:val="22"/>
          <w:szCs w:val="22"/>
        </w:rPr>
        <w:t>dizoproksili</w:t>
      </w:r>
      <w:r w:rsidR="000B6D1D">
        <w:rPr>
          <w:sz w:val="22"/>
          <w:szCs w:val="22"/>
        </w:rPr>
        <w:t>u</w:t>
      </w:r>
      <w:r w:rsidR="00653D08">
        <w:rPr>
          <w:sz w:val="22"/>
          <w:szCs w:val="22"/>
        </w:rPr>
        <w:t xml:space="preserve"> </w:t>
      </w:r>
      <w:r w:rsidR="00DC2FC8">
        <w:rPr>
          <w:sz w:val="22"/>
          <w:szCs w:val="22"/>
        </w:rPr>
        <w:t>derinyje su</w:t>
      </w:r>
      <w:r w:rsidRPr="0066169B">
        <w:rPr>
          <w:sz w:val="22"/>
          <w:szCs w:val="22"/>
        </w:rPr>
        <w:t xml:space="preserve"> kitais antiretrovirusiniais vaistiniais preparatais, </w:t>
      </w:r>
      <w:r w:rsidR="00DC2FC8">
        <w:rPr>
          <w:sz w:val="22"/>
          <w:szCs w:val="22"/>
        </w:rPr>
        <w:t xml:space="preserve">gali tikėtis patirti </w:t>
      </w:r>
      <w:r w:rsidRPr="0066169B">
        <w:rPr>
          <w:sz w:val="22"/>
          <w:szCs w:val="22"/>
        </w:rPr>
        <w:t>nepageidaujam</w:t>
      </w:r>
      <w:r w:rsidR="00DC2FC8">
        <w:rPr>
          <w:sz w:val="22"/>
          <w:szCs w:val="22"/>
        </w:rPr>
        <w:t>ų</w:t>
      </w:r>
      <w:r w:rsidRPr="0066169B">
        <w:rPr>
          <w:sz w:val="22"/>
          <w:szCs w:val="22"/>
        </w:rPr>
        <w:t xml:space="preserve"> reakcij</w:t>
      </w:r>
      <w:r w:rsidR="00DC2FC8">
        <w:rPr>
          <w:sz w:val="22"/>
          <w:szCs w:val="22"/>
        </w:rPr>
        <w:t>ų</w:t>
      </w:r>
      <w:r w:rsidRPr="0066169B">
        <w:rPr>
          <w:sz w:val="22"/>
          <w:szCs w:val="22"/>
        </w:rPr>
        <w:t xml:space="preserve">. Šios reakcijos – dažniausiai lengvi ar vidutinio sunkumo virškinimo trakto </w:t>
      </w:r>
      <w:r w:rsidR="000B6D1D">
        <w:rPr>
          <w:sz w:val="22"/>
          <w:szCs w:val="22"/>
        </w:rPr>
        <w:t>sutrikimai</w:t>
      </w:r>
      <w:r w:rsidRPr="0066169B">
        <w:rPr>
          <w:sz w:val="22"/>
          <w:szCs w:val="22"/>
        </w:rPr>
        <w:t>. Mažd</w:t>
      </w:r>
      <w:r w:rsidR="00653D08">
        <w:rPr>
          <w:sz w:val="22"/>
          <w:szCs w:val="22"/>
        </w:rPr>
        <w:t>aug 1</w:t>
      </w:r>
      <w:r w:rsidR="007E34BE">
        <w:rPr>
          <w:sz w:val="22"/>
          <w:szCs w:val="22"/>
        </w:rPr>
        <w:t> </w:t>
      </w:r>
      <w:r w:rsidR="00653D08">
        <w:rPr>
          <w:sz w:val="22"/>
          <w:szCs w:val="22"/>
        </w:rPr>
        <w:t xml:space="preserve">% </w:t>
      </w:r>
      <w:r w:rsidR="00292C7B">
        <w:rPr>
          <w:sz w:val="22"/>
          <w:szCs w:val="22"/>
        </w:rPr>
        <w:t xml:space="preserve">tenofoviru </w:t>
      </w:r>
      <w:r w:rsidR="00653D08">
        <w:rPr>
          <w:sz w:val="22"/>
          <w:szCs w:val="22"/>
        </w:rPr>
        <w:t>dizoproksiliu</w:t>
      </w:r>
      <w:r w:rsidRPr="0066169B">
        <w:rPr>
          <w:sz w:val="22"/>
          <w:szCs w:val="22"/>
        </w:rPr>
        <w:t xml:space="preserve"> gydytų suaugusių pacientų nutraukė gydymą dėl virškinimo trakto </w:t>
      </w:r>
      <w:r w:rsidR="000B6D1D">
        <w:rPr>
          <w:sz w:val="22"/>
          <w:szCs w:val="22"/>
        </w:rPr>
        <w:t>sutrikimų</w:t>
      </w:r>
      <w:r w:rsidRPr="0066169B">
        <w:rPr>
          <w:sz w:val="22"/>
          <w:szCs w:val="22"/>
        </w:rPr>
        <w:t>.</w:t>
      </w:r>
    </w:p>
    <w:p w14:paraId="698C1464" w14:textId="77777777" w:rsidR="00DC2FC8" w:rsidRDefault="00DC2FC8" w:rsidP="0066169B">
      <w:pPr>
        <w:pStyle w:val="Default"/>
        <w:rPr>
          <w:sz w:val="22"/>
          <w:szCs w:val="22"/>
        </w:rPr>
      </w:pPr>
    </w:p>
    <w:p w14:paraId="3DF73E22" w14:textId="77777777" w:rsidR="0066169B" w:rsidRPr="0066169B" w:rsidRDefault="0066169B" w:rsidP="0066169B">
      <w:pPr>
        <w:pStyle w:val="Default"/>
        <w:rPr>
          <w:sz w:val="22"/>
          <w:szCs w:val="22"/>
        </w:rPr>
      </w:pPr>
      <w:r w:rsidRPr="0066169B">
        <w:rPr>
          <w:sz w:val="22"/>
          <w:szCs w:val="22"/>
        </w:rPr>
        <w:t xml:space="preserve">Nerekomenduojama kartu skirti </w:t>
      </w:r>
      <w:r w:rsidR="00DC2FC8">
        <w:rPr>
          <w:sz w:val="22"/>
          <w:szCs w:val="22"/>
        </w:rPr>
        <w:t>tenofoviro</w:t>
      </w:r>
      <w:r w:rsidRPr="0066169B">
        <w:rPr>
          <w:sz w:val="22"/>
          <w:szCs w:val="22"/>
        </w:rPr>
        <w:t xml:space="preserve"> ir didanozino, nes tai gali padidinti nepageidaujamų reakcijų riziką (žr. 4.5 skyrių). Retai buvo </w:t>
      </w:r>
      <w:r w:rsidR="00264671">
        <w:rPr>
          <w:sz w:val="22"/>
          <w:szCs w:val="22"/>
        </w:rPr>
        <w:t xml:space="preserve">gauta </w:t>
      </w:r>
      <w:r w:rsidRPr="0066169B">
        <w:rPr>
          <w:sz w:val="22"/>
          <w:szCs w:val="22"/>
        </w:rPr>
        <w:t xml:space="preserve">pranešimų apie pankreatito ir </w:t>
      </w:r>
      <w:r w:rsidR="00DC2FC8">
        <w:rPr>
          <w:sz w:val="22"/>
          <w:szCs w:val="22"/>
        </w:rPr>
        <w:t xml:space="preserve">pieno rūgšties </w:t>
      </w:r>
      <w:r w:rsidRPr="0066169B">
        <w:rPr>
          <w:sz w:val="22"/>
          <w:szCs w:val="22"/>
        </w:rPr>
        <w:t>acidozės atvejus, iš kurių keli buvo mirtini (žr. 4.4 skyrių).</w:t>
      </w:r>
    </w:p>
    <w:p w14:paraId="51177737" w14:textId="77777777" w:rsidR="00DC2FC8" w:rsidRDefault="00DC2FC8" w:rsidP="0066169B">
      <w:pPr>
        <w:pStyle w:val="Default"/>
        <w:rPr>
          <w:sz w:val="22"/>
          <w:szCs w:val="22"/>
        </w:rPr>
      </w:pPr>
    </w:p>
    <w:p w14:paraId="0C456328" w14:textId="20AED591" w:rsidR="0066169B" w:rsidRPr="0066169B" w:rsidRDefault="0066169B" w:rsidP="0066169B">
      <w:pPr>
        <w:pStyle w:val="Default"/>
        <w:rPr>
          <w:sz w:val="22"/>
          <w:szCs w:val="22"/>
        </w:rPr>
      </w:pPr>
      <w:r w:rsidRPr="00DC2FC8">
        <w:rPr>
          <w:i/>
          <w:sz w:val="22"/>
          <w:szCs w:val="22"/>
        </w:rPr>
        <w:t>Hepatitas B.</w:t>
      </w:r>
      <w:r w:rsidRPr="0066169B">
        <w:rPr>
          <w:sz w:val="22"/>
          <w:szCs w:val="22"/>
        </w:rPr>
        <w:t xml:space="preserve"> Maždaug ketvirtadaliui pacientų po </w:t>
      </w:r>
      <w:r w:rsidR="00DC2FC8">
        <w:rPr>
          <w:sz w:val="22"/>
          <w:szCs w:val="22"/>
        </w:rPr>
        <w:t xml:space="preserve">gydymo </w:t>
      </w:r>
      <w:r w:rsidR="00292C7B" w:rsidRPr="0066169B">
        <w:rPr>
          <w:sz w:val="22"/>
          <w:szCs w:val="22"/>
        </w:rPr>
        <w:t>tenofovir</w:t>
      </w:r>
      <w:r w:rsidR="00292C7B">
        <w:rPr>
          <w:sz w:val="22"/>
          <w:szCs w:val="22"/>
        </w:rPr>
        <w:t>u</w:t>
      </w:r>
      <w:r w:rsidR="00292C7B" w:rsidRPr="0066169B">
        <w:rPr>
          <w:sz w:val="22"/>
          <w:szCs w:val="22"/>
        </w:rPr>
        <w:t xml:space="preserve"> </w:t>
      </w:r>
      <w:r w:rsidRPr="0066169B">
        <w:rPr>
          <w:sz w:val="22"/>
          <w:szCs w:val="22"/>
        </w:rPr>
        <w:t>dizoproksili</w:t>
      </w:r>
      <w:r w:rsidR="009D6772">
        <w:rPr>
          <w:sz w:val="22"/>
          <w:szCs w:val="22"/>
        </w:rPr>
        <w:t xml:space="preserve">u </w:t>
      </w:r>
      <w:r w:rsidRPr="0066169B">
        <w:rPr>
          <w:sz w:val="22"/>
          <w:szCs w:val="22"/>
        </w:rPr>
        <w:t xml:space="preserve">gali pasireikšti nepageidaujamos reakcijos, kurios daugiausia yra lengvos. HBV infekuotų pacientų klinikiniuose tyrimuose dažniausia nepageidaujama reakcija į </w:t>
      </w:r>
      <w:r w:rsidR="00292C7B" w:rsidRPr="0066169B">
        <w:rPr>
          <w:sz w:val="22"/>
          <w:szCs w:val="22"/>
        </w:rPr>
        <w:t>ten</w:t>
      </w:r>
      <w:r w:rsidR="00292C7B">
        <w:rPr>
          <w:sz w:val="22"/>
          <w:szCs w:val="22"/>
        </w:rPr>
        <w:t xml:space="preserve">ofovirą </w:t>
      </w:r>
      <w:r w:rsidR="00653D08">
        <w:rPr>
          <w:sz w:val="22"/>
          <w:szCs w:val="22"/>
        </w:rPr>
        <w:t>dizoproksilį</w:t>
      </w:r>
      <w:r w:rsidRPr="0066169B">
        <w:rPr>
          <w:sz w:val="22"/>
          <w:szCs w:val="22"/>
        </w:rPr>
        <w:t xml:space="preserve"> buvo pykinimas (5,4</w:t>
      </w:r>
      <w:r w:rsidR="009D6772">
        <w:rPr>
          <w:sz w:val="22"/>
          <w:szCs w:val="22"/>
        </w:rPr>
        <w:t> </w:t>
      </w:r>
      <w:r w:rsidRPr="0066169B">
        <w:rPr>
          <w:sz w:val="22"/>
          <w:szCs w:val="22"/>
        </w:rPr>
        <w:t>%).</w:t>
      </w:r>
    </w:p>
    <w:p w14:paraId="5CF9B7C4" w14:textId="77777777" w:rsidR="00DC2FC8" w:rsidRDefault="00DC2FC8" w:rsidP="0066169B">
      <w:pPr>
        <w:pStyle w:val="Default"/>
        <w:rPr>
          <w:sz w:val="22"/>
          <w:szCs w:val="22"/>
        </w:rPr>
      </w:pPr>
    </w:p>
    <w:p w14:paraId="730BC9EB" w14:textId="77777777" w:rsidR="0066169B" w:rsidRPr="0066169B" w:rsidRDefault="00DC2FC8" w:rsidP="0066169B">
      <w:pPr>
        <w:pStyle w:val="Default"/>
        <w:rPr>
          <w:sz w:val="22"/>
          <w:szCs w:val="22"/>
        </w:rPr>
      </w:pPr>
      <w:r>
        <w:rPr>
          <w:sz w:val="22"/>
          <w:szCs w:val="22"/>
        </w:rPr>
        <w:t>Buvo pranešta apie ūminį hepatito pablogėjimą gydomiems pacientams, taip pat pacientams</w:t>
      </w:r>
      <w:r w:rsidR="0066169B" w:rsidRPr="0066169B">
        <w:rPr>
          <w:sz w:val="22"/>
          <w:szCs w:val="22"/>
        </w:rPr>
        <w:t>, kurie nutraukė gydymą nuo hepatito B (žr. 4.4 skyrių).</w:t>
      </w:r>
    </w:p>
    <w:p w14:paraId="264E35E8" w14:textId="77777777" w:rsidR="002A07D7" w:rsidRDefault="002A07D7" w:rsidP="0066169B">
      <w:pPr>
        <w:pStyle w:val="Default"/>
        <w:rPr>
          <w:sz w:val="22"/>
          <w:szCs w:val="22"/>
        </w:rPr>
      </w:pPr>
    </w:p>
    <w:p w14:paraId="2176D0BC" w14:textId="77777777" w:rsidR="0066169B" w:rsidRPr="002A07D7" w:rsidRDefault="0066169B" w:rsidP="0066169B">
      <w:pPr>
        <w:pStyle w:val="Default"/>
        <w:rPr>
          <w:sz w:val="22"/>
          <w:szCs w:val="22"/>
          <w:u w:val="single"/>
        </w:rPr>
      </w:pPr>
      <w:r w:rsidRPr="002A07D7">
        <w:rPr>
          <w:sz w:val="22"/>
          <w:szCs w:val="22"/>
          <w:u w:val="single"/>
        </w:rPr>
        <w:t>Nepageidaujamų reakcijų santrauk</w:t>
      </w:r>
      <w:r w:rsidR="002A07D7" w:rsidRPr="002A07D7">
        <w:rPr>
          <w:sz w:val="22"/>
          <w:szCs w:val="22"/>
          <w:u w:val="single"/>
        </w:rPr>
        <w:t>a lentelėje</w:t>
      </w:r>
    </w:p>
    <w:p w14:paraId="663292C3" w14:textId="77777777" w:rsidR="0066169B" w:rsidRPr="0066169B" w:rsidRDefault="0066169B" w:rsidP="0066169B">
      <w:pPr>
        <w:pStyle w:val="Default"/>
        <w:rPr>
          <w:sz w:val="22"/>
          <w:szCs w:val="22"/>
        </w:rPr>
      </w:pPr>
      <w:r w:rsidRPr="0066169B">
        <w:rPr>
          <w:sz w:val="22"/>
          <w:szCs w:val="22"/>
        </w:rPr>
        <w:t xml:space="preserve">Tenofoviro dizoproksilio nepageidaujamų reakcijų vertinimas </w:t>
      </w:r>
      <w:r w:rsidR="002A07D7">
        <w:rPr>
          <w:sz w:val="22"/>
          <w:szCs w:val="22"/>
        </w:rPr>
        <w:t>yra pagrįstas</w:t>
      </w:r>
      <w:r w:rsidRPr="0066169B">
        <w:rPr>
          <w:sz w:val="22"/>
          <w:szCs w:val="22"/>
        </w:rPr>
        <w:t xml:space="preserve"> klinikinių tyrimų metu ir po pateikimo į rinką gautais saugumo duomenimis. Visos nepageidaujamos reakcijos </w:t>
      </w:r>
      <w:r w:rsidR="002A07D7">
        <w:rPr>
          <w:sz w:val="22"/>
          <w:szCs w:val="22"/>
        </w:rPr>
        <w:t>yra pateiktos</w:t>
      </w:r>
      <w:r w:rsidRPr="0066169B">
        <w:rPr>
          <w:sz w:val="22"/>
          <w:szCs w:val="22"/>
        </w:rPr>
        <w:t xml:space="preserve"> 2 lentelėje.</w:t>
      </w:r>
    </w:p>
    <w:p w14:paraId="3D353435" w14:textId="77777777" w:rsidR="002A07D7" w:rsidRDefault="002A07D7" w:rsidP="0066169B">
      <w:pPr>
        <w:pStyle w:val="Default"/>
        <w:rPr>
          <w:sz w:val="22"/>
          <w:szCs w:val="22"/>
        </w:rPr>
      </w:pPr>
    </w:p>
    <w:p w14:paraId="3D20A846" w14:textId="6E43E5DA" w:rsidR="0066169B" w:rsidRDefault="0066169B" w:rsidP="0066169B">
      <w:pPr>
        <w:pStyle w:val="Default"/>
        <w:rPr>
          <w:sz w:val="22"/>
          <w:szCs w:val="22"/>
        </w:rPr>
      </w:pPr>
      <w:r w:rsidRPr="002A07D7">
        <w:rPr>
          <w:i/>
          <w:sz w:val="22"/>
          <w:szCs w:val="22"/>
        </w:rPr>
        <w:t>ŽIV-1 klinikiniai tyrimai</w:t>
      </w:r>
      <w:r w:rsidRPr="0066169B">
        <w:rPr>
          <w:sz w:val="22"/>
          <w:szCs w:val="22"/>
        </w:rPr>
        <w:t xml:space="preserve">. Nepageidaujamų reakcijų </w:t>
      </w:r>
      <w:r w:rsidR="002A07D7">
        <w:rPr>
          <w:sz w:val="22"/>
          <w:szCs w:val="22"/>
        </w:rPr>
        <w:t xml:space="preserve">iš </w:t>
      </w:r>
      <w:r w:rsidRPr="0066169B">
        <w:rPr>
          <w:sz w:val="22"/>
          <w:szCs w:val="22"/>
        </w:rPr>
        <w:t xml:space="preserve">ŽIV-1 klinikinių tyrimų </w:t>
      </w:r>
      <w:r w:rsidR="002A07D7">
        <w:rPr>
          <w:sz w:val="22"/>
          <w:szCs w:val="22"/>
        </w:rPr>
        <w:t>duomenų vertinimas yra pagrįstas</w:t>
      </w:r>
      <w:r w:rsidRPr="0066169B">
        <w:rPr>
          <w:sz w:val="22"/>
          <w:szCs w:val="22"/>
        </w:rPr>
        <w:t xml:space="preserve"> dviejų tyrimų rezultatais, kuriuose dalyvavo 653 anksčiau gydyti pacientai, </w:t>
      </w:r>
      <w:r w:rsidR="002A07D7">
        <w:rPr>
          <w:sz w:val="22"/>
          <w:szCs w:val="22"/>
        </w:rPr>
        <w:t xml:space="preserve">kurie </w:t>
      </w:r>
      <w:r w:rsidRPr="0066169B">
        <w:rPr>
          <w:sz w:val="22"/>
          <w:szCs w:val="22"/>
        </w:rPr>
        <w:t xml:space="preserve">24 savaites </w:t>
      </w:r>
      <w:r w:rsidR="002A07D7">
        <w:rPr>
          <w:sz w:val="22"/>
          <w:szCs w:val="22"/>
        </w:rPr>
        <w:t>vartojo</w:t>
      </w:r>
      <w:r w:rsidRPr="0066169B">
        <w:rPr>
          <w:sz w:val="22"/>
          <w:szCs w:val="22"/>
        </w:rPr>
        <w:t xml:space="preserve"> tenofoviro dizoproksilio  (n = 443) arba placeb</w:t>
      </w:r>
      <w:r w:rsidR="002A07D7">
        <w:rPr>
          <w:sz w:val="22"/>
          <w:szCs w:val="22"/>
        </w:rPr>
        <w:t>o</w:t>
      </w:r>
      <w:r w:rsidRPr="0066169B">
        <w:rPr>
          <w:sz w:val="22"/>
          <w:szCs w:val="22"/>
        </w:rPr>
        <w:t xml:space="preserve"> (n = 210) kartu su kitais antiretrovirusiniais vaistiniais preparatais, taip pat dvigubai koduoto lyginamojo kontroliuojamo tyrimo, kuriame dalyvavo 600 anksčiau negydytų pacientų, rezultatais; atliekant pastarąjį tyrimą ligoniai 144 savaites </w:t>
      </w:r>
      <w:r w:rsidRPr="0066169B">
        <w:rPr>
          <w:sz w:val="22"/>
          <w:szCs w:val="22"/>
        </w:rPr>
        <w:lastRenderedPageBreak/>
        <w:t xml:space="preserve">gydyti </w:t>
      </w:r>
      <w:r w:rsidR="002A07D7" w:rsidRPr="0066169B">
        <w:rPr>
          <w:sz w:val="22"/>
          <w:szCs w:val="22"/>
        </w:rPr>
        <w:t>245</w:t>
      </w:r>
      <w:r w:rsidR="009D6772">
        <w:rPr>
          <w:sz w:val="22"/>
          <w:szCs w:val="22"/>
        </w:rPr>
        <w:t> </w:t>
      </w:r>
      <w:r w:rsidR="002A07D7" w:rsidRPr="0066169B">
        <w:rPr>
          <w:sz w:val="22"/>
          <w:szCs w:val="22"/>
        </w:rPr>
        <w:t xml:space="preserve">mg </w:t>
      </w:r>
      <w:r w:rsidR="00292C7B" w:rsidRPr="0066169B">
        <w:rPr>
          <w:sz w:val="22"/>
          <w:szCs w:val="22"/>
        </w:rPr>
        <w:t>tenofovir</w:t>
      </w:r>
      <w:r w:rsidR="00292C7B">
        <w:rPr>
          <w:sz w:val="22"/>
          <w:szCs w:val="22"/>
        </w:rPr>
        <w:t>u</w:t>
      </w:r>
      <w:r w:rsidR="00292C7B" w:rsidRPr="0066169B">
        <w:rPr>
          <w:sz w:val="22"/>
          <w:szCs w:val="22"/>
        </w:rPr>
        <w:t xml:space="preserve"> </w:t>
      </w:r>
      <w:r w:rsidRPr="0066169B">
        <w:rPr>
          <w:sz w:val="22"/>
          <w:szCs w:val="22"/>
        </w:rPr>
        <w:t>dizoproksiliu  (n = 299) arba stavudin</w:t>
      </w:r>
      <w:r w:rsidR="002A07D7">
        <w:rPr>
          <w:sz w:val="22"/>
          <w:szCs w:val="22"/>
        </w:rPr>
        <w:t>o deriniu</w:t>
      </w:r>
      <w:r w:rsidRPr="0066169B">
        <w:rPr>
          <w:sz w:val="22"/>
          <w:szCs w:val="22"/>
        </w:rPr>
        <w:t xml:space="preserve"> su lamivudinu ir efavirenzu</w:t>
      </w:r>
      <w:r w:rsidR="002A07D7" w:rsidRPr="002A07D7">
        <w:rPr>
          <w:sz w:val="22"/>
          <w:szCs w:val="22"/>
        </w:rPr>
        <w:t xml:space="preserve"> </w:t>
      </w:r>
      <w:r w:rsidR="002A07D7" w:rsidRPr="0066169B">
        <w:rPr>
          <w:sz w:val="22"/>
          <w:szCs w:val="22"/>
        </w:rPr>
        <w:t>(n = 301)</w:t>
      </w:r>
      <w:r w:rsidR="002A07D7">
        <w:rPr>
          <w:sz w:val="22"/>
          <w:szCs w:val="22"/>
        </w:rPr>
        <w:t>.</w:t>
      </w:r>
    </w:p>
    <w:p w14:paraId="28E46929" w14:textId="77777777" w:rsidR="0066169B" w:rsidRDefault="0066169B" w:rsidP="00782776">
      <w:pPr>
        <w:pStyle w:val="Default"/>
        <w:rPr>
          <w:sz w:val="22"/>
          <w:szCs w:val="22"/>
        </w:rPr>
      </w:pPr>
    </w:p>
    <w:p w14:paraId="5DA31AAA" w14:textId="4F725271" w:rsidR="00A5588C" w:rsidRPr="00A5588C" w:rsidRDefault="00A5588C" w:rsidP="00A5588C">
      <w:pPr>
        <w:pStyle w:val="Default"/>
        <w:rPr>
          <w:sz w:val="22"/>
          <w:szCs w:val="22"/>
        </w:rPr>
      </w:pPr>
      <w:r w:rsidRPr="00A5588C">
        <w:rPr>
          <w:i/>
          <w:sz w:val="22"/>
          <w:szCs w:val="22"/>
        </w:rPr>
        <w:t>Hepatito B klinikiniai tyrimai</w:t>
      </w:r>
      <w:r w:rsidRPr="00A5588C">
        <w:rPr>
          <w:sz w:val="22"/>
          <w:szCs w:val="22"/>
        </w:rPr>
        <w:t xml:space="preserve">. Nepageidaujamų reakcijų </w:t>
      </w:r>
      <w:r>
        <w:rPr>
          <w:sz w:val="22"/>
          <w:szCs w:val="22"/>
        </w:rPr>
        <w:t>iš</w:t>
      </w:r>
      <w:r w:rsidRPr="00A5588C">
        <w:rPr>
          <w:sz w:val="22"/>
          <w:szCs w:val="22"/>
        </w:rPr>
        <w:t xml:space="preserve"> HBV klinikinių tyrimų </w:t>
      </w:r>
      <w:r>
        <w:rPr>
          <w:sz w:val="22"/>
          <w:szCs w:val="22"/>
        </w:rPr>
        <w:t>duomenų vertinimas</w:t>
      </w:r>
      <w:r w:rsidRPr="00A5588C">
        <w:rPr>
          <w:sz w:val="22"/>
          <w:szCs w:val="22"/>
        </w:rPr>
        <w:t xml:space="preserve"> pirmiausiai </w:t>
      </w:r>
      <w:r>
        <w:rPr>
          <w:sz w:val="22"/>
          <w:szCs w:val="22"/>
        </w:rPr>
        <w:t xml:space="preserve">yra pagrįstas </w:t>
      </w:r>
      <w:r w:rsidRPr="00A5588C">
        <w:rPr>
          <w:sz w:val="22"/>
          <w:szCs w:val="22"/>
        </w:rPr>
        <w:t>dviejų dvigubai koduotų lyginamųjų kontroliuojamų tyrimų rezultatais, kuriuose dalyvavo 641 suaugę pacientai</w:t>
      </w:r>
      <w:r w:rsidR="00A7563B">
        <w:rPr>
          <w:sz w:val="22"/>
          <w:szCs w:val="22"/>
        </w:rPr>
        <w:t>, sergantys</w:t>
      </w:r>
      <w:r w:rsidRPr="00A5588C">
        <w:rPr>
          <w:sz w:val="22"/>
          <w:szCs w:val="22"/>
        </w:rPr>
        <w:t xml:space="preserve"> lėtiniu hepatitu B ir kompensuota kepenų liga. Šiems pacientams 48 savaites kasdien buvo skiriama po 245</w:t>
      </w:r>
      <w:r w:rsidR="009D6772">
        <w:rPr>
          <w:sz w:val="22"/>
          <w:szCs w:val="22"/>
        </w:rPr>
        <w:t> </w:t>
      </w:r>
      <w:r w:rsidRPr="00A5588C">
        <w:rPr>
          <w:sz w:val="22"/>
          <w:szCs w:val="22"/>
        </w:rPr>
        <w:t>mg tenofoviro dizoproksilio (n = 426) arba po 10</w:t>
      </w:r>
      <w:r w:rsidR="009D6772">
        <w:rPr>
          <w:sz w:val="22"/>
          <w:szCs w:val="22"/>
        </w:rPr>
        <w:t> </w:t>
      </w:r>
      <w:r w:rsidRPr="00A5588C">
        <w:rPr>
          <w:sz w:val="22"/>
          <w:szCs w:val="22"/>
        </w:rPr>
        <w:t>mg adefoviro dipivoksilio (n = 215). Nepertraukiamo 384 savaičių gydymo metu stebėtos nepageidaujamos reakcijos atitiko tenofoviro dizoproksilio saugumo profilį. Po pradinio maždaug -4,9</w:t>
      </w:r>
      <w:r w:rsidR="009D6772">
        <w:rPr>
          <w:sz w:val="22"/>
          <w:szCs w:val="22"/>
        </w:rPr>
        <w:t> </w:t>
      </w:r>
      <w:r w:rsidRPr="00A5588C">
        <w:rPr>
          <w:sz w:val="22"/>
          <w:szCs w:val="22"/>
        </w:rPr>
        <w:t xml:space="preserve">ml/min (pagal Kokrofto ir Golto </w:t>
      </w:r>
      <w:r w:rsidR="00C97E21">
        <w:rPr>
          <w:sz w:val="22"/>
          <w:szCs w:val="22"/>
        </w:rPr>
        <w:t>[</w:t>
      </w:r>
      <w:r w:rsidRPr="00CA49A8">
        <w:rPr>
          <w:i/>
          <w:sz w:val="22"/>
          <w:szCs w:val="22"/>
        </w:rPr>
        <w:t>Cockcroft-Gault</w:t>
      </w:r>
      <w:r w:rsidR="00C97E21">
        <w:rPr>
          <w:sz w:val="22"/>
          <w:szCs w:val="22"/>
        </w:rPr>
        <w:t>]</w:t>
      </w:r>
      <w:r w:rsidRPr="00A5588C">
        <w:rPr>
          <w:sz w:val="22"/>
          <w:szCs w:val="22"/>
        </w:rPr>
        <w:t xml:space="preserve"> lygtį) arba -3,9</w:t>
      </w:r>
      <w:r w:rsidR="009D6772">
        <w:rPr>
          <w:sz w:val="22"/>
          <w:szCs w:val="22"/>
        </w:rPr>
        <w:t> </w:t>
      </w:r>
      <w:r w:rsidRPr="00A5588C">
        <w:rPr>
          <w:sz w:val="22"/>
          <w:szCs w:val="22"/>
        </w:rPr>
        <w:t>ml/min/1,73</w:t>
      </w:r>
      <w:r w:rsidR="009D6772">
        <w:rPr>
          <w:sz w:val="22"/>
          <w:szCs w:val="22"/>
        </w:rPr>
        <w:t> </w:t>
      </w:r>
      <w:r w:rsidRPr="00A5588C">
        <w:rPr>
          <w:sz w:val="22"/>
          <w:szCs w:val="22"/>
        </w:rPr>
        <w:t>m</w:t>
      </w:r>
      <w:r w:rsidRPr="00164838">
        <w:rPr>
          <w:sz w:val="22"/>
          <w:szCs w:val="22"/>
          <w:vertAlign w:val="superscript"/>
        </w:rPr>
        <w:t>2</w:t>
      </w:r>
      <w:r w:rsidRPr="00A5588C">
        <w:rPr>
          <w:sz w:val="22"/>
          <w:szCs w:val="22"/>
        </w:rPr>
        <w:t xml:space="preserve"> (pagal mitybos modifikavimo sergant inkstų liga [</w:t>
      </w:r>
      <w:r w:rsidRPr="00CA49A8">
        <w:rPr>
          <w:sz w:val="22"/>
          <w:szCs w:val="22"/>
        </w:rPr>
        <w:t>angl</w:t>
      </w:r>
      <w:r w:rsidRPr="00B06C40">
        <w:rPr>
          <w:sz w:val="22"/>
          <w:szCs w:val="22"/>
        </w:rPr>
        <w:t>.</w:t>
      </w:r>
      <w:r w:rsidRPr="00A5588C">
        <w:rPr>
          <w:sz w:val="22"/>
          <w:szCs w:val="22"/>
        </w:rPr>
        <w:t xml:space="preserve"> </w:t>
      </w:r>
      <w:r w:rsidRPr="00CA49A8">
        <w:rPr>
          <w:i/>
          <w:sz w:val="22"/>
          <w:szCs w:val="22"/>
        </w:rPr>
        <w:t>modification of diet in renal disease</w:t>
      </w:r>
      <w:r w:rsidRPr="00A5588C">
        <w:rPr>
          <w:sz w:val="22"/>
          <w:szCs w:val="22"/>
        </w:rPr>
        <w:t xml:space="preserve">, MDRD] lygtį) inkstų funkcijos susilpnėjimo, pasireiškiančio po pirmųjų 4 gydymo savaičių, metinio silpnėjimo greitis, palyginti su pradine inkstų funkcijos verte, nustatytas </w:t>
      </w:r>
      <w:r w:rsidR="00292C7B" w:rsidRPr="00A5588C">
        <w:rPr>
          <w:sz w:val="22"/>
          <w:szCs w:val="22"/>
        </w:rPr>
        <w:t>tenofovir</w:t>
      </w:r>
      <w:r w:rsidR="00292C7B">
        <w:rPr>
          <w:sz w:val="22"/>
          <w:szCs w:val="22"/>
        </w:rPr>
        <w:t>u</w:t>
      </w:r>
      <w:r w:rsidR="00292C7B" w:rsidRPr="00A5588C">
        <w:rPr>
          <w:sz w:val="22"/>
          <w:szCs w:val="22"/>
        </w:rPr>
        <w:t xml:space="preserve"> </w:t>
      </w:r>
      <w:r w:rsidRPr="00A5588C">
        <w:rPr>
          <w:sz w:val="22"/>
          <w:szCs w:val="22"/>
        </w:rPr>
        <w:t>dizoproksili</w:t>
      </w:r>
      <w:r w:rsidR="009D6772">
        <w:rPr>
          <w:sz w:val="22"/>
          <w:szCs w:val="22"/>
        </w:rPr>
        <w:t>u</w:t>
      </w:r>
      <w:r w:rsidRPr="00A5588C">
        <w:rPr>
          <w:sz w:val="22"/>
          <w:szCs w:val="22"/>
        </w:rPr>
        <w:t xml:space="preserve"> gydytiems pacientams, buvo -1,41</w:t>
      </w:r>
      <w:r w:rsidR="009D6772">
        <w:rPr>
          <w:sz w:val="22"/>
          <w:szCs w:val="22"/>
        </w:rPr>
        <w:t> </w:t>
      </w:r>
      <w:r w:rsidRPr="00A5588C">
        <w:rPr>
          <w:sz w:val="22"/>
          <w:szCs w:val="22"/>
        </w:rPr>
        <w:t>ml/min per metus (pagal Kokrofto ir Golto lygtį) ir -0,74</w:t>
      </w:r>
      <w:r w:rsidR="009D6772">
        <w:rPr>
          <w:sz w:val="22"/>
          <w:szCs w:val="22"/>
        </w:rPr>
        <w:t> </w:t>
      </w:r>
      <w:r w:rsidRPr="00A5588C">
        <w:rPr>
          <w:sz w:val="22"/>
          <w:szCs w:val="22"/>
        </w:rPr>
        <w:t>ml/min/1,73</w:t>
      </w:r>
      <w:r w:rsidR="009D6772">
        <w:rPr>
          <w:sz w:val="22"/>
          <w:szCs w:val="22"/>
        </w:rPr>
        <w:t> </w:t>
      </w:r>
      <w:r w:rsidRPr="00A5588C">
        <w:rPr>
          <w:sz w:val="22"/>
          <w:szCs w:val="22"/>
        </w:rPr>
        <w:t>m</w:t>
      </w:r>
      <w:r w:rsidRPr="00164838">
        <w:rPr>
          <w:sz w:val="22"/>
          <w:szCs w:val="22"/>
          <w:vertAlign w:val="superscript"/>
        </w:rPr>
        <w:t>2</w:t>
      </w:r>
      <w:r w:rsidRPr="00A5588C">
        <w:rPr>
          <w:sz w:val="22"/>
          <w:szCs w:val="22"/>
        </w:rPr>
        <w:t xml:space="preserve"> per metus (pagal MDRD lygtį).</w:t>
      </w:r>
    </w:p>
    <w:p w14:paraId="5542E49E" w14:textId="77777777" w:rsidR="00C97E21" w:rsidRDefault="00C97E21" w:rsidP="00A5588C">
      <w:pPr>
        <w:pStyle w:val="Default"/>
        <w:rPr>
          <w:sz w:val="22"/>
          <w:szCs w:val="22"/>
        </w:rPr>
      </w:pPr>
    </w:p>
    <w:p w14:paraId="02495AB8" w14:textId="261AE10B" w:rsidR="00A5588C" w:rsidRPr="00A5588C" w:rsidRDefault="00A5588C" w:rsidP="00A5588C">
      <w:pPr>
        <w:pStyle w:val="Default"/>
        <w:rPr>
          <w:sz w:val="22"/>
          <w:szCs w:val="22"/>
        </w:rPr>
      </w:pPr>
      <w:r w:rsidRPr="00C97E21">
        <w:rPr>
          <w:i/>
          <w:sz w:val="22"/>
          <w:szCs w:val="22"/>
        </w:rPr>
        <w:t xml:space="preserve">Pacientai, </w:t>
      </w:r>
      <w:r w:rsidR="00C97E21">
        <w:rPr>
          <w:i/>
          <w:sz w:val="22"/>
          <w:szCs w:val="22"/>
        </w:rPr>
        <w:t>kuriems yra</w:t>
      </w:r>
      <w:r w:rsidRPr="00C97E21">
        <w:rPr>
          <w:i/>
          <w:sz w:val="22"/>
          <w:szCs w:val="22"/>
        </w:rPr>
        <w:t xml:space="preserve"> dekompensuota kepenų liga</w:t>
      </w:r>
      <w:r w:rsidRPr="00A5588C">
        <w:rPr>
          <w:sz w:val="22"/>
          <w:szCs w:val="22"/>
        </w:rPr>
        <w:t xml:space="preserve">. Tenofoviro dizoproksilio saugumo profilis pacientams, </w:t>
      </w:r>
      <w:r w:rsidR="00C97E21">
        <w:rPr>
          <w:sz w:val="22"/>
          <w:szCs w:val="22"/>
        </w:rPr>
        <w:t>kuriems yra</w:t>
      </w:r>
      <w:r w:rsidRPr="00A5588C">
        <w:rPr>
          <w:sz w:val="22"/>
          <w:szCs w:val="22"/>
        </w:rPr>
        <w:t xml:space="preserve"> dekompensuota kepenų liga, buvo vertinamas dvigubai koduot</w:t>
      </w:r>
      <w:r w:rsidR="00C97E21">
        <w:rPr>
          <w:sz w:val="22"/>
          <w:szCs w:val="22"/>
        </w:rPr>
        <w:t>u</w:t>
      </w:r>
      <w:r w:rsidRPr="00A5588C">
        <w:rPr>
          <w:sz w:val="22"/>
          <w:szCs w:val="22"/>
        </w:rPr>
        <w:t xml:space="preserve"> aktyviai kontroliuojam</w:t>
      </w:r>
      <w:r w:rsidR="00C97E21">
        <w:rPr>
          <w:sz w:val="22"/>
          <w:szCs w:val="22"/>
        </w:rPr>
        <w:t>u</w:t>
      </w:r>
      <w:r w:rsidRPr="00A5588C">
        <w:rPr>
          <w:sz w:val="22"/>
          <w:szCs w:val="22"/>
        </w:rPr>
        <w:t xml:space="preserve"> tyrim</w:t>
      </w:r>
      <w:r w:rsidR="00C97E21">
        <w:rPr>
          <w:sz w:val="22"/>
          <w:szCs w:val="22"/>
        </w:rPr>
        <w:t>u</w:t>
      </w:r>
      <w:r w:rsidRPr="00A5588C">
        <w:rPr>
          <w:sz w:val="22"/>
          <w:szCs w:val="22"/>
        </w:rPr>
        <w:t xml:space="preserve"> (GS-US-174-0108), kuriame suaugę pacientai 48 savaites buvo</w:t>
      </w:r>
      <w:r w:rsidR="00653D08">
        <w:rPr>
          <w:sz w:val="22"/>
          <w:szCs w:val="22"/>
        </w:rPr>
        <w:t xml:space="preserve"> gydomi </w:t>
      </w:r>
      <w:r w:rsidR="00292C7B">
        <w:rPr>
          <w:sz w:val="22"/>
          <w:szCs w:val="22"/>
        </w:rPr>
        <w:t xml:space="preserve">tenofoviru </w:t>
      </w:r>
      <w:r w:rsidR="00653D08">
        <w:rPr>
          <w:sz w:val="22"/>
          <w:szCs w:val="22"/>
        </w:rPr>
        <w:t>dizoproksiliu</w:t>
      </w:r>
      <w:r w:rsidRPr="00A5588C">
        <w:rPr>
          <w:sz w:val="22"/>
          <w:szCs w:val="22"/>
        </w:rPr>
        <w:t xml:space="preserve"> (n = 45) arba emtricitabinu ir </w:t>
      </w:r>
      <w:r w:rsidR="00292C7B">
        <w:rPr>
          <w:sz w:val="22"/>
          <w:szCs w:val="22"/>
        </w:rPr>
        <w:t>tenofoviru dizoproksiliu</w:t>
      </w:r>
      <w:r w:rsidR="00653D08">
        <w:rPr>
          <w:sz w:val="22"/>
          <w:szCs w:val="22"/>
        </w:rPr>
        <w:t xml:space="preserve"> </w:t>
      </w:r>
      <w:r w:rsidRPr="00A5588C">
        <w:rPr>
          <w:sz w:val="22"/>
          <w:szCs w:val="22"/>
        </w:rPr>
        <w:t>(n = 45), arba entekaviru (n = 22).</w:t>
      </w:r>
    </w:p>
    <w:p w14:paraId="5329E5BD" w14:textId="33278D1B" w:rsidR="00A5588C" w:rsidRPr="00A5588C" w:rsidRDefault="00653D08" w:rsidP="00A5588C">
      <w:pPr>
        <w:pStyle w:val="Default"/>
        <w:rPr>
          <w:sz w:val="22"/>
          <w:szCs w:val="22"/>
        </w:rPr>
      </w:pPr>
      <w:r>
        <w:rPr>
          <w:sz w:val="22"/>
          <w:szCs w:val="22"/>
        </w:rPr>
        <w:t xml:space="preserve">Tenofoviro dizoproksilio </w:t>
      </w:r>
      <w:r w:rsidR="00A5588C" w:rsidRPr="00A5588C">
        <w:rPr>
          <w:sz w:val="22"/>
          <w:szCs w:val="22"/>
        </w:rPr>
        <w:t>gydymo grupėje per 48 savaites 7</w:t>
      </w:r>
      <w:r w:rsidR="009D6772">
        <w:rPr>
          <w:sz w:val="22"/>
          <w:szCs w:val="22"/>
        </w:rPr>
        <w:t> </w:t>
      </w:r>
      <w:r w:rsidR="00A5588C" w:rsidRPr="00A5588C">
        <w:rPr>
          <w:sz w:val="22"/>
          <w:szCs w:val="22"/>
        </w:rPr>
        <w:t>% pacientų nutraukė gydymą dėl nepageidaujamų reiškinių; 9</w:t>
      </w:r>
      <w:r w:rsidR="009D6772">
        <w:rPr>
          <w:sz w:val="22"/>
          <w:szCs w:val="22"/>
        </w:rPr>
        <w:t> </w:t>
      </w:r>
      <w:r w:rsidR="00A5588C" w:rsidRPr="00A5588C">
        <w:rPr>
          <w:sz w:val="22"/>
          <w:szCs w:val="22"/>
        </w:rPr>
        <w:t xml:space="preserve">% pacientams patvirtintas kreatinino kiekio </w:t>
      </w:r>
      <w:r w:rsidR="005A37CE">
        <w:rPr>
          <w:sz w:val="22"/>
          <w:szCs w:val="22"/>
        </w:rPr>
        <w:t xml:space="preserve">kraujo </w:t>
      </w:r>
      <w:r w:rsidR="00A5588C" w:rsidRPr="00A5588C">
        <w:rPr>
          <w:sz w:val="22"/>
          <w:szCs w:val="22"/>
        </w:rPr>
        <w:t>serume padidėjimas ≥</w:t>
      </w:r>
      <w:r w:rsidR="009D6772">
        <w:rPr>
          <w:sz w:val="22"/>
          <w:szCs w:val="22"/>
        </w:rPr>
        <w:t> </w:t>
      </w:r>
      <w:r w:rsidR="00A5588C" w:rsidRPr="00A5588C">
        <w:rPr>
          <w:sz w:val="22"/>
          <w:szCs w:val="22"/>
        </w:rPr>
        <w:t>0,5</w:t>
      </w:r>
      <w:r w:rsidR="009D6772">
        <w:rPr>
          <w:sz w:val="22"/>
          <w:szCs w:val="22"/>
        </w:rPr>
        <w:t> </w:t>
      </w:r>
      <w:r w:rsidR="00A5588C" w:rsidRPr="00A5588C">
        <w:rPr>
          <w:sz w:val="22"/>
          <w:szCs w:val="22"/>
        </w:rPr>
        <w:t xml:space="preserve">mg/dl arba patvirtintas fosfatų kiekis </w:t>
      </w:r>
      <w:r w:rsidR="005A37CE">
        <w:rPr>
          <w:sz w:val="22"/>
          <w:szCs w:val="22"/>
        </w:rPr>
        <w:t xml:space="preserve">kraujo </w:t>
      </w:r>
      <w:r w:rsidR="00A5588C" w:rsidRPr="00A5588C">
        <w:rPr>
          <w:sz w:val="22"/>
          <w:szCs w:val="22"/>
        </w:rPr>
        <w:t>serume &lt;</w:t>
      </w:r>
      <w:r w:rsidR="009D6772">
        <w:rPr>
          <w:sz w:val="22"/>
          <w:szCs w:val="22"/>
        </w:rPr>
        <w:t> </w:t>
      </w:r>
      <w:r w:rsidR="00A5588C" w:rsidRPr="00A5588C">
        <w:rPr>
          <w:sz w:val="22"/>
          <w:szCs w:val="22"/>
        </w:rPr>
        <w:t>2</w:t>
      </w:r>
      <w:r w:rsidR="009D6772">
        <w:rPr>
          <w:sz w:val="22"/>
          <w:szCs w:val="22"/>
        </w:rPr>
        <w:t> </w:t>
      </w:r>
      <w:r w:rsidR="00A5588C" w:rsidRPr="00A5588C">
        <w:rPr>
          <w:sz w:val="22"/>
          <w:szCs w:val="22"/>
        </w:rPr>
        <w:t xml:space="preserve">mg/dl; statistiškai reikšmingų skirtumų tarp tenofovirą vartojusių grupių ir entekaviro grupės nebuvo. Po 168 savaičių </w:t>
      </w:r>
      <w:r w:rsidR="00C97E21" w:rsidRPr="00A5588C">
        <w:rPr>
          <w:sz w:val="22"/>
          <w:szCs w:val="22"/>
        </w:rPr>
        <w:t xml:space="preserve">netoleravimas </w:t>
      </w:r>
      <w:r w:rsidR="00C97E21">
        <w:rPr>
          <w:sz w:val="22"/>
          <w:szCs w:val="22"/>
        </w:rPr>
        <w:t>buvo pasireiškęs</w:t>
      </w:r>
      <w:r w:rsidR="00C97E21" w:rsidRPr="00A5588C">
        <w:rPr>
          <w:sz w:val="22"/>
          <w:szCs w:val="22"/>
        </w:rPr>
        <w:t xml:space="preserve"> </w:t>
      </w:r>
      <w:r w:rsidR="00A5588C" w:rsidRPr="00A5588C">
        <w:rPr>
          <w:sz w:val="22"/>
          <w:szCs w:val="22"/>
        </w:rPr>
        <w:t>16</w:t>
      </w:r>
      <w:r w:rsidR="009D6772">
        <w:rPr>
          <w:sz w:val="22"/>
          <w:szCs w:val="22"/>
        </w:rPr>
        <w:t> </w:t>
      </w:r>
      <w:r w:rsidR="00A5588C" w:rsidRPr="00A5588C">
        <w:rPr>
          <w:sz w:val="22"/>
          <w:szCs w:val="22"/>
        </w:rPr>
        <w:t xml:space="preserve">% (7 iš 45) tiriamųjų </w:t>
      </w:r>
      <w:r w:rsidR="009D6772">
        <w:rPr>
          <w:sz w:val="22"/>
          <w:szCs w:val="22"/>
        </w:rPr>
        <w:t>t</w:t>
      </w:r>
      <w:r>
        <w:rPr>
          <w:sz w:val="22"/>
          <w:szCs w:val="22"/>
        </w:rPr>
        <w:t xml:space="preserve">enofoviro dizoproksilio </w:t>
      </w:r>
      <w:r w:rsidR="00A5588C" w:rsidRPr="00A5588C">
        <w:rPr>
          <w:sz w:val="22"/>
          <w:szCs w:val="22"/>
        </w:rPr>
        <w:t>grupėje, 4</w:t>
      </w:r>
      <w:r w:rsidR="009D6772">
        <w:rPr>
          <w:sz w:val="22"/>
          <w:szCs w:val="22"/>
        </w:rPr>
        <w:t> </w:t>
      </w:r>
      <w:r w:rsidR="00A5588C" w:rsidRPr="00A5588C">
        <w:rPr>
          <w:sz w:val="22"/>
          <w:szCs w:val="22"/>
        </w:rPr>
        <w:t xml:space="preserve">% (2 iš 45) emtricitabino ir </w:t>
      </w:r>
      <w:r w:rsidR="007D0137">
        <w:rPr>
          <w:sz w:val="22"/>
          <w:szCs w:val="22"/>
        </w:rPr>
        <w:t>t</w:t>
      </w:r>
      <w:r>
        <w:rPr>
          <w:sz w:val="22"/>
          <w:szCs w:val="22"/>
        </w:rPr>
        <w:t xml:space="preserve">enofoviro dizoproksilio </w:t>
      </w:r>
      <w:r w:rsidR="00A5588C" w:rsidRPr="00A5588C">
        <w:rPr>
          <w:sz w:val="22"/>
          <w:szCs w:val="22"/>
        </w:rPr>
        <w:t>grupėje bei 14</w:t>
      </w:r>
      <w:r w:rsidR="007D0137">
        <w:rPr>
          <w:sz w:val="22"/>
          <w:szCs w:val="22"/>
        </w:rPr>
        <w:t> </w:t>
      </w:r>
      <w:r w:rsidR="00A5588C" w:rsidRPr="00A5588C">
        <w:rPr>
          <w:sz w:val="22"/>
          <w:szCs w:val="22"/>
        </w:rPr>
        <w:t xml:space="preserve">% (3 iš 22) entekaviro grupėje. Trylikai procentų (6 iš 45) tiriamųjų </w:t>
      </w:r>
      <w:r w:rsidR="007D0137">
        <w:rPr>
          <w:sz w:val="22"/>
          <w:szCs w:val="22"/>
        </w:rPr>
        <w:t>t</w:t>
      </w:r>
      <w:r>
        <w:rPr>
          <w:sz w:val="22"/>
          <w:szCs w:val="22"/>
        </w:rPr>
        <w:t xml:space="preserve">enofoviro dizoproksilio </w:t>
      </w:r>
      <w:r w:rsidR="00A5588C" w:rsidRPr="00A5588C">
        <w:rPr>
          <w:sz w:val="22"/>
          <w:szCs w:val="22"/>
        </w:rPr>
        <w:t>grupėje, 13</w:t>
      </w:r>
      <w:r w:rsidR="007D0137">
        <w:rPr>
          <w:sz w:val="22"/>
          <w:szCs w:val="22"/>
        </w:rPr>
        <w:t> </w:t>
      </w:r>
      <w:r w:rsidR="00A5588C" w:rsidRPr="00A5588C">
        <w:rPr>
          <w:sz w:val="22"/>
          <w:szCs w:val="22"/>
        </w:rPr>
        <w:t xml:space="preserve">% (6 iš 45) emtricitabino ir </w:t>
      </w:r>
      <w:r w:rsidR="007D0137">
        <w:rPr>
          <w:sz w:val="22"/>
          <w:szCs w:val="22"/>
        </w:rPr>
        <w:t>t</w:t>
      </w:r>
      <w:r>
        <w:rPr>
          <w:sz w:val="22"/>
          <w:szCs w:val="22"/>
        </w:rPr>
        <w:t xml:space="preserve">enofoviro dizoproksilio </w:t>
      </w:r>
      <w:r w:rsidR="00A5588C" w:rsidRPr="00A5588C">
        <w:rPr>
          <w:sz w:val="22"/>
          <w:szCs w:val="22"/>
        </w:rPr>
        <w:t>grupėje bei 9</w:t>
      </w:r>
      <w:r w:rsidR="007D0137">
        <w:rPr>
          <w:sz w:val="22"/>
          <w:szCs w:val="22"/>
        </w:rPr>
        <w:t> </w:t>
      </w:r>
      <w:r w:rsidR="00A5588C" w:rsidRPr="00A5588C">
        <w:rPr>
          <w:sz w:val="22"/>
          <w:szCs w:val="22"/>
        </w:rPr>
        <w:t xml:space="preserve">% (2 iš 22) entekaviro grupėje patvirtintas kreatinino kiekio </w:t>
      </w:r>
      <w:r w:rsidR="00AF2226">
        <w:rPr>
          <w:sz w:val="22"/>
          <w:szCs w:val="22"/>
        </w:rPr>
        <w:t xml:space="preserve">kraujo </w:t>
      </w:r>
      <w:r w:rsidR="00A5588C" w:rsidRPr="00A5588C">
        <w:rPr>
          <w:sz w:val="22"/>
          <w:szCs w:val="22"/>
        </w:rPr>
        <w:t>serume padidėjimas ≥</w:t>
      </w:r>
      <w:r w:rsidR="007D0137">
        <w:rPr>
          <w:sz w:val="22"/>
          <w:szCs w:val="22"/>
        </w:rPr>
        <w:t> </w:t>
      </w:r>
      <w:r w:rsidR="00A5588C" w:rsidRPr="00A5588C">
        <w:rPr>
          <w:sz w:val="22"/>
          <w:szCs w:val="22"/>
        </w:rPr>
        <w:t>0,5</w:t>
      </w:r>
      <w:r w:rsidR="007D0137">
        <w:rPr>
          <w:sz w:val="22"/>
          <w:szCs w:val="22"/>
        </w:rPr>
        <w:t> </w:t>
      </w:r>
      <w:r w:rsidR="00A5588C" w:rsidRPr="00A5588C">
        <w:rPr>
          <w:sz w:val="22"/>
          <w:szCs w:val="22"/>
        </w:rPr>
        <w:t xml:space="preserve">mg/dl arba patvirtintas fosfatų kiekis </w:t>
      </w:r>
      <w:r w:rsidR="00AF2226">
        <w:rPr>
          <w:sz w:val="22"/>
          <w:szCs w:val="22"/>
        </w:rPr>
        <w:t xml:space="preserve">kraujo </w:t>
      </w:r>
      <w:r w:rsidR="00A5588C" w:rsidRPr="00A5588C">
        <w:rPr>
          <w:sz w:val="22"/>
          <w:szCs w:val="22"/>
        </w:rPr>
        <w:t>serume &lt; 2</w:t>
      </w:r>
      <w:r w:rsidR="007D0137">
        <w:rPr>
          <w:sz w:val="22"/>
          <w:szCs w:val="22"/>
        </w:rPr>
        <w:t> </w:t>
      </w:r>
      <w:r w:rsidR="00A5588C" w:rsidRPr="00A5588C">
        <w:rPr>
          <w:sz w:val="22"/>
          <w:szCs w:val="22"/>
        </w:rPr>
        <w:t>mg/dl.</w:t>
      </w:r>
    </w:p>
    <w:p w14:paraId="095F538A" w14:textId="77777777" w:rsidR="00C97E21" w:rsidRDefault="00C97E21" w:rsidP="00A5588C">
      <w:pPr>
        <w:pStyle w:val="Default"/>
        <w:rPr>
          <w:sz w:val="22"/>
          <w:szCs w:val="22"/>
        </w:rPr>
      </w:pPr>
    </w:p>
    <w:p w14:paraId="29149160" w14:textId="090D324B" w:rsidR="00A5588C" w:rsidRPr="00A5588C" w:rsidRDefault="00A5588C" w:rsidP="00A5588C">
      <w:pPr>
        <w:pStyle w:val="Default"/>
        <w:rPr>
          <w:sz w:val="22"/>
          <w:szCs w:val="22"/>
        </w:rPr>
      </w:pPr>
      <w:r w:rsidRPr="00A5588C">
        <w:rPr>
          <w:sz w:val="22"/>
          <w:szCs w:val="22"/>
        </w:rPr>
        <w:t xml:space="preserve">168 savaitę šioje pacientų, </w:t>
      </w:r>
      <w:r w:rsidR="00C97E21">
        <w:rPr>
          <w:sz w:val="22"/>
          <w:szCs w:val="22"/>
        </w:rPr>
        <w:t>kuriems yra</w:t>
      </w:r>
      <w:r w:rsidRPr="00A5588C">
        <w:rPr>
          <w:sz w:val="22"/>
          <w:szCs w:val="22"/>
        </w:rPr>
        <w:t xml:space="preserve"> dekompensuota kepenų liga, populiacijoje mirtingumo dažnis buvo 13</w:t>
      </w:r>
      <w:r w:rsidR="007D0137">
        <w:rPr>
          <w:sz w:val="22"/>
          <w:szCs w:val="22"/>
        </w:rPr>
        <w:t> </w:t>
      </w:r>
      <w:r w:rsidRPr="00A5588C">
        <w:rPr>
          <w:sz w:val="22"/>
          <w:szCs w:val="22"/>
        </w:rPr>
        <w:t xml:space="preserve">% (6 iš 45) </w:t>
      </w:r>
      <w:r w:rsidR="007D0137">
        <w:rPr>
          <w:sz w:val="22"/>
          <w:szCs w:val="22"/>
        </w:rPr>
        <w:t>t</w:t>
      </w:r>
      <w:r w:rsidR="00653D08">
        <w:rPr>
          <w:sz w:val="22"/>
          <w:szCs w:val="22"/>
        </w:rPr>
        <w:t xml:space="preserve">enofoviro dizoproksilio </w:t>
      </w:r>
      <w:r w:rsidRPr="00A5588C">
        <w:rPr>
          <w:sz w:val="22"/>
          <w:szCs w:val="22"/>
        </w:rPr>
        <w:t>grupėje, 11</w:t>
      </w:r>
      <w:r w:rsidR="007D0137">
        <w:rPr>
          <w:sz w:val="22"/>
          <w:szCs w:val="22"/>
        </w:rPr>
        <w:t> </w:t>
      </w:r>
      <w:r w:rsidRPr="00A5588C">
        <w:rPr>
          <w:sz w:val="22"/>
          <w:szCs w:val="22"/>
        </w:rPr>
        <w:t xml:space="preserve">% (5 iš 45) emtricitabino ir </w:t>
      </w:r>
      <w:r w:rsidR="007D0137">
        <w:rPr>
          <w:sz w:val="22"/>
          <w:szCs w:val="22"/>
        </w:rPr>
        <w:t>t</w:t>
      </w:r>
      <w:r w:rsidR="00653D08">
        <w:rPr>
          <w:sz w:val="22"/>
          <w:szCs w:val="22"/>
        </w:rPr>
        <w:t>enofoviro dizoproksilio</w:t>
      </w:r>
      <w:r w:rsidR="00AF2226">
        <w:rPr>
          <w:sz w:val="22"/>
          <w:szCs w:val="22"/>
        </w:rPr>
        <w:t xml:space="preserve"> </w:t>
      </w:r>
      <w:r w:rsidRPr="00A5588C">
        <w:rPr>
          <w:sz w:val="22"/>
          <w:szCs w:val="22"/>
        </w:rPr>
        <w:t>grupėje bei 14</w:t>
      </w:r>
      <w:r w:rsidR="007D0137">
        <w:rPr>
          <w:sz w:val="22"/>
          <w:szCs w:val="22"/>
        </w:rPr>
        <w:t> </w:t>
      </w:r>
      <w:r w:rsidRPr="00A5588C">
        <w:rPr>
          <w:sz w:val="22"/>
          <w:szCs w:val="22"/>
        </w:rPr>
        <w:t>% (3 iš 22) entekaviro grupėje. Hepatoceliulinės karcinomos dažnis buvo 18</w:t>
      </w:r>
      <w:r w:rsidR="007D0137">
        <w:rPr>
          <w:sz w:val="22"/>
          <w:szCs w:val="22"/>
        </w:rPr>
        <w:t> </w:t>
      </w:r>
      <w:r w:rsidRPr="00A5588C">
        <w:rPr>
          <w:sz w:val="22"/>
          <w:szCs w:val="22"/>
        </w:rPr>
        <w:t xml:space="preserve">% (8 iš 45) </w:t>
      </w:r>
      <w:r w:rsidR="007D0137">
        <w:rPr>
          <w:sz w:val="22"/>
          <w:szCs w:val="22"/>
        </w:rPr>
        <w:t>t</w:t>
      </w:r>
      <w:r w:rsidR="00653D08">
        <w:rPr>
          <w:sz w:val="22"/>
          <w:szCs w:val="22"/>
        </w:rPr>
        <w:t xml:space="preserve">enofoviro dizoproksilio </w:t>
      </w:r>
      <w:r w:rsidRPr="00A5588C">
        <w:rPr>
          <w:sz w:val="22"/>
          <w:szCs w:val="22"/>
        </w:rPr>
        <w:t>grupėje, 7</w:t>
      </w:r>
      <w:r w:rsidR="007D0137">
        <w:rPr>
          <w:sz w:val="22"/>
          <w:szCs w:val="22"/>
        </w:rPr>
        <w:t> </w:t>
      </w:r>
      <w:r w:rsidRPr="00A5588C">
        <w:rPr>
          <w:sz w:val="22"/>
          <w:szCs w:val="22"/>
        </w:rPr>
        <w:t xml:space="preserve">% (3 iš 45) emtricitabino ir </w:t>
      </w:r>
      <w:r w:rsidR="007D0137">
        <w:rPr>
          <w:sz w:val="22"/>
          <w:szCs w:val="22"/>
        </w:rPr>
        <w:t>t</w:t>
      </w:r>
      <w:r w:rsidR="00653D08">
        <w:rPr>
          <w:sz w:val="22"/>
          <w:szCs w:val="22"/>
        </w:rPr>
        <w:t xml:space="preserve">enofoviro dizoproksilio </w:t>
      </w:r>
      <w:r w:rsidRPr="00A5588C">
        <w:rPr>
          <w:sz w:val="22"/>
          <w:szCs w:val="22"/>
        </w:rPr>
        <w:t>grupėje bei 9</w:t>
      </w:r>
      <w:r w:rsidR="007D0137">
        <w:rPr>
          <w:sz w:val="22"/>
          <w:szCs w:val="22"/>
        </w:rPr>
        <w:t> </w:t>
      </w:r>
      <w:r w:rsidRPr="00A5588C">
        <w:rPr>
          <w:sz w:val="22"/>
          <w:szCs w:val="22"/>
        </w:rPr>
        <w:t>% (2 iš 22) entekaviro grupėje.</w:t>
      </w:r>
    </w:p>
    <w:p w14:paraId="1519EB37" w14:textId="77777777" w:rsidR="00C97E21" w:rsidRDefault="00C97E21" w:rsidP="00A5588C">
      <w:pPr>
        <w:pStyle w:val="Default"/>
        <w:rPr>
          <w:sz w:val="22"/>
          <w:szCs w:val="22"/>
        </w:rPr>
      </w:pPr>
    </w:p>
    <w:p w14:paraId="1E616091" w14:textId="77777777" w:rsidR="00A5588C" w:rsidRPr="00A5588C" w:rsidRDefault="00A5588C" w:rsidP="00A5588C">
      <w:pPr>
        <w:pStyle w:val="Default"/>
        <w:rPr>
          <w:sz w:val="22"/>
          <w:szCs w:val="22"/>
        </w:rPr>
      </w:pPr>
      <w:r w:rsidRPr="00A5588C">
        <w:rPr>
          <w:sz w:val="22"/>
          <w:szCs w:val="22"/>
        </w:rPr>
        <w:t xml:space="preserve">Asmenims, kurių pradinis CPT </w:t>
      </w:r>
      <w:r w:rsidR="008F1CEC">
        <w:rPr>
          <w:sz w:val="22"/>
          <w:szCs w:val="22"/>
        </w:rPr>
        <w:t>(</w:t>
      </w:r>
      <w:r w:rsidR="008F1CEC" w:rsidRPr="008F1CEC">
        <w:rPr>
          <w:i/>
          <w:sz w:val="22"/>
          <w:szCs w:val="22"/>
        </w:rPr>
        <w:t>Child-Pugh-Turcotte</w:t>
      </w:r>
      <w:r w:rsidR="008F1CEC">
        <w:rPr>
          <w:sz w:val="22"/>
          <w:szCs w:val="22"/>
        </w:rPr>
        <w:t>)</w:t>
      </w:r>
      <w:r w:rsidR="008F1CEC" w:rsidRPr="008F1CEC">
        <w:rPr>
          <w:sz w:val="22"/>
          <w:szCs w:val="22"/>
        </w:rPr>
        <w:t xml:space="preserve"> </w:t>
      </w:r>
      <w:r w:rsidRPr="00A5588C">
        <w:rPr>
          <w:sz w:val="22"/>
          <w:szCs w:val="22"/>
        </w:rPr>
        <w:t xml:space="preserve">balas yra didelis, buvo didesnė </w:t>
      </w:r>
      <w:r w:rsidR="00C97E21">
        <w:rPr>
          <w:sz w:val="22"/>
          <w:szCs w:val="22"/>
        </w:rPr>
        <w:t>sunkių</w:t>
      </w:r>
      <w:r w:rsidRPr="00A5588C">
        <w:rPr>
          <w:sz w:val="22"/>
          <w:szCs w:val="22"/>
        </w:rPr>
        <w:t xml:space="preserve"> nepageidaujamų reiškinių išsivystymo rizika (žr. 4.4 skyrių).</w:t>
      </w:r>
    </w:p>
    <w:p w14:paraId="18C26E60" w14:textId="77777777" w:rsidR="00C97E21" w:rsidRDefault="00C97E21" w:rsidP="00A5588C">
      <w:pPr>
        <w:pStyle w:val="Default"/>
        <w:rPr>
          <w:sz w:val="22"/>
          <w:szCs w:val="22"/>
        </w:rPr>
      </w:pPr>
    </w:p>
    <w:p w14:paraId="7611083A" w14:textId="42899EB1" w:rsidR="00A5588C" w:rsidRPr="00A5588C" w:rsidRDefault="00A5588C" w:rsidP="00A5588C">
      <w:pPr>
        <w:pStyle w:val="Default"/>
        <w:rPr>
          <w:sz w:val="22"/>
          <w:szCs w:val="22"/>
        </w:rPr>
      </w:pPr>
      <w:r w:rsidRPr="008F1CEC">
        <w:rPr>
          <w:i/>
          <w:sz w:val="22"/>
          <w:szCs w:val="22"/>
        </w:rPr>
        <w:t xml:space="preserve">Pacientai, </w:t>
      </w:r>
      <w:r w:rsidR="008F1CEC">
        <w:rPr>
          <w:i/>
          <w:sz w:val="22"/>
          <w:szCs w:val="22"/>
        </w:rPr>
        <w:t>kuriems yra</w:t>
      </w:r>
      <w:r w:rsidRPr="008F1CEC">
        <w:rPr>
          <w:i/>
          <w:sz w:val="22"/>
          <w:szCs w:val="22"/>
        </w:rPr>
        <w:t xml:space="preserve"> lamivudinui rezistentišk</w:t>
      </w:r>
      <w:r w:rsidR="008F1CEC">
        <w:rPr>
          <w:i/>
          <w:sz w:val="22"/>
          <w:szCs w:val="22"/>
        </w:rPr>
        <w:t>as</w:t>
      </w:r>
      <w:r w:rsidRPr="008F1CEC">
        <w:rPr>
          <w:i/>
          <w:sz w:val="22"/>
          <w:szCs w:val="22"/>
        </w:rPr>
        <w:t xml:space="preserve"> lėtini</w:t>
      </w:r>
      <w:r w:rsidR="008F1CEC">
        <w:rPr>
          <w:i/>
          <w:sz w:val="22"/>
          <w:szCs w:val="22"/>
        </w:rPr>
        <w:t>s</w:t>
      </w:r>
      <w:r w:rsidRPr="008F1CEC">
        <w:rPr>
          <w:i/>
          <w:sz w:val="22"/>
          <w:szCs w:val="22"/>
        </w:rPr>
        <w:t xml:space="preserve"> hepatit</w:t>
      </w:r>
      <w:r w:rsidR="008F1CEC">
        <w:rPr>
          <w:i/>
          <w:sz w:val="22"/>
          <w:szCs w:val="22"/>
        </w:rPr>
        <w:t>as</w:t>
      </w:r>
      <w:r w:rsidRPr="008F1CEC">
        <w:rPr>
          <w:i/>
          <w:sz w:val="22"/>
          <w:szCs w:val="22"/>
        </w:rPr>
        <w:t xml:space="preserve"> B</w:t>
      </w:r>
      <w:r w:rsidRPr="00A5588C">
        <w:rPr>
          <w:sz w:val="22"/>
          <w:szCs w:val="22"/>
        </w:rPr>
        <w:t xml:space="preserve">: atsitiktinių imčių, dvigubai koduoto tyrimo (GS-US-174-0121), kuriame 280 lamivudinui rezistentiškų pacientų 240 savaičių buvo gydomi </w:t>
      </w:r>
      <w:r w:rsidR="00292C7B">
        <w:rPr>
          <w:sz w:val="22"/>
          <w:szCs w:val="22"/>
        </w:rPr>
        <w:t xml:space="preserve">tenofoviru </w:t>
      </w:r>
      <w:r w:rsidR="00653D08">
        <w:rPr>
          <w:sz w:val="22"/>
          <w:szCs w:val="22"/>
        </w:rPr>
        <w:t>dizoproksili</w:t>
      </w:r>
      <w:r w:rsidR="007D0137">
        <w:rPr>
          <w:sz w:val="22"/>
          <w:szCs w:val="22"/>
        </w:rPr>
        <w:t>u</w:t>
      </w:r>
      <w:r w:rsidR="00653D08">
        <w:rPr>
          <w:sz w:val="22"/>
          <w:szCs w:val="22"/>
        </w:rPr>
        <w:t xml:space="preserve"> </w:t>
      </w:r>
      <w:r w:rsidRPr="00A5588C">
        <w:rPr>
          <w:sz w:val="22"/>
          <w:szCs w:val="22"/>
        </w:rPr>
        <w:t>(n = 141) arba emtricitabinu/</w:t>
      </w:r>
      <w:r w:rsidR="00292C7B">
        <w:rPr>
          <w:sz w:val="22"/>
          <w:szCs w:val="22"/>
        </w:rPr>
        <w:t xml:space="preserve">tenofoviru dizoproksiliu </w:t>
      </w:r>
      <w:r w:rsidRPr="00A5588C">
        <w:rPr>
          <w:sz w:val="22"/>
          <w:szCs w:val="22"/>
        </w:rPr>
        <w:t xml:space="preserve">(n = 139), metu naujų </w:t>
      </w:r>
      <w:r w:rsidR="007D0137">
        <w:rPr>
          <w:sz w:val="22"/>
          <w:szCs w:val="22"/>
        </w:rPr>
        <w:t>t</w:t>
      </w:r>
      <w:r w:rsidR="00653D08">
        <w:rPr>
          <w:sz w:val="22"/>
          <w:szCs w:val="22"/>
        </w:rPr>
        <w:t xml:space="preserve">enofoviro dizoproksilio </w:t>
      </w:r>
      <w:r w:rsidRPr="00A5588C">
        <w:rPr>
          <w:sz w:val="22"/>
          <w:szCs w:val="22"/>
        </w:rPr>
        <w:t>sukeliamų nepageidaujamų reakcijų nenustatyta.</w:t>
      </w:r>
    </w:p>
    <w:p w14:paraId="0675917C" w14:textId="77777777" w:rsidR="008F1CEC" w:rsidRDefault="008F1CEC" w:rsidP="00A5588C">
      <w:pPr>
        <w:pStyle w:val="Default"/>
        <w:rPr>
          <w:sz w:val="22"/>
          <w:szCs w:val="22"/>
        </w:rPr>
      </w:pPr>
    </w:p>
    <w:p w14:paraId="675AF1A0" w14:textId="77777777" w:rsidR="0066169B" w:rsidRDefault="00A5588C" w:rsidP="00A5588C">
      <w:pPr>
        <w:pStyle w:val="Default"/>
        <w:rPr>
          <w:sz w:val="22"/>
          <w:szCs w:val="22"/>
        </w:rPr>
      </w:pPr>
      <w:r w:rsidRPr="00A5588C">
        <w:rPr>
          <w:sz w:val="22"/>
          <w:szCs w:val="22"/>
        </w:rPr>
        <w:t>Nepageidaujamos reakcijos, kurių ryšį su gydymu bent jau galima įtarti, išvardytos toliau pagal organų sistem</w:t>
      </w:r>
      <w:r w:rsidR="008F1CEC">
        <w:rPr>
          <w:sz w:val="22"/>
          <w:szCs w:val="22"/>
        </w:rPr>
        <w:t>ų klases</w:t>
      </w:r>
      <w:r w:rsidRPr="00A5588C">
        <w:rPr>
          <w:sz w:val="22"/>
          <w:szCs w:val="22"/>
        </w:rPr>
        <w:t xml:space="preserve"> ir dažnumą. Kiekvienoje dažnio grupėje nepageidaujamas poveikis pateikiamas mažėjančio sunkumo tvarka. </w:t>
      </w:r>
      <w:r w:rsidR="008F1CEC" w:rsidRPr="008F1CEC">
        <w:rPr>
          <w:sz w:val="22"/>
          <w:szCs w:val="22"/>
        </w:rPr>
        <w:t>Nepageidaujamo poveikio dažnis apibūdinamas taip: labai dažnas (≥</w:t>
      </w:r>
      <w:r w:rsidR="007D0137">
        <w:rPr>
          <w:sz w:val="22"/>
          <w:szCs w:val="22"/>
        </w:rPr>
        <w:t> </w:t>
      </w:r>
      <w:r w:rsidR="008F1CEC" w:rsidRPr="008F1CEC">
        <w:rPr>
          <w:sz w:val="22"/>
          <w:szCs w:val="22"/>
        </w:rPr>
        <w:t>1/10), dažnas (nuo ≥</w:t>
      </w:r>
      <w:r w:rsidR="007D0137">
        <w:rPr>
          <w:sz w:val="22"/>
          <w:szCs w:val="22"/>
        </w:rPr>
        <w:t> </w:t>
      </w:r>
      <w:r w:rsidR="008F1CEC" w:rsidRPr="008F1CEC">
        <w:rPr>
          <w:sz w:val="22"/>
          <w:szCs w:val="22"/>
        </w:rPr>
        <w:t>1/100 iki &lt;</w:t>
      </w:r>
      <w:r w:rsidR="007D0137">
        <w:rPr>
          <w:sz w:val="22"/>
          <w:szCs w:val="22"/>
        </w:rPr>
        <w:t> </w:t>
      </w:r>
      <w:r w:rsidR="008F1CEC" w:rsidRPr="008F1CEC">
        <w:rPr>
          <w:sz w:val="22"/>
          <w:szCs w:val="22"/>
        </w:rPr>
        <w:t>1/10), nedažnas (nuo ≥</w:t>
      </w:r>
      <w:r w:rsidR="007D0137">
        <w:rPr>
          <w:sz w:val="22"/>
          <w:szCs w:val="22"/>
        </w:rPr>
        <w:t> </w:t>
      </w:r>
      <w:r w:rsidR="008F1CEC" w:rsidRPr="008F1CEC">
        <w:rPr>
          <w:sz w:val="22"/>
          <w:szCs w:val="22"/>
        </w:rPr>
        <w:t>1/1000 iki &lt;</w:t>
      </w:r>
      <w:r w:rsidR="007D0137">
        <w:rPr>
          <w:sz w:val="22"/>
          <w:szCs w:val="22"/>
        </w:rPr>
        <w:t> </w:t>
      </w:r>
      <w:r w:rsidR="008F1CEC" w:rsidRPr="008F1CEC">
        <w:rPr>
          <w:sz w:val="22"/>
          <w:szCs w:val="22"/>
        </w:rPr>
        <w:t>1/100), retas (nuo ≥</w:t>
      </w:r>
      <w:r w:rsidR="007D0137">
        <w:rPr>
          <w:sz w:val="22"/>
          <w:szCs w:val="22"/>
        </w:rPr>
        <w:t> </w:t>
      </w:r>
      <w:r w:rsidR="008F1CEC" w:rsidRPr="008F1CEC">
        <w:rPr>
          <w:sz w:val="22"/>
          <w:szCs w:val="22"/>
        </w:rPr>
        <w:t>1/10</w:t>
      </w:r>
      <w:r w:rsidR="00AF2226">
        <w:rPr>
          <w:sz w:val="22"/>
          <w:szCs w:val="22"/>
        </w:rPr>
        <w:t xml:space="preserve"> </w:t>
      </w:r>
      <w:r w:rsidR="008F1CEC" w:rsidRPr="008F1CEC">
        <w:rPr>
          <w:sz w:val="22"/>
          <w:szCs w:val="22"/>
        </w:rPr>
        <w:t>000 iki &lt;</w:t>
      </w:r>
      <w:r w:rsidR="007D0137">
        <w:rPr>
          <w:sz w:val="22"/>
          <w:szCs w:val="22"/>
        </w:rPr>
        <w:t> </w:t>
      </w:r>
      <w:r w:rsidR="008F1CEC" w:rsidRPr="008F1CEC">
        <w:rPr>
          <w:sz w:val="22"/>
          <w:szCs w:val="22"/>
        </w:rPr>
        <w:t>1/1000), labai retas (&lt;</w:t>
      </w:r>
      <w:r w:rsidR="007D0137">
        <w:rPr>
          <w:sz w:val="22"/>
          <w:szCs w:val="22"/>
        </w:rPr>
        <w:t> </w:t>
      </w:r>
      <w:r w:rsidR="008F1CEC" w:rsidRPr="008F1CEC">
        <w:rPr>
          <w:sz w:val="22"/>
          <w:szCs w:val="22"/>
        </w:rPr>
        <w:t>1/10</w:t>
      </w:r>
      <w:r w:rsidR="00AF2226">
        <w:rPr>
          <w:sz w:val="22"/>
          <w:szCs w:val="22"/>
        </w:rPr>
        <w:t xml:space="preserve"> </w:t>
      </w:r>
      <w:r w:rsidR="008F1CEC" w:rsidRPr="008F1CEC">
        <w:rPr>
          <w:sz w:val="22"/>
          <w:szCs w:val="22"/>
        </w:rPr>
        <w:t>000) ir nežinomas (negali būti apskaičiuotas pagal turimus duomenis)</w:t>
      </w:r>
      <w:r w:rsidR="008F1CEC">
        <w:rPr>
          <w:sz w:val="22"/>
          <w:szCs w:val="22"/>
        </w:rPr>
        <w:t>.</w:t>
      </w:r>
    </w:p>
    <w:p w14:paraId="26F46E14" w14:textId="77777777" w:rsidR="0066169B" w:rsidRDefault="0066169B" w:rsidP="00782776">
      <w:pPr>
        <w:pStyle w:val="Default"/>
        <w:rPr>
          <w:sz w:val="22"/>
          <w:szCs w:val="22"/>
        </w:rPr>
      </w:pPr>
    </w:p>
    <w:p w14:paraId="0A2FBEC6" w14:textId="77777777" w:rsidR="0066169B" w:rsidRDefault="008F1CEC" w:rsidP="008F1CEC">
      <w:pPr>
        <w:pStyle w:val="Default"/>
        <w:rPr>
          <w:sz w:val="22"/>
          <w:szCs w:val="22"/>
        </w:rPr>
      </w:pPr>
      <w:r>
        <w:rPr>
          <w:b/>
          <w:bCs/>
          <w:color w:val="auto"/>
          <w:sz w:val="22"/>
          <w:szCs w:val="22"/>
        </w:rPr>
        <w:t xml:space="preserve">2 lentelė. Su </w:t>
      </w:r>
      <w:r w:rsidR="007D0137">
        <w:rPr>
          <w:b/>
          <w:bCs/>
          <w:color w:val="auto"/>
          <w:sz w:val="22"/>
          <w:szCs w:val="22"/>
        </w:rPr>
        <w:t>t</w:t>
      </w:r>
      <w:r w:rsidR="00653D08">
        <w:rPr>
          <w:b/>
          <w:bCs/>
          <w:color w:val="auto"/>
          <w:sz w:val="22"/>
          <w:szCs w:val="22"/>
        </w:rPr>
        <w:t xml:space="preserve">enofoviro dizoproksilio </w:t>
      </w:r>
      <w:r>
        <w:rPr>
          <w:b/>
          <w:bCs/>
          <w:color w:val="auto"/>
          <w:sz w:val="22"/>
          <w:szCs w:val="22"/>
        </w:rPr>
        <w:t>vartojimu susijusių nepageidaujamų reakcijų santrauka, remiantis klinikinių tyrimų metu ir po vaist</w:t>
      </w:r>
      <w:r w:rsidR="00EC4958">
        <w:rPr>
          <w:b/>
          <w:bCs/>
          <w:color w:val="auto"/>
          <w:sz w:val="22"/>
          <w:szCs w:val="22"/>
        </w:rPr>
        <w:t>inio preparato</w:t>
      </w:r>
      <w:r>
        <w:rPr>
          <w:b/>
          <w:bCs/>
          <w:color w:val="auto"/>
          <w:sz w:val="22"/>
          <w:szCs w:val="22"/>
        </w:rPr>
        <w:t xml:space="preserve"> pateikimo į rinką gautais duomenimis</w:t>
      </w:r>
    </w:p>
    <w:p w14:paraId="64B66CAC" w14:textId="77777777" w:rsidR="0066169B" w:rsidRDefault="0066169B" w:rsidP="0078277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87"/>
      </w:tblGrid>
      <w:tr w:rsidR="0026751C" w:rsidRPr="00EB3906" w14:paraId="0198DA4E" w14:textId="77777777" w:rsidTr="00EB3906">
        <w:tc>
          <w:tcPr>
            <w:tcW w:w="1384" w:type="dxa"/>
            <w:shd w:val="clear" w:color="auto" w:fill="auto"/>
          </w:tcPr>
          <w:p w14:paraId="4573EBE9" w14:textId="77777777" w:rsidR="0026751C" w:rsidRPr="00EB3906" w:rsidRDefault="0026751C" w:rsidP="00782776">
            <w:pPr>
              <w:pStyle w:val="Default"/>
              <w:rPr>
                <w:b/>
                <w:sz w:val="22"/>
                <w:szCs w:val="22"/>
              </w:rPr>
            </w:pPr>
            <w:r w:rsidRPr="00EB3906">
              <w:rPr>
                <w:b/>
                <w:sz w:val="22"/>
                <w:szCs w:val="22"/>
              </w:rPr>
              <w:t>Dažnis</w:t>
            </w:r>
          </w:p>
        </w:tc>
        <w:tc>
          <w:tcPr>
            <w:tcW w:w="7902" w:type="dxa"/>
            <w:shd w:val="clear" w:color="auto" w:fill="auto"/>
          </w:tcPr>
          <w:p w14:paraId="0B2E12EE" w14:textId="3499B163" w:rsidR="0026751C" w:rsidRPr="00EB3906" w:rsidRDefault="00292C7B" w:rsidP="00292C7B">
            <w:pPr>
              <w:pStyle w:val="Default"/>
              <w:rPr>
                <w:b/>
                <w:sz w:val="22"/>
                <w:szCs w:val="22"/>
              </w:rPr>
            </w:pPr>
            <w:r>
              <w:rPr>
                <w:b/>
                <w:sz w:val="22"/>
                <w:szCs w:val="22"/>
              </w:rPr>
              <w:t xml:space="preserve">Tenofoviras </w:t>
            </w:r>
            <w:r w:rsidR="00653D08">
              <w:rPr>
                <w:b/>
                <w:sz w:val="22"/>
                <w:szCs w:val="22"/>
              </w:rPr>
              <w:t>dizoproksilis</w:t>
            </w:r>
            <w:r w:rsidR="0026751C" w:rsidRPr="00EB3906">
              <w:rPr>
                <w:b/>
                <w:sz w:val="22"/>
                <w:szCs w:val="22"/>
              </w:rPr>
              <w:t xml:space="preserve"> </w:t>
            </w:r>
          </w:p>
        </w:tc>
      </w:tr>
      <w:tr w:rsidR="0026751C" w:rsidRPr="00EB3906" w14:paraId="501F9036" w14:textId="77777777" w:rsidTr="00EB3906">
        <w:tc>
          <w:tcPr>
            <w:tcW w:w="9286" w:type="dxa"/>
            <w:gridSpan w:val="2"/>
            <w:shd w:val="clear" w:color="auto" w:fill="D9D9D9"/>
          </w:tcPr>
          <w:p w14:paraId="5FFB8B65" w14:textId="77777777" w:rsidR="0026751C" w:rsidRPr="00EB3906" w:rsidRDefault="0026751C" w:rsidP="00782776">
            <w:pPr>
              <w:pStyle w:val="Default"/>
              <w:rPr>
                <w:i/>
                <w:sz w:val="22"/>
                <w:szCs w:val="22"/>
              </w:rPr>
            </w:pPr>
            <w:r w:rsidRPr="00EB3906">
              <w:rPr>
                <w:i/>
                <w:sz w:val="22"/>
                <w:szCs w:val="22"/>
              </w:rPr>
              <w:t>Metabolizmo ir mitybos sutrikimai</w:t>
            </w:r>
          </w:p>
        </w:tc>
      </w:tr>
      <w:tr w:rsidR="0026751C" w:rsidRPr="00EB3906" w14:paraId="26C0A67E" w14:textId="77777777" w:rsidTr="00EB3906">
        <w:tc>
          <w:tcPr>
            <w:tcW w:w="1384" w:type="dxa"/>
            <w:shd w:val="clear" w:color="auto" w:fill="auto"/>
          </w:tcPr>
          <w:p w14:paraId="65EC49D9" w14:textId="77777777" w:rsidR="0026751C" w:rsidRPr="00EB3906" w:rsidRDefault="0026751C" w:rsidP="00782776">
            <w:pPr>
              <w:pStyle w:val="Default"/>
              <w:rPr>
                <w:sz w:val="22"/>
                <w:szCs w:val="22"/>
              </w:rPr>
            </w:pPr>
            <w:r w:rsidRPr="00EB3906">
              <w:rPr>
                <w:sz w:val="22"/>
                <w:szCs w:val="22"/>
              </w:rPr>
              <w:lastRenderedPageBreak/>
              <w:t>Labai dažnas</w:t>
            </w:r>
          </w:p>
        </w:tc>
        <w:tc>
          <w:tcPr>
            <w:tcW w:w="7902" w:type="dxa"/>
            <w:shd w:val="clear" w:color="auto" w:fill="auto"/>
          </w:tcPr>
          <w:p w14:paraId="34D9E8B1" w14:textId="77777777" w:rsidR="0026751C" w:rsidRPr="00EB3906" w:rsidRDefault="0026751C" w:rsidP="00782776">
            <w:pPr>
              <w:pStyle w:val="Default"/>
              <w:rPr>
                <w:sz w:val="22"/>
                <w:szCs w:val="22"/>
              </w:rPr>
            </w:pPr>
            <w:r w:rsidRPr="00EB3906">
              <w:rPr>
                <w:sz w:val="22"/>
                <w:szCs w:val="22"/>
              </w:rPr>
              <w:t>Hipofosfatemija</w:t>
            </w:r>
            <w:r w:rsidRPr="00EB3906">
              <w:rPr>
                <w:sz w:val="22"/>
                <w:szCs w:val="22"/>
                <w:vertAlign w:val="superscript"/>
              </w:rPr>
              <w:t>1</w:t>
            </w:r>
          </w:p>
        </w:tc>
      </w:tr>
      <w:tr w:rsidR="0026751C" w:rsidRPr="00EB3906" w14:paraId="1869BFD8" w14:textId="77777777" w:rsidTr="00EB3906">
        <w:tc>
          <w:tcPr>
            <w:tcW w:w="1384" w:type="dxa"/>
            <w:shd w:val="clear" w:color="auto" w:fill="auto"/>
          </w:tcPr>
          <w:p w14:paraId="47C00198" w14:textId="77777777" w:rsidR="0026751C" w:rsidRPr="00EB3906" w:rsidRDefault="0026751C" w:rsidP="00782776">
            <w:pPr>
              <w:pStyle w:val="Default"/>
              <w:rPr>
                <w:sz w:val="22"/>
                <w:szCs w:val="22"/>
              </w:rPr>
            </w:pPr>
            <w:r w:rsidRPr="00EB3906">
              <w:rPr>
                <w:sz w:val="22"/>
                <w:szCs w:val="22"/>
              </w:rPr>
              <w:t>Nedažnas</w:t>
            </w:r>
          </w:p>
        </w:tc>
        <w:tc>
          <w:tcPr>
            <w:tcW w:w="7902" w:type="dxa"/>
            <w:shd w:val="clear" w:color="auto" w:fill="auto"/>
          </w:tcPr>
          <w:p w14:paraId="2C0A0B8C" w14:textId="77777777" w:rsidR="0026751C" w:rsidRPr="00EB3906" w:rsidRDefault="0026751C" w:rsidP="00782776">
            <w:pPr>
              <w:pStyle w:val="Default"/>
              <w:rPr>
                <w:sz w:val="22"/>
                <w:szCs w:val="22"/>
              </w:rPr>
            </w:pPr>
            <w:r w:rsidRPr="00EB3906">
              <w:rPr>
                <w:sz w:val="22"/>
                <w:szCs w:val="22"/>
              </w:rPr>
              <w:t>Hipokalemija</w:t>
            </w:r>
            <w:r w:rsidRPr="00EB3906">
              <w:rPr>
                <w:sz w:val="22"/>
                <w:szCs w:val="22"/>
                <w:vertAlign w:val="superscript"/>
              </w:rPr>
              <w:t>1</w:t>
            </w:r>
          </w:p>
        </w:tc>
      </w:tr>
      <w:tr w:rsidR="0026751C" w:rsidRPr="00EB3906" w14:paraId="742C305C" w14:textId="77777777" w:rsidTr="00EB3906">
        <w:tc>
          <w:tcPr>
            <w:tcW w:w="1384" w:type="dxa"/>
            <w:shd w:val="clear" w:color="auto" w:fill="auto"/>
          </w:tcPr>
          <w:p w14:paraId="2BF18DF9" w14:textId="77777777" w:rsidR="0026751C" w:rsidRPr="00EB3906" w:rsidRDefault="0026751C" w:rsidP="00782776">
            <w:pPr>
              <w:pStyle w:val="Default"/>
              <w:rPr>
                <w:sz w:val="22"/>
                <w:szCs w:val="22"/>
              </w:rPr>
            </w:pPr>
            <w:r w:rsidRPr="00EB3906">
              <w:rPr>
                <w:sz w:val="22"/>
                <w:szCs w:val="22"/>
              </w:rPr>
              <w:t>Retas</w:t>
            </w:r>
          </w:p>
        </w:tc>
        <w:tc>
          <w:tcPr>
            <w:tcW w:w="7902" w:type="dxa"/>
            <w:shd w:val="clear" w:color="auto" w:fill="auto"/>
          </w:tcPr>
          <w:p w14:paraId="6CE04E63" w14:textId="77777777" w:rsidR="0026751C" w:rsidRPr="00EB3906" w:rsidRDefault="0026751C" w:rsidP="00782776">
            <w:pPr>
              <w:pStyle w:val="Default"/>
              <w:rPr>
                <w:sz w:val="22"/>
                <w:szCs w:val="22"/>
              </w:rPr>
            </w:pPr>
            <w:r w:rsidRPr="00EB3906">
              <w:rPr>
                <w:sz w:val="22"/>
                <w:szCs w:val="22"/>
              </w:rPr>
              <w:t>Pieno rūgšties acidozė</w:t>
            </w:r>
          </w:p>
        </w:tc>
      </w:tr>
      <w:tr w:rsidR="0026751C" w:rsidRPr="00EB3906" w14:paraId="139E0376" w14:textId="77777777" w:rsidTr="00EB3906">
        <w:tc>
          <w:tcPr>
            <w:tcW w:w="9286" w:type="dxa"/>
            <w:gridSpan w:val="2"/>
            <w:shd w:val="clear" w:color="auto" w:fill="D9D9D9"/>
          </w:tcPr>
          <w:p w14:paraId="5E483820" w14:textId="77777777" w:rsidR="0026751C" w:rsidRPr="00EB3906" w:rsidRDefault="0026751C" w:rsidP="009E26A5">
            <w:pPr>
              <w:pStyle w:val="Default"/>
              <w:rPr>
                <w:i/>
                <w:sz w:val="22"/>
                <w:szCs w:val="22"/>
              </w:rPr>
            </w:pPr>
            <w:r w:rsidRPr="00EB3906">
              <w:rPr>
                <w:i/>
                <w:sz w:val="22"/>
                <w:szCs w:val="22"/>
              </w:rPr>
              <w:t>Nervų sistemos sutrikimai</w:t>
            </w:r>
          </w:p>
        </w:tc>
      </w:tr>
      <w:tr w:rsidR="0026751C" w:rsidRPr="00EB3906" w14:paraId="2B363726" w14:textId="77777777" w:rsidTr="00EB3906">
        <w:tc>
          <w:tcPr>
            <w:tcW w:w="1384" w:type="dxa"/>
            <w:shd w:val="clear" w:color="auto" w:fill="auto"/>
          </w:tcPr>
          <w:p w14:paraId="2FF7858F" w14:textId="77777777" w:rsidR="0026751C" w:rsidRPr="00EB3906" w:rsidRDefault="0026751C" w:rsidP="009E26A5">
            <w:pPr>
              <w:pStyle w:val="Default"/>
              <w:rPr>
                <w:sz w:val="22"/>
                <w:szCs w:val="22"/>
              </w:rPr>
            </w:pPr>
            <w:r w:rsidRPr="00EB3906">
              <w:rPr>
                <w:sz w:val="22"/>
                <w:szCs w:val="22"/>
              </w:rPr>
              <w:t>Labai dažnas</w:t>
            </w:r>
          </w:p>
        </w:tc>
        <w:tc>
          <w:tcPr>
            <w:tcW w:w="7902" w:type="dxa"/>
            <w:shd w:val="clear" w:color="auto" w:fill="auto"/>
          </w:tcPr>
          <w:p w14:paraId="45CB818F" w14:textId="77777777" w:rsidR="0026751C" w:rsidRPr="00EB3906" w:rsidRDefault="0026751C" w:rsidP="009E26A5">
            <w:pPr>
              <w:pStyle w:val="Default"/>
              <w:rPr>
                <w:sz w:val="22"/>
                <w:szCs w:val="22"/>
              </w:rPr>
            </w:pPr>
            <w:r w:rsidRPr="00EB3906">
              <w:rPr>
                <w:sz w:val="22"/>
                <w:szCs w:val="22"/>
              </w:rPr>
              <w:t>Svaigulys</w:t>
            </w:r>
          </w:p>
        </w:tc>
      </w:tr>
      <w:tr w:rsidR="0026751C" w:rsidRPr="00EB3906" w14:paraId="6D808539" w14:textId="77777777" w:rsidTr="00EB3906">
        <w:tc>
          <w:tcPr>
            <w:tcW w:w="1384" w:type="dxa"/>
            <w:shd w:val="clear" w:color="auto" w:fill="auto"/>
          </w:tcPr>
          <w:p w14:paraId="59EE6B5E" w14:textId="77777777" w:rsidR="0026751C" w:rsidRPr="00EB3906" w:rsidRDefault="0026751C" w:rsidP="009E26A5">
            <w:pPr>
              <w:pStyle w:val="Default"/>
              <w:rPr>
                <w:sz w:val="22"/>
                <w:szCs w:val="22"/>
              </w:rPr>
            </w:pPr>
            <w:r w:rsidRPr="00EB3906">
              <w:rPr>
                <w:sz w:val="22"/>
                <w:szCs w:val="22"/>
              </w:rPr>
              <w:t>Dažnas</w:t>
            </w:r>
          </w:p>
        </w:tc>
        <w:tc>
          <w:tcPr>
            <w:tcW w:w="7902" w:type="dxa"/>
            <w:shd w:val="clear" w:color="auto" w:fill="auto"/>
          </w:tcPr>
          <w:p w14:paraId="2A99E8B1" w14:textId="77777777" w:rsidR="0026751C" w:rsidRPr="00EB3906" w:rsidRDefault="0026751C" w:rsidP="009E26A5">
            <w:pPr>
              <w:pStyle w:val="Default"/>
              <w:rPr>
                <w:sz w:val="22"/>
                <w:szCs w:val="22"/>
              </w:rPr>
            </w:pPr>
            <w:r w:rsidRPr="00EB3906">
              <w:rPr>
                <w:sz w:val="22"/>
                <w:szCs w:val="22"/>
              </w:rPr>
              <w:t>Galvos skausmas</w:t>
            </w:r>
          </w:p>
        </w:tc>
      </w:tr>
      <w:tr w:rsidR="0026751C" w:rsidRPr="00EB3906" w14:paraId="36AA6417" w14:textId="77777777" w:rsidTr="00EB3906">
        <w:tc>
          <w:tcPr>
            <w:tcW w:w="9286" w:type="dxa"/>
            <w:gridSpan w:val="2"/>
            <w:shd w:val="clear" w:color="auto" w:fill="D9D9D9"/>
          </w:tcPr>
          <w:p w14:paraId="7683BB03" w14:textId="77777777" w:rsidR="0026751C" w:rsidRPr="00EB3906" w:rsidRDefault="0026751C" w:rsidP="009E26A5">
            <w:pPr>
              <w:pStyle w:val="Default"/>
              <w:rPr>
                <w:i/>
                <w:sz w:val="22"/>
                <w:szCs w:val="22"/>
              </w:rPr>
            </w:pPr>
            <w:r w:rsidRPr="00EB3906">
              <w:rPr>
                <w:i/>
                <w:sz w:val="22"/>
                <w:szCs w:val="22"/>
              </w:rPr>
              <w:t>Virškinimo trakto sutrikimai</w:t>
            </w:r>
          </w:p>
        </w:tc>
      </w:tr>
      <w:tr w:rsidR="0026751C" w:rsidRPr="00EB3906" w14:paraId="498AADD2" w14:textId="77777777" w:rsidTr="00EB3906">
        <w:tc>
          <w:tcPr>
            <w:tcW w:w="1384" w:type="dxa"/>
            <w:shd w:val="clear" w:color="auto" w:fill="auto"/>
          </w:tcPr>
          <w:p w14:paraId="41CEA5E4" w14:textId="77777777" w:rsidR="0026751C" w:rsidRPr="00EB3906" w:rsidRDefault="0026751C" w:rsidP="009E26A5">
            <w:pPr>
              <w:pStyle w:val="Default"/>
              <w:rPr>
                <w:sz w:val="22"/>
                <w:szCs w:val="22"/>
              </w:rPr>
            </w:pPr>
            <w:r w:rsidRPr="00EB3906">
              <w:rPr>
                <w:sz w:val="22"/>
                <w:szCs w:val="22"/>
              </w:rPr>
              <w:t>Labai dažnas</w:t>
            </w:r>
          </w:p>
        </w:tc>
        <w:tc>
          <w:tcPr>
            <w:tcW w:w="7902" w:type="dxa"/>
            <w:shd w:val="clear" w:color="auto" w:fill="auto"/>
          </w:tcPr>
          <w:p w14:paraId="2FBEE602" w14:textId="77777777" w:rsidR="0026751C" w:rsidRPr="00EB3906" w:rsidRDefault="0026751C" w:rsidP="009E26A5">
            <w:pPr>
              <w:pStyle w:val="Default"/>
              <w:rPr>
                <w:sz w:val="22"/>
                <w:szCs w:val="22"/>
              </w:rPr>
            </w:pPr>
            <w:r w:rsidRPr="00EB3906">
              <w:rPr>
                <w:sz w:val="22"/>
                <w:szCs w:val="22"/>
              </w:rPr>
              <w:t>Viduriavimas, vėmimas, pykinimas</w:t>
            </w:r>
          </w:p>
        </w:tc>
      </w:tr>
      <w:tr w:rsidR="0026751C" w:rsidRPr="00EB3906" w14:paraId="19A2D830" w14:textId="77777777" w:rsidTr="00EB3906">
        <w:tc>
          <w:tcPr>
            <w:tcW w:w="1384" w:type="dxa"/>
            <w:shd w:val="clear" w:color="auto" w:fill="auto"/>
          </w:tcPr>
          <w:p w14:paraId="683B3BFC" w14:textId="77777777" w:rsidR="0026751C" w:rsidRPr="00EB3906" w:rsidRDefault="0026751C" w:rsidP="009E26A5">
            <w:pPr>
              <w:pStyle w:val="Default"/>
              <w:rPr>
                <w:sz w:val="22"/>
                <w:szCs w:val="22"/>
              </w:rPr>
            </w:pPr>
            <w:r w:rsidRPr="00EB3906">
              <w:rPr>
                <w:sz w:val="22"/>
                <w:szCs w:val="22"/>
              </w:rPr>
              <w:t>Dažnas</w:t>
            </w:r>
          </w:p>
        </w:tc>
        <w:tc>
          <w:tcPr>
            <w:tcW w:w="7902" w:type="dxa"/>
            <w:shd w:val="clear" w:color="auto" w:fill="auto"/>
          </w:tcPr>
          <w:p w14:paraId="43792590" w14:textId="77777777" w:rsidR="0026751C" w:rsidRPr="00EB3906" w:rsidRDefault="0026751C" w:rsidP="009E26A5">
            <w:pPr>
              <w:pStyle w:val="Default"/>
              <w:rPr>
                <w:sz w:val="22"/>
                <w:szCs w:val="22"/>
              </w:rPr>
            </w:pPr>
            <w:r w:rsidRPr="00EB3906">
              <w:rPr>
                <w:sz w:val="22"/>
                <w:szCs w:val="22"/>
              </w:rPr>
              <w:t xml:space="preserve">Pilvo skausmas, </w:t>
            </w:r>
            <w:r w:rsidR="00AF2226">
              <w:rPr>
                <w:sz w:val="22"/>
                <w:szCs w:val="22"/>
              </w:rPr>
              <w:t>flatulencija (</w:t>
            </w:r>
            <w:r w:rsidRPr="00EB3906">
              <w:rPr>
                <w:sz w:val="22"/>
                <w:szCs w:val="22"/>
              </w:rPr>
              <w:t>dujų susikaupimas</w:t>
            </w:r>
            <w:r w:rsidR="00AF2226">
              <w:rPr>
                <w:sz w:val="22"/>
                <w:szCs w:val="22"/>
              </w:rPr>
              <w:t xml:space="preserve"> virškinimo trakte)</w:t>
            </w:r>
            <w:r w:rsidRPr="00EB3906">
              <w:rPr>
                <w:sz w:val="22"/>
                <w:szCs w:val="22"/>
              </w:rPr>
              <w:t>, pilvo pūtimas</w:t>
            </w:r>
          </w:p>
        </w:tc>
      </w:tr>
      <w:tr w:rsidR="0026751C" w:rsidRPr="00EB3906" w14:paraId="231DEC82" w14:textId="77777777" w:rsidTr="00EB3906">
        <w:tc>
          <w:tcPr>
            <w:tcW w:w="1384" w:type="dxa"/>
            <w:shd w:val="clear" w:color="auto" w:fill="auto"/>
          </w:tcPr>
          <w:p w14:paraId="174C58DF" w14:textId="77777777" w:rsidR="0026751C" w:rsidRPr="00EB3906" w:rsidRDefault="0026751C" w:rsidP="009E26A5">
            <w:pPr>
              <w:pStyle w:val="Default"/>
              <w:rPr>
                <w:sz w:val="22"/>
                <w:szCs w:val="22"/>
              </w:rPr>
            </w:pPr>
            <w:r w:rsidRPr="00EB3906">
              <w:rPr>
                <w:sz w:val="22"/>
                <w:szCs w:val="22"/>
              </w:rPr>
              <w:t>Nedažnas</w:t>
            </w:r>
          </w:p>
        </w:tc>
        <w:tc>
          <w:tcPr>
            <w:tcW w:w="7902" w:type="dxa"/>
            <w:shd w:val="clear" w:color="auto" w:fill="auto"/>
          </w:tcPr>
          <w:p w14:paraId="66FA15A9" w14:textId="4C826788" w:rsidR="0026751C" w:rsidRPr="00EB3906" w:rsidRDefault="00EB09BC" w:rsidP="00AF2226">
            <w:pPr>
              <w:pStyle w:val="Default"/>
              <w:rPr>
                <w:sz w:val="22"/>
                <w:szCs w:val="22"/>
              </w:rPr>
            </w:pPr>
            <w:r>
              <w:rPr>
                <w:sz w:val="22"/>
                <w:szCs w:val="22"/>
              </w:rPr>
              <w:t>Pankreatitas</w:t>
            </w:r>
          </w:p>
        </w:tc>
      </w:tr>
      <w:tr w:rsidR="0026751C" w:rsidRPr="00EB3906" w14:paraId="7B60E1CF" w14:textId="77777777" w:rsidTr="00EB3906">
        <w:tc>
          <w:tcPr>
            <w:tcW w:w="9286" w:type="dxa"/>
            <w:gridSpan w:val="2"/>
            <w:shd w:val="clear" w:color="auto" w:fill="D9D9D9"/>
          </w:tcPr>
          <w:p w14:paraId="4E06F138" w14:textId="77777777" w:rsidR="0026751C" w:rsidRPr="00EB3906" w:rsidRDefault="0026751C" w:rsidP="009E26A5">
            <w:pPr>
              <w:pStyle w:val="Default"/>
              <w:rPr>
                <w:i/>
                <w:sz w:val="22"/>
                <w:szCs w:val="22"/>
              </w:rPr>
            </w:pPr>
            <w:r w:rsidRPr="00EB3906">
              <w:rPr>
                <w:i/>
                <w:sz w:val="22"/>
                <w:szCs w:val="22"/>
              </w:rPr>
              <w:t>Kepenų, tulžies pūslės ir latakų sutrikimai</w:t>
            </w:r>
          </w:p>
        </w:tc>
      </w:tr>
      <w:tr w:rsidR="0026751C" w:rsidRPr="00EB3906" w14:paraId="6D9188C0" w14:textId="77777777" w:rsidTr="00EB3906">
        <w:tc>
          <w:tcPr>
            <w:tcW w:w="1384" w:type="dxa"/>
            <w:shd w:val="clear" w:color="auto" w:fill="auto"/>
          </w:tcPr>
          <w:p w14:paraId="4EC3B4B0" w14:textId="77777777" w:rsidR="0026751C" w:rsidRPr="00EB3906" w:rsidRDefault="009E26A5" w:rsidP="009E26A5">
            <w:pPr>
              <w:pStyle w:val="Default"/>
              <w:rPr>
                <w:sz w:val="22"/>
                <w:szCs w:val="22"/>
              </w:rPr>
            </w:pPr>
            <w:r w:rsidRPr="00EB3906">
              <w:rPr>
                <w:sz w:val="22"/>
                <w:szCs w:val="22"/>
              </w:rPr>
              <w:t>D</w:t>
            </w:r>
            <w:r w:rsidR="0026751C" w:rsidRPr="00EB3906">
              <w:rPr>
                <w:sz w:val="22"/>
                <w:szCs w:val="22"/>
              </w:rPr>
              <w:t>ažnas</w:t>
            </w:r>
          </w:p>
        </w:tc>
        <w:tc>
          <w:tcPr>
            <w:tcW w:w="7902" w:type="dxa"/>
            <w:shd w:val="clear" w:color="auto" w:fill="auto"/>
          </w:tcPr>
          <w:p w14:paraId="44F7B2C2" w14:textId="77777777" w:rsidR="0026751C" w:rsidRPr="00EB3906" w:rsidRDefault="009E26A5" w:rsidP="009E26A5">
            <w:pPr>
              <w:pStyle w:val="Default"/>
              <w:rPr>
                <w:sz w:val="22"/>
                <w:szCs w:val="22"/>
              </w:rPr>
            </w:pPr>
            <w:r w:rsidRPr="00EB3906">
              <w:rPr>
                <w:sz w:val="22"/>
                <w:szCs w:val="22"/>
              </w:rPr>
              <w:t>Padidėjęs transaminazių aktyvumas</w:t>
            </w:r>
          </w:p>
        </w:tc>
      </w:tr>
      <w:tr w:rsidR="0026751C" w:rsidRPr="00EB3906" w14:paraId="13459E5C" w14:textId="77777777" w:rsidTr="00EB3906">
        <w:tc>
          <w:tcPr>
            <w:tcW w:w="1384" w:type="dxa"/>
            <w:shd w:val="clear" w:color="auto" w:fill="auto"/>
          </w:tcPr>
          <w:p w14:paraId="03382A82" w14:textId="77777777" w:rsidR="0026751C" w:rsidRPr="00EB3906" w:rsidRDefault="009E26A5" w:rsidP="009E26A5">
            <w:pPr>
              <w:pStyle w:val="Default"/>
              <w:rPr>
                <w:sz w:val="22"/>
                <w:szCs w:val="22"/>
              </w:rPr>
            </w:pPr>
            <w:r w:rsidRPr="00EB3906">
              <w:rPr>
                <w:sz w:val="22"/>
                <w:szCs w:val="22"/>
              </w:rPr>
              <w:t>Retas</w:t>
            </w:r>
          </w:p>
        </w:tc>
        <w:tc>
          <w:tcPr>
            <w:tcW w:w="7902" w:type="dxa"/>
            <w:shd w:val="clear" w:color="auto" w:fill="auto"/>
          </w:tcPr>
          <w:p w14:paraId="1CC38157" w14:textId="77777777" w:rsidR="0026751C" w:rsidRPr="00EB3906" w:rsidRDefault="009E26A5" w:rsidP="009E26A5">
            <w:pPr>
              <w:pStyle w:val="Default"/>
              <w:rPr>
                <w:sz w:val="22"/>
                <w:szCs w:val="22"/>
              </w:rPr>
            </w:pPr>
            <w:r w:rsidRPr="00EB3906">
              <w:rPr>
                <w:sz w:val="22"/>
                <w:szCs w:val="22"/>
              </w:rPr>
              <w:t>Kepenų steatozė, hepatitas</w:t>
            </w:r>
          </w:p>
        </w:tc>
      </w:tr>
      <w:tr w:rsidR="009E26A5" w:rsidRPr="00EB3906" w14:paraId="4A07146D" w14:textId="77777777" w:rsidTr="00EB3906">
        <w:tc>
          <w:tcPr>
            <w:tcW w:w="9286" w:type="dxa"/>
            <w:gridSpan w:val="2"/>
            <w:shd w:val="clear" w:color="auto" w:fill="D9D9D9"/>
          </w:tcPr>
          <w:p w14:paraId="70D8D8EE" w14:textId="77777777" w:rsidR="009E26A5" w:rsidRPr="00EB3906" w:rsidRDefault="009E26A5" w:rsidP="009E26A5">
            <w:pPr>
              <w:pStyle w:val="Default"/>
              <w:rPr>
                <w:i/>
                <w:sz w:val="22"/>
                <w:szCs w:val="22"/>
              </w:rPr>
            </w:pPr>
            <w:r w:rsidRPr="00EB3906">
              <w:rPr>
                <w:i/>
                <w:sz w:val="22"/>
                <w:szCs w:val="22"/>
              </w:rPr>
              <w:t>Odos ir poodinio audinio sutrikimai</w:t>
            </w:r>
          </w:p>
        </w:tc>
      </w:tr>
      <w:tr w:rsidR="009E26A5" w:rsidRPr="00EB3906" w14:paraId="61269C49" w14:textId="77777777" w:rsidTr="00EB3906">
        <w:tc>
          <w:tcPr>
            <w:tcW w:w="1384" w:type="dxa"/>
            <w:shd w:val="clear" w:color="auto" w:fill="auto"/>
          </w:tcPr>
          <w:p w14:paraId="0CA77E14" w14:textId="77777777" w:rsidR="009E26A5" w:rsidRPr="00EB3906" w:rsidRDefault="009E26A5" w:rsidP="009E26A5">
            <w:pPr>
              <w:pStyle w:val="Default"/>
              <w:rPr>
                <w:sz w:val="22"/>
                <w:szCs w:val="22"/>
              </w:rPr>
            </w:pPr>
            <w:r w:rsidRPr="00EB3906">
              <w:rPr>
                <w:sz w:val="22"/>
                <w:szCs w:val="22"/>
              </w:rPr>
              <w:t>Labai dažnas</w:t>
            </w:r>
          </w:p>
        </w:tc>
        <w:tc>
          <w:tcPr>
            <w:tcW w:w="7902" w:type="dxa"/>
            <w:shd w:val="clear" w:color="auto" w:fill="auto"/>
          </w:tcPr>
          <w:p w14:paraId="109C8F00" w14:textId="77777777" w:rsidR="009E26A5" w:rsidRPr="00EB3906" w:rsidRDefault="009E26A5" w:rsidP="009E26A5">
            <w:pPr>
              <w:pStyle w:val="Default"/>
              <w:rPr>
                <w:sz w:val="22"/>
                <w:szCs w:val="22"/>
              </w:rPr>
            </w:pPr>
            <w:r w:rsidRPr="00EB3906">
              <w:rPr>
                <w:sz w:val="22"/>
                <w:szCs w:val="22"/>
              </w:rPr>
              <w:t>Išbėrimas</w:t>
            </w:r>
          </w:p>
        </w:tc>
      </w:tr>
      <w:tr w:rsidR="009E26A5" w:rsidRPr="00EB3906" w14:paraId="1C013069" w14:textId="77777777" w:rsidTr="00EB3906">
        <w:tc>
          <w:tcPr>
            <w:tcW w:w="1384" w:type="dxa"/>
            <w:shd w:val="clear" w:color="auto" w:fill="auto"/>
          </w:tcPr>
          <w:p w14:paraId="21467995" w14:textId="77777777" w:rsidR="009E26A5" w:rsidRPr="00EB3906" w:rsidRDefault="009E26A5" w:rsidP="009E26A5">
            <w:pPr>
              <w:pStyle w:val="Default"/>
              <w:rPr>
                <w:sz w:val="22"/>
                <w:szCs w:val="22"/>
              </w:rPr>
            </w:pPr>
            <w:r w:rsidRPr="00EB3906">
              <w:rPr>
                <w:sz w:val="22"/>
                <w:szCs w:val="22"/>
              </w:rPr>
              <w:t>Retas</w:t>
            </w:r>
          </w:p>
        </w:tc>
        <w:tc>
          <w:tcPr>
            <w:tcW w:w="7902" w:type="dxa"/>
            <w:shd w:val="clear" w:color="auto" w:fill="auto"/>
          </w:tcPr>
          <w:p w14:paraId="27B31389" w14:textId="77777777" w:rsidR="009E26A5" w:rsidRPr="00EB3906" w:rsidRDefault="009E26A5" w:rsidP="009E26A5">
            <w:pPr>
              <w:pStyle w:val="Default"/>
              <w:rPr>
                <w:sz w:val="22"/>
                <w:szCs w:val="22"/>
              </w:rPr>
            </w:pPr>
            <w:r w:rsidRPr="00EB3906">
              <w:rPr>
                <w:sz w:val="22"/>
                <w:szCs w:val="22"/>
              </w:rPr>
              <w:t>Angioneurozinė edema</w:t>
            </w:r>
          </w:p>
        </w:tc>
      </w:tr>
      <w:tr w:rsidR="009E26A5" w:rsidRPr="00EB3906" w14:paraId="5AFE20AC" w14:textId="77777777" w:rsidTr="00EB3906">
        <w:tc>
          <w:tcPr>
            <w:tcW w:w="9286" w:type="dxa"/>
            <w:gridSpan w:val="2"/>
            <w:shd w:val="clear" w:color="auto" w:fill="D9D9D9"/>
          </w:tcPr>
          <w:p w14:paraId="74AAE41D" w14:textId="77777777" w:rsidR="009E26A5" w:rsidRPr="00EB3906" w:rsidRDefault="009E26A5" w:rsidP="009E26A5">
            <w:pPr>
              <w:pStyle w:val="Default"/>
              <w:rPr>
                <w:i/>
                <w:sz w:val="22"/>
                <w:szCs w:val="22"/>
              </w:rPr>
            </w:pPr>
            <w:r w:rsidRPr="00EB3906">
              <w:rPr>
                <w:i/>
                <w:sz w:val="22"/>
                <w:szCs w:val="22"/>
              </w:rPr>
              <w:t>Skeleto, raumenų ir jungiamojo audinio sutrikimai</w:t>
            </w:r>
          </w:p>
        </w:tc>
      </w:tr>
      <w:tr w:rsidR="009E26A5" w:rsidRPr="00EB3906" w14:paraId="356D266E" w14:textId="77777777" w:rsidTr="00EB3906">
        <w:tc>
          <w:tcPr>
            <w:tcW w:w="1384" w:type="dxa"/>
            <w:shd w:val="clear" w:color="auto" w:fill="auto"/>
          </w:tcPr>
          <w:p w14:paraId="6238554D" w14:textId="77777777" w:rsidR="009E26A5" w:rsidRPr="00EB3906" w:rsidRDefault="009E26A5" w:rsidP="009E26A5">
            <w:pPr>
              <w:pStyle w:val="Default"/>
              <w:rPr>
                <w:sz w:val="22"/>
                <w:szCs w:val="22"/>
              </w:rPr>
            </w:pPr>
            <w:r w:rsidRPr="00EB3906">
              <w:rPr>
                <w:sz w:val="22"/>
                <w:szCs w:val="22"/>
              </w:rPr>
              <w:t>Nedažnas</w:t>
            </w:r>
          </w:p>
        </w:tc>
        <w:tc>
          <w:tcPr>
            <w:tcW w:w="7902" w:type="dxa"/>
            <w:shd w:val="clear" w:color="auto" w:fill="auto"/>
          </w:tcPr>
          <w:p w14:paraId="262D5D9D" w14:textId="77777777" w:rsidR="009E26A5" w:rsidRPr="00EB3906" w:rsidRDefault="009E26A5" w:rsidP="009E26A5">
            <w:pPr>
              <w:pStyle w:val="Default"/>
              <w:rPr>
                <w:sz w:val="22"/>
                <w:szCs w:val="22"/>
              </w:rPr>
            </w:pPr>
            <w:r w:rsidRPr="00EB3906">
              <w:rPr>
                <w:sz w:val="22"/>
                <w:szCs w:val="22"/>
              </w:rPr>
              <w:t>Rabdomiolizė</w:t>
            </w:r>
            <w:r w:rsidRPr="00EB3906">
              <w:rPr>
                <w:sz w:val="22"/>
                <w:szCs w:val="22"/>
                <w:vertAlign w:val="superscript"/>
              </w:rPr>
              <w:t>1</w:t>
            </w:r>
            <w:r w:rsidRPr="00EB3906">
              <w:rPr>
                <w:sz w:val="22"/>
                <w:szCs w:val="22"/>
              </w:rPr>
              <w:t>, raumenų silpnumas</w:t>
            </w:r>
            <w:r w:rsidRPr="00EB3906">
              <w:rPr>
                <w:sz w:val="22"/>
                <w:szCs w:val="22"/>
                <w:vertAlign w:val="superscript"/>
              </w:rPr>
              <w:t>1</w:t>
            </w:r>
          </w:p>
        </w:tc>
      </w:tr>
      <w:tr w:rsidR="009E26A5" w:rsidRPr="00EB3906" w14:paraId="15EFA3A7" w14:textId="77777777" w:rsidTr="00EB3906">
        <w:tc>
          <w:tcPr>
            <w:tcW w:w="1384" w:type="dxa"/>
            <w:shd w:val="clear" w:color="auto" w:fill="auto"/>
          </w:tcPr>
          <w:p w14:paraId="37680DFF" w14:textId="77777777" w:rsidR="009E26A5" w:rsidRPr="00EB3906" w:rsidRDefault="009E26A5" w:rsidP="009E26A5">
            <w:pPr>
              <w:pStyle w:val="Default"/>
              <w:rPr>
                <w:sz w:val="22"/>
                <w:szCs w:val="22"/>
              </w:rPr>
            </w:pPr>
            <w:r w:rsidRPr="00EB3906">
              <w:rPr>
                <w:sz w:val="22"/>
                <w:szCs w:val="22"/>
              </w:rPr>
              <w:t>Retas</w:t>
            </w:r>
          </w:p>
        </w:tc>
        <w:tc>
          <w:tcPr>
            <w:tcW w:w="7902" w:type="dxa"/>
            <w:shd w:val="clear" w:color="auto" w:fill="auto"/>
          </w:tcPr>
          <w:p w14:paraId="2DEDC6C8" w14:textId="170228EE" w:rsidR="009E26A5" w:rsidRPr="00EB3906" w:rsidRDefault="009E26A5" w:rsidP="00143A44">
            <w:pPr>
              <w:pStyle w:val="Default"/>
              <w:rPr>
                <w:sz w:val="22"/>
                <w:szCs w:val="22"/>
              </w:rPr>
            </w:pPr>
            <w:r w:rsidRPr="00EB3906">
              <w:rPr>
                <w:sz w:val="22"/>
                <w:szCs w:val="22"/>
              </w:rPr>
              <w:t xml:space="preserve">Kaulų suminkštėjimas (pasireiškiantis kaulų skausmu ir retais </w:t>
            </w:r>
            <w:r w:rsidR="00143A44">
              <w:rPr>
                <w:sz w:val="22"/>
                <w:szCs w:val="22"/>
              </w:rPr>
              <w:t xml:space="preserve">atvejais sukeliantis </w:t>
            </w:r>
            <w:r w:rsidRPr="00EB3906">
              <w:rPr>
                <w:sz w:val="22"/>
                <w:szCs w:val="22"/>
              </w:rPr>
              <w:t>lūži</w:t>
            </w:r>
            <w:r w:rsidR="00143A44">
              <w:rPr>
                <w:sz w:val="22"/>
                <w:szCs w:val="22"/>
              </w:rPr>
              <w:t>us</w:t>
            </w:r>
            <w:r w:rsidRPr="00EB3906">
              <w:rPr>
                <w:sz w:val="22"/>
                <w:szCs w:val="22"/>
              </w:rPr>
              <w:t>)</w:t>
            </w:r>
            <w:r w:rsidRPr="00EB3906">
              <w:rPr>
                <w:sz w:val="22"/>
                <w:szCs w:val="22"/>
                <w:vertAlign w:val="superscript"/>
              </w:rPr>
              <w:t>1, 2</w:t>
            </w:r>
            <w:r w:rsidRPr="00EB3906">
              <w:rPr>
                <w:sz w:val="22"/>
                <w:szCs w:val="22"/>
              </w:rPr>
              <w:t>, miopatija</w:t>
            </w:r>
            <w:r w:rsidRPr="00EB3906">
              <w:rPr>
                <w:sz w:val="22"/>
                <w:szCs w:val="22"/>
                <w:vertAlign w:val="superscript"/>
              </w:rPr>
              <w:t>1</w:t>
            </w:r>
          </w:p>
        </w:tc>
      </w:tr>
      <w:tr w:rsidR="009E26A5" w:rsidRPr="00EB3906" w14:paraId="520C33AF" w14:textId="77777777" w:rsidTr="00EB3906">
        <w:tc>
          <w:tcPr>
            <w:tcW w:w="9286" w:type="dxa"/>
            <w:gridSpan w:val="2"/>
            <w:shd w:val="clear" w:color="auto" w:fill="D9D9D9"/>
          </w:tcPr>
          <w:p w14:paraId="2565EB9A" w14:textId="77777777" w:rsidR="009E26A5" w:rsidRPr="00EB3906" w:rsidRDefault="009E26A5" w:rsidP="009E26A5">
            <w:pPr>
              <w:pStyle w:val="Default"/>
              <w:rPr>
                <w:i/>
                <w:sz w:val="22"/>
                <w:szCs w:val="22"/>
              </w:rPr>
            </w:pPr>
            <w:r w:rsidRPr="00EB3906">
              <w:rPr>
                <w:i/>
                <w:sz w:val="22"/>
                <w:szCs w:val="22"/>
              </w:rPr>
              <w:t>Inkstų ir šlapimo takų sutrikimai</w:t>
            </w:r>
          </w:p>
        </w:tc>
      </w:tr>
      <w:tr w:rsidR="009E26A5" w:rsidRPr="00EB3906" w14:paraId="7135CF99" w14:textId="77777777" w:rsidTr="00EB3906">
        <w:tc>
          <w:tcPr>
            <w:tcW w:w="1384" w:type="dxa"/>
            <w:shd w:val="clear" w:color="auto" w:fill="auto"/>
          </w:tcPr>
          <w:p w14:paraId="39279804" w14:textId="77777777" w:rsidR="009E26A5" w:rsidRPr="00EB3906" w:rsidRDefault="009E26A5" w:rsidP="009E26A5">
            <w:pPr>
              <w:pStyle w:val="Default"/>
              <w:rPr>
                <w:sz w:val="22"/>
                <w:szCs w:val="22"/>
              </w:rPr>
            </w:pPr>
            <w:r w:rsidRPr="00EB3906">
              <w:rPr>
                <w:sz w:val="22"/>
                <w:szCs w:val="22"/>
              </w:rPr>
              <w:t>Nedažnas</w:t>
            </w:r>
          </w:p>
        </w:tc>
        <w:tc>
          <w:tcPr>
            <w:tcW w:w="7902" w:type="dxa"/>
            <w:shd w:val="clear" w:color="auto" w:fill="auto"/>
          </w:tcPr>
          <w:p w14:paraId="3EFFAA52" w14:textId="77777777" w:rsidR="009E26A5" w:rsidRPr="00EB3906" w:rsidRDefault="009E26A5" w:rsidP="009E26A5">
            <w:pPr>
              <w:pStyle w:val="Default"/>
              <w:rPr>
                <w:sz w:val="22"/>
                <w:szCs w:val="22"/>
              </w:rPr>
            </w:pPr>
            <w:r w:rsidRPr="00EB3906">
              <w:rPr>
                <w:sz w:val="22"/>
                <w:szCs w:val="22"/>
              </w:rPr>
              <w:t xml:space="preserve">Padidėjęs kreatinino kiekis, </w:t>
            </w:r>
            <w:r w:rsidRPr="00AE3AFC">
              <w:rPr>
                <w:sz w:val="22"/>
                <w:szCs w:val="22"/>
              </w:rPr>
              <w:t>proksimalinė inkstų tubulopatija</w:t>
            </w:r>
            <w:r w:rsidRPr="00EB3906">
              <w:rPr>
                <w:sz w:val="22"/>
                <w:szCs w:val="22"/>
              </w:rPr>
              <w:t xml:space="preserve"> (įskaitant </w:t>
            </w:r>
            <w:r w:rsidR="00143A44">
              <w:rPr>
                <w:sz w:val="22"/>
                <w:szCs w:val="22"/>
              </w:rPr>
              <w:t>Fankoni (</w:t>
            </w:r>
            <w:r w:rsidRPr="00CA49A8">
              <w:rPr>
                <w:i/>
                <w:sz w:val="22"/>
                <w:szCs w:val="22"/>
              </w:rPr>
              <w:t>Fanconi</w:t>
            </w:r>
            <w:r w:rsidR="00143A44">
              <w:rPr>
                <w:sz w:val="22"/>
                <w:szCs w:val="22"/>
              </w:rPr>
              <w:t>)</w:t>
            </w:r>
            <w:r w:rsidRPr="00EB3906">
              <w:rPr>
                <w:sz w:val="22"/>
                <w:szCs w:val="22"/>
              </w:rPr>
              <w:t xml:space="preserve"> sindromą)</w:t>
            </w:r>
          </w:p>
        </w:tc>
      </w:tr>
      <w:tr w:rsidR="009E26A5" w:rsidRPr="00EB3906" w14:paraId="2DAF6422" w14:textId="77777777" w:rsidTr="00EB3906">
        <w:tc>
          <w:tcPr>
            <w:tcW w:w="1384" w:type="dxa"/>
            <w:shd w:val="clear" w:color="auto" w:fill="auto"/>
          </w:tcPr>
          <w:p w14:paraId="386A092F" w14:textId="77777777" w:rsidR="009E26A5" w:rsidRPr="00EB3906" w:rsidRDefault="009E26A5" w:rsidP="009E26A5">
            <w:pPr>
              <w:pStyle w:val="Default"/>
              <w:rPr>
                <w:sz w:val="22"/>
                <w:szCs w:val="22"/>
              </w:rPr>
            </w:pPr>
            <w:r w:rsidRPr="00EB3906">
              <w:rPr>
                <w:sz w:val="22"/>
                <w:szCs w:val="22"/>
              </w:rPr>
              <w:t>Retas</w:t>
            </w:r>
          </w:p>
        </w:tc>
        <w:tc>
          <w:tcPr>
            <w:tcW w:w="7902" w:type="dxa"/>
            <w:shd w:val="clear" w:color="auto" w:fill="auto"/>
          </w:tcPr>
          <w:p w14:paraId="56EF196E" w14:textId="77777777" w:rsidR="009E26A5" w:rsidRPr="00EB3906" w:rsidRDefault="009E26A5" w:rsidP="009E26A5">
            <w:pPr>
              <w:pStyle w:val="Default"/>
              <w:rPr>
                <w:sz w:val="22"/>
                <w:szCs w:val="22"/>
              </w:rPr>
            </w:pPr>
            <w:r w:rsidRPr="00EB3906">
              <w:rPr>
                <w:sz w:val="22"/>
                <w:szCs w:val="22"/>
              </w:rPr>
              <w:t>ūminis inkstų nepakankamumas, inkstų nepakankamumas, ūmi inkstų kanalėlių nekrozė, nefritas (įskaitant ūmų intersticinį nefritą)</w:t>
            </w:r>
            <w:r w:rsidRPr="00164838">
              <w:rPr>
                <w:sz w:val="22"/>
                <w:szCs w:val="22"/>
                <w:vertAlign w:val="superscript"/>
              </w:rPr>
              <w:t>2</w:t>
            </w:r>
            <w:r w:rsidRPr="00EB3906">
              <w:rPr>
                <w:sz w:val="22"/>
                <w:szCs w:val="22"/>
              </w:rPr>
              <w:t>, nefrogeninis necukrinis diabetas</w:t>
            </w:r>
          </w:p>
        </w:tc>
      </w:tr>
      <w:tr w:rsidR="009E26A5" w:rsidRPr="00EB3906" w14:paraId="0FE0F091" w14:textId="77777777" w:rsidTr="00EB3906">
        <w:tc>
          <w:tcPr>
            <w:tcW w:w="9286" w:type="dxa"/>
            <w:gridSpan w:val="2"/>
            <w:shd w:val="clear" w:color="auto" w:fill="D9D9D9"/>
          </w:tcPr>
          <w:p w14:paraId="3CA137A8" w14:textId="77777777" w:rsidR="009E26A5" w:rsidRPr="00EB3906" w:rsidRDefault="009E26A5" w:rsidP="009E26A5">
            <w:pPr>
              <w:pStyle w:val="Default"/>
              <w:rPr>
                <w:i/>
                <w:sz w:val="22"/>
                <w:szCs w:val="22"/>
              </w:rPr>
            </w:pPr>
            <w:r w:rsidRPr="00EB3906">
              <w:rPr>
                <w:i/>
                <w:sz w:val="22"/>
                <w:szCs w:val="22"/>
              </w:rPr>
              <w:t>Bendrieji sutrikimai ir vartojimo vietos pažeidimai</w:t>
            </w:r>
          </w:p>
        </w:tc>
      </w:tr>
      <w:tr w:rsidR="009E26A5" w:rsidRPr="00EB3906" w14:paraId="73F91E1D" w14:textId="77777777" w:rsidTr="00EB3906">
        <w:tc>
          <w:tcPr>
            <w:tcW w:w="1384" w:type="dxa"/>
            <w:shd w:val="clear" w:color="auto" w:fill="auto"/>
          </w:tcPr>
          <w:p w14:paraId="4379978F" w14:textId="77777777" w:rsidR="009E26A5" w:rsidRPr="00EB3906" w:rsidRDefault="00A70BD5" w:rsidP="009E26A5">
            <w:pPr>
              <w:pStyle w:val="Default"/>
              <w:rPr>
                <w:sz w:val="22"/>
                <w:szCs w:val="22"/>
              </w:rPr>
            </w:pPr>
            <w:r w:rsidRPr="00EB3906">
              <w:rPr>
                <w:sz w:val="22"/>
                <w:szCs w:val="22"/>
              </w:rPr>
              <w:t>Labai dažnas</w:t>
            </w:r>
          </w:p>
        </w:tc>
        <w:tc>
          <w:tcPr>
            <w:tcW w:w="7902" w:type="dxa"/>
            <w:shd w:val="clear" w:color="auto" w:fill="auto"/>
          </w:tcPr>
          <w:p w14:paraId="2AB81B39" w14:textId="77777777" w:rsidR="009E26A5" w:rsidRPr="00EB3906" w:rsidRDefault="00A70BD5" w:rsidP="009E26A5">
            <w:pPr>
              <w:pStyle w:val="Default"/>
              <w:rPr>
                <w:sz w:val="22"/>
                <w:szCs w:val="22"/>
              </w:rPr>
            </w:pPr>
            <w:r w:rsidRPr="00EB3906">
              <w:rPr>
                <w:sz w:val="22"/>
                <w:szCs w:val="22"/>
              </w:rPr>
              <w:t>Astenija</w:t>
            </w:r>
          </w:p>
        </w:tc>
      </w:tr>
      <w:tr w:rsidR="009E26A5" w:rsidRPr="00EB3906" w14:paraId="27730358" w14:textId="77777777" w:rsidTr="00EB3906">
        <w:tc>
          <w:tcPr>
            <w:tcW w:w="1384" w:type="dxa"/>
            <w:shd w:val="clear" w:color="auto" w:fill="auto"/>
          </w:tcPr>
          <w:p w14:paraId="37053885" w14:textId="77777777" w:rsidR="009E26A5" w:rsidRPr="00EB3906" w:rsidRDefault="00A70BD5" w:rsidP="00A70BD5">
            <w:pPr>
              <w:pStyle w:val="Default"/>
              <w:rPr>
                <w:sz w:val="22"/>
                <w:szCs w:val="22"/>
              </w:rPr>
            </w:pPr>
            <w:r w:rsidRPr="00EB3906">
              <w:rPr>
                <w:sz w:val="22"/>
                <w:szCs w:val="22"/>
              </w:rPr>
              <w:t xml:space="preserve">Dažnas </w:t>
            </w:r>
          </w:p>
        </w:tc>
        <w:tc>
          <w:tcPr>
            <w:tcW w:w="7902" w:type="dxa"/>
            <w:shd w:val="clear" w:color="auto" w:fill="auto"/>
          </w:tcPr>
          <w:p w14:paraId="5E561511" w14:textId="77777777" w:rsidR="009E26A5" w:rsidRPr="00EB3906" w:rsidRDefault="00A70BD5" w:rsidP="009E26A5">
            <w:pPr>
              <w:pStyle w:val="Default"/>
              <w:rPr>
                <w:sz w:val="22"/>
                <w:szCs w:val="22"/>
              </w:rPr>
            </w:pPr>
            <w:r w:rsidRPr="00EB3906">
              <w:rPr>
                <w:sz w:val="22"/>
                <w:szCs w:val="22"/>
              </w:rPr>
              <w:t>Nuovargis</w:t>
            </w:r>
          </w:p>
        </w:tc>
      </w:tr>
    </w:tbl>
    <w:p w14:paraId="02541C77" w14:textId="77777777" w:rsidR="00A70BD5" w:rsidRPr="00A70BD5" w:rsidRDefault="00A70BD5" w:rsidP="00A70BD5">
      <w:pPr>
        <w:pStyle w:val="Default"/>
        <w:ind w:left="142" w:hanging="142"/>
        <w:rPr>
          <w:sz w:val="22"/>
          <w:szCs w:val="22"/>
        </w:rPr>
      </w:pPr>
      <w:r w:rsidRPr="00A70BD5">
        <w:rPr>
          <w:sz w:val="22"/>
          <w:szCs w:val="22"/>
          <w:vertAlign w:val="superscript"/>
        </w:rPr>
        <w:t>1</w:t>
      </w:r>
      <w:r w:rsidRPr="00A70BD5">
        <w:rPr>
          <w:sz w:val="22"/>
          <w:szCs w:val="22"/>
        </w:rPr>
        <w:t xml:space="preserve">Ši nepageidaujama reakcija gali pasireikšti kaip proksimalinės inkstų </w:t>
      </w:r>
      <w:r w:rsidRPr="00AE3AFC">
        <w:rPr>
          <w:sz w:val="22"/>
          <w:szCs w:val="22"/>
        </w:rPr>
        <w:t>tubulopatijos</w:t>
      </w:r>
      <w:r w:rsidRPr="00A70BD5">
        <w:rPr>
          <w:sz w:val="22"/>
          <w:szCs w:val="22"/>
        </w:rPr>
        <w:t xml:space="preserve"> pasekmė. Jeigu nėra šios būklės, manoma, kad reakcija nėra susijusi </w:t>
      </w:r>
      <w:r>
        <w:rPr>
          <w:sz w:val="22"/>
          <w:szCs w:val="22"/>
        </w:rPr>
        <w:t xml:space="preserve">priežastiniu ryšiu </w:t>
      </w:r>
      <w:r w:rsidRPr="00A70BD5">
        <w:rPr>
          <w:sz w:val="22"/>
          <w:szCs w:val="22"/>
        </w:rPr>
        <w:t xml:space="preserve">su </w:t>
      </w:r>
      <w:r w:rsidR="007D0137">
        <w:rPr>
          <w:sz w:val="22"/>
          <w:szCs w:val="22"/>
        </w:rPr>
        <w:t>t</w:t>
      </w:r>
      <w:r w:rsidR="00653D08">
        <w:rPr>
          <w:sz w:val="22"/>
          <w:szCs w:val="22"/>
        </w:rPr>
        <w:t xml:space="preserve">enofoviro dizoproksilio </w:t>
      </w:r>
      <w:r w:rsidRPr="00A70BD5">
        <w:rPr>
          <w:sz w:val="22"/>
          <w:szCs w:val="22"/>
        </w:rPr>
        <w:t>vartojimu.</w:t>
      </w:r>
    </w:p>
    <w:p w14:paraId="6FD4BE5F" w14:textId="77777777" w:rsidR="00A70BD5" w:rsidRPr="00A70BD5" w:rsidRDefault="00A70BD5" w:rsidP="00A70BD5">
      <w:pPr>
        <w:pStyle w:val="Default"/>
        <w:ind w:left="142" w:hanging="142"/>
        <w:rPr>
          <w:sz w:val="22"/>
          <w:szCs w:val="22"/>
        </w:rPr>
      </w:pPr>
      <w:r w:rsidRPr="00A70BD5">
        <w:rPr>
          <w:sz w:val="22"/>
          <w:szCs w:val="22"/>
          <w:vertAlign w:val="superscript"/>
        </w:rPr>
        <w:t>2</w:t>
      </w:r>
      <w:r w:rsidRPr="00A70BD5">
        <w:rPr>
          <w:sz w:val="22"/>
          <w:szCs w:val="22"/>
        </w:rPr>
        <w:t xml:space="preserve"> Ši nepageidaujama reakcija nustatyta po vaist</w:t>
      </w:r>
      <w:r>
        <w:rPr>
          <w:sz w:val="22"/>
          <w:szCs w:val="22"/>
        </w:rPr>
        <w:t>inio preparato</w:t>
      </w:r>
      <w:r w:rsidRPr="00A70BD5">
        <w:rPr>
          <w:sz w:val="22"/>
          <w:szCs w:val="22"/>
        </w:rPr>
        <w:t xml:space="preserve"> pateikimo į rinką, bet nebuvo pastebėta atsitiktinių imčių kontroliuojamų klinikinių tyrimų ar </w:t>
      </w:r>
      <w:r w:rsidR="007D0137">
        <w:rPr>
          <w:sz w:val="22"/>
          <w:szCs w:val="22"/>
        </w:rPr>
        <w:t>t</w:t>
      </w:r>
      <w:r w:rsidR="00653D08">
        <w:rPr>
          <w:sz w:val="22"/>
          <w:szCs w:val="22"/>
        </w:rPr>
        <w:t xml:space="preserve">enofoviro dizoproksilio </w:t>
      </w:r>
      <w:r w:rsidRPr="00A70BD5">
        <w:rPr>
          <w:sz w:val="22"/>
          <w:szCs w:val="22"/>
        </w:rPr>
        <w:t xml:space="preserve">išplėstinio vartojimo programos metu. Dažnio kategorija </w:t>
      </w:r>
      <w:r>
        <w:rPr>
          <w:sz w:val="22"/>
          <w:szCs w:val="22"/>
        </w:rPr>
        <w:t>apskaičiuota</w:t>
      </w:r>
      <w:r w:rsidRPr="00A70BD5">
        <w:rPr>
          <w:sz w:val="22"/>
          <w:szCs w:val="22"/>
        </w:rPr>
        <w:t xml:space="preserve"> pagal statistin</w:t>
      </w:r>
      <w:r>
        <w:rPr>
          <w:sz w:val="22"/>
          <w:szCs w:val="22"/>
        </w:rPr>
        <w:t>į</w:t>
      </w:r>
      <w:r w:rsidRPr="00A70BD5">
        <w:rPr>
          <w:sz w:val="22"/>
          <w:szCs w:val="22"/>
        </w:rPr>
        <w:t xml:space="preserve"> skaičiavim</w:t>
      </w:r>
      <w:r>
        <w:rPr>
          <w:sz w:val="22"/>
          <w:szCs w:val="22"/>
        </w:rPr>
        <w:t>ą</w:t>
      </w:r>
      <w:r w:rsidRPr="00A70BD5">
        <w:rPr>
          <w:sz w:val="22"/>
          <w:szCs w:val="22"/>
        </w:rPr>
        <w:t xml:space="preserve">, remiantis bendru skaičiumi pacientų, </w:t>
      </w:r>
      <w:r>
        <w:rPr>
          <w:sz w:val="22"/>
          <w:szCs w:val="22"/>
        </w:rPr>
        <w:t>kurie buvo veikiami</w:t>
      </w:r>
      <w:r w:rsidRPr="00A70BD5">
        <w:rPr>
          <w:sz w:val="22"/>
          <w:szCs w:val="22"/>
        </w:rPr>
        <w:t xml:space="preserve"> </w:t>
      </w:r>
      <w:r w:rsidR="00653D08">
        <w:rPr>
          <w:sz w:val="22"/>
          <w:szCs w:val="22"/>
        </w:rPr>
        <w:t xml:space="preserve">tenofoviro dizoproksilio </w:t>
      </w:r>
      <w:r w:rsidRPr="00A70BD5">
        <w:rPr>
          <w:sz w:val="22"/>
          <w:szCs w:val="22"/>
        </w:rPr>
        <w:t>randomizuotų kontroliuojamų klinikinių tyrimų ir išplėstinio vartojimo programos metu (n=7319).</w:t>
      </w:r>
    </w:p>
    <w:p w14:paraId="4F9824BF" w14:textId="77777777" w:rsidR="00A70BD5" w:rsidRDefault="00A70BD5" w:rsidP="00A70BD5">
      <w:pPr>
        <w:pStyle w:val="Default"/>
        <w:rPr>
          <w:sz w:val="22"/>
          <w:szCs w:val="22"/>
        </w:rPr>
      </w:pPr>
    </w:p>
    <w:p w14:paraId="1AC682E3" w14:textId="77777777" w:rsidR="00A70BD5" w:rsidRPr="00A70BD5" w:rsidRDefault="00A70BD5" w:rsidP="00A70BD5">
      <w:pPr>
        <w:pStyle w:val="Default"/>
        <w:rPr>
          <w:sz w:val="22"/>
          <w:szCs w:val="22"/>
          <w:u w:val="single"/>
        </w:rPr>
      </w:pPr>
      <w:r w:rsidRPr="00A70BD5">
        <w:rPr>
          <w:sz w:val="22"/>
          <w:szCs w:val="22"/>
          <w:u w:val="single"/>
        </w:rPr>
        <w:t>Atrinktų nepageidaujamų reakcijų apibūdinimas</w:t>
      </w:r>
    </w:p>
    <w:p w14:paraId="4C980D97" w14:textId="77777777" w:rsidR="003D599F" w:rsidRPr="003D599F" w:rsidRDefault="003D599F" w:rsidP="003D599F">
      <w:pPr>
        <w:pStyle w:val="Default"/>
        <w:rPr>
          <w:i/>
          <w:sz w:val="22"/>
          <w:szCs w:val="22"/>
        </w:rPr>
      </w:pPr>
      <w:r w:rsidRPr="003D599F">
        <w:rPr>
          <w:i/>
          <w:sz w:val="22"/>
          <w:szCs w:val="22"/>
        </w:rPr>
        <w:t>ŽIV-1 ir hepatitas B</w:t>
      </w:r>
      <w:r w:rsidR="00693F82">
        <w:rPr>
          <w:i/>
          <w:sz w:val="22"/>
          <w:szCs w:val="22"/>
        </w:rPr>
        <w:t>:</w:t>
      </w:r>
    </w:p>
    <w:p w14:paraId="004E2C81" w14:textId="77777777" w:rsidR="003D599F" w:rsidRPr="003D599F" w:rsidRDefault="003D599F" w:rsidP="003D599F">
      <w:pPr>
        <w:pStyle w:val="Default"/>
        <w:rPr>
          <w:i/>
          <w:sz w:val="22"/>
          <w:szCs w:val="22"/>
        </w:rPr>
      </w:pPr>
      <w:r w:rsidRPr="003D599F">
        <w:rPr>
          <w:i/>
          <w:sz w:val="22"/>
          <w:szCs w:val="22"/>
        </w:rPr>
        <w:t>Inkstų funkcijos sutrikimas</w:t>
      </w:r>
    </w:p>
    <w:p w14:paraId="520E11C0" w14:textId="77777777" w:rsidR="0066169B" w:rsidRDefault="003D599F" w:rsidP="003D599F">
      <w:pPr>
        <w:pStyle w:val="Default"/>
        <w:rPr>
          <w:sz w:val="22"/>
          <w:szCs w:val="22"/>
        </w:rPr>
      </w:pPr>
      <w:r w:rsidRPr="003D599F">
        <w:rPr>
          <w:sz w:val="22"/>
          <w:szCs w:val="22"/>
        </w:rPr>
        <w:t xml:space="preserve">Kadangi </w:t>
      </w:r>
      <w:r>
        <w:rPr>
          <w:sz w:val="22"/>
          <w:szCs w:val="22"/>
        </w:rPr>
        <w:t>tenofoviras</w:t>
      </w:r>
      <w:r w:rsidRPr="003D599F">
        <w:rPr>
          <w:sz w:val="22"/>
          <w:szCs w:val="22"/>
        </w:rPr>
        <w:t xml:space="preserve"> gali pakenkti inkst</w:t>
      </w:r>
      <w:r w:rsidR="00693F82">
        <w:rPr>
          <w:sz w:val="22"/>
          <w:szCs w:val="22"/>
        </w:rPr>
        <w:t>us</w:t>
      </w:r>
      <w:r w:rsidRPr="003D599F">
        <w:rPr>
          <w:sz w:val="22"/>
          <w:szCs w:val="22"/>
        </w:rPr>
        <w:t xml:space="preserve">, rekomenduojama stebėti pacientų inkstų funkciją (žr. </w:t>
      </w:r>
      <w:r w:rsidR="00693F82">
        <w:rPr>
          <w:sz w:val="22"/>
          <w:szCs w:val="22"/>
        </w:rPr>
        <w:t xml:space="preserve">Preparato charakteristikų santraukos </w:t>
      </w:r>
      <w:r w:rsidRPr="003D599F">
        <w:rPr>
          <w:sz w:val="22"/>
          <w:szCs w:val="22"/>
        </w:rPr>
        <w:t xml:space="preserve">4.4 ir 4.8 skyrius). Proksimalinė inkstų </w:t>
      </w:r>
      <w:r w:rsidRPr="00EB09BC">
        <w:rPr>
          <w:sz w:val="22"/>
          <w:szCs w:val="22"/>
        </w:rPr>
        <w:t>tubulopatija</w:t>
      </w:r>
      <w:r w:rsidRPr="003D599F">
        <w:rPr>
          <w:sz w:val="22"/>
          <w:szCs w:val="22"/>
        </w:rPr>
        <w:t xml:space="preserve"> paprastai praeidavo arba susilpnėdavo, nutraukus </w:t>
      </w:r>
      <w:r w:rsidR="007D0137">
        <w:rPr>
          <w:sz w:val="22"/>
          <w:szCs w:val="22"/>
        </w:rPr>
        <w:t>t</w:t>
      </w:r>
      <w:r w:rsidR="00653D08">
        <w:rPr>
          <w:sz w:val="22"/>
          <w:szCs w:val="22"/>
        </w:rPr>
        <w:t xml:space="preserve">enofoviro dizoproksilio </w:t>
      </w:r>
      <w:r w:rsidRPr="003D599F">
        <w:rPr>
          <w:sz w:val="22"/>
          <w:szCs w:val="22"/>
        </w:rPr>
        <w:t xml:space="preserve">vartojimą. Tačiau kai kuriems pacientams, nepaisant </w:t>
      </w:r>
      <w:r w:rsidR="007D0137">
        <w:rPr>
          <w:sz w:val="22"/>
          <w:szCs w:val="22"/>
        </w:rPr>
        <w:t>t</w:t>
      </w:r>
      <w:r w:rsidR="00653D08">
        <w:rPr>
          <w:sz w:val="22"/>
          <w:szCs w:val="22"/>
        </w:rPr>
        <w:t xml:space="preserve">enofoviro dizoproksilio </w:t>
      </w:r>
      <w:r w:rsidRPr="003D599F">
        <w:rPr>
          <w:sz w:val="22"/>
          <w:szCs w:val="22"/>
        </w:rPr>
        <w:t xml:space="preserve">vartojimo nutraukimo, kreatinino klirenso sumažėjimas </w:t>
      </w:r>
      <w:r w:rsidR="00693F82">
        <w:rPr>
          <w:sz w:val="22"/>
          <w:szCs w:val="22"/>
        </w:rPr>
        <w:t>išnyko ne visiškai</w:t>
      </w:r>
      <w:r w:rsidRPr="003D599F">
        <w:rPr>
          <w:sz w:val="22"/>
          <w:szCs w:val="22"/>
        </w:rPr>
        <w:t xml:space="preserve">. Pacientams, kuriems yra inkstų funkcijos sutrikimo rizika (pvz., pacientams, kuriems </w:t>
      </w:r>
      <w:r w:rsidR="00693F82">
        <w:rPr>
          <w:sz w:val="22"/>
          <w:szCs w:val="22"/>
        </w:rPr>
        <w:t>iš anksčiau yra</w:t>
      </w:r>
      <w:r w:rsidRPr="003D599F">
        <w:rPr>
          <w:sz w:val="22"/>
          <w:szCs w:val="22"/>
        </w:rPr>
        <w:t xml:space="preserve"> inkstų funkcijos sutrikimo rizikos faktorių, pažengusi ŽIV liga, arba pacientams, kurie kartu vartoja nefrotoksini</w:t>
      </w:r>
      <w:r w:rsidR="00693F82">
        <w:rPr>
          <w:sz w:val="22"/>
          <w:szCs w:val="22"/>
        </w:rPr>
        <w:t>ų vaistinių preparatų</w:t>
      </w:r>
      <w:r w:rsidRPr="003D599F">
        <w:rPr>
          <w:sz w:val="22"/>
          <w:szCs w:val="22"/>
        </w:rPr>
        <w:t>), yra padidėjusi rizika, kad inkstų funkcij</w:t>
      </w:r>
      <w:r w:rsidR="00693F82">
        <w:rPr>
          <w:sz w:val="22"/>
          <w:szCs w:val="22"/>
        </w:rPr>
        <w:t>a</w:t>
      </w:r>
      <w:r w:rsidRPr="003D599F">
        <w:rPr>
          <w:sz w:val="22"/>
          <w:szCs w:val="22"/>
        </w:rPr>
        <w:t xml:space="preserve"> </w:t>
      </w:r>
      <w:r w:rsidR="00693F82">
        <w:rPr>
          <w:sz w:val="22"/>
          <w:szCs w:val="22"/>
        </w:rPr>
        <w:t>atsistatys</w:t>
      </w:r>
      <w:r w:rsidRPr="003D599F">
        <w:rPr>
          <w:sz w:val="22"/>
          <w:szCs w:val="22"/>
        </w:rPr>
        <w:t xml:space="preserve"> </w:t>
      </w:r>
      <w:r w:rsidR="00693F82">
        <w:rPr>
          <w:sz w:val="22"/>
          <w:szCs w:val="22"/>
        </w:rPr>
        <w:t>ne</w:t>
      </w:r>
      <w:r w:rsidRPr="003D599F">
        <w:rPr>
          <w:sz w:val="22"/>
          <w:szCs w:val="22"/>
        </w:rPr>
        <w:t xml:space="preserve">visiškai, nepaisant </w:t>
      </w:r>
      <w:r w:rsidR="007D0137">
        <w:rPr>
          <w:sz w:val="22"/>
          <w:szCs w:val="22"/>
        </w:rPr>
        <w:t>t</w:t>
      </w:r>
      <w:r w:rsidR="00653D08">
        <w:rPr>
          <w:sz w:val="22"/>
          <w:szCs w:val="22"/>
        </w:rPr>
        <w:t xml:space="preserve">enofoviro dizoproksilio </w:t>
      </w:r>
      <w:r w:rsidRPr="003D599F">
        <w:rPr>
          <w:sz w:val="22"/>
          <w:szCs w:val="22"/>
        </w:rPr>
        <w:t>vartojimo nutraukimo (žr. 4.4 skyrių).</w:t>
      </w:r>
    </w:p>
    <w:p w14:paraId="00CBD822" w14:textId="77777777" w:rsidR="0066169B" w:rsidRDefault="0066169B" w:rsidP="00782776">
      <w:pPr>
        <w:pStyle w:val="Default"/>
        <w:rPr>
          <w:sz w:val="22"/>
          <w:szCs w:val="22"/>
        </w:rPr>
      </w:pPr>
    </w:p>
    <w:p w14:paraId="272F4900" w14:textId="77777777" w:rsidR="00693F82" w:rsidRPr="00693F82" w:rsidRDefault="00693F82" w:rsidP="00693F82">
      <w:pPr>
        <w:pStyle w:val="Default"/>
        <w:rPr>
          <w:i/>
          <w:sz w:val="22"/>
          <w:szCs w:val="22"/>
        </w:rPr>
      </w:pPr>
      <w:r w:rsidRPr="00693F82">
        <w:rPr>
          <w:i/>
          <w:sz w:val="22"/>
          <w:szCs w:val="22"/>
        </w:rPr>
        <w:t>ŽIV-1</w:t>
      </w:r>
      <w:r>
        <w:rPr>
          <w:i/>
          <w:sz w:val="22"/>
          <w:szCs w:val="22"/>
        </w:rPr>
        <w:t>:</w:t>
      </w:r>
    </w:p>
    <w:p w14:paraId="5C1044C4" w14:textId="77777777" w:rsidR="00693F82" w:rsidRPr="00693F82" w:rsidRDefault="00693F82" w:rsidP="00693F82">
      <w:pPr>
        <w:pStyle w:val="Default"/>
        <w:rPr>
          <w:i/>
          <w:sz w:val="22"/>
          <w:szCs w:val="22"/>
        </w:rPr>
      </w:pPr>
      <w:r w:rsidRPr="00693F82">
        <w:rPr>
          <w:i/>
          <w:sz w:val="22"/>
          <w:szCs w:val="22"/>
        </w:rPr>
        <w:t>Sąveika su didanozinu</w:t>
      </w:r>
    </w:p>
    <w:p w14:paraId="772AE848" w14:textId="77777777" w:rsidR="00693F82" w:rsidRPr="00693F82" w:rsidRDefault="00693F82" w:rsidP="00693F82">
      <w:pPr>
        <w:pStyle w:val="Default"/>
        <w:rPr>
          <w:sz w:val="22"/>
          <w:szCs w:val="22"/>
        </w:rPr>
      </w:pPr>
      <w:r w:rsidRPr="00693F82">
        <w:rPr>
          <w:sz w:val="22"/>
          <w:szCs w:val="22"/>
        </w:rPr>
        <w:t xml:space="preserve">Nerekomenduojama kartu vartoti </w:t>
      </w:r>
      <w:r w:rsidR="0056070C">
        <w:rPr>
          <w:sz w:val="22"/>
          <w:szCs w:val="22"/>
        </w:rPr>
        <w:t>t</w:t>
      </w:r>
      <w:r w:rsidR="00653D08">
        <w:rPr>
          <w:sz w:val="22"/>
          <w:szCs w:val="22"/>
        </w:rPr>
        <w:t xml:space="preserve">enofoviro dizoproksilio </w:t>
      </w:r>
      <w:r w:rsidRPr="00693F82">
        <w:rPr>
          <w:sz w:val="22"/>
          <w:szCs w:val="22"/>
        </w:rPr>
        <w:t>ir didanozino, nes 40-60</w:t>
      </w:r>
      <w:r w:rsidR="0056070C">
        <w:rPr>
          <w:sz w:val="22"/>
          <w:szCs w:val="22"/>
        </w:rPr>
        <w:t> </w:t>
      </w:r>
      <w:r w:rsidRPr="00693F82">
        <w:rPr>
          <w:sz w:val="22"/>
          <w:szCs w:val="22"/>
        </w:rPr>
        <w:t>% padidėja sisteminė didanozino</w:t>
      </w:r>
      <w:r>
        <w:rPr>
          <w:sz w:val="22"/>
          <w:szCs w:val="22"/>
        </w:rPr>
        <w:t xml:space="preserve"> </w:t>
      </w:r>
      <w:r w:rsidRPr="00693F82">
        <w:rPr>
          <w:sz w:val="22"/>
          <w:szCs w:val="22"/>
        </w:rPr>
        <w:t xml:space="preserve">ekspozicija, tai gali padidinti su didanozino vartojimu susijusių nepageidaujamų reakcijų riziką (žr. 4.5 skyrių). Retai buvo </w:t>
      </w:r>
      <w:r w:rsidR="00A72726">
        <w:rPr>
          <w:sz w:val="22"/>
          <w:szCs w:val="22"/>
        </w:rPr>
        <w:t xml:space="preserve">gauta </w:t>
      </w:r>
      <w:r w:rsidRPr="00693F82">
        <w:rPr>
          <w:sz w:val="22"/>
          <w:szCs w:val="22"/>
        </w:rPr>
        <w:t xml:space="preserve">pranešimų apie pankreatito ir </w:t>
      </w:r>
      <w:r>
        <w:rPr>
          <w:sz w:val="22"/>
          <w:szCs w:val="22"/>
        </w:rPr>
        <w:t xml:space="preserve">pieno rūgšties </w:t>
      </w:r>
      <w:r w:rsidRPr="00693F82">
        <w:rPr>
          <w:sz w:val="22"/>
          <w:szCs w:val="22"/>
        </w:rPr>
        <w:t>acidozės atvejus, iš kurių keli buvo mirtini.</w:t>
      </w:r>
    </w:p>
    <w:p w14:paraId="441E08D8" w14:textId="77777777" w:rsidR="00693F82" w:rsidRDefault="00693F82" w:rsidP="00693F82">
      <w:pPr>
        <w:pStyle w:val="Default"/>
        <w:rPr>
          <w:sz w:val="22"/>
          <w:szCs w:val="22"/>
        </w:rPr>
      </w:pPr>
    </w:p>
    <w:p w14:paraId="4F461584" w14:textId="77777777" w:rsidR="00693F82" w:rsidRPr="00693F82" w:rsidRDefault="00693F82" w:rsidP="00693F82">
      <w:pPr>
        <w:pStyle w:val="Default"/>
        <w:rPr>
          <w:i/>
          <w:sz w:val="22"/>
          <w:szCs w:val="22"/>
        </w:rPr>
      </w:pPr>
      <w:r w:rsidRPr="00693F82">
        <w:rPr>
          <w:i/>
          <w:sz w:val="22"/>
          <w:szCs w:val="22"/>
        </w:rPr>
        <w:t>Metabolizmo rodmenys</w:t>
      </w:r>
    </w:p>
    <w:p w14:paraId="4EB45AFE" w14:textId="77777777" w:rsidR="00693F82" w:rsidRPr="00693F82" w:rsidRDefault="00693F82" w:rsidP="00693F82">
      <w:pPr>
        <w:pStyle w:val="Default"/>
        <w:rPr>
          <w:sz w:val="22"/>
          <w:szCs w:val="22"/>
        </w:rPr>
      </w:pPr>
      <w:r w:rsidRPr="00693F82">
        <w:rPr>
          <w:sz w:val="22"/>
          <w:szCs w:val="22"/>
        </w:rPr>
        <w:t>Gydymo antiretrovirusiniais preparatais metu gali padidėti kūno masė ir lipidų bei gliukozės koncentracijos kraujyje (žr. 4.4 skyrių).</w:t>
      </w:r>
    </w:p>
    <w:p w14:paraId="7813ADA5" w14:textId="77777777" w:rsidR="00693F82" w:rsidRDefault="00693F82" w:rsidP="00693F82">
      <w:pPr>
        <w:pStyle w:val="Default"/>
        <w:rPr>
          <w:sz w:val="22"/>
          <w:szCs w:val="22"/>
        </w:rPr>
      </w:pPr>
    </w:p>
    <w:p w14:paraId="25F977F2" w14:textId="77777777" w:rsidR="00693F82" w:rsidRPr="00693F82" w:rsidRDefault="00693F82" w:rsidP="00693F82">
      <w:pPr>
        <w:pStyle w:val="Default"/>
        <w:rPr>
          <w:i/>
          <w:sz w:val="22"/>
          <w:szCs w:val="22"/>
        </w:rPr>
      </w:pPr>
      <w:r w:rsidRPr="00693F82">
        <w:rPr>
          <w:i/>
          <w:sz w:val="22"/>
          <w:szCs w:val="22"/>
        </w:rPr>
        <w:t>Imuninės reaktyvacijos sindromas</w:t>
      </w:r>
    </w:p>
    <w:p w14:paraId="6E7B530E" w14:textId="1863269E" w:rsidR="00693F82" w:rsidRPr="00693F82" w:rsidRDefault="00693F82" w:rsidP="00693F82">
      <w:pPr>
        <w:pStyle w:val="Default"/>
        <w:rPr>
          <w:sz w:val="22"/>
          <w:szCs w:val="22"/>
        </w:rPr>
      </w:pPr>
      <w:r w:rsidRPr="00693F82">
        <w:rPr>
          <w:sz w:val="22"/>
          <w:szCs w:val="22"/>
        </w:rPr>
        <w:t xml:space="preserve">ŽIV infekuotiems pacientams, kuriems yra didelis imuninės sistemos </w:t>
      </w:r>
      <w:r>
        <w:rPr>
          <w:sz w:val="22"/>
          <w:szCs w:val="22"/>
        </w:rPr>
        <w:t>nepakankamumas</w:t>
      </w:r>
      <w:r w:rsidRPr="00693F82">
        <w:rPr>
          <w:sz w:val="22"/>
          <w:szCs w:val="22"/>
        </w:rPr>
        <w:t xml:space="preserve">, pradėjus KARG, gali išsivystyti uždegiminė reakcija į besimptomes arba likusias oportunistines infekcijas. Taip pat buvo pranešta apie autoimuninius sutrikimus (pvz., Greivso </w:t>
      </w:r>
      <w:r w:rsidR="00115F77">
        <w:rPr>
          <w:sz w:val="22"/>
          <w:szCs w:val="22"/>
        </w:rPr>
        <w:t>[</w:t>
      </w:r>
      <w:r w:rsidR="00115F77" w:rsidRPr="00CA49A8">
        <w:rPr>
          <w:i/>
          <w:sz w:val="22"/>
          <w:szCs w:val="22"/>
        </w:rPr>
        <w:t>Graves</w:t>
      </w:r>
      <w:r w:rsidR="00115F77">
        <w:rPr>
          <w:sz w:val="22"/>
          <w:szCs w:val="22"/>
        </w:rPr>
        <w:t xml:space="preserve">] </w:t>
      </w:r>
      <w:r w:rsidRPr="00693F82">
        <w:rPr>
          <w:sz w:val="22"/>
          <w:szCs w:val="22"/>
        </w:rPr>
        <w:t>ligą</w:t>
      </w:r>
      <w:r w:rsidR="0000416B">
        <w:rPr>
          <w:sz w:val="22"/>
          <w:szCs w:val="22"/>
        </w:rPr>
        <w:t xml:space="preserve"> ir </w:t>
      </w:r>
      <w:r w:rsidR="009907B2" w:rsidRPr="00945A0C">
        <w:rPr>
          <w:sz w:val="22"/>
          <w:szCs w:val="22"/>
        </w:rPr>
        <w:t>autoimunin</w:t>
      </w:r>
      <w:r w:rsidR="00292C7B">
        <w:rPr>
          <w:sz w:val="22"/>
          <w:szCs w:val="22"/>
        </w:rPr>
        <w:t>į</w:t>
      </w:r>
      <w:r w:rsidR="009907B2" w:rsidRPr="00945A0C">
        <w:rPr>
          <w:sz w:val="22"/>
          <w:szCs w:val="22"/>
        </w:rPr>
        <w:t xml:space="preserve"> hepatit</w:t>
      </w:r>
      <w:r w:rsidR="00292C7B">
        <w:rPr>
          <w:sz w:val="22"/>
          <w:szCs w:val="22"/>
        </w:rPr>
        <w:t>ą</w:t>
      </w:r>
      <w:r w:rsidRPr="00693F82">
        <w:rPr>
          <w:sz w:val="22"/>
          <w:szCs w:val="22"/>
        </w:rPr>
        <w:t>), tačiau praneštas jų pradžios laikas yra labiau kintamas ir šie reiškiniai galimi per daug mėnesių nuo gydymo pradžios (žr. 4.4 skyrių).</w:t>
      </w:r>
    </w:p>
    <w:p w14:paraId="0C2E3F9E" w14:textId="77777777" w:rsidR="00115F77" w:rsidRDefault="00115F77" w:rsidP="00693F82">
      <w:pPr>
        <w:pStyle w:val="Default"/>
        <w:rPr>
          <w:sz w:val="22"/>
          <w:szCs w:val="22"/>
        </w:rPr>
      </w:pPr>
    </w:p>
    <w:p w14:paraId="654B49DE" w14:textId="77777777" w:rsidR="00693F82" w:rsidRPr="00115F77" w:rsidRDefault="00693F82" w:rsidP="00693F82">
      <w:pPr>
        <w:pStyle w:val="Default"/>
        <w:rPr>
          <w:i/>
          <w:sz w:val="22"/>
          <w:szCs w:val="22"/>
        </w:rPr>
      </w:pPr>
      <w:r w:rsidRPr="00115F77">
        <w:rPr>
          <w:i/>
          <w:sz w:val="22"/>
          <w:szCs w:val="22"/>
        </w:rPr>
        <w:t>Kaulų nekrozė</w:t>
      </w:r>
    </w:p>
    <w:p w14:paraId="145DAFB4" w14:textId="77777777" w:rsidR="00693F82" w:rsidRPr="00693F82" w:rsidRDefault="00115F77" w:rsidP="00693F82">
      <w:pPr>
        <w:pStyle w:val="Default"/>
        <w:rPr>
          <w:sz w:val="22"/>
          <w:szCs w:val="22"/>
        </w:rPr>
      </w:pPr>
      <w:r>
        <w:rPr>
          <w:sz w:val="22"/>
          <w:szCs w:val="22"/>
        </w:rPr>
        <w:t>Gauta pranešimų apie kaulo</w:t>
      </w:r>
      <w:r w:rsidR="00693F82" w:rsidRPr="00693F82">
        <w:rPr>
          <w:sz w:val="22"/>
          <w:szCs w:val="22"/>
        </w:rPr>
        <w:t xml:space="preserve"> nekrozės atvej</w:t>
      </w:r>
      <w:r>
        <w:rPr>
          <w:sz w:val="22"/>
          <w:szCs w:val="22"/>
        </w:rPr>
        <w:t>us</w:t>
      </w:r>
      <w:r w:rsidR="00693F82" w:rsidRPr="00693F82">
        <w:rPr>
          <w:sz w:val="22"/>
          <w:szCs w:val="22"/>
        </w:rPr>
        <w:t>, ypač pacientams, kuriems yra gerai žinomų rizikos veiksnių, toli pažengusi ŽIV liga arba ilgai taikomas KARG. Kaul</w:t>
      </w:r>
      <w:r>
        <w:rPr>
          <w:sz w:val="22"/>
          <w:szCs w:val="22"/>
        </w:rPr>
        <w:t>o</w:t>
      </w:r>
      <w:r w:rsidR="00693F82" w:rsidRPr="00693F82">
        <w:rPr>
          <w:sz w:val="22"/>
          <w:szCs w:val="22"/>
        </w:rPr>
        <w:t xml:space="preserve"> nekrozės atvejų dažnis nežinomas (žr. 4.4 skyrių).</w:t>
      </w:r>
    </w:p>
    <w:p w14:paraId="692A4F00" w14:textId="77777777" w:rsidR="00115F77" w:rsidRDefault="00115F77" w:rsidP="00693F82">
      <w:pPr>
        <w:pStyle w:val="Default"/>
        <w:rPr>
          <w:sz w:val="22"/>
          <w:szCs w:val="22"/>
        </w:rPr>
      </w:pPr>
    </w:p>
    <w:p w14:paraId="17259F33" w14:textId="77777777" w:rsidR="00693F82" w:rsidRPr="00115F77" w:rsidRDefault="00693F82" w:rsidP="00693F82">
      <w:pPr>
        <w:pStyle w:val="Default"/>
        <w:rPr>
          <w:i/>
          <w:sz w:val="22"/>
          <w:szCs w:val="22"/>
        </w:rPr>
      </w:pPr>
      <w:r w:rsidRPr="00115F77">
        <w:rPr>
          <w:i/>
          <w:sz w:val="22"/>
          <w:szCs w:val="22"/>
        </w:rPr>
        <w:t>Hepatitas B</w:t>
      </w:r>
      <w:r w:rsidR="00115F77">
        <w:rPr>
          <w:i/>
          <w:sz w:val="22"/>
          <w:szCs w:val="22"/>
        </w:rPr>
        <w:t>:</w:t>
      </w:r>
    </w:p>
    <w:p w14:paraId="19592618" w14:textId="77777777" w:rsidR="00693F82" w:rsidRPr="00115F77" w:rsidRDefault="00693F82" w:rsidP="00693F82">
      <w:pPr>
        <w:pStyle w:val="Default"/>
        <w:rPr>
          <w:i/>
          <w:sz w:val="22"/>
          <w:szCs w:val="22"/>
        </w:rPr>
      </w:pPr>
      <w:r w:rsidRPr="00115F77">
        <w:rPr>
          <w:i/>
          <w:sz w:val="22"/>
          <w:szCs w:val="22"/>
        </w:rPr>
        <w:t>Hepatito B paūmėjimai gydymo metu</w:t>
      </w:r>
    </w:p>
    <w:p w14:paraId="0C1733E6" w14:textId="0736E894" w:rsidR="00693F82" w:rsidRDefault="00693F82" w:rsidP="00693F82">
      <w:pPr>
        <w:pStyle w:val="Default"/>
        <w:rPr>
          <w:sz w:val="22"/>
          <w:szCs w:val="22"/>
        </w:rPr>
      </w:pPr>
      <w:r w:rsidRPr="00693F82">
        <w:rPr>
          <w:sz w:val="22"/>
          <w:szCs w:val="22"/>
        </w:rPr>
        <w:t>Tyrimuose, kuriuose tirti nukleozidiniais vaist</w:t>
      </w:r>
      <w:r w:rsidR="00115F77">
        <w:rPr>
          <w:sz w:val="22"/>
          <w:szCs w:val="22"/>
        </w:rPr>
        <w:t>iniais preparatais</w:t>
      </w:r>
      <w:r w:rsidRPr="00693F82">
        <w:rPr>
          <w:sz w:val="22"/>
          <w:szCs w:val="22"/>
        </w:rPr>
        <w:t xml:space="preserve"> negydyti pacientai, gydymo metu 2,6</w:t>
      </w:r>
      <w:r w:rsidR="0056070C">
        <w:rPr>
          <w:sz w:val="22"/>
          <w:szCs w:val="22"/>
        </w:rPr>
        <w:t> </w:t>
      </w:r>
      <w:r w:rsidRPr="00693F82">
        <w:rPr>
          <w:sz w:val="22"/>
          <w:szCs w:val="22"/>
        </w:rPr>
        <w:t>% tenofoviro dizoproksil</w:t>
      </w:r>
      <w:r w:rsidR="00A72726">
        <w:rPr>
          <w:sz w:val="22"/>
          <w:szCs w:val="22"/>
        </w:rPr>
        <w:t>u</w:t>
      </w:r>
      <w:r w:rsidRPr="00693F82">
        <w:rPr>
          <w:sz w:val="22"/>
          <w:szCs w:val="22"/>
        </w:rPr>
        <w:t xml:space="preserve"> gydyt</w:t>
      </w:r>
      <w:r w:rsidR="00115F77">
        <w:rPr>
          <w:sz w:val="22"/>
          <w:szCs w:val="22"/>
        </w:rPr>
        <w:t>ų</w:t>
      </w:r>
      <w:r w:rsidRPr="00693F82">
        <w:rPr>
          <w:sz w:val="22"/>
          <w:szCs w:val="22"/>
        </w:rPr>
        <w:t xml:space="preserve"> pacient</w:t>
      </w:r>
      <w:r w:rsidR="00115F77">
        <w:rPr>
          <w:sz w:val="22"/>
          <w:szCs w:val="22"/>
        </w:rPr>
        <w:t>ų</w:t>
      </w:r>
      <w:r w:rsidRPr="00693F82">
        <w:rPr>
          <w:sz w:val="22"/>
          <w:szCs w:val="22"/>
        </w:rPr>
        <w:t xml:space="preserve"> ALT </w:t>
      </w:r>
      <w:r w:rsidR="002E7949">
        <w:rPr>
          <w:sz w:val="22"/>
          <w:szCs w:val="22"/>
        </w:rPr>
        <w:t xml:space="preserve">aktyvumo </w:t>
      </w:r>
      <w:r w:rsidRPr="00693F82">
        <w:rPr>
          <w:sz w:val="22"/>
          <w:szCs w:val="22"/>
        </w:rPr>
        <w:t xml:space="preserve">reikšmė tapo &gt; 10 kartų didesnė už VNR (viršutinę normos ribą) ir &gt; 2 kartus didesnė už pradinį </w:t>
      </w:r>
      <w:r w:rsidR="00115F77">
        <w:rPr>
          <w:sz w:val="22"/>
          <w:szCs w:val="22"/>
        </w:rPr>
        <w:t>aktyvumą</w:t>
      </w:r>
      <w:r w:rsidRPr="00693F82">
        <w:rPr>
          <w:sz w:val="22"/>
          <w:szCs w:val="22"/>
        </w:rPr>
        <w:t xml:space="preserve">. ALT </w:t>
      </w:r>
      <w:r w:rsidR="00115F77">
        <w:rPr>
          <w:sz w:val="22"/>
          <w:szCs w:val="22"/>
        </w:rPr>
        <w:t>aktyvumo padidėjimo</w:t>
      </w:r>
      <w:r w:rsidRPr="00693F82">
        <w:rPr>
          <w:sz w:val="22"/>
          <w:szCs w:val="22"/>
        </w:rPr>
        <w:t xml:space="preserve"> laiko mediana nuo gydymo pradžios buvo 8 savaitės</w:t>
      </w:r>
      <w:r w:rsidR="002E7949">
        <w:rPr>
          <w:sz w:val="22"/>
          <w:szCs w:val="22"/>
        </w:rPr>
        <w:t>; tęsiant gydymą</w:t>
      </w:r>
      <w:r w:rsidRPr="00693F82">
        <w:rPr>
          <w:sz w:val="22"/>
          <w:szCs w:val="22"/>
        </w:rPr>
        <w:t xml:space="preserve"> ALT </w:t>
      </w:r>
      <w:r w:rsidR="00115F77">
        <w:rPr>
          <w:sz w:val="22"/>
          <w:szCs w:val="22"/>
        </w:rPr>
        <w:t>aktyvumas</w:t>
      </w:r>
      <w:r w:rsidR="002E7949">
        <w:rPr>
          <w:sz w:val="22"/>
          <w:szCs w:val="22"/>
        </w:rPr>
        <w:t xml:space="preserve"> </w:t>
      </w:r>
      <w:r w:rsidRPr="00693F82">
        <w:rPr>
          <w:sz w:val="22"/>
          <w:szCs w:val="22"/>
        </w:rPr>
        <w:t>sumažė</w:t>
      </w:r>
      <w:r w:rsidR="002E7949">
        <w:rPr>
          <w:sz w:val="22"/>
          <w:szCs w:val="22"/>
        </w:rPr>
        <w:t>jo</w:t>
      </w:r>
      <w:r w:rsidRPr="00693F82">
        <w:rPr>
          <w:sz w:val="22"/>
          <w:szCs w:val="22"/>
        </w:rPr>
        <w:t xml:space="preserve">. ALT </w:t>
      </w:r>
      <w:r w:rsidR="002E7949">
        <w:rPr>
          <w:sz w:val="22"/>
          <w:szCs w:val="22"/>
        </w:rPr>
        <w:t>aktyvumo didėjimas</w:t>
      </w:r>
      <w:r w:rsidRPr="00693F82">
        <w:rPr>
          <w:sz w:val="22"/>
          <w:szCs w:val="22"/>
        </w:rPr>
        <w:t xml:space="preserve"> daugum</w:t>
      </w:r>
      <w:r w:rsidR="002E7949">
        <w:rPr>
          <w:sz w:val="22"/>
          <w:szCs w:val="22"/>
        </w:rPr>
        <w:t>oje</w:t>
      </w:r>
      <w:r w:rsidRPr="00693F82">
        <w:rPr>
          <w:sz w:val="22"/>
          <w:szCs w:val="22"/>
        </w:rPr>
        <w:t xml:space="preserve"> atvejų </w:t>
      </w:r>
      <w:r w:rsidR="002E7949">
        <w:rPr>
          <w:sz w:val="22"/>
          <w:szCs w:val="22"/>
        </w:rPr>
        <w:t>buvo susijęs su</w:t>
      </w:r>
      <w:r w:rsidRPr="00693F82">
        <w:rPr>
          <w:sz w:val="22"/>
          <w:szCs w:val="22"/>
        </w:rPr>
        <w:t xml:space="preserve"> virusų kieki</w:t>
      </w:r>
      <w:r w:rsidR="002E7949">
        <w:rPr>
          <w:sz w:val="22"/>
          <w:szCs w:val="22"/>
        </w:rPr>
        <w:t>o</w:t>
      </w:r>
      <w:r w:rsidRPr="00693F82">
        <w:rPr>
          <w:sz w:val="22"/>
          <w:szCs w:val="22"/>
        </w:rPr>
        <w:t xml:space="preserve"> ≥ 2 log</w:t>
      </w:r>
      <w:r w:rsidRPr="002E7949">
        <w:rPr>
          <w:sz w:val="22"/>
          <w:szCs w:val="22"/>
          <w:vertAlign w:val="subscript"/>
        </w:rPr>
        <w:t>10</w:t>
      </w:r>
      <w:r w:rsidRPr="00693F82">
        <w:rPr>
          <w:sz w:val="22"/>
          <w:szCs w:val="22"/>
        </w:rPr>
        <w:t xml:space="preserve"> kopij</w:t>
      </w:r>
      <w:r w:rsidR="002E7949">
        <w:rPr>
          <w:sz w:val="22"/>
          <w:szCs w:val="22"/>
        </w:rPr>
        <w:t>ų</w:t>
      </w:r>
      <w:r w:rsidRPr="00693F82">
        <w:rPr>
          <w:sz w:val="22"/>
          <w:szCs w:val="22"/>
        </w:rPr>
        <w:t>/ml</w:t>
      </w:r>
      <w:r w:rsidR="002E7949">
        <w:rPr>
          <w:sz w:val="22"/>
          <w:szCs w:val="22"/>
        </w:rPr>
        <w:t xml:space="preserve"> mažėjimu</w:t>
      </w:r>
      <w:r w:rsidRPr="00693F82">
        <w:rPr>
          <w:sz w:val="22"/>
          <w:szCs w:val="22"/>
        </w:rPr>
        <w:t>, kuris įvyko prieš ALT pakilimą arba tuo pačiu metu. Gydymo metu rekomenduojama periodiškai stebėti kepenų funkciją (žr. 4.4 skyrių).</w:t>
      </w:r>
    </w:p>
    <w:p w14:paraId="712EB579" w14:textId="77777777" w:rsidR="0056070C" w:rsidRPr="00693F82" w:rsidRDefault="0056070C" w:rsidP="00693F82">
      <w:pPr>
        <w:pStyle w:val="Default"/>
        <w:rPr>
          <w:sz w:val="22"/>
          <w:szCs w:val="22"/>
        </w:rPr>
      </w:pPr>
    </w:p>
    <w:p w14:paraId="27F4E8A2" w14:textId="77777777" w:rsidR="00693F82" w:rsidRPr="002E7949" w:rsidRDefault="00693F82" w:rsidP="00693F82">
      <w:pPr>
        <w:pStyle w:val="Default"/>
        <w:rPr>
          <w:i/>
          <w:sz w:val="22"/>
          <w:szCs w:val="22"/>
        </w:rPr>
      </w:pPr>
      <w:r w:rsidRPr="002E7949">
        <w:rPr>
          <w:i/>
          <w:sz w:val="22"/>
          <w:szCs w:val="22"/>
        </w:rPr>
        <w:t>Hepatito B paūmėjim</w:t>
      </w:r>
      <w:r w:rsidR="002E7949">
        <w:rPr>
          <w:i/>
          <w:sz w:val="22"/>
          <w:szCs w:val="22"/>
        </w:rPr>
        <w:t>ai</w:t>
      </w:r>
      <w:r w:rsidRPr="002E7949">
        <w:rPr>
          <w:i/>
          <w:sz w:val="22"/>
          <w:szCs w:val="22"/>
        </w:rPr>
        <w:t xml:space="preserve"> po gydymo nutraukimo</w:t>
      </w:r>
    </w:p>
    <w:p w14:paraId="798D441F" w14:textId="77777777" w:rsidR="0066169B" w:rsidRDefault="00693F82" w:rsidP="00693F82">
      <w:pPr>
        <w:pStyle w:val="Default"/>
        <w:rPr>
          <w:sz w:val="22"/>
          <w:szCs w:val="22"/>
        </w:rPr>
      </w:pPr>
      <w:r w:rsidRPr="00693F82">
        <w:rPr>
          <w:sz w:val="22"/>
          <w:szCs w:val="22"/>
        </w:rPr>
        <w:t xml:space="preserve">HBV infekuotiems pacientams hepatito paūmėjimo klinikiniai ir laboratoriniai </w:t>
      </w:r>
      <w:r w:rsidR="002E7949">
        <w:rPr>
          <w:sz w:val="22"/>
          <w:szCs w:val="22"/>
        </w:rPr>
        <w:t>įrodymai pasireiškė</w:t>
      </w:r>
      <w:r w:rsidRPr="00693F82">
        <w:rPr>
          <w:sz w:val="22"/>
          <w:szCs w:val="22"/>
        </w:rPr>
        <w:t xml:space="preserve"> nutraukus HBV gydymą (žr. 4.4 skyrių).</w:t>
      </w:r>
    </w:p>
    <w:p w14:paraId="3B7B5F16" w14:textId="77777777" w:rsidR="0066169B" w:rsidRDefault="0066169B" w:rsidP="00782776">
      <w:pPr>
        <w:pStyle w:val="Default"/>
        <w:rPr>
          <w:sz w:val="22"/>
          <w:szCs w:val="22"/>
        </w:rPr>
      </w:pPr>
    </w:p>
    <w:p w14:paraId="06FB925B" w14:textId="77777777" w:rsidR="00FB5EBB" w:rsidRPr="00FB5EBB" w:rsidRDefault="00FB5EBB" w:rsidP="00FB5EBB">
      <w:pPr>
        <w:pStyle w:val="Default"/>
        <w:rPr>
          <w:sz w:val="22"/>
          <w:szCs w:val="22"/>
          <w:u w:val="single"/>
        </w:rPr>
      </w:pPr>
      <w:r w:rsidRPr="00FB5EBB">
        <w:rPr>
          <w:sz w:val="22"/>
          <w:szCs w:val="22"/>
          <w:u w:val="single"/>
        </w:rPr>
        <w:t>Vaikų populiacija</w:t>
      </w:r>
    </w:p>
    <w:p w14:paraId="7C2A6BD8" w14:textId="77777777" w:rsidR="00FB5EBB" w:rsidRPr="00FB5EBB" w:rsidRDefault="00FB5EBB" w:rsidP="00FB5EBB">
      <w:pPr>
        <w:pStyle w:val="Default"/>
        <w:rPr>
          <w:i/>
          <w:sz w:val="22"/>
          <w:szCs w:val="22"/>
        </w:rPr>
      </w:pPr>
      <w:r w:rsidRPr="00FB5EBB">
        <w:rPr>
          <w:i/>
          <w:sz w:val="22"/>
          <w:szCs w:val="22"/>
        </w:rPr>
        <w:t>ŽIV-1</w:t>
      </w:r>
    </w:p>
    <w:p w14:paraId="027845EB" w14:textId="6E137222" w:rsidR="00FB5EBB" w:rsidRPr="00FB5EBB" w:rsidRDefault="00FB5EBB" w:rsidP="00FB5EBB">
      <w:pPr>
        <w:pStyle w:val="Default"/>
        <w:rPr>
          <w:sz w:val="22"/>
          <w:szCs w:val="22"/>
        </w:rPr>
      </w:pPr>
      <w:r w:rsidRPr="00FB5EBB">
        <w:rPr>
          <w:sz w:val="22"/>
          <w:szCs w:val="22"/>
        </w:rPr>
        <w:t xml:space="preserve">Nepageidaujamų reakcijų vertinimas yra </w:t>
      </w:r>
      <w:r>
        <w:rPr>
          <w:sz w:val="22"/>
          <w:szCs w:val="22"/>
        </w:rPr>
        <w:t>pagristas</w:t>
      </w:r>
      <w:r w:rsidRPr="00FB5EBB">
        <w:rPr>
          <w:sz w:val="22"/>
          <w:szCs w:val="22"/>
        </w:rPr>
        <w:t xml:space="preserve"> dviem atsitiktinių imčių tyrimais (tyrimais GS-US-104-0321 ir GS-US-104-0352), kurių metu buvo tirti 184 ŽIV-1 infekuoti pacientai vaikai ir paaugliai (nuo 2 iki &lt; 18 metų amžiaus), 48 savaites gydyti </w:t>
      </w:r>
      <w:r w:rsidR="00292C7B">
        <w:rPr>
          <w:sz w:val="22"/>
          <w:szCs w:val="22"/>
        </w:rPr>
        <w:t xml:space="preserve">tenofoviru </w:t>
      </w:r>
      <w:r w:rsidR="00653D08">
        <w:rPr>
          <w:sz w:val="22"/>
          <w:szCs w:val="22"/>
        </w:rPr>
        <w:t>dizoproksili</w:t>
      </w:r>
      <w:r w:rsidR="008A3775">
        <w:rPr>
          <w:sz w:val="22"/>
          <w:szCs w:val="22"/>
        </w:rPr>
        <w:t>u</w:t>
      </w:r>
      <w:r w:rsidR="00653D08">
        <w:rPr>
          <w:sz w:val="22"/>
          <w:szCs w:val="22"/>
        </w:rPr>
        <w:t xml:space="preserve"> </w:t>
      </w:r>
      <w:r w:rsidRPr="00FB5EBB">
        <w:rPr>
          <w:sz w:val="22"/>
          <w:szCs w:val="22"/>
        </w:rPr>
        <w:t xml:space="preserve">(n = 93) arba placebo/aktyvaus lyginamojo preparato (n = 91) deriniu su kitais antiretrovirusiniais vaistiniais preparatais (žr. 5.1 skyrių). </w:t>
      </w:r>
      <w:r w:rsidR="00292C7B">
        <w:rPr>
          <w:sz w:val="22"/>
          <w:szCs w:val="22"/>
        </w:rPr>
        <w:t xml:space="preserve">Tenofoviru </w:t>
      </w:r>
      <w:r w:rsidR="00653D08">
        <w:rPr>
          <w:sz w:val="22"/>
          <w:szCs w:val="22"/>
        </w:rPr>
        <w:t>dizoproksili</w:t>
      </w:r>
      <w:r w:rsidR="008A3775">
        <w:rPr>
          <w:sz w:val="22"/>
          <w:szCs w:val="22"/>
        </w:rPr>
        <w:t>u</w:t>
      </w:r>
      <w:r w:rsidR="00653D08">
        <w:rPr>
          <w:sz w:val="22"/>
          <w:szCs w:val="22"/>
        </w:rPr>
        <w:t xml:space="preserve"> </w:t>
      </w:r>
      <w:r w:rsidRPr="00FB5EBB">
        <w:rPr>
          <w:sz w:val="22"/>
          <w:szCs w:val="22"/>
        </w:rPr>
        <w:t xml:space="preserve">gydytiems pacientams vaikams ir paaugliams nustatytos tokios pat nepageidaujamos reakcijos kaip ir suaugusiųjų </w:t>
      </w:r>
      <w:r w:rsidR="008A3775">
        <w:rPr>
          <w:sz w:val="22"/>
          <w:szCs w:val="22"/>
        </w:rPr>
        <w:t>t</w:t>
      </w:r>
      <w:r w:rsidR="00653D08">
        <w:rPr>
          <w:sz w:val="22"/>
          <w:szCs w:val="22"/>
        </w:rPr>
        <w:t xml:space="preserve">enofoviro dizoproksilio </w:t>
      </w:r>
      <w:r w:rsidRPr="00FB5EBB">
        <w:rPr>
          <w:sz w:val="22"/>
          <w:szCs w:val="22"/>
        </w:rPr>
        <w:t>klinikiniuose tyrimuose (žr. 4.8 skyri</w:t>
      </w:r>
      <w:r>
        <w:rPr>
          <w:sz w:val="22"/>
          <w:szCs w:val="22"/>
        </w:rPr>
        <w:t>aus</w:t>
      </w:r>
      <w:r w:rsidRPr="00FB5EBB">
        <w:rPr>
          <w:sz w:val="22"/>
          <w:szCs w:val="22"/>
        </w:rPr>
        <w:t xml:space="preserve"> </w:t>
      </w:r>
      <w:r>
        <w:rPr>
          <w:sz w:val="22"/>
          <w:szCs w:val="22"/>
        </w:rPr>
        <w:t>poskyrį „</w:t>
      </w:r>
      <w:r w:rsidRPr="00FB5EBB">
        <w:rPr>
          <w:i/>
          <w:sz w:val="22"/>
          <w:szCs w:val="22"/>
        </w:rPr>
        <w:t>Nepageidaujamų reakcijų santrauka lentelėje</w:t>
      </w:r>
      <w:r>
        <w:rPr>
          <w:sz w:val="22"/>
          <w:szCs w:val="22"/>
        </w:rPr>
        <w:t>“</w:t>
      </w:r>
      <w:r w:rsidRPr="00FB5EBB">
        <w:rPr>
          <w:sz w:val="22"/>
          <w:szCs w:val="22"/>
        </w:rPr>
        <w:t xml:space="preserve"> ir 5.1 skyrių).</w:t>
      </w:r>
    </w:p>
    <w:p w14:paraId="5B1EF301" w14:textId="77777777" w:rsidR="00FB5EBB" w:rsidRDefault="00FB5EBB" w:rsidP="00FB5EBB">
      <w:pPr>
        <w:pStyle w:val="Default"/>
        <w:rPr>
          <w:sz w:val="22"/>
          <w:szCs w:val="22"/>
        </w:rPr>
      </w:pPr>
    </w:p>
    <w:p w14:paraId="4D5D54C4" w14:textId="77777777" w:rsidR="00FB5EBB" w:rsidRPr="00FB5EBB" w:rsidRDefault="00FB5EBB" w:rsidP="00FB5EBB">
      <w:pPr>
        <w:pStyle w:val="Default"/>
        <w:rPr>
          <w:sz w:val="22"/>
          <w:szCs w:val="22"/>
        </w:rPr>
      </w:pPr>
      <w:r>
        <w:rPr>
          <w:sz w:val="22"/>
          <w:szCs w:val="22"/>
        </w:rPr>
        <w:t xml:space="preserve">Gauta pranešimų apie </w:t>
      </w:r>
      <w:r w:rsidRPr="00FB5EBB">
        <w:rPr>
          <w:sz w:val="22"/>
          <w:szCs w:val="22"/>
        </w:rPr>
        <w:t>KMT sumažėjim</w:t>
      </w:r>
      <w:r>
        <w:rPr>
          <w:sz w:val="22"/>
          <w:szCs w:val="22"/>
        </w:rPr>
        <w:t>ą</w:t>
      </w:r>
      <w:r w:rsidRPr="00FB5EBB">
        <w:rPr>
          <w:sz w:val="22"/>
          <w:szCs w:val="22"/>
        </w:rPr>
        <w:t xml:space="preserve"> vaikams ir paaugliams. Tiriant ŽIV-1 infekuotus paauglius, tiriamųjų, vartojusių tenofoviro dizoproksilio, KMT Z-balas buvo mažesnis nei tiriamųjų, vartojusių placebą. Tiriant ŽIV-1 infekuotus vaikus, tiriamųjų, kurie perėjo prie </w:t>
      </w:r>
      <w:r w:rsidR="008A3775">
        <w:rPr>
          <w:sz w:val="22"/>
          <w:szCs w:val="22"/>
        </w:rPr>
        <w:t>t</w:t>
      </w:r>
      <w:r w:rsidR="00653D08">
        <w:rPr>
          <w:sz w:val="22"/>
          <w:szCs w:val="22"/>
        </w:rPr>
        <w:t xml:space="preserve">enofoviro dizoproksilio </w:t>
      </w:r>
      <w:r w:rsidRPr="00FB5EBB">
        <w:rPr>
          <w:sz w:val="22"/>
          <w:szCs w:val="22"/>
        </w:rPr>
        <w:t xml:space="preserve">vartojimo, KMT Z-balas buvo mažesnis nei tiriamųjų, toliau </w:t>
      </w:r>
      <w:r w:rsidR="00B567C4">
        <w:rPr>
          <w:sz w:val="22"/>
          <w:szCs w:val="22"/>
        </w:rPr>
        <w:t>gydomų</w:t>
      </w:r>
      <w:r w:rsidRPr="00FB5EBB">
        <w:rPr>
          <w:sz w:val="22"/>
          <w:szCs w:val="22"/>
        </w:rPr>
        <w:t xml:space="preserve"> </w:t>
      </w:r>
      <w:r w:rsidR="00B567C4">
        <w:rPr>
          <w:sz w:val="22"/>
          <w:szCs w:val="22"/>
        </w:rPr>
        <w:t xml:space="preserve">pagal schemas, kurių sudėtyje yra </w:t>
      </w:r>
      <w:r w:rsidRPr="00FB5EBB">
        <w:rPr>
          <w:sz w:val="22"/>
          <w:szCs w:val="22"/>
        </w:rPr>
        <w:t>stavudino arba zidovudino (žr. 4.4 ir 5.1 skyrius).</w:t>
      </w:r>
    </w:p>
    <w:p w14:paraId="1089C729" w14:textId="77777777" w:rsidR="00B567C4" w:rsidRDefault="00B567C4" w:rsidP="00FB5EBB">
      <w:pPr>
        <w:pStyle w:val="Default"/>
        <w:rPr>
          <w:sz w:val="22"/>
          <w:szCs w:val="22"/>
        </w:rPr>
      </w:pPr>
    </w:p>
    <w:p w14:paraId="10AA2F36" w14:textId="78541A48" w:rsidR="00B567C4" w:rsidRPr="00B567C4" w:rsidRDefault="00FB5EBB" w:rsidP="00B567C4">
      <w:pPr>
        <w:pStyle w:val="Default"/>
        <w:rPr>
          <w:sz w:val="22"/>
          <w:szCs w:val="22"/>
        </w:rPr>
      </w:pPr>
      <w:r w:rsidRPr="00FB5EBB">
        <w:rPr>
          <w:sz w:val="22"/>
          <w:szCs w:val="22"/>
        </w:rPr>
        <w:t xml:space="preserve">Tyrimo GS-US-104-0352 metu </w:t>
      </w:r>
      <w:r w:rsidR="00520290">
        <w:rPr>
          <w:sz w:val="22"/>
          <w:szCs w:val="22"/>
        </w:rPr>
        <w:t>8</w:t>
      </w:r>
      <w:r w:rsidR="00520290" w:rsidRPr="00FB5EBB">
        <w:rPr>
          <w:sz w:val="22"/>
          <w:szCs w:val="22"/>
        </w:rPr>
        <w:t xml:space="preserve"> </w:t>
      </w:r>
      <w:r w:rsidRPr="00FB5EBB">
        <w:rPr>
          <w:sz w:val="22"/>
          <w:szCs w:val="22"/>
        </w:rPr>
        <w:t xml:space="preserve">iš 89 </w:t>
      </w:r>
      <w:r w:rsidR="00520290">
        <w:rPr>
          <w:sz w:val="22"/>
          <w:szCs w:val="22"/>
        </w:rPr>
        <w:t>pediatrinių pacientų</w:t>
      </w:r>
      <w:r w:rsidR="00AF4F66">
        <w:rPr>
          <w:sz w:val="22"/>
          <w:szCs w:val="22"/>
        </w:rPr>
        <w:t xml:space="preserve"> </w:t>
      </w:r>
      <w:r w:rsidR="00AF4F66" w:rsidRPr="00945A0C">
        <w:rPr>
          <w:sz w:val="22"/>
          <w:szCs w:val="22"/>
        </w:rPr>
        <w:t>(9</w:t>
      </w:r>
      <w:r w:rsidR="00DE3668">
        <w:rPr>
          <w:sz w:val="22"/>
          <w:szCs w:val="22"/>
        </w:rPr>
        <w:t> </w:t>
      </w:r>
      <w:r w:rsidR="00AF4F66" w:rsidRPr="00945A0C">
        <w:rPr>
          <w:sz w:val="22"/>
          <w:szCs w:val="22"/>
        </w:rPr>
        <w:t>%)</w:t>
      </w:r>
      <w:r w:rsidR="00520290" w:rsidRPr="00AF4F66">
        <w:rPr>
          <w:sz w:val="22"/>
          <w:szCs w:val="22"/>
        </w:rPr>
        <w:t>,</w:t>
      </w:r>
      <w:r w:rsidR="00520290">
        <w:rPr>
          <w:sz w:val="22"/>
          <w:szCs w:val="22"/>
        </w:rPr>
        <w:t xml:space="preserve"> kuriems taikyta tenofoviro dizoproksilio ekspozicija</w:t>
      </w:r>
      <w:r w:rsidR="00B567C4">
        <w:rPr>
          <w:sz w:val="22"/>
          <w:szCs w:val="22"/>
        </w:rPr>
        <w:t xml:space="preserve"> </w:t>
      </w:r>
      <w:r w:rsidRPr="00FB5EBB">
        <w:rPr>
          <w:sz w:val="22"/>
          <w:szCs w:val="22"/>
        </w:rPr>
        <w:t>(</w:t>
      </w:r>
      <w:r w:rsidR="008A3775">
        <w:rPr>
          <w:sz w:val="22"/>
          <w:szCs w:val="22"/>
        </w:rPr>
        <w:t>t</w:t>
      </w:r>
      <w:r w:rsidR="00653D08">
        <w:rPr>
          <w:sz w:val="22"/>
          <w:szCs w:val="22"/>
        </w:rPr>
        <w:t xml:space="preserve">enofoviro dizoproksilio </w:t>
      </w:r>
      <w:r w:rsidR="00520290">
        <w:rPr>
          <w:sz w:val="22"/>
          <w:szCs w:val="22"/>
        </w:rPr>
        <w:t>ekspozicijos</w:t>
      </w:r>
      <w:r w:rsidR="00520290" w:rsidRPr="00FB5EBB">
        <w:rPr>
          <w:sz w:val="22"/>
          <w:szCs w:val="22"/>
        </w:rPr>
        <w:t xml:space="preserve"> </w:t>
      </w:r>
      <w:r w:rsidRPr="00FB5EBB">
        <w:rPr>
          <w:sz w:val="22"/>
          <w:szCs w:val="22"/>
        </w:rPr>
        <w:t xml:space="preserve">mediana – </w:t>
      </w:r>
      <w:r w:rsidR="00520290" w:rsidRPr="00FB5EBB">
        <w:rPr>
          <w:sz w:val="22"/>
          <w:szCs w:val="22"/>
        </w:rPr>
        <w:t>3</w:t>
      </w:r>
      <w:r w:rsidR="00520290">
        <w:rPr>
          <w:sz w:val="22"/>
          <w:szCs w:val="22"/>
        </w:rPr>
        <w:t>31</w:t>
      </w:r>
      <w:r w:rsidR="00520290" w:rsidRPr="00FB5EBB">
        <w:rPr>
          <w:sz w:val="22"/>
          <w:szCs w:val="22"/>
        </w:rPr>
        <w:t xml:space="preserve"> </w:t>
      </w:r>
      <w:r w:rsidRPr="00FB5EBB">
        <w:rPr>
          <w:sz w:val="22"/>
          <w:szCs w:val="22"/>
        </w:rPr>
        <w:t>savai</w:t>
      </w:r>
      <w:r w:rsidR="00520290">
        <w:rPr>
          <w:sz w:val="22"/>
          <w:szCs w:val="22"/>
        </w:rPr>
        <w:t>tė</w:t>
      </w:r>
      <w:r w:rsidRPr="00FB5EBB">
        <w:rPr>
          <w:sz w:val="22"/>
          <w:szCs w:val="22"/>
        </w:rPr>
        <w:t xml:space="preserve">) </w:t>
      </w:r>
      <w:r w:rsidR="00AF4F66">
        <w:rPr>
          <w:sz w:val="22"/>
          <w:szCs w:val="22"/>
        </w:rPr>
        <w:t>nutraukė</w:t>
      </w:r>
      <w:r w:rsidRPr="00FB5EBB">
        <w:rPr>
          <w:sz w:val="22"/>
          <w:szCs w:val="22"/>
        </w:rPr>
        <w:t xml:space="preserve"> </w:t>
      </w:r>
      <w:r w:rsidR="00AF4F66" w:rsidRPr="00FB5EBB">
        <w:rPr>
          <w:sz w:val="22"/>
          <w:szCs w:val="22"/>
        </w:rPr>
        <w:t>tyrim</w:t>
      </w:r>
      <w:r w:rsidR="00AF4F66">
        <w:rPr>
          <w:sz w:val="22"/>
          <w:szCs w:val="22"/>
        </w:rPr>
        <w:t>ą d</w:t>
      </w:r>
      <w:r w:rsidRPr="00FB5EBB">
        <w:rPr>
          <w:sz w:val="22"/>
          <w:szCs w:val="22"/>
        </w:rPr>
        <w:t xml:space="preserve">ėl </w:t>
      </w:r>
      <w:r w:rsidR="00520290">
        <w:rPr>
          <w:sz w:val="22"/>
          <w:szCs w:val="22"/>
        </w:rPr>
        <w:t xml:space="preserve">inkstų </w:t>
      </w:r>
      <w:r w:rsidRPr="00FB5EBB">
        <w:rPr>
          <w:sz w:val="22"/>
          <w:szCs w:val="22"/>
        </w:rPr>
        <w:t xml:space="preserve">nepageidaujamų </w:t>
      </w:r>
      <w:r w:rsidR="00520290">
        <w:rPr>
          <w:sz w:val="22"/>
          <w:szCs w:val="22"/>
        </w:rPr>
        <w:t>reiškinių. Penkiems asmenims (5,6</w:t>
      </w:r>
      <w:r w:rsidR="00DE3668">
        <w:rPr>
          <w:sz w:val="22"/>
          <w:szCs w:val="22"/>
        </w:rPr>
        <w:t> </w:t>
      </w:r>
      <w:r w:rsidR="00520290">
        <w:rPr>
          <w:sz w:val="22"/>
          <w:szCs w:val="22"/>
        </w:rPr>
        <w:t>%) buvo laboratorinių rodmenų, kliniškai</w:t>
      </w:r>
      <w:r w:rsidRPr="00FB5EBB">
        <w:rPr>
          <w:sz w:val="22"/>
          <w:szCs w:val="22"/>
        </w:rPr>
        <w:t xml:space="preserve"> </w:t>
      </w:r>
      <w:r w:rsidR="00B567C4">
        <w:rPr>
          <w:sz w:val="22"/>
          <w:szCs w:val="22"/>
        </w:rPr>
        <w:t>atitinkančių</w:t>
      </w:r>
      <w:r w:rsidRPr="00FB5EBB">
        <w:rPr>
          <w:sz w:val="22"/>
          <w:szCs w:val="22"/>
        </w:rPr>
        <w:t xml:space="preserve"> proksimalinę inkstų </w:t>
      </w:r>
      <w:r w:rsidRPr="00AE3AFC">
        <w:rPr>
          <w:sz w:val="22"/>
          <w:szCs w:val="22"/>
        </w:rPr>
        <w:t>tubulopatiją</w:t>
      </w:r>
      <w:r w:rsidR="00520290">
        <w:rPr>
          <w:sz w:val="22"/>
          <w:szCs w:val="22"/>
        </w:rPr>
        <w:t>, iš kurių 4 nutrauktas gydymas tenofoviru dizoproksiliu.</w:t>
      </w:r>
      <w:r w:rsidRPr="00FB5EBB">
        <w:rPr>
          <w:sz w:val="22"/>
          <w:szCs w:val="22"/>
        </w:rPr>
        <w:t xml:space="preserve"> Septyniems pacientams apskaičiuoto glomerulų filtracijos greičio (GFG) vertės buvo nuo 70 iki 90</w:t>
      </w:r>
      <w:r w:rsidR="008A3775">
        <w:rPr>
          <w:sz w:val="22"/>
          <w:szCs w:val="22"/>
        </w:rPr>
        <w:t> </w:t>
      </w:r>
      <w:r w:rsidRPr="00FB5EBB">
        <w:rPr>
          <w:sz w:val="22"/>
          <w:szCs w:val="22"/>
        </w:rPr>
        <w:t>ml/min./1,73</w:t>
      </w:r>
      <w:r w:rsidR="008A3775">
        <w:rPr>
          <w:sz w:val="22"/>
          <w:szCs w:val="22"/>
        </w:rPr>
        <w:t> </w:t>
      </w:r>
      <w:r w:rsidRPr="00FB5EBB">
        <w:rPr>
          <w:sz w:val="22"/>
          <w:szCs w:val="22"/>
        </w:rPr>
        <w:t>m</w:t>
      </w:r>
      <w:r w:rsidRPr="00B567C4">
        <w:rPr>
          <w:sz w:val="22"/>
          <w:szCs w:val="22"/>
          <w:vertAlign w:val="superscript"/>
        </w:rPr>
        <w:t>2</w:t>
      </w:r>
      <w:r w:rsidRPr="00FB5EBB">
        <w:rPr>
          <w:sz w:val="22"/>
          <w:szCs w:val="22"/>
        </w:rPr>
        <w:t xml:space="preserve">. </w:t>
      </w:r>
      <w:r w:rsidR="007D490E">
        <w:rPr>
          <w:sz w:val="22"/>
          <w:szCs w:val="22"/>
        </w:rPr>
        <w:t>Trims</w:t>
      </w:r>
      <w:r w:rsidR="007D490E" w:rsidRPr="00FB5EBB">
        <w:rPr>
          <w:sz w:val="22"/>
          <w:szCs w:val="22"/>
        </w:rPr>
        <w:t xml:space="preserve"> </w:t>
      </w:r>
      <w:r w:rsidRPr="00FB5EBB">
        <w:rPr>
          <w:sz w:val="22"/>
          <w:szCs w:val="22"/>
        </w:rPr>
        <w:t>iš</w:t>
      </w:r>
      <w:r w:rsidR="00B567C4">
        <w:rPr>
          <w:sz w:val="22"/>
          <w:szCs w:val="22"/>
        </w:rPr>
        <w:t xml:space="preserve"> jų </w:t>
      </w:r>
      <w:r w:rsidR="00B567C4" w:rsidRPr="00B567C4">
        <w:rPr>
          <w:sz w:val="22"/>
          <w:szCs w:val="22"/>
        </w:rPr>
        <w:t>apskaičiuot</w:t>
      </w:r>
      <w:r w:rsidR="00B567C4">
        <w:rPr>
          <w:sz w:val="22"/>
          <w:szCs w:val="22"/>
        </w:rPr>
        <w:t>o</w:t>
      </w:r>
      <w:r w:rsidR="00B567C4" w:rsidRPr="00B567C4">
        <w:rPr>
          <w:sz w:val="22"/>
          <w:szCs w:val="22"/>
        </w:rPr>
        <w:t xml:space="preserve"> GFG </w:t>
      </w:r>
      <w:r w:rsidR="00B567C4">
        <w:rPr>
          <w:sz w:val="22"/>
          <w:szCs w:val="22"/>
        </w:rPr>
        <w:t>sumažėjimas buvo</w:t>
      </w:r>
      <w:r w:rsidR="00B567C4" w:rsidRPr="00B567C4">
        <w:rPr>
          <w:sz w:val="22"/>
          <w:szCs w:val="22"/>
        </w:rPr>
        <w:t xml:space="preserve"> kliniškai reikšming</w:t>
      </w:r>
      <w:r w:rsidR="00B567C4">
        <w:rPr>
          <w:sz w:val="22"/>
          <w:szCs w:val="22"/>
        </w:rPr>
        <w:t>as</w:t>
      </w:r>
      <w:r w:rsidR="00B567C4" w:rsidRPr="00B567C4">
        <w:rPr>
          <w:sz w:val="22"/>
          <w:szCs w:val="22"/>
        </w:rPr>
        <w:t xml:space="preserve">, kuris </w:t>
      </w:r>
      <w:r w:rsidR="00B567C4">
        <w:rPr>
          <w:sz w:val="22"/>
          <w:szCs w:val="22"/>
        </w:rPr>
        <w:t>tapo geresnis</w:t>
      </w:r>
      <w:r w:rsidR="00B567C4" w:rsidRPr="00B567C4">
        <w:rPr>
          <w:sz w:val="22"/>
          <w:szCs w:val="22"/>
        </w:rPr>
        <w:t xml:space="preserve"> nutraukus </w:t>
      </w:r>
      <w:r w:rsidR="008A3775">
        <w:rPr>
          <w:sz w:val="22"/>
          <w:szCs w:val="22"/>
        </w:rPr>
        <w:t>t</w:t>
      </w:r>
      <w:r w:rsidR="00653D08">
        <w:rPr>
          <w:sz w:val="22"/>
          <w:szCs w:val="22"/>
        </w:rPr>
        <w:t xml:space="preserve">enofoviro dizoproksilio </w:t>
      </w:r>
      <w:r w:rsidR="00B567C4" w:rsidRPr="00B567C4">
        <w:rPr>
          <w:sz w:val="22"/>
          <w:szCs w:val="22"/>
        </w:rPr>
        <w:t>vartojimą</w:t>
      </w:r>
      <w:r w:rsidR="00B567C4">
        <w:rPr>
          <w:sz w:val="22"/>
          <w:szCs w:val="22"/>
        </w:rPr>
        <w:t>.</w:t>
      </w:r>
    </w:p>
    <w:p w14:paraId="6BE1F0BF" w14:textId="77777777" w:rsidR="00B567C4" w:rsidRDefault="00B567C4" w:rsidP="00B567C4">
      <w:pPr>
        <w:pStyle w:val="Default"/>
        <w:rPr>
          <w:sz w:val="22"/>
          <w:szCs w:val="22"/>
        </w:rPr>
      </w:pPr>
    </w:p>
    <w:p w14:paraId="55DDD030" w14:textId="77777777" w:rsidR="00B567C4" w:rsidRPr="00B567C4" w:rsidRDefault="00B567C4" w:rsidP="00B567C4">
      <w:pPr>
        <w:pStyle w:val="Default"/>
        <w:rPr>
          <w:i/>
          <w:sz w:val="22"/>
          <w:szCs w:val="22"/>
        </w:rPr>
      </w:pPr>
      <w:r w:rsidRPr="00B567C4">
        <w:rPr>
          <w:i/>
          <w:sz w:val="22"/>
          <w:szCs w:val="22"/>
        </w:rPr>
        <w:t>Lėtinis hepatitas B</w:t>
      </w:r>
    </w:p>
    <w:p w14:paraId="0258E25F" w14:textId="1106AED6" w:rsidR="00306657" w:rsidRPr="00306657" w:rsidRDefault="00B567C4" w:rsidP="00306657">
      <w:pPr>
        <w:pStyle w:val="Default"/>
        <w:rPr>
          <w:sz w:val="22"/>
          <w:szCs w:val="22"/>
        </w:rPr>
      </w:pPr>
      <w:r w:rsidRPr="00B567C4">
        <w:rPr>
          <w:sz w:val="22"/>
          <w:szCs w:val="22"/>
        </w:rPr>
        <w:lastRenderedPageBreak/>
        <w:t xml:space="preserve">Nepageidaujamų reakcijų vertinimas yra </w:t>
      </w:r>
      <w:r>
        <w:rPr>
          <w:sz w:val="22"/>
          <w:szCs w:val="22"/>
        </w:rPr>
        <w:t>pagrįstas</w:t>
      </w:r>
      <w:r w:rsidRPr="00B567C4">
        <w:rPr>
          <w:sz w:val="22"/>
          <w:szCs w:val="22"/>
        </w:rPr>
        <w:t xml:space="preserve"> atsitiktinių imčių tyrimu (tyrimas GS-US-174-0115), kurio metu buvo tirti 106 lėtiniu hepatitu B sergantys pacientai paaugliai (nuo 12 iki &lt; 18 metų amžiaus), 72 savaites gydyti 245</w:t>
      </w:r>
      <w:r w:rsidR="008A3775">
        <w:rPr>
          <w:sz w:val="22"/>
          <w:szCs w:val="22"/>
        </w:rPr>
        <w:t> </w:t>
      </w:r>
      <w:r w:rsidRPr="00B567C4">
        <w:rPr>
          <w:sz w:val="22"/>
          <w:szCs w:val="22"/>
        </w:rPr>
        <w:t xml:space="preserve">mg </w:t>
      </w:r>
      <w:r w:rsidR="007D490E" w:rsidRPr="00B567C4">
        <w:rPr>
          <w:sz w:val="22"/>
          <w:szCs w:val="22"/>
        </w:rPr>
        <w:t>tenofovir</w:t>
      </w:r>
      <w:r w:rsidR="007D490E">
        <w:rPr>
          <w:sz w:val="22"/>
          <w:szCs w:val="22"/>
        </w:rPr>
        <w:t>u</w:t>
      </w:r>
      <w:r w:rsidR="007D490E" w:rsidRPr="00B567C4">
        <w:rPr>
          <w:sz w:val="22"/>
          <w:szCs w:val="22"/>
        </w:rPr>
        <w:t xml:space="preserve"> </w:t>
      </w:r>
      <w:r w:rsidRPr="00B567C4">
        <w:rPr>
          <w:sz w:val="22"/>
          <w:szCs w:val="22"/>
        </w:rPr>
        <w:t>dizoproksili</w:t>
      </w:r>
      <w:r>
        <w:rPr>
          <w:sz w:val="22"/>
          <w:szCs w:val="22"/>
        </w:rPr>
        <w:t>u</w:t>
      </w:r>
      <w:r w:rsidRPr="00B567C4">
        <w:rPr>
          <w:sz w:val="22"/>
          <w:szCs w:val="22"/>
        </w:rPr>
        <w:t xml:space="preserve"> (n = 52) arba placebu (n = 54)</w:t>
      </w:r>
      <w:r w:rsidR="00306657">
        <w:rPr>
          <w:sz w:val="22"/>
          <w:szCs w:val="22"/>
        </w:rPr>
        <w:t xml:space="preserve">, </w:t>
      </w:r>
      <w:r w:rsidR="00306657" w:rsidRPr="00306657">
        <w:rPr>
          <w:sz w:val="22"/>
          <w:szCs w:val="22"/>
        </w:rPr>
        <w:t>ir</w:t>
      </w:r>
      <w:r w:rsidR="00306657">
        <w:rPr>
          <w:sz w:val="22"/>
          <w:szCs w:val="22"/>
        </w:rPr>
        <w:t xml:space="preserve"> </w:t>
      </w:r>
      <w:r w:rsidR="00306657" w:rsidRPr="00306657">
        <w:rPr>
          <w:sz w:val="22"/>
          <w:szCs w:val="22"/>
        </w:rPr>
        <w:t>atsitiktinių imčių tyrimu (tyrimu GS-US-174-0144), kurio metu buvo tirti 89 lėtiniu hepatitu B</w:t>
      </w:r>
      <w:r w:rsidR="00306657">
        <w:rPr>
          <w:sz w:val="22"/>
          <w:szCs w:val="22"/>
        </w:rPr>
        <w:t xml:space="preserve"> </w:t>
      </w:r>
      <w:r w:rsidR="00306657" w:rsidRPr="00306657">
        <w:rPr>
          <w:sz w:val="22"/>
          <w:szCs w:val="22"/>
        </w:rPr>
        <w:t>sergantys pacientai (nuo 2 iki &lt; 12 metų amžiaus), 48 savaites gydyti tenofoviru dizoproksiliu (n = 60)</w:t>
      </w:r>
    </w:p>
    <w:p w14:paraId="3988A491" w14:textId="486DFFB7" w:rsidR="00B567C4" w:rsidRPr="00B567C4" w:rsidRDefault="00306657" w:rsidP="00306657">
      <w:pPr>
        <w:pStyle w:val="Default"/>
        <w:rPr>
          <w:sz w:val="22"/>
          <w:szCs w:val="22"/>
        </w:rPr>
      </w:pPr>
      <w:r w:rsidRPr="00306657">
        <w:rPr>
          <w:sz w:val="22"/>
          <w:szCs w:val="22"/>
        </w:rPr>
        <w:t>arba placebu (n = 29)</w:t>
      </w:r>
      <w:r w:rsidR="00B567C4" w:rsidRPr="00B567C4">
        <w:rPr>
          <w:sz w:val="22"/>
          <w:szCs w:val="22"/>
        </w:rPr>
        <w:t xml:space="preserve">. </w:t>
      </w:r>
      <w:r w:rsidR="007D490E">
        <w:rPr>
          <w:sz w:val="22"/>
          <w:szCs w:val="22"/>
        </w:rPr>
        <w:t xml:space="preserve">Tenofoviru </w:t>
      </w:r>
      <w:r w:rsidR="00653D08">
        <w:rPr>
          <w:sz w:val="22"/>
          <w:szCs w:val="22"/>
        </w:rPr>
        <w:t>dizoproksili</w:t>
      </w:r>
      <w:r w:rsidR="00EC2332">
        <w:rPr>
          <w:sz w:val="22"/>
          <w:szCs w:val="22"/>
        </w:rPr>
        <w:t>u</w:t>
      </w:r>
      <w:r w:rsidR="00653D08">
        <w:rPr>
          <w:sz w:val="22"/>
          <w:szCs w:val="22"/>
        </w:rPr>
        <w:t xml:space="preserve"> </w:t>
      </w:r>
      <w:r w:rsidR="00B567C4" w:rsidRPr="00B567C4">
        <w:rPr>
          <w:sz w:val="22"/>
          <w:szCs w:val="22"/>
        </w:rPr>
        <w:t xml:space="preserve">gydytiems </w:t>
      </w:r>
      <w:r>
        <w:rPr>
          <w:sz w:val="22"/>
          <w:szCs w:val="22"/>
        </w:rPr>
        <w:t>pacientams vaikams</w:t>
      </w:r>
      <w:r w:rsidRPr="00B567C4">
        <w:rPr>
          <w:sz w:val="22"/>
          <w:szCs w:val="22"/>
        </w:rPr>
        <w:t xml:space="preserve"> </w:t>
      </w:r>
      <w:r w:rsidR="00B567C4" w:rsidRPr="00B567C4">
        <w:rPr>
          <w:sz w:val="22"/>
          <w:szCs w:val="22"/>
        </w:rPr>
        <w:t xml:space="preserve">nustatytos tokios pat nepageidaujamos reakcijos, kokios buvo nustatytos </w:t>
      </w:r>
      <w:r w:rsidR="008A3775">
        <w:rPr>
          <w:sz w:val="22"/>
          <w:szCs w:val="22"/>
        </w:rPr>
        <w:t>t</w:t>
      </w:r>
      <w:r w:rsidR="00653D08">
        <w:rPr>
          <w:sz w:val="22"/>
          <w:szCs w:val="22"/>
        </w:rPr>
        <w:t xml:space="preserve">enofoviro dizoproksilio </w:t>
      </w:r>
      <w:r w:rsidR="00B567C4" w:rsidRPr="00B567C4">
        <w:rPr>
          <w:sz w:val="22"/>
          <w:szCs w:val="22"/>
        </w:rPr>
        <w:t>vartoj</w:t>
      </w:r>
      <w:r w:rsidR="00B567C4">
        <w:rPr>
          <w:sz w:val="22"/>
          <w:szCs w:val="22"/>
        </w:rPr>
        <w:t>usiems</w:t>
      </w:r>
      <w:r w:rsidR="00B567C4" w:rsidRPr="00B567C4">
        <w:rPr>
          <w:sz w:val="22"/>
          <w:szCs w:val="22"/>
        </w:rPr>
        <w:t xml:space="preserve"> suaugusiesiems klinikinių tyrimų metu </w:t>
      </w:r>
      <w:r w:rsidR="00014D1D" w:rsidRPr="00014D1D">
        <w:rPr>
          <w:sz w:val="22"/>
          <w:szCs w:val="22"/>
        </w:rPr>
        <w:t>(žr. 4.8 skyriaus poskyrį „Nepageidaujamų reakcijų santrauka lentelėje“ ir 5.1 skyrių).</w:t>
      </w:r>
    </w:p>
    <w:p w14:paraId="4A1E346E" w14:textId="77777777" w:rsidR="00014D1D" w:rsidRDefault="00014D1D" w:rsidP="00B567C4">
      <w:pPr>
        <w:pStyle w:val="Default"/>
        <w:rPr>
          <w:sz w:val="22"/>
          <w:szCs w:val="22"/>
        </w:rPr>
      </w:pPr>
    </w:p>
    <w:p w14:paraId="03CE2D11" w14:textId="3EF7DD42" w:rsidR="00B567C4" w:rsidRPr="00B567C4" w:rsidRDefault="00B567C4" w:rsidP="00B567C4">
      <w:pPr>
        <w:pStyle w:val="Default"/>
        <w:rPr>
          <w:sz w:val="22"/>
          <w:szCs w:val="22"/>
        </w:rPr>
      </w:pPr>
      <w:r w:rsidRPr="00B567C4">
        <w:rPr>
          <w:sz w:val="22"/>
          <w:szCs w:val="22"/>
        </w:rPr>
        <w:t xml:space="preserve">HBV infekuotiems </w:t>
      </w:r>
      <w:r w:rsidR="00FF412E" w:rsidRPr="00FF412E">
        <w:rPr>
          <w:sz w:val="22"/>
          <w:szCs w:val="22"/>
        </w:rPr>
        <w:t>pacienta</w:t>
      </w:r>
      <w:r w:rsidR="00FF412E">
        <w:rPr>
          <w:sz w:val="22"/>
          <w:szCs w:val="22"/>
        </w:rPr>
        <w:t>ms vaikams</w:t>
      </w:r>
      <w:r w:rsidR="00FF412E" w:rsidRPr="00FF412E">
        <w:rPr>
          <w:sz w:val="22"/>
          <w:szCs w:val="22"/>
        </w:rPr>
        <w:t xml:space="preserve"> (nuo 2 iki &lt; 12 metų amžiaus)</w:t>
      </w:r>
      <w:r w:rsidRPr="00B567C4">
        <w:rPr>
          <w:sz w:val="22"/>
          <w:szCs w:val="22"/>
        </w:rPr>
        <w:t xml:space="preserve"> </w:t>
      </w:r>
      <w:r w:rsidR="00014D1D">
        <w:rPr>
          <w:sz w:val="22"/>
          <w:szCs w:val="22"/>
        </w:rPr>
        <w:t>pastebėtas</w:t>
      </w:r>
      <w:r w:rsidRPr="00B567C4">
        <w:rPr>
          <w:sz w:val="22"/>
          <w:szCs w:val="22"/>
        </w:rPr>
        <w:t xml:space="preserve"> KMT sumažėjimas. Tiriamųjų, vartojusių tenofoviro dizoproksilio, KMT Z-balas buvo mažesnis nei tiriamųjų, vartojusių placebą (žr. 4.4 ir 5.1 skyrius).</w:t>
      </w:r>
    </w:p>
    <w:p w14:paraId="17A39522" w14:textId="77777777" w:rsidR="00014D1D" w:rsidRDefault="00014D1D" w:rsidP="00B567C4">
      <w:pPr>
        <w:pStyle w:val="Default"/>
        <w:rPr>
          <w:sz w:val="22"/>
          <w:szCs w:val="22"/>
        </w:rPr>
      </w:pPr>
    </w:p>
    <w:p w14:paraId="799CF66A" w14:textId="77777777" w:rsidR="00B567C4" w:rsidRPr="00014D1D" w:rsidRDefault="00B567C4" w:rsidP="00B567C4">
      <w:pPr>
        <w:pStyle w:val="Default"/>
        <w:rPr>
          <w:sz w:val="22"/>
          <w:szCs w:val="22"/>
          <w:u w:val="single"/>
        </w:rPr>
      </w:pPr>
      <w:r w:rsidRPr="00014D1D">
        <w:rPr>
          <w:sz w:val="22"/>
          <w:szCs w:val="22"/>
          <w:u w:val="single"/>
        </w:rPr>
        <w:t xml:space="preserve">Kitos ypatingos </w:t>
      </w:r>
      <w:r w:rsidR="00014D1D" w:rsidRPr="00014D1D">
        <w:rPr>
          <w:sz w:val="22"/>
          <w:szCs w:val="22"/>
          <w:u w:val="single"/>
        </w:rPr>
        <w:t>populiacijos</w:t>
      </w:r>
    </w:p>
    <w:p w14:paraId="15A64223" w14:textId="77777777" w:rsidR="00B567C4" w:rsidRPr="00014D1D" w:rsidRDefault="00B567C4" w:rsidP="00B567C4">
      <w:pPr>
        <w:pStyle w:val="Default"/>
        <w:rPr>
          <w:i/>
          <w:sz w:val="22"/>
          <w:szCs w:val="22"/>
        </w:rPr>
      </w:pPr>
      <w:r w:rsidRPr="00014D1D">
        <w:rPr>
          <w:i/>
          <w:sz w:val="22"/>
          <w:szCs w:val="22"/>
        </w:rPr>
        <w:t>Senyvi pacienta</w:t>
      </w:r>
      <w:r w:rsidR="00014D1D" w:rsidRPr="00014D1D">
        <w:rPr>
          <w:i/>
          <w:sz w:val="22"/>
          <w:szCs w:val="22"/>
        </w:rPr>
        <w:t>i</w:t>
      </w:r>
    </w:p>
    <w:p w14:paraId="2643F57C" w14:textId="39845851" w:rsidR="00B567C4" w:rsidRPr="00B567C4" w:rsidRDefault="00653D08" w:rsidP="00B567C4">
      <w:pPr>
        <w:pStyle w:val="Default"/>
        <w:rPr>
          <w:sz w:val="22"/>
          <w:szCs w:val="22"/>
        </w:rPr>
      </w:pPr>
      <w:r>
        <w:rPr>
          <w:sz w:val="22"/>
          <w:szCs w:val="22"/>
        </w:rPr>
        <w:t xml:space="preserve">Tenofoviro dizoproksilio </w:t>
      </w:r>
      <w:r w:rsidR="00B567C4" w:rsidRPr="00B567C4">
        <w:rPr>
          <w:sz w:val="22"/>
          <w:szCs w:val="22"/>
        </w:rPr>
        <w:t xml:space="preserve">poveikis vyresniems nei 65 metų amžiaus pacientams </w:t>
      </w:r>
      <w:r w:rsidR="00014D1D">
        <w:rPr>
          <w:sz w:val="22"/>
          <w:szCs w:val="22"/>
        </w:rPr>
        <w:t>ne</w:t>
      </w:r>
      <w:r w:rsidR="00B567C4" w:rsidRPr="00B567C4">
        <w:rPr>
          <w:sz w:val="22"/>
          <w:szCs w:val="22"/>
        </w:rPr>
        <w:t xml:space="preserve">tirtas. Senyviems pacientams dažniau gali būti sutrikusi inkstų funkcija, todėl </w:t>
      </w:r>
      <w:r w:rsidR="007D490E">
        <w:rPr>
          <w:sz w:val="22"/>
          <w:szCs w:val="22"/>
        </w:rPr>
        <w:t xml:space="preserve">tenofoviru dizoproksiliu </w:t>
      </w:r>
      <w:r w:rsidR="00B567C4" w:rsidRPr="00B567C4">
        <w:rPr>
          <w:sz w:val="22"/>
          <w:szCs w:val="22"/>
        </w:rPr>
        <w:t>juos reikia gydyti atsargiai (žr. 4.4 skyrių).</w:t>
      </w:r>
    </w:p>
    <w:p w14:paraId="182D5570" w14:textId="77777777" w:rsidR="00014D1D" w:rsidRDefault="00014D1D" w:rsidP="00B567C4">
      <w:pPr>
        <w:pStyle w:val="Default"/>
        <w:rPr>
          <w:sz w:val="22"/>
          <w:szCs w:val="22"/>
        </w:rPr>
      </w:pPr>
    </w:p>
    <w:p w14:paraId="1E3376CB" w14:textId="77777777" w:rsidR="00B567C4" w:rsidRPr="00014D1D" w:rsidRDefault="00014D1D" w:rsidP="00B567C4">
      <w:pPr>
        <w:pStyle w:val="Default"/>
        <w:rPr>
          <w:i/>
          <w:sz w:val="22"/>
          <w:szCs w:val="22"/>
        </w:rPr>
      </w:pPr>
      <w:r>
        <w:rPr>
          <w:i/>
          <w:sz w:val="22"/>
          <w:szCs w:val="22"/>
        </w:rPr>
        <w:t>Sutrikusi i</w:t>
      </w:r>
      <w:r w:rsidR="00B567C4" w:rsidRPr="00014D1D">
        <w:rPr>
          <w:i/>
          <w:sz w:val="22"/>
          <w:szCs w:val="22"/>
        </w:rPr>
        <w:t>nkstų funkcij</w:t>
      </w:r>
      <w:r>
        <w:rPr>
          <w:i/>
          <w:sz w:val="22"/>
          <w:szCs w:val="22"/>
        </w:rPr>
        <w:t>a</w:t>
      </w:r>
    </w:p>
    <w:p w14:paraId="3760F9B3" w14:textId="0128D762" w:rsidR="0066169B" w:rsidRDefault="00B567C4" w:rsidP="00B567C4">
      <w:pPr>
        <w:pStyle w:val="Default"/>
        <w:rPr>
          <w:sz w:val="22"/>
          <w:szCs w:val="22"/>
        </w:rPr>
      </w:pPr>
      <w:r w:rsidRPr="00B567C4">
        <w:rPr>
          <w:sz w:val="22"/>
          <w:szCs w:val="22"/>
        </w:rPr>
        <w:t xml:space="preserve">Kadangi </w:t>
      </w:r>
      <w:r w:rsidR="007D490E" w:rsidRPr="00B567C4">
        <w:rPr>
          <w:sz w:val="22"/>
          <w:szCs w:val="22"/>
        </w:rPr>
        <w:t>t</w:t>
      </w:r>
      <w:r w:rsidR="007D490E">
        <w:rPr>
          <w:sz w:val="22"/>
          <w:szCs w:val="22"/>
        </w:rPr>
        <w:t xml:space="preserve">enofoviras </w:t>
      </w:r>
      <w:r w:rsidR="00653D08">
        <w:rPr>
          <w:sz w:val="22"/>
          <w:szCs w:val="22"/>
        </w:rPr>
        <w:t>dizoproksilis</w:t>
      </w:r>
      <w:r w:rsidRPr="00B567C4">
        <w:rPr>
          <w:sz w:val="22"/>
          <w:szCs w:val="22"/>
        </w:rPr>
        <w:t xml:space="preserve"> gali sukelti toksinį poveikį inkstams, </w:t>
      </w:r>
      <w:r w:rsidR="007D490E">
        <w:rPr>
          <w:sz w:val="22"/>
          <w:szCs w:val="22"/>
        </w:rPr>
        <w:t xml:space="preserve">tenofoviru </w:t>
      </w:r>
      <w:r w:rsidR="00653D08">
        <w:rPr>
          <w:sz w:val="22"/>
          <w:szCs w:val="22"/>
        </w:rPr>
        <w:t>dizoproksili</w:t>
      </w:r>
      <w:r w:rsidR="003B64F1">
        <w:rPr>
          <w:sz w:val="22"/>
          <w:szCs w:val="22"/>
        </w:rPr>
        <w:t>u</w:t>
      </w:r>
      <w:r w:rsidR="00653D08">
        <w:rPr>
          <w:sz w:val="22"/>
          <w:szCs w:val="22"/>
        </w:rPr>
        <w:t xml:space="preserve"> </w:t>
      </w:r>
      <w:r w:rsidRPr="00B567C4">
        <w:rPr>
          <w:sz w:val="22"/>
          <w:szCs w:val="22"/>
        </w:rPr>
        <w:t xml:space="preserve">gydomiems suaugusiems pacientams, kurių inkstų funkcija sutrikusi, </w:t>
      </w:r>
      <w:r w:rsidR="00014D1D">
        <w:rPr>
          <w:sz w:val="22"/>
          <w:szCs w:val="22"/>
        </w:rPr>
        <w:t>rekomenduojama</w:t>
      </w:r>
      <w:r w:rsidRPr="00B567C4">
        <w:rPr>
          <w:sz w:val="22"/>
          <w:szCs w:val="22"/>
        </w:rPr>
        <w:t xml:space="preserve"> atidžiai stebėti inkstų funkciją (žr. 4.2, 4.4 ir 5.2 skyrius). </w:t>
      </w:r>
      <w:r w:rsidR="00014D1D">
        <w:rPr>
          <w:sz w:val="22"/>
          <w:szCs w:val="22"/>
        </w:rPr>
        <w:t>V</w:t>
      </w:r>
      <w:r w:rsidRPr="00B567C4">
        <w:rPr>
          <w:sz w:val="22"/>
          <w:szCs w:val="22"/>
        </w:rPr>
        <w:t xml:space="preserve">aikams ir paaugliams, </w:t>
      </w:r>
      <w:r w:rsidR="00014D1D">
        <w:rPr>
          <w:sz w:val="22"/>
          <w:szCs w:val="22"/>
        </w:rPr>
        <w:t>kurių</w:t>
      </w:r>
      <w:r w:rsidRPr="00B567C4">
        <w:rPr>
          <w:sz w:val="22"/>
          <w:szCs w:val="22"/>
        </w:rPr>
        <w:t xml:space="preserve"> inkstų funkcij</w:t>
      </w:r>
      <w:r w:rsidR="00014D1D">
        <w:rPr>
          <w:sz w:val="22"/>
          <w:szCs w:val="22"/>
        </w:rPr>
        <w:t>a</w:t>
      </w:r>
      <w:r w:rsidRPr="00B567C4">
        <w:rPr>
          <w:sz w:val="22"/>
          <w:szCs w:val="22"/>
        </w:rPr>
        <w:t xml:space="preserve"> sutrik</w:t>
      </w:r>
      <w:r w:rsidR="00014D1D">
        <w:rPr>
          <w:sz w:val="22"/>
          <w:szCs w:val="22"/>
        </w:rPr>
        <w:t>usi</w:t>
      </w:r>
      <w:r w:rsidRPr="00B567C4">
        <w:rPr>
          <w:sz w:val="22"/>
          <w:szCs w:val="22"/>
        </w:rPr>
        <w:t xml:space="preserve">, </w:t>
      </w:r>
      <w:r w:rsidR="00014D1D">
        <w:rPr>
          <w:sz w:val="22"/>
          <w:szCs w:val="22"/>
        </w:rPr>
        <w:t>vartoti</w:t>
      </w:r>
      <w:r w:rsidRPr="00B567C4">
        <w:rPr>
          <w:sz w:val="22"/>
          <w:szCs w:val="22"/>
        </w:rPr>
        <w:t xml:space="preserve"> </w:t>
      </w:r>
      <w:r w:rsidR="003B64F1">
        <w:rPr>
          <w:sz w:val="22"/>
          <w:szCs w:val="22"/>
        </w:rPr>
        <w:t>t</w:t>
      </w:r>
      <w:r w:rsidR="00653D08">
        <w:rPr>
          <w:sz w:val="22"/>
          <w:szCs w:val="22"/>
        </w:rPr>
        <w:t xml:space="preserve">enofoviro dizoproksilio </w:t>
      </w:r>
      <w:r w:rsidRPr="00B567C4">
        <w:rPr>
          <w:sz w:val="22"/>
          <w:szCs w:val="22"/>
        </w:rPr>
        <w:t>nerekomenduojama (žr. 4.2 ir 4.4 skyrius).</w:t>
      </w:r>
    </w:p>
    <w:p w14:paraId="1E582B76" w14:textId="77777777" w:rsidR="009D6BA0" w:rsidRDefault="009D6BA0" w:rsidP="006D2D23">
      <w:pPr>
        <w:tabs>
          <w:tab w:val="left" w:pos="567"/>
        </w:tabs>
        <w:autoSpaceDE w:val="0"/>
        <w:autoSpaceDN w:val="0"/>
        <w:adjustRightInd w:val="0"/>
        <w:spacing w:line="260" w:lineRule="exact"/>
        <w:jc w:val="both"/>
        <w:rPr>
          <w:snapToGrid w:val="0"/>
          <w:szCs w:val="24"/>
          <w:u w:val="single"/>
          <w:lang w:eastAsia="en-US"/>
        </w:rPr>
      </w:pPr>
    </w:p>
    <w:p w14:paraId="378802C4" w14:textId="77777777" w:rsidR="006D2D23" w:rsidRPr="0046556E" w:rsidRDefault="006D2D23" w:rsidP="006D2D23">
      <w:pPr>
        <w:tabs>
          <w:tab w:val="left" w:pos="567"/>
        </w:tabs>
        <w:autoSpaceDE w:val="0"/>
        <w:autoSpaceDN w:val="0"/>
        <w:adjustRightInd w:val="0"/>
        <w:spacing w:line="260" w:lineRule="exact"/>
        <w:jc w:val="both"/>
        <w:rPr>
          <w:snapToGrid w:val="0"/>
          <w:szCs w:val="24"/>
          <w:u w:val="single"/>
          <w:lang w:eastAsia="en-US"/>
        </w:rPr>
      </w:pPr>
      <w:r w:rsidRPr="0046556E">
        <w:rPr>
          <w:snapToGrid w:val="0"/>
          <w:szCs w:val="24"/>
          <w:u w:val="single"/>
          <w:lang w:eastAsia="en-US"/>
        </w:rPr>
        <w:t>Pranešimas apie įtariamas nepageidaujamas reakcijas</w:t>
      </w:r>
    </w:p>
    <w:p w14:paraId="77DEFC2E" w14:textId="77777777" w:rsidR="006D2D23" w:rsidRPr="0046556E" w:rsidRDefault="006D2D23" w:rsidP="006D2D23">
      <w:pPr>
        <w:tabs>
          <w:tab w:val="left" w:pos="567"/>
        </w:tabs>
        <w:rPr>
          <w:lang w:eastAsia="en-US"/>
        </w:rPr>
      </w:pPr>
      <w:r w:rsidRPr="0046556E">
        <w:rPr>
          <w:noProof/>
          <w:szCs w:val="24"/>
          <w:lang w:eastAsia="en-US"/>
        </w:rPr>
        <w:t>Svarbu pranešti apie įtariamas nepageidaujamas reakcijas, pastebėtas po vaistinio preparato registracijos, nes tai leidžia nuolat stebėti vaistinio preparato naudos ir rizikos santykį.</w:t>
      </w:r>
      <w:r w:rsidRPr="0046556E">
        <w:rPr>
          <w:szCs w:val="24"/>
          <w:lang w:eastAsia="en-US"/>
        </w:rPr>
        <w:t xml:space="preserve"> </w:t>
      </w:r>
      <w:r w:rsidRPr="0046556E">
        <w:rPr>
          <w:noProof/>
          <w:szCs w:val="24"/>
          <w:lang w:eastAsia="en-US"/>
        </w:rPr>
        <w:t>Sveikatos priežiūros specialistai turi pranešti apie bet kokias įtariamas nepageidaujamas reakcijas, užpildę interneto svetainėje http://</w:t>
      </w:r>
      <w:hyperlink r:id="rId8" w:history="1">
        <w:r w:rsidRPr="0046556E">
          <w:rPr>
            <w:rFonts w:eastAsia="SimSun"/>
            <w:noProof/>
            <w:color w:val="0000FF"/>
            <w:szCs w:val="24"/>
            <w:u w:val="single"/>
            <w:lang w:eastAsia="en-US"/>
          </w:rPr>
          <w:t>www.vvkt.lt</w:t>
        </w:r>
      </w:hyperlink>
      <w:r w:rsidRPr="0046556E">
        <w:rPr>
          <w:noProof/>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6556E">
          <w:rPr>
            <w:rFonts w:eastAsia="SimSun"/>
            <w:noProof/>
            <w:color w:val="0000FF"/>
            <w:szCs w:val="24"/>
            <w:u w:val="single"/>
            <w:lang w:eastAsia="en-US"/>
          </w:rPr>
          <w:t>NepageidaujamaR@vvkt.lt</w:t>
        </w:r>
      </w:hyperlink>
      <w:r w:rsidRPr="0046556E">
        <w:rPr>
          <w:noProof/>
          <w:szCs w:val="24"/>
          <w:lang w:eastAsia="en-US"/>
        </w:rPr>
        <w:t xml:space="preserve">), per interneto svetainę (adresu </w:t>
      </w:r>
      <w:hyperlink r:id="rId10" w:history="1">
        <w:r w:rsidRPr="0046556E">
          <w:rPr>
            <w:noProof/>
            <w:color w:val="0000FF"/>
            <w:szCs w:val="24"/>
            <w:u w:val="single"/>
            <w:lang w:eastAsia="en-US"/>
          </w:rPr>
          <w:t>http://www.vvkt.lt</w:t>
        </w:r>
      </w:hyperlink>
      <w:r w:rsidRPr="0046556E">
        <w:rPr>
          <w:noProof/>
          <w:szCs w:val="24"/>
          <w:lang w:eastAsia="en-US"/>
        </w:rPr>
        <w:t xml:space="preserve">). </w:t>
      </w:r>
    </w:p>
    <w:p w14:paraId="407D6EE4" w14:textId="77777777" w:rsidR="006D2D23" w:rsidRPr="0046556E" w:rsidRDefault="006D2D23" w:rsidP="006D2D23">
      <w:pPr>
        <w:tabs>
          <w:tab w:val="left" w:pos="567"/>
        </w:tabs>
        <w:rPr>
          <w:b/>
          <w:szCs w:val="22"/>
          <w:lang w:eastAsia="en-US"/>
        </w:rPr>
      </w:pPr>
    </w:p>
    <w:p w14:paraId="2713F62C" w14:textId="77777777" w:rsidR="006D2D23" w:rsidRPr="0046556E" w:rsidRDefault="006D2D23" w:rsidP="006D2D23">
      <w:pPr>
        <w:tabs>
          <w:tab w:val="left" w:pos="567"/>
        </w:tabs>
        <w:ind w:left="567" w:hanging="567"/>
        <w:rPr>
          <w:szCs w:val="22"/>
          <w:lang w:eastAsia="en-US"/>
        </w:rPr>
      </w:pPr>
      <w:r w:rsidRPr="0046556E">
        <w:rPr>
          <w:b/>
          <w:szCs w:val="22"/>
          <w:lang w:eastAsia="en-US"/>
        </w:rPr>
        <w:t>4.9</w:t>
      </w:r>
      <w:r w:rsidRPr="0046556E">
        <w:rPr>
          <w:b/>
          <w:szCs w:val="22"/>
          <w:lang w:eastAsia="en-US"/>
        </w:rPr>
        <w:tab/>
        <w:t>Perdozavimas</w:t>
      </w:r>
    </w:p>
    <w:p w14:paraId="43D7CB8D" w14:textId="77777777" w:rsidR="006D2D23" w:rsidRPr="0046556E" w:rsidRDefault="006D2D23" w:rsidP="006D2D23">
      <w:pPr>
        <w:tabs>
          <w:tab w:val="left" w:pos="567"/>
        </w:tabs>
        <w:rPr>
          <w:szCs w:val="22"/>
          <w:lang w:eastAsia="en-US"/>
        </w:rPr>
      </w:pPr>
    </w:p>
    <w:p w14:paraId="48A8CAB2" w14:textId="77777777" w:rsidR="009D6BA0" w:rsidRPr="009D6BA0" w:rsidRDefault="009D6BA0" w:rsidP="009D6BA0">
      <w:pPr>
        <w:tabs>
          <w:tab w:val="left" w:pos="567"/>
        </w:tabs>
        <w:rPr>
          <w:szCs w:val="22"/>
          <w:u w:val="single"/>
          <w:lang w:eastAsia="en-US"/>
        </w:rPr>
      </w:pPr>
      <w:r w:rsidRPr="009D6BA0">
        <w:rPr>
          <w:szCs w:val="22"/>
          <w:u w:val="single"/>
          <w:lang w:eastAsia="en-US"/>
        </w:rPr>
        <w:t>Simptomai</w:t>
      </w:r>
    </w:p>
    <w:p w14:paraId="0E74ECC7" w14:textId="77777777" w:rsidR="00014D1D" w:rsidRPr="00014D1D" w:rsidRDefault="00014D1D" w:rsidP="00014D1D">
      <w:pPr>
        <w:tabs>
          <w:tab w:val="left" w:pos="567"/>
        </w:tabs>
        <w:rPr>
          <w:szCs w:val="22"/>
          <w:lang w:eastAsia="en-US"/>
        </w:rPr>
      </w:pPr>
      <w:r w:rsidRPr="00014D1D">
        <w:rPr>
          <w:szCs w:val="22"/>
          <w:lang w:eastAsia="en-US"/>
        </w:rPr>
        <w:t>Perdozavimo atveju pacientą reikia stebėti dėl toksinio poveikio simptomų (žr. 4.8 ir 5.3 skyrius) ir</w:t>
      </w:r>
      <w:r>
        <w:rPr>
          <w:szCs w:val="22"/>
          <w:lang w:eastAsia="en-US"/>
        </w:rPr>
        <w:t xml:space="preserve"> prireikus</w:t>
      </w:r>
      <w:r w:rsidRPr="00014D1D">
        <w:rPr>
          <w:szCs w:val="22"/>
          <w:lang w:eastAsia="en-US"/>
        </w:rPr>
        <w:t xml:space="preserve"> taikyti įprastinį palaikomąjį gydymą.</w:t>
      </w:r>
    </w:p>
    <w:p w14:paraId="36AC472A" w14:textId="77777777" w:rsidR="00014D1D" w:rsidRDefault="00014D1D" w:rsidP="00014D1D">
      <w:pPr>
        <w:tabs>
          <w:tab w:val="left" w:pos="567"/>
        </w:tabs>
        <w:rPr>
          <w:szCs w:val="22"/>
          <w:lang w:eastAsia="en-US"/>
        </w:rPr>
      </w:pPr>
    </w:p>
    <w:p w14:paraId="0A32EAEE" w14:textId="77777777" w:rsidR="00014D1D" w:rsidRPr="00014D1D" w:rsidRDefault="00014D1D" w:rsidP="00014D1D">
      <w:pPr>
        <w:tabs>
          <w:tab w:val="left" w:pos="567"/>
        </w:tabs>
        <w:rPr>
          <w:szCs w:val="22"/>
          <w:u w:val="single"/>
          <w:lang w:eastAsia="en-US"/>
        </w:rPr>
      </w:pPr>
      <w:r w:rsidRPr="00014D1D">
        <w:rPr>
          <w:szCs w:val="22"/>
          <w:u w:val="single"/>
          <w:lang w:eastAsia="en-US"/>
        </w:rPr>
        <w:t>Gydymas</w:t>
      </w:r>
    </w:p>
    <w:p w14:paraId="5E6B69AD" w14:textId="77777777" w:rsidR="009D6BA0" w:rsidRDefault="00014D1D" w:rsidP="00014D1D">
      <w:pPr>
        <w:tabs>
          <w:tab w:val="left" w:pos="567"/>
        </w:tabs>
        <w:rPr>
          <w:szCs w:val="22"/>
          <w:lang w:eastAsia="en-US"/>
        </w:rPr>
      </w:pPr>
      <w:r w:rsidRPr="00014D1D">
        <w:rPr>
          <w:szCs w:val="22"/>
          <w:lang w:eastAsia="en-US"/>
        </w:rPr>
        <w:t>Tenofovir</w:t>
      </w:r>
      <w:r>
        <w:rPr>
          <w:szCs w:val="22"/>
          <w:lang w:eastAsia="en-US"/>
        </w:rPr>
        <w:t>ą</w:t>
      </w:r>
      <w:r w:rsidRPr="00014D1D">
        <w:rPr>
          <w:szCs w:val="22"/>
          <w:lang w:eastAsia="en-US"/>
        </w:rPr>
        <w:t xml:space="preserve"> gali</w:t>
      </w:r>
      <w:r>
        <w:rPr>
          <w:szCs w:val="22"/>
          <w:lang w:eastAsia="en-US"/>
        </w:rPr>
        <w:t xml:space="preserve">ma šalinti </w:t>
      </w:r>
      <w:r w:rsidRPr="00014D1D">
        <w:rPr>
          <w:szCs w:val="22"/>
          <w:lang w:eastAsia="en-US"/>
        </w:rPr>
        <w:t>hemodializ</w:t>
      </w:r>
      <w:r>
        <w:rPr>
          <w:szCs w:val="22"/>
          <w:lang w:eastAsia="en-US"/>
        </w:rPr>
        <w:t>e</w:t>
      </w:r>
      <w:r w:rsidRPr="00014D1D">
        <w:rPr>
          <w:szCs w:val="22"/>
          <w:lang w:eastAsia="en-US"/>
        </w:rPr>
        <w:t xml:space="preserve">; tenofoviro </w:t>
      </w:r>
      <w:r w:rsidR="00E56A0B">
        <w:rPr>
          <w:szCs w:val="22"/>
          <w:lang w:eastAsia="en-US"/>
        </w:rPr>
        <w:t>hemodializės klirenso</w:t>
      </w:r>
      <w:r w:rsidRPr="00014D1D">
        <w:rPr>
          <w:szCs w:val="22"/>
          <w:lang w:eastAsia="en-US"/>
        </w:rPr>
        <w:t xml:space="preserve"> </w:t>
      </w:r>
      <w:r w:rsidR="00E56A0B">
        <w:rPr>
          <w:szCs w:val="22"/>
          <w:lang w:eastAsia="en-US"/>
        </w:rPr>
        <w:t xml:space="preserve">mediana </w:t>
      </w:r>
      <w:r w:rsidRPr="00014D1D">
        <w:rPr>
          <w:szCs w:val="22"/>
          <w:lang w:eastAsia="en-US"/>
        </w:rPr>
        <w:t xml:space="preserve">yra 134 ml/min. </w:t>
      </w:r>
      <w:r w:rsidR="00E56A0B">
        <w:rPr>
          <w:szCs w:val="22"/>
          <w:lang w:eastAsia="en-US"/>
        </w:rPr>
        <w:t>A</w:t>
      </w:r>
      <w:r w:rsidRPr="00014D1D">
        <w:rPr>
          <w:szCs w:val="22"/>
          <w:lang w:eastAsia="en-US"/>
        </w:rPr>
        <w:t>r tenofovir</w:t>
      </w:r>
      <w:r w:rsidR="00E56A0B">
        <w:rPr>
          <w:szCs w:val="22"/>
          <w:lang w:eastAsia="en-US"/>
        </w:rPr>
        <w:t>ą</w:t>
      </w:r>
      <w:r w:rsidRPr="00014D1D">
        <w:rPr>
          <w:szCs w:val="22"/>
          <w:lang w:eastAsia="en-US"/>
        </w:rPr>
        <w:t xml:space="preserve"> gal</w:t>
      </w:r>
      <w:r w:rsidR="00E56A0B">
        <w:rPr>
          <w:szCs w:val="22"/>
          <w:lang w:eastAsia="en-US"/>
        </w:rPr>
        <w:t>ima šalinti</w:t>
      </w:r>
      <w:r w:rsidRPr="00014D1D">
        <w:rPr>
          <w:szCs w:val="22"/>
          <w:lang w:eastAsia="en-US"/>
        </w:rPr>
        <w:t xml:space="preserve"> peritonin</w:t>
      </w:r>
      <w:r w:rsidR="00E56A0B">
        <w:rPr>
          <w:szCs w:val="22"/>
          <w:lang w:eastAsia="en-US"/>
        </w:rPr>
        <w:t>e</w:t>
      </w:r>
      <w:r w:rsidRPr="00014D1D">
        <w:rPr>
          <w:szCs w:val="22"/>
          <w:lang w:eastAsia="en-US"/>
        </w:rPr>
        <w:t xml:space="preserve"> dializ</w:t>
      </w:r>
      <w:r w:rsidR="00E56A0B">
        <w:rPr>
          <w:szCs w:val="22"/>
          <w:lang w:eastAsia="en-US"/>
        </w:rPr>
        <w:t>e, nežinoma</w:t>
      </w:r>
      <w:r w:rsidRPr="00014D1D">
        <w:rPr>
          <w:szCs w:val="22"/>
          <w:lang w:eastAsia="en-US"/>
        </w:rPr>
        <w:t>.</w:t>
      </w:r>
    </w:p>
    <w:p w14:paraId="59C1FB0C" w14:textId="77777777" w:rsidR="009D6BA0" w:rsidRDefault="009D6BA0" w:rsidP="009D6BA0">
      <w:pPr>
        <w:tabs>
          <w:tab w:val="left" w:pos="567"/>
        </w:tabs>
        <w:rPr>
          <w:szCs w:val="22"/>
          <w:lang w:eastAsia="en-US"/>
        </w:rPr>
      </w:pPr>
    </w:p>
    <w:p w14:paraId="01C8D61A" w14:textId="77777777" w:rsidR="009D6BA0" w:rsidRPr="0046556E" w:rsidRDefault="009D6BA0" w:rsidP="009D6BA0">
      <w:pPr>
        <w:tabs>
          <w:tab w:val="left" w:pos="567"/>
        </w:tabs>
        <w:rPr>
          <w:szCs w:val="22"/>
          <w:lang w:eastAsia="en-US"/>
        </w:rPr>
      </w:pPr>
    </w:p>
    <w:p w14:paraId="10CA55A7" w14:textId="77777777" w:rsidR="006D2D23" w:rsidRPr="0046556E" w:rsidRDefault="006D2D23" w:rsidP="006D2D23">
      <w:pPr>
        <w:tabs>
          <w:tab w:val="left" w:pos="567"/>
        </w:tabs>
        <w:ind w:left="567" w:hanging="567"/>
        <w:rPr>
          <w:szCs w:val="22"/>
          <w:lang w:eastAsia="en-US"/>
        </w:rPr>
      </w:pPr>
      <w:r w:rsidRPr="0046556E">
        <w:rPr>
          <w:b/>
          <w:szCs w:val="22"/>
          <w:lang w:eastAsia="en-US"/>
        </w:rPr>
        <w:t>5.</w:t>
      </w:r>
      <w:r w:rsidRPr="0046556E">
        <w:rPr>
          <w:b/>
          <w:szCs w:val="22"/>
          <w:lang w:eastAsia="en-US"/>
        </w:rPr>
        <w:tab/>
        <w:t>FARMAKOLOGINĖS SAVYBĖS</w:t>
      </w:r>
    </w:p>
    <w:p w14:paraId="3D448F9C" w14:textId="77777777" w:rsidR="006D2D23" w:rsidRPr="0046556E" w:rsidRDefault="006D2D23" w:rsidP="006D2D23">
      <w:pPr>
        <w:tabs>
          <w:tab w:val="left" w:pos="567"/>
        </w:tabs>
        <w:rPr>
          <w:b/>
          <w:szCs w:val="22"/>
          <w:lang w:eastAsia="en-US"/>
        </w:rPr>
      </w:pPr>
    </w:p>
    <w:p w14:paraId="0A461709" w14:textId="77777777" w:rsidR="006D2D23" w:rsidRPr="00743362" w:rsidRDefault="006D2D23" w:rsidP="006D2D23">
      <w:pPr>
        <w:tabs>
          <w:tab w:val="left" w:pos="567"/>
        </w:tabs>
        <w:ind w:left="567" w:hanging="567"/>
        <w:rPr>
          <w:szCs w:val="22"/>
          <w:lang w:eastAsia="en-US"/>
        </w:rPr>
      </w:pPr>
      <w:r w:rsidRPr="00743362">
        <w:rPr>
          <w:b/>
          <w:szCs w:val="22"/>
          <w:lang w:eastAsia="en-US"/>
        </w:rPr>
        <w:t>5.1</w:t>
      </w:r>
      <w:r w:rsidRPr="00743362">
        <w:rPr>
          <w:b/>
          <w:szCs w:val="22"/>
          <w:lang w:eastAsia="en-US"/>
        </w:rPr>
        <w:tab/>
        <w:t>Farmakodinaminės savybės</w:t>
      </w:r>
    </w:p>
    <w:p w14:paraId="3DEE730F" w14:textId="77777777" w:rsidR="006D2D23" w:rsidRDefault="006D2D23" w:rsidP="006D2D23">
      <w:pPr>
        <w:tabs>
          <w:tab w:val="left" w:pos="567"/>
        </w:tabs>
        <w:rPr>
          <w:szCs w:val="22"/>
          <w:lang w:eastAsia="en-US"/>
        </w:rPr>
      </w:pPr>
    </w:p>
    <w:p w14:paraId="7FC0E887" w14:textId="77777777" w:rsidR="00743362" w:rsidRPr="00743362" w:rsidRDefault="00743362" w:rsidP="00743362">
      <w:pPr>
        <w:tabs>
          <w:tab w:val="left" w:pos="567"/>
        </w:tabs>
        <w:rPr>
          <w:szCs w:val="22"/>
          <w:lang w:eastAsia="en-US"/>
        </w:rPr>
      </w:pPr>
      <w:r w:rsidRPr="00743362">
        <w:rPr>
          <w:szCs w:val="22"/>
          <w:lang w:eastAsia="en-US"/>
        </w:rPr>
        <w:t>Farmakoterapinė grupė – sistemiškai veikiantys priešvirusiniai vaist</w:t>
      </w:r>
      <w:r w:rsidR="003B64F1">
        <w:rPr>
          <w:szCs w:val="22"/>
          <w:lang w:eastAsia="en-US"/>
        </w:rPr>
        <w:t>iniai preparat</w:t>
      </w:r>
      <w:r w:rsidRPr="00743362">
        <w:rPr>
          <w:szCs w:val="22"/>
          <w:lang w:eastAsia="en-US"/>
        </w:rPr>
        <w:t>ai; nukleozid</w:t>
      </w:r>
      <w:r>
        <w:rPr>
          <w:szCs w:val="22"/>
          <w:lang w:eastAsia="en-US"/>
        </w:rPr>
        <w:t>inia</w:t>
      </w:r>
      <w:r w:rsidR="004B70F2">
        <w:rPr>
          <w:szCs w:val="22"/>
          <w:lang w:eastAsia="en-US"/>
        </w:rPr>
        <w:t>i</w:t>
      </w:r>
      <w:r>
        <w:rPr>
          <w:szCs w:val="22"/>
          <w:lang w:eastAsia="en-US"/>
        </w:rPr>
        <w:t xml:space="preserve"> ir nukleotidiniai</w:t>
      </w:r>
      <w:r w:rsidRPr="00743362">
        <w:rPr>
          <w:szCs w:val="22"/>
          <w:lang w:eastAsia="en-US"/>
        </w:rPr>
        <w:t xml:space="preserve"> atvirkštinės transkriptazės inhibitoriai, ATC kodas – J05AF07</w:t>
      </w:r>
      <w:r w:rsidR="003B64F1">
        <w:rPr>
          <w:szCs w:val="22"/>
          <w:lang w:eastAsia="en-US"/>
        </w:rPr>
        <w:t>.</w:t>
      </w:r>
    </w:p>
    <w:p w14:paraId="26A57A55" w14:textId="77777777" w:rsidR="004B70F2" w:rsidRDefault="004B70F2" w:rsidP="00743362">
      <w:pPr>
        <w:tabs>
          <w:tab w:val="left" w:pos="567"/>
        </w:tabs>
        <w:rPr>
          <w:szCs w:val="22"/>
          <w:lang w:eastAsia="en-US"/>
        </w:rPr>
      </w:pPr>
    </w:p>
    <w:p w14:paraId="3552C8F3" w14:textId="77777777" w:rsidR="00743362" w:rsidRPr="004B70F2" w:rsidRDefault="00743362" w:rsidP="00743362">
      <w:pPr>
        <w:tabs>
          <w:tab w:val="left" w:pos="567"/>
        </w:tabs>
        <w:rPr>
          <w:szCs w:val="22"/>
          <w:u w:val="single"/>
          <w:lang w:eastAsia="en-US"/>
        </w:rPr>
      </w:pPr>
      <w:r w:rsidRPr="004B70F2">
        <w:rPr>
          <w:szCs w:val="22"/>
          <w:u w:val="single"/>
          <w:lang w:eastAsia="en-US"/>
        </w:rPr>
        <w:t>Veikimo mechanizmas ir farmakodinaminis poveikis</w:t>
      </w:r>
    </w:p>
    <w:p w14:paraId="43F3E35A" w14:textId="32F5142F" w:rsidR="00743362" w:rsidRPr="00743362" w:rsidRDefault="007D490E" w:rsidP="00743362">
      <w:pPr>
        <w:tabs>
          <w:tab w:val="left" w:pos="567"/>
        </w:tabs>
        <w:rPr>
          <w:szCs w:val="22"/>
          <w:lang w:eastAsia="en-US"/>
        </w:rPr>
      </w:pPr>
      <w:r w:rsidRPr="00743362">
        <w:rPr>
          <w:szCs w:val="22"/>
          <w:lang w:eastAsia="en-US"/>
        </w:rPr>
        <w:t>Tenofovir</w:t>
      </w:r>
      <w:r>
        <w:rPr>
          <w:szCs w:val="22"/>
          <w:lang w:eastAsia="en-US"/>
        </w:rPr>
        <w:t>as dizoproksilis yra</w:t>
      </w:r>
      <w:r w:rsidRPr="00743362">
        <w:rPr>
          <w:szCs w:val="22"/>
          <w:lang w:eastAsia="en-US"/>
        </w:rPr>
        <w:t xml:space="preserve"> </w:t>
      </w:r>
      <w:r w:rsidR="00723A9A">
        <w:rPr>
          <w:szCs w:val="22"/>
          <w:lang w:eastAsia="en-US"/>
        </w:rPr>
        <w:t>provaistas</w:t>
      </w:r>
      <w:r>
        <w:rPr>
          <w:szCs w:val="22"/>
          <w:lang w:eastAsia="en-US"/>
        </w:rPr>
        <w:t>. Jis</w:t>
      </w:r>
      <w:r w:rsidR="00743362" w:rsidRPr="00743362">
        <w:rPr>
          <w:szCs w:val="22"/>
          <w:lang w:eastAsia="en-US"/>
        </w:rPr>
        <w:t xml:space="preserve"> absorbuojamas ir paverčiamas į veikliąją medžiagą tenofovirą, kuris yra nukleozido monofosfato (nukleotido) analogas. Po to tenofoviras, dalyvaujant ląstelių fermentams, yra paverčiamas veikliuoju metabolitu – </w:t>
      </w:r>
      <w:r w:rsidRPr="00743362">
        <w:rPr>
          <w:szCs w:val="22"/>
          <w:lang w:eastAsia="en-US"/>
        </w:rPr>
        <w:t>tenofovir</w:t>
      </w:r>
      <w:r>
        <w:rPr>
          <w:szCs w:val="22"/>
          <w:lang w:eastAsia="en-US"/>
        </w:rPr>
        <w:t>u</w:t>
      </w:r>
      <w:r w:rsidRPr="00743362">
        <w:rPr>
          <w:szCs w:val="22"/>
          <w:lang w:eastAsia="en-US"/>
        </w:rPr>
        <w:t xml:space="preserve"> </w:t>
      </w:r>
      <w:r w:rsidR="00743362" w:rsidRPr="00743362">
        <w:rPr>
          <w:szCs w:val="22"/>
          <w:lang w:eastAsia="en-US"/>
        </w:rPr>
        <w:t xml:space="preserve">difosfatu, kuris yra DNR </w:t>
      </w:r>
      <w:r w:rsidR="00743362" w:rsidRPr="00743362">
        <w:rPr>
          <w:szCs w:val="22"/>
          <w:lang w:eastAsia="en-US"/>
        </w:rPr>
        <w:lastRenderedPageBreak/>
        <w:t>grandinės pabaiga, ir dėl ko</w:t>
      </w:r>
      <w:r w:rsidR="004B70F2">
        <w:rPr>
          <w:szCs w:val="22"/>
          <w:lang w:eastAsia="en-US"/>
        </w:rPr>
        <w:t xml:space="preserve"> </w:t>
      </w:r>
      <w:r w:rsidR="00743362" w:rsidRPr="00743362">
        <w:rPr>
          <w:szCs w:val="22"/>
          <w:lang w:eastAsia="en-US"/>
        </w:rPr>
        <w:t xml:space="preserve">ji nutrūksta (angl. </w:t>
      </w:r>
      <w:r w:rsidR="00743362" w:rsidRPr="00164838">
        <w:rPr>
          <w:i/>
          <w:szCs w:val="22"/>
          <w:lang w:eastAsia="en-US"/>
        </w:rPr>
        <w:t>obligate chain terminator</w:t>
      </w:r>
      <w:r w:rsidR="00743362" w:rsidRPr="00743362">
        <w:rPr>
          <w:szCs w:val="22"/>
          <w:lang w:eastAsia="en-US"/>
        </w:rPr>
        <w:t xml:space="preserve">). Tenofoviro difosfato intraląstelinis skilimo pusperiodis trunka 10 valandų aktyvintose ir 50 valandų neaktyvintose periferinio kraujo vienbranduolėse ląstelėse (PKVL). Dėl tiesioginio prisijungimo konkurencijos su natūraliais deoksiribonukleotidais </w:t>
      </w:r>
      <w:r w:rsidRPr="00743362">
        <w:rPr>
          <w:szCs w:val="22"/>
          <w:lang w:eastAsia="en-US"/>
        </w:rPr>
        <w:t>tenofovir</w:t>
      </w:r>
      <w:r>
        <w:rPr>
          <w:szCs w:val="22"/>
          <w:lang w:eastAsia="en-US"/>
        </w:rPr>
        <w:t>as</w:t>
      </w:r>
      <w:r w:rsidRPr="00743362">
        <w:rPr>
          <w:szCs w:val="22"/>
          <w:lang w:eastAsia="en-US"/>
        </w:rPr>
        <w:t xml:space="preserve"> </w:t>
      </w:r>
      <w:r w:rsidR="00743362" w:rsidRPr="00743362">
        <w:rPr>
          <w:szCs w:val="22"/>
          <w:lang w:eastAsia="en-US"/>
        </w:rPr>
        <w:t xml:space="preserve">difosfatas slopina ŽIV-1 atvirkštinę transkriptazę ir HBV polimerazę ir po įsiterpimo į DNR nutrūksta viruso DNR grandinė. </w:t>
      </w:r>
      <w:r w:rsidRPr="00743362">
        <w:rPr>
          <w:szCs w:val="22"/>
          <w:lang w:eastAsia="en-US"/>
        </w:rPr>
        <w:t>Tenofovir</w:t>
      </w:r>
      <w:r>
        <w:rPr>
          <w:szCs w:val="22"/>
          <w:lang w:eastAsia="en-US"/>
        </w:rPr>
        <w:t>as</w:t>
      </w:r>
      <w:r w:rsidRPr="00743362">
        <w:rPr>
          <w:szCs w:val="22"/>
          <w:lang w:eastAsia="en-US"/>
        </w:rPr>
        <w:t xml:space="preserve"> </w:t>
      </w:r>
      <w:r w:rsidR="00743362" w:rsidRPr="00743362">
        <w:rPr>
          <w:szCs w:val="22"/>
          <w:lang w:eastAsia="en-US"/>
        </w:rPr>
        <w:t xml:space="preserve">difosfatas silpnai slopina ląstelių DNR α, β ir γ polimerazes. Tyrimų </w:t>
      </w:r>
      <w:r w:rsidR="00743362" w:rsidRPr="004B70F2">
        <w:rPr>
          <w:i/>
          <w:szCs w:val="22"/>
          <w:lang w:eastAsia="en-US"/>
        </w:rPr>
        <w:t>in vitro</w:t>
      </w:r>
      <w:r w:rsidR="00743362" w:rsidRPr="00743362">
        <w:rPr>
          <w:szCs w:val="22"/>
          <w:lang w:eastAsia="en-US"/>
        </w:rPr>
        <w:t xml:space="preserve"> duomenimis, esant koncentracijai iki 300</w:t>
      </w:r>
      <w:r w:rsidR="003B64F1">
        <w:rPr>
          <w:szCs w:val="22"/>
          <w:lang w:eastAsia="en-US"/>
        </w:rPr>
        <w:t> </w:t>
      </w:r>
      <w:r w:rsidR="00743362" w:rsidRPr="00743362">
        <w:rPr>
          <w:szCs w:val="22"/>
          <w:lang w:eastAsia="en-US"/>
        </w:rPr>
        <w:t>μmol/l tenofoviras taip pat neturi jokio poveikio mitochondrijų DNR sintezei ar pieno rūgšties gamybai.</w:t>
      </w:r>
    </w:p>
    <w:p w14:paraId="7E65BBB3" w14:textId="77777777" w:rsidR="004B70F2" w:rsidRDefault="004B70F2" w:rsidP="00743362">
      <w:pPr>
        <w:tabs>
          <w:tab w:val="left" w:pos="567"/>
        </w:tabs>
        <w:rPr>
          <w:szCs w:val="22"/>
          <w:lang w:eastAsia="en-US"/>
        </w:rPr>
      </w:pPr>
    </w:p>
    <w:p w14:paraId="1FDEB139" w14:textId="77777777" w:rsidR="00743362" w:rsidRPr="004B70F2" w:rsidRDefault="00743362" w:rsidP="00743362">
      <w:pPr>
        <w:tabs>
          <w:tab w:val="left" w:pos="567"/>
        </w:tabs>
        <w:rPr>
          <w:i/>
          <w:szCs w:val="22"/>
          <w:lang w:eastAsia="en-US"/>
        </w:rPr>
      </w:pPr>
      <w:r w:rsidRPr="004B70F2">
        <w:rPr>
          <w:i/>
          <w:szCs w:val="22"/>
          <w:lang w:eastAsia="en-US"/>
        </w:rPr>
        <w:t>Duomenys apie ŽIV</w:t>
      </w:r>
    </w:p>
    <w:p w14:paraId="3D41A077" w14:textId="77777777" w:rsidR="00743362" w:rsidRPr="00743362" w:rsidRDefault="00743362" w:rsidP="00743362">
      <w:pPr>
        <w:tabs>
          <w:tab w:val="left" w:pos="567"/>
        </w:tabs>
        <w:rPr>
          <w:szCs w:val="22"/>
          <w:lang w:eastAsia="en-US"/>
        </w:rPr>
      </w:pPr>
      <w:r w:rsidRPr="004B70F2">
        <w:rPr>
          <w:i/>
          <w:szCs w:val="22"/>
          <w:lang w:eastAsia="en-US"/>
        </w:rPr>
        <w:t>Antivirusinis aktyvumas prieš ŽIV in vitro</w:t>
      </w:r>
      <w:r w:rsidRPr="00743362">
        <w:rPr>
          <w:szCs w:val="22"/>
          <w:lang w:eastAsia="en-US"/>
        </w:rPr>
        <w:t xml:space="preserve">. Tenofoviro koncentracija, reikalinga </w:t>
      </w:r>
      <w:r w:rsidR="004B70F2">
        <w:rPr>
          <w:szCs w:val="22"/>
          <w:lang w:eastAsia="en-US"/>
        </w:rPr>
        <w:t>natūralias</w:t>
      </w:r>
      <w:r w:rsidRPr="00743362">
        <w:rPr>
          <w:szCs w:val="22"/>
          <w:lang w:eastAsia="en-US"/>
        </w:rPr>
        <w:t xml:space="preserve"> laboratorines ŽIV-1</w:t>
      </w:r>
      <w:r w:rsidRPr="004B70F2">
        <w:rPr>
          <w:szCs w:val="22"/>
          <w:vertAlign w:val="subscript"/>
          <w:lang w:eastAsia="en-US"/>
        </w:rPr>
        <w:t>IIIB</w:t>
      </w:r>
      <w:r w:rsidRPr="00743362">
        <w:rPr>
          <w:szCs w:val="22"/>
          <w:lang w:eastAsia="en-US"/>
        </w:rPr>
        <w:t xml:space="preserve"> padermes slopinti 50</w:t>
      </w:r>
      <w:r w:rsidR="003B64F1">
        <w:rPr>
          <w:szCs w:val="22"/>
          <w:lang w:eastAsia="en-US"/>
        </w:rPr>
        <w:t> </w:t>
      </w:r>
      <w:r w:rsidRPr="00743362">
        <w:rPr>
          <w:szCs w:val="22"/>
          <w:lang w:eastAsia="en-US"/>
        </w:rPr>
        <w:t>% (EK</w:t>
      </w:r>
      <w:r w:rsidRPr="004B70F2">
        <w:rPr>
          <w:szCs w:val="22"/>
          <w:vertAlign w:val="subscript"/>
          <w:lang w:eastAsia="en-US"/>
        </w:rPr>
        <w:t>50</w:t>
      </w:r>
      <w:r w:rsidRPr="00743362">
        <w:rPr>
          <w:szCs w:val="22"/>
          <w:lang w:eastAsia="en-US"/>
        </w:rPr>
        <w:t>) limfoidinėse ląstelėse yra 1-6</w:t>
      </w:r>
      <w:r w:rsidR="003B64F1">
        <w:rPr>
          <w:szCs w:val="22"/>
          <w:lang w:eastAsia="en-US"/>
        </w:rPr>
        <w:t> </w:t>
      </w:r>
      <w:r w:rsidRPr="00743362">
        <w:rPr>
          <w:szCs w:val="22"/>
          <w:lang w:eastAsia="en-US"/>
        </w:rPr>
        <w:t>μmol/l, o pirmines ŽIV-1 B potipio kultūras slopinti periferinio kraujo vienbranduolėse ląstelėse – 1,1</w:t>
      </w:r>
      <w:r w:rsidR="003B64F1">
        <w:rPr>
          <w:szCs w:val="22"/>
          <w:lang w:eastAsia="en-US"/>
        </w:rPr>
        <w:t> </w:t>
      </w:r>
      <w:r w:rsidRPr="00743362">
        <w:rPr>
          <w:szCs w:val="22"/>
          <w:lang w:eastAsia="en-US"/>
        </w:rPr>
        <w:t>μmol/l. Tenofoviras taip pat veikia ŽIV-1 potipius A, C, D, E, F,G, O bei ŽIV</w:t>
      </w:r>
      <w:r w:rsidRPr="004B70F2">
        <w:rPr>
          <w:szCs w:val="22"/>
          <w:vertAlign w:val="subscript"/>
          <w:lang w:eastAsia="en-US"/>
        </w:rPr>
        <w:t>BaL</w:t>
      </w:r>
      <w:r w:rsidRPr="00743362">
        <w:rPr>
          <w:szCs w:val="22"/>
          <w:lang w:eastAsia="en-US"/>
        </w:rPr>
        <w:t xml:space="preserve"> pirminiuose monocituose/makrofaguose. Tenofoviras </w:t>
      </w:r>
      <w:r w:rsidRPr="004B70F2">
        <w:rPr>
          <w:i/>
          <w:szCs w:val="22"/>
          <w:lang w:eastAsia="en-US"/>
        </w:rPr>
        <w:t>in vitro</w:t>
      </w:r>
      <w:r w:rsidRPr="00743362">
        <w:rPr>
          <w:szCs w:val="22"/>
          <w:lang w:eastAsia="en-US"/>
        </w:rPr>
        <w:t xml:space="preserve"> veikia ŽIV-2 (EK</w:t>
      </w:r>
      <w:r w:rsidRPr="004B70F2">
        <w:rPr>
          <w:szCs w:val="22"/>
          <w:vertAlign w:val="subscript"/>
          <w:lang w:eastAsia="en-US"/>
        </w:rPr>
        <w:t>50</w:t>
      </w:r>
      <w:r w:rsidRPr="00743362">
        <w:rPr>
          <w:szCs w:val="22"/>
          <w:lang w:eastAsia="en-US"/>
        </w:rPr>
        <w:t xml:space="preserve"> MT-4 ląstelėse yra 4,9</w:t>
      </w:r>
      <w:r w:rsidR="003B64F1">
        <w:rPr>
          <w:szCs w:val="22"/>
          <w:lang w:eastAsia="en-US"/>
        </w:rPr>
        <w:t> </w:t>
      </w:r>
      <w:r w:rsidRPr="00743362">
        <w:rPr>
          <w:szCs w:val="22"/>
          <w:lang w:eastAsia="en-US"/>
        </w:rPr>
        <w:t>μmol/l).</w:t>
      </w:r>
    </w:p>
    <w:p w14:paraId="19B5B705" w14:textId="77777777" w:rsidR="004B70F2" w:rsidRDefault="004B70F2" w:rsidP="00743362">
      <w:pPr>
        <w:tabs>
          <w:tab w:val="left" w:pos="567"/>
        </w:tabs>
        <w:rPr>
          <w:szCs w:val="22"/>
          <w:lang w:eastAsia="en-US"/>
        </w:rPr>
      </w:pPr>
    </w:p>
    <w:p w14:paraId="6B3B00B9" w14:textId="77777777" w:rsidR="00743362" w:rsidRPr="00743362" w:rsidRDefault="00743362" w:rsidP="00743362">
      <w:pPr>
        <w:tabs>
          <w:tab w:val="left" w:pos="567"/>
        </w:tabs>
        <w:rPr>
          <w:szCs w:val="22"/>
          <w:lang w:eastAsia="en-US"/>
        </w:rPr>
      </w:pPr>
      <w:r w:rsidRPr="004B70F2">
        <w:rPr>
          <w:i/>
          <w:szCs w:val="22"/>
          <w:lang w:eastAsia="en-US"/>
        </w:rPr>
        <w:t>Atsparumas</w:t>
      </w:r>
      <w:r w:rsidRPr="00743362">
        <w:rPr>
          <w:szCs w:val="22"/>
          <w:lang w:eastAsia="en-US"/>
        </w:rPr>
        <w:t xml:space="preserve">. </w:t>
      </w:r>
      <w:r w:rsidRPr="004B70F2">
        <w:rPr>
          <w:i/>
          <w:szCs w:val="22"/>
          <w:lang w:eastAsia="en-US"/>
        </w:rPr>
        <w:t>In vitro</w:t>
      </w:r>
      <w:r w:rsidRPr="00743362">
        <w:rPr>
          <w:szCs w:val="22"/>
          <w:lang w:eastAsia="en-US"/>
        </w:rPr>
        <w:t xml:space="preserve"> ir kai kuriems pacientams buvo atlikta ŽIV-1 padermių su atvirkštinės transkriptazės K65R mutacija ir sumažėjusiu jautrumu tenofovirui selekcija (žr. </w:t>
      </w:r>
      <w:r w:rsidR="004B70F2">
        <w:rPr>
          <w:szCs w:val="22"/>
          <w:lang w:eastAsia="en-US"/>
        </w:rPr>
        <w:t>„</w:t>
      </w:r>
      <w:r w:rsidRPr="00743362">
        <w:rPr>
          <w:szCs w:val="22"/>
          <w:lang w:eastAsia="en-US"/>
        </w:rPr>
        <w:t>Klinikinis veiksmingumas ir saugumas</w:t>
      </w:r>
      <w:r w:rsidR="004B70F2">
        <w:rPr>
          <w:szCs w:val="22"/>
          <w:lang w:eastAsia="en-US"/>
        </w:rPr>
        <w:t>“</w:t>
      </w:r>
      <w:r w:rsidRPr="00743362">
        <w:rPr>
          <w:szCs w:val="22"/>
          <w:lang w:eastAsia="en-US"/>
        </w:rPr>
        <w:t xml:space="preserve">). </w:t>
      </w:r>
      <w:r w:rsidR="00653D08">
        <w:rPr>
          <w:szCs w:val="22"/>
          <w:lang w:eastAsia="en-US"/>
        </w:rPr>
        <w:t xml:space="preserve">Tenofoviro dizoproksilio </w:t>
      </w:r>
      <w:r w:rsidRPr="00743362">
        <w:rPr>
          <w:szCs w:val="22"/>
          <w:lang w:eastAsia="en-US"/>
        </w:rPr>
        <w:t>reikia vengti skirti anksčiau gydytiems antiretrovirusiniais vaist</w:t>
      </w:r>
      <w:r w:rsidR="004B70F2">
        <w:rPr>
          <w:szCs w:val="22"/>
          <w:lang w:eastAsia="en-US"/>
        </w:rPr>
        <w:t>iniais preparatais</w:t>
      </w:r>
      <w:r w:rsidRPr="00743362">
        <w:rPr>
          <w:szCs w:val="22"/>
          <w:lang w:eastAsia="en-US"/>
        </w:rPr>
        <w:t xml:space="preserve"> </w:t>
      </w:r>
      <w:r w:rsidR="00333ABE" w:rsidRPr="00743362">
        <w:rPr>
          <w:szCs w:val="22"/>
          <w:lang w:eastAsia="en-US"/>
        </w:rPr>
        <w:t>ligoniams,</w:t>
      </w:r>
      <w:r w:rsidR="00333ABE">
        <w:rPr>
          <w:szCs w:val="22"/>
          <w:lang w:eastAsia="en-US"/>
        </w:rPr>
        <w:t xml:space="preserve"> kuriems yra</w:t>
      </w:r>
      <w:r w:rsidRPr="00743362">
        <w:rPr>
          <w:szCs w:val="22"/>
          <w:lang w:eastAsia="en-US"/>
        </w:rPr>
        <w:t xml:space="preserve"> padermių su K65R mutacija (žr. 4.4 skyrių). Be to, tenofovir</w:t>
      </w:r>
      <w:r w:rsidR="00333ABE">
        <w:rPr>
          <w:szCs w:val="22"/>
          <w:lang w:eastAsia="en-US"/>
        </w:rPr>
        <w:t xml:space="preserve">u buvo atrinkta </w:t>
      </w:r>
      <w:r w:rsidRPr="00743362">
        <w:rPr>
          <w:szCs w:val="22"/>
          <w:lang w:eastAsia="en-US"/>
        </w:rPr>
        <w:t>K70E pakaitą ŽIV-1 atvirkštinėje transkriptazėje</w:t>
      </w:r>
      <w:r w:rsidR="00333ABE">
        <w:rPr>
          <w:szCs w:val="22"/>
          <w:lang w:eastAsia="en-US"/>
        </w:rPr>
        <w:t>, sukėlusi</w:t>
      </w:r>
      <w:r w:rsidRPr="00743362">
        <w:rPr>
          <w:szCs w:val="22"/>
          <w:lang w:eastAsia="en-US"/>
        </w:rPr>
        <w:t xml:space="preserve"> </w:t>
      </w:r>
      <w:r w:rsidR="00333ABE">
        <w:rPr>
          <w:szCs w:val="22"/>
          <w:lang w:eastAsia="en-US"/>
        </w:rPr>
        <w:t xml:space="preserve">žemą sumažėjusio </w:t>
      </w:r>
      <w:r w:rsidRPr="00743362">
        <w:rPr>
          <w:szCs w:val="22"/>
          <w:lang w:eastAsia="en-US"/>
        </w:rPr>
        <w:t>jautrum</w:t>
      </w:r>
      <w:r w:rsidR="00333ABE">
        <w:rPr>
          <w:szCs w:val="22"/>
          <w:lang w:eastAsia="en-US"/>
        </w:rPr>
        <w:t>o</w:t>
      </w:r>
      <w:r w:rsidRPr="00743362">
        <w:rPr>
          <w:szCs w:val="22"/>
          <w:lang w:eastAsia="en-US"/>
        </w:rPr>
        <w:t xml:space="preserve"> tenofovirui</w:t>
      </w:r>
      <w:r w:rsidR="00333ABE">
        <w:rPr>
          <w:szCs w:val="22"/>
          <w:lang w:eastAsia="en-US"/>
        </w:rPr>
        <w:t xml:space="preserve"> lygmenį</w:t>
      </w:r>
      <w:r w:rsidRPr="00743362">
        <w:rPr>
          <w:szCs w:val="22"/>
          <w:lang w:eastAsia="en-US"/>
        </w:rPr>
        <w:t>.</w:t>
      </w:r>
    </w:p>
    <w:p w14:paraId="5197A51A" w14:textId="77777777" w:rsidR="00333ABE" w:rsidRDefault="00333ABE" w:rsidP="00743362">
      <w:pPr>
        <w:tabs>
          <w:tab w:val="left" w:pos="567"/>
        </w:tabs>
        <w:rPr>
          <w:szCs w:val="22"/>
          <w:lang w:eastAsia="en-US"/>
        </w:rPr>
      </w:pPr>
    </w:p>
    <w:p w14:paraId="41A5C5DD" w14:textId="3EF1BE8A" w:rsidR="00743362" w:rsidRDefault="00743362" w:rsidP="00743362">
      <w:pPr>
        <w:tabs>
          <w:tab w:val="left" w:pos="567"/>
        </w:tabs>
        <w:rPr>
          <w:szCs w:val="22"/>
          <w:lang w:eastAsia="en-US"/>
        </w:rPr>
      </w:pPr>
      <w:r w:rsidRPr="00743362">
        <w:rPr>
          <w:szCs w:val="22"/>
          <w:lang w:eastAsia="en-US"/>
        </w:rPr>
        <w:t>Klinikiniai tyrimai su jau gydytais pacientais parodė, kad 245 mg</w:t>
      </w:r>
      <w:r w:rsidR="003B64F1">
        <w:rPr>
          <w:szCs w:val="22"/>
          <w:lang w:eastAsia="en-US"/>
        </w:rPr>
        <w:t> </w:t>
      </w:r>
      <w:r w:rsidRPr="00743362">
        <w:rPr>
          <w:szCs w:val="22"/>
          <w:lang w:eastAsia="en-US"/>
        </w:rPr>
        <w:t xml:space="preserve">tenofoviro </w:t>
      </w:r>
      <w:r w:rsidR="007D490E" w:rsidRPr="00743362">
        <w:rPr>
          <w:szCs w:val="22"/>
          <w:lang w:eastAsia="en-US"/>
        </w:rPr>
        <w:t>dizoproksili</w:t>
      </w:r>
      <w:r w:rsidR="007D490E">
        <w:rPr>
          <w:szCs w:val="22"/>
          <w:lang w:eastAsia="en-US"/>
        </w:rPr>
        <w:t>o</w:t>
      </w:r>
      <w:r w:rsidR="007D490E" w:rsidRPr="00743362">
        <w:rPr>
          <w:szCs w:val="22"/>
          <w:lang w:eastAsia="en-US"/>
        </w:rPr>
        <w:t xml:space="preserve"> </w:t>
      </w:r>
      <w:r w:rsidR="00E8356F">
        <w:rPr>
          <w:szCs w:val="22"/>
          <w:lang w:eastAsia="en-US"/>
        </w:rPr>
        <w:t>sukelia</w:t>
      </w:r>
      <w:r w:rsidRPr="00743362">
        <w:rPr>
          <w:szCs w:val="22"/>
          <w:lang w:eastAsia="en-US"/>
        </w:rPr>
        <w:t xml:space="preserve"> anti-ŽIV poveikį prieš ŽIV-1 padermes, kurios yra atsparios nukleozidų inhibitoriams. Rezultatai parodė, kad pacientų, kurių ŽIV turėjo 3 ar daugiau su timidino analogais susijusių mutacijų (TAM), įskaitant arba M41L, arba L210W atvirkštinės transkriptazės mutaciją, atsakas į gydymą 245</w:t>
      </w:r>
      <w:r w:rsidR="003B64F1">
        <w:rPr>
          <w:szCs w:val="22"/>
          <w:lang w:eastAsia="en-US"/>
        </w:rPr>
        <w:t> </w:t>
      </w:r>
      <w:r w:rsidRPr="00743362">
        <w:rPr>
          <w:szCs w:val="22"/>
          <w:lang w:eastAsia="en-US"/>
        </w:rPr>
        <w:t>mg tenofovir</w:t>
      </w:r>
      <w:r w:rsidR="0032341D">
        <w:rPr>
          <w:szCs w:val="22"/>
          <w:lang w:eastAsia="en-US"/>
        </w:rPr>
        <w:t>u</w:t>
      </w:r>
      <w:r w:rsidRPr="00743362">
        <w:rPr>
          <w:szCs w:val="22"/>
          <w:lang w:eastAsia="en-US"/>
        </w:rPr>
        <w:t xml:space="preserve"> dizoproksiliu doze buvo mažesnis.</w:t>
      </w:r>
    </w:p>
    <w:p w14:paraId="0FA48CF3" w14:textId="77777777" w:rsidR="00F95101" w:rsidRPr="00743362" w:rsidRDefault="00F95101" w:rsidP="00743362">
      <w:pPr>
        <w:tabs>
          <w:tab w:val="left" w:pos="567"/>
        </w:tabs>
        <w:rPr>
          <w:szCs w:val="22"/>
          <w:lang w:eastAsia="en-US"/>
        </w:rPr>
      </w:pPr>
    </w:p>
    <w:p w14:paraId="36BFFBB4" w14:textId="77777777" w:rsidR="00743362" w:rsidRPr="00F95101" w:rsidRDefault="00743362" w:rsidP="00743362">
      <w:pPr>
        <w:tabs>
          <w:tab w:val="left" w:pos="567"/>
        </w:tabs>
        <w:rPr>
          <w:szCs w:val="22"/>
          <w:u w:val="single"/>
          <w:lang w:eastAsia="en-US"/>
        </w:rPr>
      </w:pPr>
      <w:r w:rsidRPr="00F95101">
        <w:rPr>
          <w:szCs w:val="22"/>
          <w:u w:val="single"/>
          <w:lang w:eastAsia="en-US"/>
        </w:rPr>
        <w:t>Klinikinis veiksmingumas ir saugumas</w:t>
      </w:r>
    </w:p>
    <w:p w14:paraId="7E27EF6B" w14:textId="77777777" w:rsidR="00743362" w:rsidRPr="00743362" w:rsidRDefault="00653D08" w:rsidP="00743362">
      <w:pPr>
        <w:tabs>
          <w:tab w:val="left" w:pos="567"/>
        </w:tabs>
        <w:rPr>
          <w:szCs w:val="22"/>
          <w:lang w:eastAsia="en-US"/>
        </w:rPr>
      </w:pPr>
      <w:r>
        <w:rPr>
          <w:szCs w:val="22"/>
          <w:lang w:eastAsia="en-US"/>
        </w:rPr>
        <w:t xml:space="preserve">Tenofoviro dizoproksilio </w:t>
      </w:r>
      <w:r w:rsidR="00743362" w:rsidRPr="00743362">
        <w:rPr>
          <w:szCs w:val="22"/>
          <w:lang w:eastAsia="en-US"/>
        </w:rPr>
        <w:t>veiksmingumas buvo nustatytas 48 savaičių trukmės jau gydytų ŽIV-1 infekuotų suaugusiųjų tyrimu ir 144 savaičių trukmės anksčiau negydytų ŽIV-1 infekuotų suaugusiųjų tyrimu.</w:t>
      </w:r>
    </w:p>
    <w:p w14:paraId="5D18E391" w14:textId="77777777" w:rsidR="00F95101" w:rsidRDefault="00F95101" w:rsidP="00743362">
      <w:pPr>
        <w:tabs>
          <w:tab w:val="left" w:pos="567"/>
        </w:tabs>
        <w:rPr>
          <w:szCs w:val="22"/>
          <w:lang w:eastAsia="en-US"/>
        </w:rPr>
      </w:pPr>
    </w:p>
    <w:p w14:paraId="1EDF09B8" w14:textId="5B279085" w:rsidR="00743362" w:rsidRPr="00743362" w:rsidRDefault="00743362" w:rsidP="00743362">
      <w:pPr>
        <w:tabs>
          <w:tab w:val="left" w:pos="567"/>
        </w:tabs>
        <w:rPr>
          <w:szCs w:val="22"/>
          <w:lang w:eastAsia="en-US"/>
        </w:rPr>
      </w:pPr>
      <w:r w:rsidRPr="00743362">
        <w:rPr>
          <w:szCs w:val="22"/>
          <w:lang w:eastAsia="en-US"/>
        </w:rPr>
        <w:t xml:space="preserve">Atliekant GS-99-907 tyrimą 550 anksčiau gydytų suaugusių pacientų buvo 24 savaites gydyti placebu arba </w:t>
      </w:r>
      <w:r w:rsidR="007D490E" w:rsidRPr="00743362">
        <w:rPr>
          <w:szCs w:val="22"/>
          <w:lang w:eastAsia="en-US"/>
        </w:rPr>
        <w:t>tenofovir</w:t>
      </w:r>
      <w:r w:rsidR="007D490E">
        <w:rPr>
          <w:szCs w:val="22"/>
          <w:lang w:eastAsia="en-US"/>
        </w:rPr>
        <w:t>u</w:t>
      </w:r>
      <w:r w:rsidR="007D490E" w:rsidRPr="00743362">
        <w:rPr>
          <w:szCs w:val="22"/>
          <w:lang w:eastAsia="en-US"/>
        </w:rPr>
        <w:t xml:space="preserve"> </w:t>
      </w:r>
      <w:r w:rsidRPr="00743362">
        <w:rPr>
          <w:szCs w:val="22"/>
          <w:lang w:eastAsia="en-US"/>
        </w:rPr>
        <w:t>dizoproksiliu po 245</w:t>
      </w:r>
      <w:r w:rsidR="003B64F1">
        <w:rPr>
          <w:szCs w:val="22"/>
          <w:lang w:eastAsia="en-US"/>
        </w:rPr>
        <w:t> </w:t>
      </w:r>
      <w:r w:rsidRPr="00743362">
        <w:rPr>
          <w:szCs w:val="22"/>
          <w:lang w:eastAsia="en-US"/>
        </w:rPr>
        <w:t>mg. Vidutinis pradinis CD4 ląstelių skaičius buvo 427 ląstelės/mm</w:t>
      </w:r>
      <w:r w:rsidRPr="00F95101">
        <w:rPr>
          <w:szCs w:val="22"/>
          <w:vertAlign w:val="superscript"/>
          <w:lang w:eastAsia="en-US"/>
        </w:rPr>
        <w:t>3</w:t>
      </w:r>
      <w:r w:rsidRPr="00743362">
        <w:rPr>
          <w:szCs w:val="22"/>
          <w:lang w:eastAsia="en-US"/>
        </w:rPr>
        <w:t>, vidutinis pradinis plazmos ŽIV-1 RNR kiekis buvo 3,4 log</w:t>
      </w:r>
      <w:r w:rsidRPr="00F95101">
        <w:rPr>
          <w:szCs w:val="22"/>
          <w:vertAlign w:val="subscript"/>
          <w:lang w:eastAsia="en-US"/>
        </w:rPr>
        <w:t>10</w:t>
      </w:r>
      <w:r w:rsidRPr="00743362">
        <w:rPr>
          <w:szCs w:val="22"/>
          <w:lang w:eastAsia="en-US"/>
        </w:rPr>
        <w:t xml:space="preserve"> kopijų/ml (78</w:t>
      </w:r>
      <w:r w:rsidR="00947DB6">
        <w:rPr>
          <w:szCs w:val="22"/>
          <w:lang w:eastAsia="en-US"/>
        </w:rPr>
        <w:t> </w:t>
      </w:r>
      <w:r w:rsidRPr="00743362">
        <w:rPr>
          <w:szCs w:val="22"/>
          <w:lang w:eastAsia="en-US"/>
        </w:rPr>
        <w:t>% pacientų virusų kiekis buvo &lt; 5 000 kopijų/ml), o vidutinė prieš tai taikyto ŽIV gydymo trukmė buvo 5,4 metų. Pradinė 253 pacientų ŽIV kultūrų genotipinė analizė parodė, kad 94</w:t>
      </w:r>
      <w:r w:rsidR="00947DB6">
        <w:rPr>
          <w:szCs w:val="22"/>
          <w:lang w:eastAsia="en-US"/>
        </w:rPr>
        <w:t> </w:t>
      </w:r>
      <w:r w:rsidRPr="00743362">
        <w:rPr>
          <w:szCs w:val="22"/>
          <w:lang w:eastAsia="en-US"/>
        </w:rPr>
        <w:t>% pacientų organizme yra ŽIV-1 mutacijų, susijusių su atsparumu nukleozidų atvirkštinės transkriptazės inhibitoriams, 58</w:t>
      </w:r>
      <w:r w:rsidR="00947DB6">
        <w:rPr>
          <w:szCs w:val="22"/>
          <w:lang w:eastAsia="en-US"/>
        </w:rPr>
        <w:t> </w:t>
      </w:r>
      <w:r w:rsidRPr="00743362">
        <w:rPr>
          <w:szCs w:val="22"/>
          <w:lang w:eastAsia="en-US"/>
        </w:rPr>
        <w:t>% – mutacijų, susijusių su atsparumu proteaz</w:t>
      </w:r>
      <w:r w:rsidR="00F95101">
        <w:rPr>
          <w:szCs w:val="22"/>
          <w:lang w:eastAsia="en-US"/>
        </w:rPr>
        <w:t>ės</w:t>
      </w:r>
      <w:r w:rsidRPr="00743362">
        <w:rPr>
          <w:szCs w:val="22"/>
          <w:lang w:eastAsia="en-US"/>
        </w:rPr>
        <w:t xml:space="preserve"> inhibitoriams, ir 48</w:t>
      </w:r>
      <w:r w:rsidR="00947DB6">
        <w:rPr>
          <w:szCs w:val="22"/>
          <w:lang w:eastAsia="en-US"/>
        </w:rPr>
        <w:t> </w:t>
      </w:r>
      <w:r w:rsidRPr="00743362">
        <w:rPr>
          <w:szCs w:val="22"/>
          <w:lang w:eastAsia="en-US"/>
        </w:rPr>
        <w:t>% – mutacijų, susijusių su atsparumu nenukleozidiniams atvirkštinės transkriptazės inhibitoriams.</w:t>
      </w:r>
    </w:p>
    <w:p w14:paraId="6D849BBA" w14:textId="77777777" w:rsidR="00F95101" w:rsidRDefault="00F95101" w:rsidP="00743362">
      <w:pPr>
        <w:tabs>
          <w:tab w:val="left" w:pos="567"/>
        </w:tabs>
        <w:rPr>
          <w:szCs w:val="22"/>
          <w:lang w:eastAsia="en-US"/>
        </w:rPr>
      </w:pPr>
    </w:p>
    <w:p w14:paraId="13571E24" w14:textId="7A96152C" w:rsidR="00743362" w:rsidRPr="00743362" w:rsidRDefault="00743362" w:rsidP="00743362">
      <w:pPr>
        <w:tabs>
          <w:tab w:val="left" w:pos="567"/>
        </w:tabs>
        <w:rPr>
          <w:szCs w:val="22"/>
          <w:lang w:eastAsia="en-US"/>
        </w:rPr>
      </w:pPr>
      <w:r w:rsidRPr="00743362">
        <w:rPr>
          <w:szCs w:val="22"/>
          <w:lang w:eastAsia="en-US"/>
        </w:rPr>
        <w:t>24-ąją savaitę laiko nulemtas vidutinis log</w:t>
      </w:r>
      <w:r w:rsidRPr="00F95101">
        <w:rPr>
          <w:szCs w:val="22"/>
          <w:vertAlign w:val="subscript"/>
          <w:lang w:eastAsia="en-US"/>
        </w:rPr>
        <w:t>10</w:t>
      </w:r>
      <w:r w:rsidRPr="00743362">
        <w:rPr>
          <w:szCs w:val="22"/>
          <w:lang w:eastAsia="en-US"/>
        </w:rPr>
        <w:t xml:space="preserve"> plazmos ŽIV-1 RNR pokytis nuo pradinio (DAVG24) buvo -0,03 log</w:t>
      </w:r>
      <w:r w:rsidRPr="00F95101">
        <w:rPr>
          <w:szCs w:val="22"/>
          <w:vertAlign w:val="subscript"/>
          <w:lang w:eastAsia="en-US"/>
        </w:rPr>
        <w:t>10</w:t>
      </w:r>
      <w:r w:rsidRPr="00743362">
        <w:rPr>
          <w:szCs w:val="22"/>
          <w:lang w:eastAsia="en-US"/>
        </w:rPr>
        <w:t xml:space="preserve"> kopijų/ml ir -0,61 log</w:t>
      </w:r>
      <w:r w:rsidRPr="00F95101">
        <w:rPr>
          <w:szCs w:val="22"/>
          <w:vertAlign w:val="subscript"/>
          <w:lang w:eastAsia="en-US"/>
        </w:rPr>
        <w:t>10</w:t>
      </w:r>
      <w:r w:rsidRPr="00743362">
        <w:rPr>
          <w:szCs w:val="22"/>
          <w:lang w:eastAsia="en-US"/>
        </w:rPr>
        <w:t xml:space="preserve"> kopijų/ml atitinkamai gavusiems placebo ir tenofoviro dizoproksilio 245</w:t>
      </w:r>
      <w:r w:rsidR="00947DB6">
        <w:rPr>
          <w:szCs w:val="22"/>
          <w:lang w:eastAsia="en-US"/>
        </w:rPr>
        <w:t> </w:t>
      </w:r>
      <w:r w:rsidRPr="00743362">
        <w:rPr>
          <w:szCs w:val="22"/>
          <w:lang w:eastAsia="en-US"/>
        </w:rPr>
        <w:t>mg  (p &lt; 0,0001). Vertinant pagal CD4 ląstelių skaičių nustatytas statistiškai reikšmingas tenofoviro dizoproksilio 245</w:t>
      </w:r>
      <w:r w:rsidR="00947DB6">
        <w:rPr>
          <w:szCs w:val="22"/>
          <w:lang w:eastAsia="en-US"/>
        </w:rPr>
        <w:t> </w:t>
      </w:r>
      <w:r w:rsidRPr="00743362">
        <w:rPr>
          <w:szCs w:val="22"/>
          <w:lang w:eastAsia="en-US"/>
        </w:rPr>
        <w:t>mg teigiamas poveikis: laiko nulemtas vidutinis CD4 kiekio pokytis 24-ąją savaitę (DAVG24), lyginant su pradiniu, tenofoviro dizoproksilio 245</w:t>
      </w:r>
      <w:r w:rsidR="00947DB6">
        <w:rPr>
          <w:szCs w:val="22"/>
          <w:lang w:eastAsia="en-US"/>
        </w:rPr>
        <w:t> </w:t>
      </w:r>
      <w:r w:rsidRPr="00743362">
        <w:rPr>
          <w:szCs w:val="22"/>
          <w:lang w:eastAsia="en-US"/>
        </w:rPr>
        <w:t>mg grupėje buvo +13 ląstelių/mm</w:t>
      </w:r>
      <w:r w:rsidRPr="00F95101">
        <w:rPr>
          <w:szCs w:val="22"/>
          <w:vertAlign w:val="superscript"/>
          <w:lang w:eastAsia="en-US"/>
        </w:rPr>
        <w:t>3</w:t>
      </w:r>
      <w:r w:rsidRPr="00743362">
        <w:rPr>
          <w:szCs w:val="22"/>
          <w:lang w:eastAsia="en-US"/>
        </w:rPr>
        <w:t>, o placebo grupėje -11 ląstelių/mm</w:t>
      </w:r>
      <w:r w:rsidRPr="00F95101">
        <w:rPr>
          <w:szCs w:val="22"/>
          <w:vertAlign w:val="superscript"/>
          <w:lang w:eastAsia="en-US"/>
        </w:rPr>
        <w:t>3</w:t>
      </w:r>
      <w:r w:rsidRPr="00743362">
        <w:rPr>
          <w:szCs w:val="22"/>
          <w:lang w:eastAsia="en-US"/>
        </w:rPr>
        <w:t xml:space="preserve"> (p = 0,0008). Antivirusinis at</w:t>
      </w:r>
      <w:r w:rsidR="001826C2">
        <w:rPr>
          <w:szCs w:val="22"/>
          <w:lang w:eastAsia="en-US"/>
        </w:rPr>
        <w:t>sakas į tenofoviro dizoproksilį</w:t>
      </w:r>
      <w:r w:rsidRPr="00743362">
        <w:rPr>
          <w:szCs w:val="22"/>
          <w:lang w:eastAsia="en-US"/>
        </w:rPr>
        <w:t xml:space="preserve"> išliko 48 savaites (DAVG48 buvo -0,57 log</w:t>
      </w:r>
      <w:r w:rsidRPr="00F95101">
        <w:rPr>
          <w:szCs w:val="22"/>
          <w:vertAlign w:val="subscript"/>
          <w:lang w:eastAsia="en-US"/>
        </w:rPr>
        <w:t>10</w:t>
      </w:r>
      <w:r w:rsidRPr="00743362">
        <w:rPr>
          <w:szCs w:val="22"/>
          <w:lang w:eastAsia="en-US"/>
        </w:rPr>
        <w:t xml:space="preserve"> kopijų/ml, pacientų, kurių organizme ŽIV-1 RNR buvo mažiau nei 400 ar 50 kopijų/ml, dalis buvo atitinkamai 41</w:t>
      </w:r>
      <w:r w:rsidR="00947DB6">
        <w:rPr>
          <w:szCs w:val="22"/>
          <w:lang w:eastAsia="en-US"/>
        </w:rPr>
        <w:t> </w:t>
      </w:r>
      <w:r w:rsidRPr="00743362">
        <w:rPr>
          <w:szCs w:val="22"/>
          <w:lang w:eastAsia="en-US"/>
        </w:rPr>
        <w:t>% ir 18</w:t>
      </w:r>
      <w:r w:rsidR="00947DB6">
        <w:rPr>
          <w:szCs w:val="22"/>
          <w:lang w:eastAsia="en-US"/>
        </w:rPr>
        <w:t> </w:t>
      </w:r>
      <w:r w:rsidRPr="00743362">
        <w:rPr>
          <w:szCs w:val="22"/>
          <w:lang w:eastAsia="en-US"/>
        </w:rPr>
        <w:t>%). Aštuoniems (2</w:t>
      </w:r>
      <w:r w:rsidR="00947DB6">
        <w:rPr>
          <w:szCs w:val="22"/>
          <w:lang w:eastAsia="en-US"/>
        </w:rPr>
        <w:t> </w:t>
      </w:r>
      <w:r w:rsidRPr="00743362">
        <w:rPr>
          <w:szCs w:val="22"/>
          <w:lang w:eastAsia="en-US"/>
        </w:rPr>
        <w:t>%) tenofoviro dizoproksilio 245</w:t>
      </w:r>
      <w:r w:rsidR="00947DB6">
        <w:rPr>
          <w:szCs w:val="22"/>
          <w:lang w:eastAsia="en-US"/>
        </w:rPr>
        <w:t> </w:t>
      </w:r>
      <w:r w:rsidRPr="00743362">
        <w:rPr>
          <w:szCs w:val="22"/>
          <w:lang w:eastAsia="en-US"/>
        </w:rPr>
        <w:t>mg gydytiems pacientams per pirmąsias 48 savaites išsivystė K65R mutacija.</w:t>
      </w:r>
    </w:p>
    <w:p w14:paraId="102C1064" w14:textId="77777777" w:rsidR="00F95101" w:rsidRDefault="00F95101" w:rsidP="00743362">
      <w:pPr>
        <w:tabs>
          <w:tab w:val="left" w:pos="567"/>
        </w:tabs>
        <w:rPr>
          <w:szCs w:val="22"/>
          <w:lang w:eastAsia="en-US"/>
        </w:rPr>
      </w:pPr>
    </w:p>
    <w:p w14:paraId="057D807B" w14:textId="77777777" w:rsidR="00F95101" w:rsidRPr="00F95101" w:rsidRDefault="00743362" w:rsidP="00F95101">
      <w:pPr>
        <w:tabs>
          <w:tab w:val="left" w:pos="567"/>
        </w:tabs>
        <w:rPr>
          <w:szCs w:val="22"/>
          <w:lang w:eastAsia="en-US"/>
        </w:rPr>
      </w:pPr>
      <w:r w:rsidRPr="00743362">
        <w:rPr>
          <w:szCs w:val="22"/>
          <w:lang w:eastAsia="en-US"/>
        </w:rPr>
        <w:t>144 savaičių dvigubai koduoto GS-99-903 tyrimo aktyviai kontroliuojamos fazės metu, buvo tiriamas tenofoviro dizoproksilio 245</w:t>
      </w:r>
      <w:r w:rsidR="00947DB6">
        <w:rPr>
          <w:szCs w:val="22"/>
          <w:lang w:eastAsia="en-US"/>
        </w:rPr>
        <w:t> </w:t>
      </w:r>
      <w:r w:rsidRPr="00743362">
        <w:rPr>
          <w:szCs w:val="22"/>
          <w:lang w:eastAsia="en-US"/>
        </w:rPr>
        <w:t>mg veiksmingumas ir saugumas, lyginant su stavudinu, kai jie vartojami kartu su lamivudinu ir efavirenzu ŽIV-1 infekuotiems anksčiau</w:t>
      </w:r>
      <w:r w:rsidR="00F95101">
        <w:rPr>
          <w:szCs w:val="22"/>
          <w:lang w:eastAsia="en-US"/>
        </w:rPr>
        <w:t xml:space="preserve"> </w:t>
      </w:r>
      <w:r w:rsidR="00F95101" w:rsidRPr="00F95101">
        <w:rPr>
          <w:szCs w:val="22"/>
          <w:lang w:eastAsia="en-US"/>
        </w:rPr>
        <w:t>antiretrovirusiniais vaist</w:t>
      </w:r>
      <w:r w:rsidR="00F84746">
        <w:rPr>
          <w:szCs w:val="22"/>
          <w:lang w:eastAsia="en-US"/>
        </w:rPr>
        <w:t xml:space="preserve">iniais </w:t>
      </w:r>
      <w:r w:rsidR="00F84746">
        <w:rPr>
          <w:szCs w:val="22"/>
          <w:lang w:eastAsia="en-US"/>
        </w:rPr>
        <w:lastRenderedPageBreak/>
        <w:t>preparat</w:t>
      </w:r>
      <w:r w:rsidR="00F95101" w:rsidRPr="00F95101">
        <w:rPr>
          <w:szCs w:val="22"/>
          <w:lang w:eastAsia="en-US"/>
        </w:rPr>
        <w:t>ais negydytiems suaugusiems ligoniams. Vidutinis pradinis CD4 ląstelių skaičius buvo 279 ląstelių/mm</w:t>
      </w:r>
      <w:r w:rsidR="00F95101" w:rsidRPr="00F95101">
        <w:rPr>
          <w:szCs w:val="22"/>
          <w:vertAlign w:val="superscript"/>
          <w:lang w:eastAsia="en-US"/>
        </w:rPr>
        <w:t>3</w:t>
      </w:r>
      <w:r w:rsidR="00F95101" w:rsidRPr="00F95101">
        <w:rPr>
          <w:szCs w:val="22"/>
          <w:lang w:eastAsia="en-US"/>
        </w:rPr>
        <w:t>, vidutinis pradinis plazmos ŽIV-1 RNR kiekis – 4,91 log</w:t>
      </w:r>
      <w:r w:rsidR="00F95101" w:rsidRPr="00F95101">
        <w:rPr>
          <w:szCs w:val="22"/>
          <w:vertAlign w:val="subscript"/>
          <w:lang w:eastAsia="en-US"/>
        </w:rPr>
        <w:t>10</w:t>
      </w:r>
      <w:r w:rsidR="00F95101" w:rsidRPr="00F95101">
        <w:rPr>
          <w:szCs w:val="22"/>
          <w:lang w:eastAsia="en-US"/>
        </w:rPr>
        <w:t xml:space="preserve"> kopijų/ml; 19</w:t>
      </w:r>
      <w:r w:rsidR="00947DB6">
        <w:rPr>
          <w:szCs w:val="22"/>
          <w:lang w:eastAsia="en-US"/>
        </w:rPr>
        <w:t> </w:t>
      </w:r>
      <w:r w:rsidR="00F95101" w:rsidRPr="00F95101">
        <w:rPr>
          <w:szCs w:val="22"/>
          <w:lang w:eastAsia="en-US"/>
        </w:rPr>
        <w:t xml:space="preserve">% pacientų </w:t>
      </w:r>
      <w:r w:rsidR="00F95101">
        <w:rPr>
          <w:szCs w:val="22"/>
          <w:lang w:eastAsia="en-US"/>
        </w:rPr>
        <w:t>buvo</w:t>
      </w:r>
      <w:r w:rsidR="00F95101" w:rsidRPr="00F95101">
        <w:rPr>
          <w:szCs w:val="22"/>
          <w:lang w:eastAsia="en-US"/>
        </w:rPr>
        <w:t xml:space="preserve"> simptomin</w:t>
      </w:r>
      <w:r w:rsidR="00F95101">
        <w:rPr>
          <w:szCs w:val="22"/>
          <w:lang w:eastAsia="en-US"/>
        </w:rPr>
        <w:t>ė</w:t>
      </w:r>
      <w:r w:rsidR="00F95101" w:rsidRPr="00F95101">
        <w:rPr>
          <w:szCs w:val="22"/>
          <w:lang w:eastAsia="en-US"/>
        </w:rPr>
        <w:t xml:space="preserve"> ŽIV-1 infekcij</w:t>
      </w:r>
      <w:r w:rsidR="00F95101">
        <w:rPr>
          <w:szCs w:val="22"/>
          <w:lang w:eastAsia="en-US"/>
        </w:rPr>
        <w:t>a</w:t>
      </w:r>
      <w:r w:rsidR="00F95101" w:rsidRPr="00F95101">
        <w:rPr>
          <w:szCs w:val="22"/>
          <w:lang w:eastAsia="en-US"/>
        </w:rPr>
        <w:t xml:space="preserve"> ir 18</w:t>
      </w:r>
      <w:r w:rsidR="00947DB6">
        <w:rPr>
          <w:szCs w:val="22"/>
          <w:lang w:eastAsia="en-US"/>
        </w:rPr>
        <w:t> </w:t>
      </w:r>
      <w:r w:rsidR="00F95101" w:rsidRPr="00F95101">
        <w:rPr>
          <w:szCs w:val="22"/>
          <w:lang w:eastAsia="en-US"/>
        </w:rPr>
        <w:t>% sirgo AIDS. Pacientai buvo paskirstyti pagal pradinį ŽIV-1 RNR ir CD4 kiekį. 43</w:t>
      </w:r>
      <w:r w:rsidR="00947DB6">
        <w:rPr>
          <w:szCs w:val="22"/>
          <w:lang w:eastAsia="en-US"/>
        </w:rPr>
        <w:t> </w:t>
      </w:r>
      <w:r w:rsidR="00F95101" w:rsidRPr="00F95101">
        <w:rPr>
          <w:szCs w:val="22"/>
          <w:lang w:eastAsia="en-US"/>
        </w:rPr>
        <w:t>% pacientų pradinis viruso kiekis buvo &gt;</w:t>
      </w:r>
      <w:r w:rsidR="00947DB6">
        <w:rPr>
          <w:szCs w:val="22"/>
          <w:lang w:eastAsia="en-US"/>
        </w:rPr>
        <w:t> </w:t>
      </w:r>
      <w:r w:rsidR="00F95101" w:rsidRPr="00F95101">
        <w:rPr>
          <w:szCs w:val="22"/>
          <w:lang w:eastAsia="en-US"/>
        </w:rPr>
        <w:t>100000</w:t>
      </w:r>
      <w:r w:rsidR="00947DB6">
        <w:rPr>
          <w:szCs w:val="22"/>
          <w:lang w:eastAsia="en-US"/>
        </w:rPr>
        <w:t> </w:t>
      </w:r>
      <w:r w:rsidR="00F95101" w:rsidRPr="00F95101">
        <w:rPr>
          <w:szCs w:val="22"/>
          <w:lang w:eastAsia="en-US"/>
        </w:rPr>
        <w:t>kopijų/ml ir 39</w:t>
      </w:r>
      <w:r w:rsidR="00947DB6">
        <w:rPr>
          <w:szCs w:val="22"/>
          <w:lang w:eastAsia="en-US"/>
        </w:rPr>
        <w:t> </w:t>
      </w:r>
      <w:r w:rsidR="00F95101" w:rsidRPr="00F95101">
        <w:rPr>
          <w:szCs w:val="22"/>
          <w:lang w:eastAsia="en-US"/>
        </w:rPr>
        <w:t>% pacientų CD4 ląstelių kiekis buvo &lt;</w:t>
      </w:r>
      <w:r w:rsidR="00947DB6">
        <w:rPr>
          <w:szCs w:val="22"/>
          <w:lang w:eastAsia="en-US"/>
        </w:rPr>
        <w:t> </w:t>
      </w:r>
      <w:r w:rsidR="00F95101" w:rsidRPr="00F95101">
        <w:rPr>
          <w:szCs w:val="22"/>
          <w:lang w:eastAsia="en-US"/>
        </w:rPr>
        <w:t>200</w:t>
      </w:r>
      <w:r w:rsidR="00947DB6">
        <w:rPr>
          <w:szCs w:val="22"/>
          <w:lang w:eastAsia="en-US"/>
        </w:rPr>
        <w:t> </w:t>
      </w:r>
      <w:r w:rsidR="00F95101" w:rsidRPr="00F95101">
        <w:rPr>
          <w:szCs w:val="22"/>
          <w:lang w:eastAsia="en-US"/>
        </w:rPr>
        <w:t>ląstelių/ml.</w:t>
      </w:r>
    </w:p>
    <w:p w14:paraId="3AB6B258" w14:textId="77777777" w:rsidR="00F95101" w:rsidRDefault="00F95101" w:rsidP="00F95101">
      <w:pPr>
        <w:tabs>
          <w:tab w:val="left" w:pos="567"/>
        </w:tabs>
        <w:rPr>
          <w:szCs w:val="22"/>
          <w:lang w:eastAsia="en-US"/>
        </w:rPr>
      </w:pPr>
    </w:p>
    <w:p w14:paraId="0DE4B4A3" w14:textId="6AB73164" w:rsidR="00F95101" w:rsidRPr="00F95101" w:rsidRDefault="00F95101" w:rsidP="00F95101">
      <w:pPr>
        <w:tabs>
          <w:tab w:val="left" w:pos="567"/>
        </w:tabs>
        <w:rPr>
          <w:szCs w:val="22"/>
          <w:lang w:eastAsia="en-US"/>
        </w:rPr>
      </w:pPr>
      <w:r w:rsidRPr="00F95101">
        <w:rPr>
          <w:szCs w:val="22"/>
          <w:lang w:eastAsia="en-US"/>
        </w:rPr>
        <w:t>Pagal ketinimo gydyti analizę (duomenų stok</w:t>
      </w:r>
      <w:r>
        <w:rPr>
          <w:szCs w:val="22"/>
          <w:lang w:eastAsia="en-US"/>
        </w:rPr>
        <w:t>a</w:t>
      </w:r>
      <w:r w:rsidRPr="00F95101">
        <w:rPr>
          <w:szCs w:val="22"/>
          <w:lang w:eastAsia="en-US"/>
        </w:rPr>
        <w:t xml:space="preserve"> ir antiretrovirusinio gydymo (ARG) keitim</w:t>
      </w:r>
      <w:r>
        <w:rPr>
          <w:szCs w:val="22"/>
          <w:lang w:eastAsia="en-US"/>
        </w:rPr>
        <w:t xml:space="preserve">as buvo laikomi gydymo </w:t>
      </w:r>
      <w:r w:rsidR="00EF4C22">
        <w:rPr>
          <w:szCs w:val="22"/>
          <w:lang w:eastAsia="en-US"/>
        </w:rPr>
        <w:t>n</w:t>
      </w:r>
      <w:r>
        <w:rPr>
          <w:szCs w:val="22"/>
          <w:lang w:eastAsia="en-US"/>
        </w:rPr>
        <w:t>eveiksmingumu</w:t>
      </w:r>
      <w:r w:rsidRPr="00F95101">
        <w:rPr>
          <w:szCs w:val="22"/>
          <w:lang w:eastAsia="en-US"/>
        </w:rPr>
        <w:t>), pacientų, kurių organizme ŽIV-1 RNR kiekis 48 savaičių gydymo eigoje buvo &lt;</w:t>
      </w:r>
      <w:r w:rsidR="00947DB6">
        <w:rPr>
          <w:szCs w:val="22"/>
          <w:lang w:eastAsia="en-US"/>
        </w:rPr>
        <w:t> </w:t>
      </w:r>
      <w:r w:rsidRPr="00F95101">
        <w:rPr>
          <w:szCs w:val="22"/>
          <w:lang w:eastAsia="en-US"/>
        </w:rPr>
        <w:t>400</w:t>
      </w:r>
      <w:r w:rsidR="00947DB6">
        <w:rPr>
          <w:szCs w:val="22"/>
          <w:lang w:eastAsia="en-US"/>
        </w:rPr>
        <w:t> </w:t>
      </w:r>
      <w:r w:rsidRPr="00F95101">
        <w:rPr>
          <w:szCs w:val="22"/>
          <w:lang w:eastAsia="en-US"/>
        </w:rPr>
        <w:t>kopijų/ml ir 50</w:t>
      </w:r>
      <w:r w:rsidR="00947DB6">
        <w:rPr>
          <w:szCs w:val="22"/>
          <w:lang w:eastAsia="en-US"/>
        </w:rPr>
        <w:t> </w:t>
      </w:r>
      <w:r w:rsidRPr="00F95101">
        <w:rPr>
          <w:szCs w:val="22"/>
          <w:lang w:eastAsia="en-US"/>
        </w:rPr>
        <w:t>kopijų/ml, tenofoviro dizoproksilio</w:t>
      </w:r>
      <w:r w:rsidR="00947DB6">
        <w:rPr>
          <w:szCs w:val="22"/>
          <w:lang w:eastAsia="en-US"/>
        </w:rPr>
        <w:t> </w:t>
      </w:r>
      <w:r w:rsidRPr="00F95101">
        <w:rPr>
          <w:szCs w:val="22"/>
          <w:lang w:eastAsia="en-US"/>
        </w:rPr>
        <w:t>245 mg grupėje buvo atitinkamai 80</w:t>
      </w:r>
      <w:r w:rsidR="00947DB6">
        <w:rPr>
          <w:szCs w:val="22"/>
          <w:lang w:eastAsia="en-US"/>
        </w:rPr>
        <w:t> </w:t>
      </w:r>
      <w:r w:rsidRPr="00F95101">
        <w:rPr>
          <w:szCs w:val="22"/>
          <w:lang w:eastAsia="en-US"/>
        </w:rPr>
        <w:t>% ir 76</w:t>
      </w:r>
      <w:r w:rsidR="00947DB6">
        <w:rPr>
          <w:szCs w:val="22"/>
          <w:lang w:eastAsia="en-US"/>
        </w:rPr>
        <w:t> </w:t>
      </w:r>
      <w:r w:rsidRPr="00F95101">
        <w:rPr>
          <w:szCs w:val="22"/>
          <w:lang w:eastAsia="en-US"/>
        </w:rPr>
        <w:t>%, o stavudino grupėje – 84</w:t>
      </w:r>
      <w:r w:rsidR="00947DB6">
        <w:rPr>
          <w:szCs w:val="22"/>
          <w:lang w:eastAsia="en-US"/>
        </w:rPr>
        <w:t> </w:t>
      </w:r>
      <w:r w:rsidRPr="00F95101">
        <w:rPr>
          <w:szCs w:val="22"/>
          <w:lang w:eastAsia="en-US"/>
        </w:rPr>
        <w:t>% ir 80</w:t>
      </w:r>
      <w:r w:rsidR="00947DB6">
        <w:rPr>
          <w:szCs w:val="22"/>
          <w:lang w:eastAsia="en-US"/>
        </w:rPr>
        <w:t> </w:t>
      </w:r>
      <w:r w:rsidRPr="00F95101">
        <w:rPr>
          <w:szCs w:val="22"/>
          <w:lang w:eastAsia="en-US"/>
        </w:rPr>
        <w:t>%. 144 gydymo savaitę pacientų, kurių organizme ŽIV-1 RNR kiekis buvo &lt;</w:t>
      </w:r>
      <w:r w:rsidR="00947DB6">
        <w:rPr>
          <w:szCs w:val="22"/>
          <w:lang w:eastAsia="en-US"/>
        </w:rPr>
        <w:t> </w:t>
      </w:r>
      <w:r w:rsidRPr="00F95101">
        <w:rPr>
          <w:szCs w:val="22"/>
          <w:lang w:eastAsia="en-US"/>
        </w:rPr>
        <w:t>400</w:t>
      </w:r>
      <w:r w:rsidR="00947DB6">
        <w:rPr>
          <w:szCs w:val="22"/>
          <w:lang w:eastAsia="en-US"/>
        </w:rPr>
        <w:t> </w:t>
      </w:r>
      <w:r w:rsidRPr="00F95101">
        <w:rPr>
          <w:szCs w:val="22"/>
          <w:lang w:eastAsia="en-US"/>
        </w:rPr>
        <w:t>kopijų/ml ir 50</w:t>
      </w:r>
      <w:r w:rsidR="00947DB6">
        <w:rPr>
          <w:szCs w:val="22"/>
          <w:lang w:eastAsia="en-US"/>
        </w:rPr>
        <w:t> </w:t>
      </w:r>
      <w:r w:rsidRPr="00F95101">
        <w:rPr>
          <w:szCs w:val="22"/>
          <w:lang w:eastAsia="en-US"/>
        </w:rPr>
        <w:t>kopijų/ml, tenofoviro dizoproksilio 245</w:t>
      </w:r>
      <w:r w:rsidR="00947DB6">
        <w:rPr>
          <w:szCs w:val="22"/>
          <w:lang w:eastAsia="en-US"/>
        </w:rPr>
        <w:t> </w:t>
      </w:r>
      <w:r w:rsidRPr="00F95101">
        <w:rPr>
          <w:szCs w:val="22"/>
          <w:lang w:eastAsia="en-US"/>
        </w:rPr>
        <w:t>mg grupėje buvo atitinkamai 71</w:t>
      </w:r>
      <w:r w:rsidR="00947DB6">
        <w:rPr>
          <w:szCs w:val="22"/>
          <w:lang w:eastAsia="en-US"/>
        </w:rPr>
        <w:t> </w:t>
      </w:r>
      <w:r w:rsidRPr="00F95101">
        <w:rPr>
          <w:szCs w:val="22"/>
          <w:lang w:eastAsia="en-US"/>
        </w:rPr>
        <w:t>% ir 68</w:t>
      </w:r>
      <w:r w:rsidR="00947DB6">
        <w:rPr>
          <w:szCs w:val="22"/>
          <w:lang w:eastAsia="en-US"/>
        </w:rPr>
        <w:t> </w:t>
      </w:r>
      <w:r w:rsidRPr="00F95101">
        <w:rPr>
          <w:szCs w:val="22"/>
          <w:lang w:eastAsia="en-US"/>
        </w:rPr>
        <w:t>%, o stavudino grupėje – 64</w:t>
      </w:r>
      <w:r w:rsidR="00947DB6">
        <w:rPr>
          <w:szCs w:val="22"/>
          <w:lang w:eastAsia="en-US"/>
        </w:rPr>
        <w:t> </w:t>
      </w:r>
      <w:r w:rsidRPr="00F95101">
        <w:rPr>
          <w:szCs w:val="22"/>
          <w:lang w:eastAsia="en-US"/>
        </w:rPr>
        <w:t>% ir 63</w:t>
      </w:r>
      <w:r w:rsidR="00947DB6">
        <w:rPr>
          <w:szCs w:val="22"/>
          <w:lang w:eastAsia="en-US"/>
        </w:rPr>
        <w:t> </w:t>
      </w:r>
      <w:r w:rsidRPr="00F95101">
        <w:rPr>
          <w:szCs w:val="22"/>
          <w:lang w:eastAsia="en-US"/>
        </w:rPr>
        <w:t>%.</w:t>
      </w:r>
    </w:p>
    <w:p w14:paraId="19F27C73" w14:textId="77777777" w:rsidR="00CC3305" w:rsidRDefault="00CC3305" w:rsidP="00F95101">
      <w:pPr>
        <w:tabs>
          <w:tab w:val="left" w:pos="567"/>
        </w:tabs>
        <w:rPr>
          <w:szCs w:val="22"/>
          <w:lang w:eastAsia="en-US"/>
        </w:rPr>
      </w:pPr>
    </w:p>
    <w:p w14:paraId="069D1A34" w14:textId="17E016BC" w:rsidR="00F95101" w:rsidRPr="00F95101" w:rsidRDefault="00F95101" w:rsidP="00F95101">
      <w:pPr>
        <w:tabs>
          <w:tab w:val="left" w:pos="567"/>
        </w:tabs>
        <w:rPr>
          <w:szCs w:val="22"/>
          <w:lang w:eastAsia="en-US"/>
        </w:rPr>
      </w:pPr>
      <w:r w:rsidRPr="00F95101">
        <w:rPr>
          <w:szCs w:val="22"/>
          <w:lang w:eastAsia="en-US"/>
        </w:rPr>
        <w:t>Vidutinis ŽIV-1 RNR ir CD4 kiekio pokytis 48 savaitės gydyme, lyginant su pradiniu, buvo toks pat abiejose gydymo grupėse: -3,09 ir -3,09 log</w:t>
      </w:r>
      <w:r w:rsidRPr="00CC3305">
        <w:rPr>
          <w:szCs w:val="22"/>
          <w:vertAlign w:val="subscript"/>
          <w:lang w:eastAsia="en-US"/>
        </w:rPr>
        <w:t>10</w:t>
      </w:r>
      <w:r w:rsidRPr="00F95101">
        <w:rPr>
          <w:szCs w:val="22"/>
          <w:lang w:eastAsia="en-US"/>
        </w:rPr>
        <w:t xml:space="preserve"> kopijų/ml, +169 ir +167 ląstelių/mm</w:t>
      </w:r>
      <w:r w:rsidRPr="00CC3305">
        <w:rPr>
          <w:szCs w:val="22"/>
          <w:vertAlign w:val="superscript"/>
          <w:lang w:eastAsia="en-US"/>
        </w:rPr>
        <w:t>3</w:t>
      </w:r>
      <w:r w:rsidRPr="00F95101">
        <w:rPr>
          <w:szCs w:val="22"/>
          <w:lang w:eastAsia="en-US"/>
        </w:rPr>
        <w:t xml:space="preserve"> atitinkamai tenofoviro dizoproksilio 245</w:t>
      </w:r>
      <w:r w:rsidR="00947DB6">
        <w:rPr>
          <w:szCs w:val="22"/>
          <w:lang w:eastAsia="en-US"/>
        </w:rPr>
        <w:t> </w:t>
      </w:r>
      <w:r w:rsidRPr="00F95101">
        <w:rPr>
          <w:szCs w:val="22"/>
          <w:lang w:eastAsia="en-US"/>
        </w:rPr>
        <w:t>mg  ir stavudino grupėse. Gydymo, kuris užtruko 144 savaites vidutinis pokytis, lyginant su pradiniu, išliko toks pat abiejose – atitinkamai tenofoviro dizoproksilio 245</w:t>
      </w:r>
      <w:r w:rsidR="00947DB6">
        <w:rPr>
          <w:szCs w:val="22"/>
          <w:lang w:eastAsia="en-US"/>
        </w:rPr>
        <w:t> </w:t>
      </w:r>
      <w:r w:rsidRPr="00F95101">
        <w:rPr>
          <w:szCs w:val="22"/>
          <w:lang w:eastAsia="en-US"/>
        </w:rPr>
        <w:t>mg  ir stavudinu gydytose – grupėse: -3,07 ir -3,03 log</w:t>
      </w:r>
      <w:r w:rsidRPr="00CC3305">
        <w:rPr>
          <w:szCs w:val="22"/>
          <w:vertAlign w:val="subscript"/>
          <w:lang w:eastAsia="en-US"/>
        </w:rPr>
        <w:t>10</w:t>
      </w:r>
      <w:r w:rsidRPr="00F95101">
        <w:rPr>
          <w:szCs w:val="22"/>
          <w:lang w:eastAsia="en-US"/>
        </w:rPr>
        <w:t xml:space="preserve"> kopijų/ml, +263 ir +283 ląstelių/mm</w:t>
      </w:r>
      <w:r w:rsidRPr="00CC3305">
        <w:rPr>
          <w:szCs w:val="22"/>
          <w:vertAlign w:val="superscript"/>
          <w:lang w:eastAsia="en-US"/>
        </w:rPr>
        <w:t>3</w:t>
      </w:r>
      <w:r w:rsidRPr="00F95101">
        <w:rPr>
          <w:szCs w:val="22"/>
          <w:lang w:eastAsia="en-US"/>
        </w:rPr>
        <w:t xml:space="preserve">. Pastebėtas nuolatinis atsakas į gydymą </w:t>
      </w:r>
      <w:r w:rsidR="007D490E" w:rsidRPr="00F95101">
        <w:rPr>
          <w:szCs w:val="22"/>
          <w:lang w:eastAsia="en-US"/>
        </w:rPr>
        <w:t>tenofovir</w:t>
      </w:r>
      <w:r w:rsidR="007D490E">
        <w:rPr>
          <w:szCs w:val="22"/>
          <w:lang w:eastAsia="en-US"/>
        </w:rPr>
        <w:t>u</w:t>
      </w:r>
      <w:r w:rsidR="007D490E" w:rsidRPr="00F95101">
        <w:rPr>
          <w:szCs w:val="22"/>
          <w:lang w:eastAsia="en-US"/>
        </w:rPr>
        <w:t xml:space="preserve"> </w:t>
      </w:r>
      <w:r w:rsidRPr="00F95101">
        <w:rPr>
          <w:szCs w:val="22"/>
          <w:lang w:eastAsia="en-US"/>
        </w:rPr>
        <w:t>dizoproksiliu 245</w:t>
      </w:r>
      <w:r w:rsidR="00947DB6">
        <w:rPr>
          <w:szCs w:val="22"/>
          <w:lang w:eastAsia="en-US"/>
        </w:rPr>
        <w:t> </w:t>
      </w:r>
      <w:r w:rsidRPr="00F95101">
        <w:rPr>
          <w:szCs w:val="22"/>
          <w:lang w:eastAsia="en-US"/>
        </w:rPr>
        <w:t>mg nepriklausomai nuo pradinio ŽIV-1 RNR ir CD4 ląstelių kiekio.</w:t>
      </w:r>
    </w:p>
    <w:p w14:paraId="5402E8DF" w14:textId="77777777" w:rsidR="00CC3305" w:rsidRDefault="00CC3305" w:rsidP="00F95101">
      <w:pPr>
        <w:tabs>
          <w:tab w:val="left" w:pos="567"/>
        </w:tabs>
        <w:rPr>
          <w:szCs w:val="22"/>
          <w:lang w:eastAsia="en-US"/>
        </w:rPr>
      </w:pPr>
    </w:p>
    <w:p w14:paraId="0EACA4C2" w14:textId="253B305C" w:rsidR="00F95101" w:rsidRPr="00F95101" w:rsidRDefault="00F95101" w:rsidP="00F95101">
      <w:pPr>
        <w:tabs>
          <w:tab w:val="left" w:pos="567"/>
        </w:tabs>
        <w:rPr>
          <w:szCs w:val="22"/>
          <w:lang w:eastAsia="en-US"/>
        </w:rPr>
      </w:pPr>
      <w:r w:rsidRPr="00F95101">
        <w:rPr>
          <w:szCs w:val="22"/>
          <w:lang w:eastAsia="en-US"/>
        </w:rPr>
        <w:t>K65R mutacija šiek tiek dažniau pasireiškė pacientams, gy</w:t>
      </w:r>
      <w:r w:rsidR="001826C2">
        <w:rPr>
          <w:szCs w:val="22"/>
          <w:lang w:eastAsia="en-US"/>
        </w:rPr>
        <w:t xml:space="preserve">dytiems </w:t>
      </w:r>
      <w:r w:rsidR="007D490E">
        <w:rPr>
          <w:szCs w:val="22"/>
          <w:lang w:eastAsia="en-US"/>
        </w:rPr>
        <w:t xml:space="preserve">tenofoviru </w:t>
      </w:r>
      <w:r w:rsidR="001826C2">
        <w:rPr>
          <w:szCs w:val="22"/>
          <w:lang w:eastAsia="en-US"/>
        </w:rPr>
        <w:t>dizoproksiliu</w:t>
      </w:r>
      <w:r w:rsidRPr="00F95101">
        <w:rPr>
          <w:szCs w:val="22"/>
          <w:lang w:eastAsia="en-US"/>
        </w:rPr>
        <w:t xml:space="preserve"> lyginant su aktyvios kontrolės grupe (2,7</w:t>
      </w:r>
      <w:r w:rsidR="00947DB6">
        <w:rPr>
          <w:szCs w:val="22"/>
          <w:lang w:eastAsia="en-US"/>
        </w:rPr>
        <w:t> </w:t>
      </w:r>
      <w:r w:rsidRPr="00F95101">
        <w:rPr>
          <w:szCs w:val="22"/>
          <w:lang w:eastAsia="en-US"/>
        </w:rPr>
        <w:t>% lyginant su 0,7</w:t>
      </w:r>
      <w:r w:rsidR="00947DB6">
        <w:rPr>
          <w:szCs w:val="22"/>
          <w:lang w:eastAsia="en-US"/>
        </w:rPr>
        <w:t> </w:t>
      </w:r>
      <w:r w:rsidRPr="00F95101">
        <w:rPr>
          <w:szCs w:val="22"/>
          <w:lang w:eastAsia="en-US"/>
        </w:rPr>
        <w:t xml:space="preserve">%). Visais atvejais atsparumas efavirenzui ar lamivudinui jau buvo iki pasireiškiant K65R mutacijai arba sutapo su ja. Aštuoniems </w:t>
      </w:r>
      <w:r w:rsidR="007D490E" w:rsidRPr="00F95101">
        <w:rPr>
          <w:szCs w:val="22"/>
          <w:lang w:eastAsia="en-US"/>
        </w:rPr>
        <w:t>tenofovir</w:t>
      </w:r>
      <w:r w:rsidR="007D490E">
        <w:rPr>
          <w:szCs w:val="22"/>
          <w:lang w:eastAsia="en-US"/>
        </w:rPr>
        <w:t>u</w:t>
      </w:r>
      <w:r w:rsidR="007D490E" w:rsidRPr="00F95101">
        <w:rPr>
          <w:szCs w:val="22"/>
          <w:lang w:eastAsia="en-US"/>
        </w:rPr>
        <w:t xml:space="preserve"> </w:t>
      </w:r>
      <w:r w:rsidRPr="00F95101">
        <w:rPr>
          <w:szCs w:val="22"/>
          <w:lang w:eastAsia="en-US"/>
        </w:rPr>
        <w:t>dizoproksiliu 245</w:t>
      </w:r>
      <w:r w:rsidR="00947DB6">
        <w:rPr>
          <w:szCs w:val="22"/>
          <w:lang w:eastAsia="en-US"/>
        </w:rPr>
        <w:t> </w:t>
      </w:r>
      <w:r w:rsidRPr="00F95101">
        <w:rPr>
          <w:szCs w:val="22"/>
          <w:lang w:eastAsia="en-US"/>
        </w:rPr>
        <w:t xml:space="preserve">mg gydytos grupės ŽIV-pacientams pasireiškė K65R mutacija: 7 iš jų – per pirmąsias 48 gydymo savaites, o paskutiniajam – 96 gydymo savaitę. Daugiau K65R mutacijos išsivystymo atvejų iki 144 gydymo savaitės nepastebėta. Vienam tenofoviro dizoproksilio grupės pacientui </w:t>
      </w:r>
      <w:r w:rsidR="00CC3305">
        <w:rPr>
          <w:szCs w:val="22"/>
          <w:lang w:eastAsia="en-US"/>
        </w:rPr>
        <w:t>viruse išsivystė</w:t>
      </w:r>
      <w:r w:rsidRPr="00F95101">
        <w:rPr>
          <w:szCs w:val="22"/>
          <w:lang w:eastAsia="en-US"/>
        </w:rPr>
        <w:t xml:space="preserve"> K70E pakaita. Iš genotipinės ir fenotipinės analizės nenustatyta </w:t>
      </w:r>
      <w:r w:rsidR="00CC3305">
        <w:rPr>
          <w:szCs w:val="22"/>
          <w:lang w:eastAsia="en-US"/>
        </w:rPr>
        <w:t xml:space="preserve">įrodymų </w:t>
      </w:r>
      <w:r w:rsidRPr="00F95101">
        <w:rPr>
          <w:szCs w:val="22"/>
          <w:lang w:eastAsia="en-US"/>
        </w:rPr>
        <w:t>kit</w:t>
      </w:r>
      <w:r w:rsidR="00CC3305">
        <w:rPr>
          <w:szCs w:val="22"/>
          <w:lang w:eastAsia="en-US"/>
        </w:rPr>
        <w:t>iems</w:t>
      </w:r>
      <w:r w:rsidRPr="00F95101">
        <w:rPr>
          <w:szCs w:val="22"/>
          <w:lang w:eastAsia="en-US"/>
        </w:rPr>
        <w:t xml:space="preserve"> atsparumo tenofovirui išsivystymo </w:t>
      </w:r>
      <w:r w:rsidR="00CC3305">
        <w:rPr>
          <w:szCs w:val="22"/>
          <w:lang w:eastAsia="en-US"/>
        </w:rPr>
        <w:t>būdams</w:t>
      </w:r>
      <w:r w:rsidRPr="00F95101">
        <w:rPr>
          <w:szCs w:val="22"/>
          <w:lang w:eastAsia="en-US"/>
        </w:rPr>
        <w:t>.</w:t>
      </w:r>
    </w:p>
    <w:p w14:paraId="10394F9E" w14:textId="77777777" w:rsidR="002615F0" w:rsidRDefault="002615F0" w:rsidP="00F95101">
      <w:pPr>
        <w:tabs>
          <w:tab w:val="left" w:pos="567"/>
        </w:tabs>
        <w:rPr>
          <w:szCs w:val="22"/>
          <w:lang w:eastAsia="en-US"/>
        </w:rPr>
      </w:pPr>
    </w:p>
    <w:p w14:paraId="01B0092A" w14:textId="77777777" w:rsidR="00F95101" w:rsidRPr="002615F0" w:rsidRDefault="00F95101" w:rsidP="00F95101">
      <w:pPr>
        <w:tabs>
          <w:tab w:val="left" w:pos="567"/>
        </w:tabs>
        <w:rPr>
          <w:i/>
          <w:szCs w:val="22"/>
          <w:lang w:eastAsia="en-US"/>
        </w:rPr>
      </w:pPr>
      <w:r w:rsidRPr="002615F0">
        <w:rPr>
          <w:i/>
          <w:szCs w:val="22"/>
          <w:lang w:eastAsia="en-US"/>
        </w:rPr>
        <w:t>Duomenys apie HBV</w:t>
      </w:r>
    </w:p>
    <w:p w14:paraId="595C3C8A" w14:textId="77777777" w:rsidR="00F95101" w:rsidRPr="00F95101" w:rsidRDefault="00F95101" w:rsidP="00F95101">
      <w:pPr>
        <w:tabs>
          <w:tab w:val="left" w:pos="567"/>
        </w:tabs>
        <w:rPr>
          <w:szCs w:val="22"/>
          <w:lang w:eastAsia="en-US"/>
        </w:rPr>
      </w:pPr>
      <w:r w:rsidRPr="002615F0">
        <w:rPr>
          <w:i/>
          <w:szCs w:val="22"/>
          <w:lang w:eastAsia="en-US"/>
        </w:rPr>
        <w:t>Antivirusinis aktyvumas prieš HBV in vitro.</w:t>
      </w:r>
      <w:r w:rsidRPr="00F95101">
        <w:rPr>
          <w:szCs w:val="22"/>
          <w:lang w:eastAsia="en-US"/>
        </w:rPr>
        <w:t xml:space="preserve"> HepG2 2.2.15 ląstelių linijoje </w:t>
      </w:r>
      <w:r w:rsidRPr="002615F0">
        <w:rPr>
          <w:i/>
          <w:szCs w:val="22"/>
          <w:lang w:eastAsia="en-US"/>
        </w:rPr>
        <w:t>in vitro</w:t>
      </w:r>
      <w:r w:rsidRPr="00F95101">
        <w:rPr>
          <w:szCs w:val="22"/>
          <w:lang w:eastAsia="en-US"/>
        </w:rPr>
        <w:t xml:space="preserve"> buvo nustatytas tenofoviro antivirusinis aktyvumas prieš HBV. Tenofoviro EK</w:t>
      </w:r>
      <w:r w:rsidRPr="002615F0">
        <w:rPr>
          <w:szCs w:val="22"/>
          <w:vertAlign w:val="subscript"/>
          <w:lang w:eastAsia="en-US"/>
        </w:rPr>
        <w:t>50</w:t>
      </w:r>
      <w:r w:rsidRPr="00F95101">
        <w:rPr>
          <w:szCs w:val="22"/>
          <w:lang w:eastAsia="en-US"/>
        </w:rPr>
        <w:t xml:space="preserve"> reikšmės svyravo nuo 0,14 iki 1,5</w:t>
      </w:r>
      <w:r w:rsidR="00947DB6">
        <w:rPr>
          <w:szCs w:val="22"/>
          <w:lang w:eastAsia="en-US"/>
        </w:rPr>
        <w:t> </w:t>
      </w:r>
      <w:r w:rsidRPr="00F95101">
        <w:rPr>
          <w:szCs w:val="22"/>
          <w:lang w:eastAsia="en-US"/>
        </w:rPr>
        <w:t>μmol/l intervale, o CK</w:t>
      </w:r>
      <w:r w:rsidRPr="002615F0">
        <w:rPr>
          <w:szCs w:val="22"/>
          <w:vertAlign w:val="subscript"/>
          <w:lang w:eastAsia="en-US"/>
        </w:rPr>
        <w:t>50</w:t>
      </w:r>
      <w:r w:rsidRPr="00F95101">
        <w:rPr>
          <w:szCs w:val="22"/>
          <w:lang w:eastAsia="en-US"/>
        </w:rPr>
        <w:t xml:space="preserve"> (50</w:t>
      </w:r>
      <w:r w:rsidR="00947DB6">
        <w:rPr>
          <w:szCs w:val="22"/>
          <w:lang w:eastAsia="en-US"/>
        </w:rPr>
        <w:t> </w:t>
      </w:r>
      <w:r w:rsidRPr="00F95101">
        <w:rPr>
          <w:szCs w:val="22"/>
          <w:lang w:eastAsia="en-US"/>
        </w:rPr>
        <w:t>% citotoksiškumo koncentracija) reikšmės buvo &gt;</w:t>
      </w:r>
      <w:r w:rsidR="00947DB6">
        <w:rPr>
          <w:szCs w:val="22"/>
          <w:lang w:eastAsia="en-US"/>
        </w:rPr>
        <w:t> </w:t>
      </w:r>
      <w:r w:rsidRPr="00F95101">
        <w:rPr>
          <w:szCs w:val="22"/>
          <w:lang w:eastAsia="en-US"/>
        </w:rPr>
        <w:t>100</w:t>
      </w:r>
      <w:r w:rsidR="00947DB6">
        <w:rPr>
          <w:szCs w:val="22"/>
          <w:lang w:eastAsia="en-US"/>
        </w:rPr>
        <w:t> </w:t>
      </w:r>
      <w:r w:rsidRPr="00F95101">
        <w:rPr>
          <w:szCs w:val="22"/>
          <w:lang w:eastAsia="en-US"/>
        </w:rPr>
        <w:t>μmol/l.</w:t>
      </w:r>
    </w:p>
    <w:p w14:paraId="428B6163" w14:textId="77777777" w:rsidR="002615F0" w:rsidRDefault="002615F0" w:rsidP="00F95101">
      <w:pPr>
        <w:tabs>
          <w:tab w:val="left" w:pos="567"/>
        </w:tabs>
        <w:rPr>
          <w:szCs w:val="22"/>
          <w:lang w:eastAsia="en-US"/>
        </w:rPr>
      </w:pPr>
    </w:p>
    <w:p w14:paraId="7823E8FB" w14:textId="6ABB0087" w:rsidR="00F95101" w:rsidRPr="00F95101" w:rsidRDefault="00F95101" w:rsidP="00F95101">
      <w:pPr>
        <w:tabs>
          <w:tab w:val="left" w:pos="567"/>
        </w:tabs>
        <w:rPr>
          <w:szCs w:val="22"/>
          <w:lang w:eastAsia="en-US"/>
        </w:rPr>
      </w:pPr>
      <w:r w:rsidRPr="002615F0">
        <w:rPr>
          <w:i/>
          <w:szCs w:val="22"/>
          <w:lang w:eastAsia="en-US"/>
        </w:rPr>
        <w:t>Atsparumas.</w:t>
      </w:r>
      <w:r w:rsidRPr="00F95101">
        <w:rPr>
          <w:szCs w:val="22"/>
          <w:lang w:eastAsia="en-US"/>
        </w:rPr>
        <w:t xml:space="preserve"> Su at</w:t>
      </w:r>
      <w:r w:rsidR="001826C2">
        <w:rPr>
          <w:szCs w:val="22"/>
          <w:lang w:eastAsia="en-US"/>
        </w:rPr>
        <w:t xml:space="preserve">sparumu </w:t>
      </w:r>
      <w:r w:rsidR="007D490E">
        <w:rPr>
          <w:szCs w:val="22"/>
          <w:lang w:eastAsia="en-US"/>
        </w:rPr>
        <w:t xml:space="preserve">tenofovirui </w:t>
      </w:r>
      <w:r w:rsidR="001826C2">
        <w:rPr>
          <w:szCs w:val="22"/>
          <w:lang w:eastAsia="en-US"/>
        </w:rPr>
        <w:t>dizoproksiliui</w:t>
      </w:r>
      <w:r w:rsidRPr="00F95101">
        <w:rPr>
          <w:szCs w:val="22"/>
          <w:lang w:eastAsia="en-US"/>
        </w:rPr>
        <w:t xml:space="preserve"> susijusių HBV mutacijų </w:t>
      </w:r>
      <w:r w:rsidR="002615F0">
        <w:rPr>
          <w:szCs w:val="22"/>
          <w:lang w:eastAsia="en-US"/>
        </w:rPr>
        <w:t>neaptikta</w:t>
      </w:r>
      <w:r w:rsidRPr="00F95101">
        <w:rPr>
          <w:szCs w:val="22"/>
          <w:lang w:eastAsia="en-US"/>
        </w:rPr>
        <w:t xml:space="preserve"> (žr. </w:t>
      </w:r>
      <w:r w:rsidR="002615F0">
        <w:rPr>
          <w:szCs w:val="22"/>
          <w:lang w:eastAsia="en-US"/>
        </w:rPr>
        <w:t>„</w:t>
      </w:r>
      <w:r w:rsidRPr="00F95101">
        <w:rPr>
          <w:szCs w:val="22"/>
          <w:lang w:eastAsia="en-US"/>
        </w:rPr>
        <w:t>Klinikinis veiksmingumas ir saugumas</w:t>
      </w:r>
      <w:r w:rsidR="002615F0">
        <w:rPr>
          <w:szCs w:val="22"/>
          <w:lang w:eastAsia="en-US"/>
        </w:rPr>
        <w:t>“</w:t>
      </w:r>
      <w:r w:rsidRPr="00F95101">
        <w:rPr>
          <w:szCs w:val="22"/>
          <w:lang w:eastAsia="en-US"/>
        </w:rPr>
        <w:t xml:space="preserve">). Tiriant ląsteles nustatyta, kad HBV padermės, kurios ekspresuoja rtV173L, rtL180M ir rtM204I/V mutacijas, susijusias su rezistentiškumu lamivudinui ir telbivudinui, jautrumas tenofovirui svyruoja nuo 0,7 iki 3,4 kartų, lyginant su </w:t>
      </w:r>
      <w:r w:rsidR="002615F0">
        <w:rPr>
          <w:szCs w:val="22"/>
          <w:lang w:eastAsia="en-US"/>
        </w:rPr>
        <w:t>natūraliu</w:t>
      </w:r>
      <w:r w:rsidRPr="00F95101">
        <w:rPr>
          <w:szCs w:val="22"/>
          <w:lang w:eastAsia="en-US"/>
        </w:rPr>
        <w:t xml:space="preserve"> virusu. HBV padermės, kurios ekspresuo</w:t>
      </w:r>
      <w:r w:rsidR="002615F0">
        <w:rPr>
          <w:szCs w:val="22"/>
          <w:lang w:eastAsia="en-US"/>
        </w:rPr>
        <w:t>j</w:t>
      </w:r>
      <w:r w:rsidRPr="00F95101">
        <w:rPr>
          <w:szCs w:val="22"/>
          <w:lang w:eastAsia="en-US"/>
        </w:rPr>
        <w:t xml:space="preserve">a rtL180M, rtT184G, rtS202G/I, rtM204V ir rtM250V mutacijas, susijusias su rezistentiškumu entekavirui, jautrumas tenofovirui svyruoja nuo 0,6 iki 6,9 kartų, lyginant su </w:t>
      </w:r>
      <w:r w:rsidR="002615F0">
        <w:rPr>
          <w:szCs w:val="22"/>
          <w:lang w:eastAsia="en-US"/>
        </w:rPr>
        <w:t>natūraliu</w:t>
      </w:r>
      <w:r w:rsidRPr="00F95101">
        <w:rPr>
          <w:szCs w:val="22"/>
          <w:lang w:eastAsia="en-US"/>
        </w:rPr>
        <w:t xml:space="preserve"> virusu. HBV padermės, kurios ekspresuo</w:t>
      </w:r>
      <w:r w:rsidR="002615F0">
        <w:rPr>
          <w:szCs w:val="22"/>
          <w:lang w:eastAsia="en-US"/>
        </w:rPr>
        <w:t>j</w:t>
      </w:r>
      <w:r w:rsidRPr="00F95101">
        <w:rPr>
          <w:szCs w:val="22"/>
          <w:lang w:eastAsia="en-US"/>
        </w:rPr>
        <w:t xml:space="preserve">a su rezistentiškumu adefovirui susijusias rtA181V ir rtN236T mutacijas, jautrumas tenofovirui svyruoja nuo 2,5 iki 10 kartų, lyginant su </w:t>
      </w:r>
      <w:r w:rsidR="002615F0">
        <w:rPr>
          <w:szCs w:val="22"/>
          <w:lang w:eastAsia="en-US"/>
        </w:rPr>
        <w:t>natūraliu</w:t>
      </w:r>
      <w:r w:rsidRPr="00F95101">
        <w:rPr>
          <w:szCs w:val="22"/>
          <w:lang w:eastAsia="en-US"/>
        </w:rPr>
        <w:t xml:space="preserve"> virusu. Virusų, turinčių rtA181T mutaciją, jautrumas tenofovirui siekia EK</w:t>
      </w:r>
      <w:r w:rsidRPr="002615F0">
        <w:rPr>
          <w:szCs w:val="22"/>
          <w:vertAlign w:val="subscript"/>
          <w:lang w:eastAsia="en-US"/>
        </w:rPr>
        <w:t>50</w:t>
      </w:r>
      <w:r w:rsidRPr="00F95101">
        <w:rPr>
          <w:szCs w:val="22"/>
          <w:lang w:eastAsia="en-US"/>
        </w:rPr>
        <w:t xml:space="preserve">, o tai 1,5 kartų daugiau, lyginant su </w:t>
      </w:r>
      <w:r w:rsidR="002615F0">
        <w:rPr>
          <w:szCs w:val="22"/>
          <w:lang w:eastAsia="en-US"/>
        </w:rPr>
        <w:t>natūraliu</w:t>
      </w:r>
      <w:r w:rsidRPr="00F95101">
        <w:rPr>
          <w:szCs w:val="22"/>
          <w:lang w:eastAsia="en-US"/>
        </w:rPr>
        <w:t xml:space="preserve"> virusu.</w:t>
      </w:r>
    </w:p>
    <w:p w14:paraId="14ADD31B" w14:textId="77777777" w:rsidR="002615F0" w:rsidRDefault="002615F0" w:rsidP="00F95101">
      <w:pPr>
        <w:tabs>
          <w:tab w:val="left" w:pos="567"/>
        </w:tabs>
        <w:rPr>
          <w:szCs w:val="22"/>
          <w:lang w:eastAsia="en-US"/>
        </w:rPr>
      </w:pPr>
    </w:p>
    <w:p w14:paraId="6B887844" w14:textId="77777777" w:rsidR="00F95101" w:rsidRPr="002615F0" w:rsidRDefault="00F95101" w:rsidP="00F95101">
      <w:pPr>
        <w:tabs>
          <w:tab w:val="left" w:pos="567"/>
        </w:tabs>
        <w:rPr>
          <w:szCs w:val="22"/>
          <w:u w:val="single"/>
          <w:lang w:eastAsia="en-US"/>
        </w:rPr>
      </w:pPr>
      <w:r w:rsidRPr="002615F0">
        <w:rPr>
          <w:szCs w:val="22"/>
          <w:u w:val="single"/>
          <w:lang w:eastAsia="en-US"/>
        </w:rPr>
        <w:t>Klinikinis veiksmingumas ir saugumas</w:t>
      </w:r>
    </w:p>
    <w:p w14:paraId="6D7AB127" w14:textId="3D28BAD0" w:rsidR="00743362" w:rsidRDefault="00653D08" w:rsidP="00F95101">
      <w:pPr>
        <w:tabs>
          <w:tab w:val="left" w:pos="567"/>
        </w:tabs>
        <w:rPr>
          <w:szCs w:val="22"/>
          <w:lang w:eastAsia="en-US"/>
        </w:rPr>
      </w:pPr>
      <w:r>
        <w:rPr>
          <w:szCs w:val="22"/>
          <w:lang w:eastAsia="en-US"/>
        </w:rPr>
        <w:t xml:space="preserve">Tenofoviro dizoproksilio </w:t>
      </w:r>
      <w:r w:rsidR="00F95101" w:rsidRPr="00F95101">
        <w:rPr>
          <w:szCs w:val="22"/>
          <w:lang w:eastAsia="en-US"/>
        </w:rPr>
        <w:t>naud</w:t>
      </w:r>
      <w:r w:rsidR="00210E9E">
        <w:rPr>
          <w:szCs w:val="22"/>
          <w:lang w:eastAsia="en-US"/>
        </w:rPr>
        <w:t>os įrodymas yra pagrįstas</w:t>
      </w:r>
      <w:r w:rsidR="00F95101" w:rsidRPr="00F95101">
        <w:rPr>
          <w:szCs w:val="22"/>
          <w:lang w:eastAsia="en-US"/>
        </w:rPr>
        <w:t xml:space="preserve"> HBeAg teigiamų ir HBeAg neigiamų suaugusiųjų, sergančių lėtiniu hepatitu B, esant kompensuotai ir dekompensuotai ligai, virusologiniu, biocheminiu ir serologiniu atsaku. Gydyt</w:t>
      </w:r>
      <w:r w:rsidR="00210E9E">
        <w:rPr>
          <w:szCs w:val="22"/>
          <w:lang w:eastAsia="en-US"/>
        </w:rPr>
        <w:t>i tokių grupių pacientai:</w:t>
      </w:r>
      <w:r w:rsidR="00F95101" w:rsidRPr="00F95101">
        <w:rPr>
          <w:szCs w:val="22"/>
          <w:lang w:eastAsia="en-US"/>
        </w:rPr>
        <w:t xml:space="preserve"> anksčiau negydyt</w:t>
      </w:r>
      <w:r w:rsidR="00210E9E">
        <w:rPr>
          <w:szCs w:val="22"/>
          <w:lang w:eastAsia="en-US"/>
        </w:rPr>
        <w:t>i</w:t>
      </w:r>
      <w:r w:rsidR="00F95101" w:rsidRPr="00F95101">
        <w:rPr>
          <w:szCs w:val="22"/>
          <w:lang w:eastAsia="en-US"/>
        </w:rPr>
        <w:t>, gydyt</w:t>
      </w:r>
      <w:r w:rsidR="00210E9E">
        <w:rPr>
          <w:szCs w:val="22"/>
          <w:lang w:eastAsia="en-US"/>
        </w:rPr>
        <w:t>i</w:t>
      </w:r>
      <w:r w:rsidR="00F95101" w:rsidRPr="00F95101">
        <w:rPr>
          <w:szCs w:val="22"/>
          <w:lang w:eastAsia="en-US"/>
        </w:rPr>
        <w:t xml:space="preserve"> lamivudinu, gydyt</w:t>
      </w:r>
      <w:r w:rsidR="00210E9E">
        <w:rPr>
          <w:szCs w:val="22"/>
          <w:lang w:eastAsia="en-US"/>
        </w:rPr>
        <w:t>i</w:t>
      </w:r>
      <w:r w:rsidR="00F95101" w:rsidRPr="00F95101">
        <w:rPr>
          <w:szCs w:val="22"/>
          <w:lang w:eastAsia="en-US"/>
        </w:rPr>
        <w:t xml:space="preserve"> </w:t>
      </w:r>
      <w:r w:rsidR="007D490E" w:rsidRPr="00F95101">
        <w:rPr>
          <w:szCs w:val="22"/>
          <w:lang w:eastAsia="en-US"/>
        </w:rPr>
        <w:t>adefovir</w:t>
      </w:r>
      <w:r w:rsidR="007D490E">
        <w:rPr>
          <w:szCs w:val="22"/>
          <w:lang w:eastAsia="en-US"/>
        </w:rPr>
        <w:t>u</w:t>
      </w:r>
      <w:r w:rsidR="007D490E" w:rsidRPr="00F95101">
        <w:rPr>
          <w:szCs w:val="22"/>
          <w:lang w:eastAsia="en-US"/>
        </w:rPr>
        <w:t xml:space="preserve"> </w:t>
      </w:r>
      <w:r w:rsidR="00F95101" w:rsidRPr="00F95101">
        <w:rPr>
          <w:szCs w:val="22"/>
          <w:lang w:eastAsia="en-US"/>
        </w:rPr>
        <w:t>dipivoksiliu ir pacient</w:t>
      </w:r>
      <w:r w:rsidR="00210E9E">
        <w:rPr>
          <w:szCs w:val="22"/>
          <w:lang w:eastAsia="en-US"/>
        </w:rPr>
        <w:t>ai</w:t>
      </w:r>
      <w:r w:rsidR="00F95101" w:rsidRPr="00F95101">
        <w:rPr>
          <w:szCs w:val="22"/>
          <w:lang w:eastAsia="en-US"/>
        </w:rPr>
        <w:t xml:space="preserve">, </w:t>
      </w:r>
      <w:r w:rsidR="002615F0">
        <w:rPr>
          <w:szCs w:val="22"/>
          <w:lang w:eastAsia="en-US"/>
        </w:rPr>
        <w:t>kuriems yra</w:t>
      </w:r>
      <w:r w:rsidR="00F95101" w:rsidRPr="00F95101">
        <w:rPr>
          <w:szCs w:val="22"/>
          <w:lang w:eastAsia="en-US"/>
        </w:rPr>
        <w:t xml:space="preserve"> pradinio rezistentiškumo mutacij</w:t>
      </w:r>
      <w:r w:rsidR="002615F0">
        <w:rPr>
          <w:szCs w:val="22"/>
          <w:lang w:eastAsia="en-US"/>
        </w:rPr>
        <w:t>ų</w:t>
      </w:r>
      <w:r w:rsidR="00F95101" w:rsidRPr="00F95101">
        <w:rPr>
          <w:szCs w:val="22"/>
          <w:lang w:eastAsia="en-US"/>
        </w:rPr>
        <w:t xml:space="preserve"> lamivudinui ir (arba) </w:t>
      </w:r>
      <w:r w:rsidR="007D490E" w:rsidRPr="00F95101">
        <w:rPr>
          <w:szCs w:val="22"/>
          <w:lang w:eastAsia="en-US"/>
        </w:rPr>
        <w:t>adefovir</w:t>
      </w:r>
      <w:r w:rsidR="007D490E">
        <w:rPr>
          <w:szCs w:val="22"/>
          <w:lang w:eastAsia="en-US"/>
        </w:rPr>
        <w:t>ui</w:t>
      </w:r>
      <w:r w:rsidR="007D490E" w:rsidRPr="00F95101">
        <w:rPr>
          <w:szCs w:val="22"/>
          <w:lang w:eastAsia="en-US"/>
        </w:rPr>
        <w:t xml:space="preserve"> </w:t>
      </w:r>
      <w:r w:rsidR="00F95101" w:rsidRPr="00F95101">
        <w:rPr>
          <w:szCs w:val="22"/>
          <w:lang w:eastAsia="en-US"/>
        </w:rPr>
        <w:t xml:space="preserve">dipivoksiliui. Nauda taip pat buvo </w:t>
      </w:r>
      <w:r w:rsidR="00210E9E">
        <w:rPr>
          <w:szCs w:val="22"/>
          <w:lang w:eastAsia="en-US"/>
        </w:rPr>
        <w:t>įrodyta</w:t>
      </w:r>
      <w:r w:rsidR="00F95101" w:rsidRPr="00F95101">
        <w:rPr>
          <w:szCs w:val="22"/>
          <w:lang w:eastAsia="en-US"/>
        </w:rPr>
        <w:t xml:space="preserve"> histologiniu atsaku kompensuota liga sergantiems pacientams.</w:t>
      </w:r>
    </w:p>
    <w:p w14:paraId="16EB071A" w14:textId="77777777" w:rsidR="00743362" w:rsidRDefault="00743362" w:rsidP="006D2D23">
      <w:pPr>
        <w:tabs>
          <w:tab w:val="left" w:pos="567"/>
        </w:tabs>
        <w:rPr>
          <w:szCs w:val="22"/>
          <w:lang w:eastAsia="en-US"/>
        </w:rPr>
      </w:pPr>
    </w:p>
    <w:p w14:paraId="517C3381" w14:textId="77777777" w:rsidR="00210E9E" w:rsidRPr="00210E9E" w:rsidRDefault="00210E9E" w:rsidP="00210E9E">
      <w:pPr>
        <w:tabs>
          <w:tab w:val="left" w:pos="567"/>
        </w:tabs>
        <w:rPr>
          <w:i/>
          <w:szCs w:val="22"/>
          <w:lang w:eastAsia="en-US"/>
        </w:rPr>
      </w:pPr>
      <w:r w:rsidRPr="00210E9E">
        <w:rPr>
          <w:i/>
          <w:szCs w:val="22"/>
          <w:lang w:eastAsia="en-US"/>
        </w:rPr>
        <w:t>Patirtis su pacientais, kurie serga kompensuota kepenų liga 48-ąją savaitę (GS-US-174-0102 ir GS-US-174-0103 tyrimai)</w:t>
      </w:r>
    </w:p>
    <w:p w14:paraId="24D0CB82" w14:textId="77777777" w:rsidR="00210E9E" w:rsidRPr="00210E9E" w:rsidRDefault="00210E9E" w:rsidP="00210E9E">
      <w:pPr>
        <w:tabs>
          <w:tab w:val="left" w:pos="567"/>
        </w:tabs>
        <w:rPr>
          <w:szCs w:val="22"/>
          <w:lang w:eastAsia="en-US"/>
        </w:rPr>
      </w:pPr>
      <w:r w:rsidRPr="00210E9E">
        <w:rPr>
          <w:szCs w:val="22"/>
          <w:lang w:eastAsia="en-US"/>
        </w:rPr>
        <w:lastRenderedPageBreak/>
        <w:t xml:space="preserve">3 lentelėje pateikiami dviejų atsitiktinių imčių 3 fazės dvigubai koduotų tyrimų, trukusių 48 savaites ir palyginusių </w:t>
      </w:r>
      <w:r w:rsidR="004A1D5C">
        <w:rPr>
          <w:szCs w:val="22"/>
          <w:lang w:eastAsia="en-US"/>
        </w:rPr>
        <w:t>t</w:t>
      </w:r>
      <w:r w:rsidR="00653D08">
        <w:rPr>
          <w:szCs w:val="22"/>
          <w:lang w:eastAsia="en-US"/>
        </w:rPr>
        <w:t xml:space="preserve">enofoviro dizoproksilio </w:t>
      </w:r>
      <w:r w:rsidRPr="00210E9E">
        <w:rPr>
          <w:szCs w:val="22"/>
          <w:lang w:eastAsia="en-US"/>
        </w:rPr>
        <w:t>ir adefoviro dipivoksilio poveikį kompensuot</w:t>
      </w:r>
      <w:r>
        <w:rPr>
          <w:szCs w:val="22"/>
          <w:lang w:eastAsia="en-US"/>
        </w:rPr>
        <w:t>a</w:t>
      </w:r>
      <w:r w:rsidRPr="00210E9E">
        <w:rPr>
          <w:szCs w:val="22"/>
          <w:lang w:eastAsia="en-US"/>
        </w:rPr>
        <w:t xml:space="preserve"> kepenų lig</w:t>
      </w:r>
      <w:r>
        <w:rPr>
          <w:szCs w:val="22"/>
          <w:lang w:eastAsia="en-US"/>
        </w:rPr>
        <w:t>a</w:t>
      </w:r>
      <w:r w:rsidRPr="00210E9E">
        <w:rPr>
          <w:szCs w:val="22"/>
          <w:lang w:eastAsia="en-US"/>
        </w:rPr>
        <w:t xml:space="preserve"> </w:t>
      </w:r>
      <w:r>
        <w:rPr>
          <w:szCs w:val="22"/>
          <w:lang w:eastAsia="en-US"/>
        </w:rPr>
        <w:t>sergantiems</w:t>
      </w:r>
      <w:r w:rsidRPr="00210E9E">
        <w:rPr>
          <w:szCs w:val="22"/>
          <w:lang w:eastAsia="en-US"/>
        </w:rPr>
        <w:t xml:space="preserve"> suaugusiems pacientams, rezultatai. GS-US-174-0103 tyrime dalyvavo 266 (</w:t>
      </w:r>
      <w:r w:rsidR="009C43EA" w:rsidRPr="009C43EA">
        <w:rPr>
          <w:szCs w:val="22"/>
          <w:lang w:eastAsia="en-US"/>
        </w:rPr>
        <w:t xml:space="preserve">parinkti atsitiktinės atrankos būdu </w:t>
      </w:r>
      <w:r w:rsidRPr="00210E9E">
        <w:rPr>
          <w:szCs w:val="22"/>
          <w:lang w:eastAsia="en-US"/>
        </w:rPr>
        <w:t>ir gydyti) HBeAg teigiami pacientai, o GS-US-174-0102 tyrime dalyvavo 375 (</w:t>
      </w:r>
      <w:r>
        <w:rPr>
          <w:szCs w:val="22"/>
          <w:lang w:eastAsia="en-US"/>
        </w:rPr>
        <w:t>pa</w:t>
      </w:r>
      <w:r w:rsidR="009C43EA">
        <w:rPr>
          <w:szCs w:val="22"/>
          <w:lang w:eastAsia="en-US"/>
        </w:rPr>
        <w:t>rinkti atsitiktinės atrankos būdu</w:t>
      </w:r>
      <w:r w:rsidRPr="00210E9E">
        <w:rPr>
          <w:szCs w:val="22"/>
          <w:lang w:eastAsia="en-US"/>
        </w:rPr>
        <w:t xml:space="preserve"> ir gydyti) HBeAg neigiami ir HBeAk teigiami pacientai.</w:t>
      </w:r>
    </w:p>
    <w:p w14:paraId="791C066D" w14:textId="77777777" w:rsidR="009C43EA" w:rsidRDefault="009C43EA" w:rsidP="00210E9E">
      <w:pPr>
        <w:tabs>
          <w:tab w:val="left" w:pos="567"/>
        </w:tabs>
        <w:rPr>
          <w:szCs w:val="22"/>
          <w:lang w:eastAsia="en-US"/>
        </w:rPr>
      </w:pPr>
    </w:p>
    <w:p w14:paraId="432F7963" w14:textId="755EA76B" w:rsidR="00210E9E" w:rsidRPr="00210E9E" w:rsidRDefault="00210E9E" w:rsidP="00210E9E">
      <w:pPr>
        <w:tabs>
          <w:tab w:val="left" w:pos="567"/>
        </w:tabs>
        <w:rPr>
          <w:szCs w:val="22"/>
          <w:lang w:eastAsia="en-US"/>
        </w:rPr>
      </w:pPr>
      <w:r w:rsidRPr="00210E9E">
        <w:rPr>
          <w:szCs w:val="22"/>
          <w:lang w:eastAsia="en-US"/>
        </w:rPr>
        <w:t>Pagal abiejų tyrimų visiško atsako pagrindinę veiksmingumo vertinamąją baigtį (HBV DNR lygis, kuris yra &lt;</w:t>
      </w:r>
      <w:r w:rsidR="004A1D5C">
        <w:rPr>
          <w:szCs w:val="22"/>
          <w:lang w:eastAsia="en-US"/>
        </w:rPr>
        <w:t> </w:t>
      </w:r>
      <w:r w:rsidRPr="00210E9E">
        <w:rPr>
          <w:szCs w:val="22"/>
          <w:lang w:eastAsia="en-US"/>
        </w:rPr>
        <w:t>400</w:t>
      </w:r>
      <w:r w:rsidR="004A1D5C">
        <w:rPr>
          <w:szCs w:val="22"/>
          <w:lang w:eastAsia="en-US"/>
        </w:rPr>
        <w:t> </w:t>
      </w:r>
      <w:r w:rsidRPr="00210E9E">
        <w:rPr>
          <w:szCs w:val="22"/>
          <w:lang w:eastAsia="en-US"/>
        </w:rPr>
        <w:t xml:space="preserve">kopijų/ml ir dviem taškais padidėjęs </w:t>
      </w:r>
      <w:r w:rsidRPr="00CA49A8">
        <w:rPr>
          <w:i/>
          <w:szCs w:val="22"/>
          <w:lang w:eastAsia="en-US"/>
        </w:rPr>
        <w:t>Knodell</w:t>
      </w:r>
      <w:r w:rsidRPr="00210E9E">
        <w:rPr>
          <w:szCs w:val="22"/>
          <w:lang w:eastAsia="en-US"/>
        </w:rPr>
        <w:t xml:space="preserve"> nekrozinio uždegimo balas, nesant </w:t>
      </w:r>
      <w:r w:rsidRPr="00CA49A8">
        <w:rPr>
          <w:i/>
          <w:szCs w:val="22"/>
          <w:lang w:eastAsia="en-US"/>
        </w:rPr>
        <w:t>Knodell</w:t>
      </w:r>
      <w:r w:rsidRPr="00210E9E">
        <w:rPr>
          <w:szCs w:val="22"/>
          <w:lang w:eastAsia="en-US"/>
        </w:rPr>
        <w:t xml:space="preserve"> fibrozės pablog</w:t>
      </w:r>
      <w:r w:rsidR="001826C2">
        <w:rPr>
          <w:szCs w:val="22"/>
          <w:lang w:eastAsia="en-US"/>
        </w:rPr>
        <w:t>ėjimo), tenofovir</w:t>
      </w:r>
      <w:r w:rsidR="007D490E">
        <w:rPr>
          <w:szCs w:val="22"/>
          <w:lang w:eastAsia="en-US"/>
        </w:rPr>
        <w:t>as</w:t>
      </w:r>
      <w:r w:rsidR="001826C2">
        <w:rPr>
          <w:szCs w:val="22"/>
          <w:lang w:eastAsia="en-US"/>
        </w:rPr>
        <w:t xml:space="preserve"> dizoproksilis</w:t>
      </w:r>
      <w:r w:rsidRPr="00210E9E">
        <w:rPr>
          <w:szCs w:val="22"/>
          <w:lang w:eastAsia="en-US"/>
        </w:rPr>
        <w:t xml:space="preserve"> buvo reikšmingai pranašesnis už </w:t>
      </w:r>
      <w:r w:rsidR="007D490E" w:rsidRPr="00210E9E">
        <w:rPr>
          <w:szCs w:val="22"/>
          <w:lang w:eastAsia="en-US"/>
        </w:rPr>
        <w:t>adefovir</w:t>
      </w:r>
      <w:r w:rsidR="007D490E">
        <w:rPr>
          <w:szCs w:val="22"/>
          <w:lang w:eastAsia="en-US"/>
        </w:rPr>
        <w:t>ą</w:t>
      </w:r>
      <w:r w:rsidR="007D490E" w:rsidRPr="00210E9E">
        <w:rPr>
          <w:szCs w:val="22"/>
          <w:lang w:eastAsia="en-US"/>
        </w:rPr>
        <w:t xml:space="preserve"> </w:t>
      </w:r>
      <w:r w:rsidRPr="00210E9E">
        <w:rPr>
          <w:szCs w:val="22"/>
          <w:lang w:eastAsia="en-US"/>
        </w:rPr>
        <w:t>dipivoksilį. Be to, palyginus gydymą 245</w:t>
      </w:r>
      <w:r w:rsidR="004A1D5C">
        <w:rPr>
          <w:szCs w:val="22"/>
          <w:lang w:eastAsia="en-US"/>
        </w:rPr>
        <w:t> </w:t>
      </w:r>
      <w:r w:rsidRPr="00210E9E">
        <w:rPr>
          <w:szCs w:val="22"/>
          <w:lang w:eastAsia="en-US"/>
        </w:rPr>
        <w:t xml:space="preserve">mg </w:t>
      </w:r>
      <w:r w:rsidR="007D490E" w:rsidRPr="00210E9E">
        <w:rPr>
          <w:szCs w:val="22"/>
          <w:lang w:eastAsia="en-US"/>
        </w:rPr>
        <w:t>tenofovir</w:t>
      </w:r>
      <w:r w:rsidR="007D490E">
        <w:rPr>
          <w:szCs w:val="22"/>
          <w:lang w:eastAsia="en-US"/>
        </w:rPr>
        <w:t>u</w:t>
      </w:r>
      <w:r w:rsidR="007D490E" w:rsidRPr="00210E9E">
        <w:rPr>
          <w:szCs w:val="22"/>
          <w:lang w:eastAsia="en-US"/>
        </w:rPr>
        <w:t xml:space="preserve"> </w:t>
      </w:r>
      <w:r w:rsidRPr="00210E9E">
        <w:rPr>
          <w:szCs w:val="22"/>
          <w:lang w:eastAsia="en-US"/>
        </w:rPr>
        <w:t>dizoproksiliu su gydymu 10</w:t>
      </w:r>
      <w:r w:rsidR="004A1D5C">
        <w:rPr>
          <w:szCs w:val="22"/>
          <w:lang w:eastAsia="en-US"/>
        </w:rPr>
        <w:t> </w:t>
      </w:r>
      <w:r w:rsidRPr="00210E9E">
        <w:rPr>
          <w:szCs w:val="22"/>
          <w:lang w:eastAsia="en-US"/>
        </w:rPr>
        <w:t xml:space="preserve">mg </w:t>
      </w:r>
      <w:r w:rsidR="007D490E" w:rsidRPr="00210E9E">
        <w:rPr>
          <w:szCs w:val="22"/>
          <w:lang w:eastAsia="en-US"/>
        </w:rPr>
        <w:t>adefovir</w:t>
      </w:r>
      <w:r w:rsidR="007D490E">
        <w:rPr>
          <w:szCs w:val="22"/>
          <w:lang w:eastAsia="en-US"/>
        </w:rPr>
        <w:t>o</w:t>
      </w:r>
      <w:r w:rsidR="007D490E" w:rsidRPr="00210E9E">
        <w:rPr>
          <w:szCs w:val="22"/>
          <w:lang w:eastAsia="en-US"/>
        </w:rPr>
        <w:t xml:space="preserve"> </w:t>
      </w:r>
      <w:r w:rsidRPr="00210E9E">
        <w:rPr>
          <w:szCs w:val="22"/>
          <w:lang w:eastAsia="en-US"/>
        </w:rPr>
        <w:t xml:space="preserve">dipivoksilio doze, gauti rezultatai parodė, kad </w:t>
      </w:r>
      <w:r w:rsidR="004A1D5C">
        <w:rPr>
          <w:szCs w:val="22"/>
          <w:lang w:eastAsia="en-US"/>
        </w:rPr>
        <w:t>t</w:t>
      </w:r>
      <w:r w:rsidR="00653D08">
        <w:rPr>
          <w:szCs w:val="22"/>
          <w:lang w:eastAsia="en-US"/>
        </w:rPr>
        <w:t xml:space="preserve">enofoviro dizoproksilio </w:t>
      </w:r>
      <w:r w:rsidRPr="00210E9E">
        <w:rPr>
          <w:szCs w:val="22"/>
          <w:lang w:eastAsia="en-US"/>
        </w:rPr>
        <w:t>grupėje pacientų, kuriems HBV DNR buvo &lt;</w:t>
      </w:r>
      <w:r w:rsidR="004A1D5C">
        <w:rPr>
          <w:szCs w:val="22"/>
          <w:lang w:eastAsia="en-US"/>
        </w:rPr>
        <w:t> </w:t>
      </w:r>
      <w:r w:rsidRPr="00210E9E">
        <w:rPr>
          <w:szCs w:val="22"/>
          <w:lang w:eastAsia="en-US"/>
        </w:rPr>
        <w:t>400</w:t>
      </w:r>
      <w:r w:rsidR="004A1D5C">
        <w:rPr>
          <w:szCs w:val="22"/>
          <w:lang w:eastAsia="en-US"/>
        </w:rPr>
        <w:t> </w:t>
      </w:r>
      <w:r w:rsidRPr="00210E9E">
        <w:rPr>
          <w:szCs w:val="22"/>
          <w:lang w:eastAsia="en-US"/>
        </w:rPr>
        <w:t xml:space="preserve">kopijų/ml, buvo reikšmingai daugiau. Pagal histologinį atsaką 48-ąją savaitę abiejų gydymų rezultatai buvo panašūs (tai apibūdina dviem taškais padidėjęs </w:t>
      </w:r>
      <w:r w:rsidRPr="00CA49A8">
        <w:rPr>
          <w:i/>
          <w:szCs w:val="22"/>
          <w:lang w:eastAsia="en-US"/>
        </w:rPr>
        <w:t>Knodell</w:t>
      </w:r>
      <w:r w:rsidRPr="00210E9E">
        <w:rPr>
          <w:szCs w:val="22"/>
          <w:lang w:eastAsia="en-US"/>
        </w:rPr>
        <w:t xml:space="preserve"> nekrozinio uždegimo balas, nesant </w:t>
      </w:r>
      <w:r w:rsidRPr="00CA49A8">
        <w:rPr>
          <w:i/>
          <w:szCs w:val="22"/>
          <w:lang w:eastAsia="en-US"/>
        </w:rPr>
        <w:t>Knodell</w:t>
      </w:r>
      <w:r w:rsidRPr="00210E9E">
        <w:rPr>
          <w:szCs w:val="22"/>
          <w:lang w:eastAsia="en-US"/>
        </w:rPr>
        <w:t xml:space="preserve"> fibrozės pablogėjimo) (žr. žemiau 3 lentelę).</w:t>
      </w:r>
    </w:p>
    <w:p w14:paraId="0F509320" w14:textId="77777777" w:rsidR="009C43EA" w:rsidRDefault="009C43EA" w:rsidP="00210E9E">
      <w:pPr>
        <w:tabs>
          <w:tab w:val="left" w:pos="567"/>
        </w:tabs>
        <w:rPr>
          <w:szCs w:val="22"/>
          <w:lang w:eastAsia="en-US"/>
        </w:rPr>
      </w:pPr>
    </w:p>
    <w:p w14:paraId="2128E308" w14:textId="77777777" w:rsidR="00210E9E" w:rsidRPr="00210E9E" w:rsidRDefault="00210E9E" w:rsidP="00210E9E">
      <w:pPr>
        <w:tabs>
          <w:tab w:val="left" w:pos="567"/>
        </w:tabs>
        <w:rPr>
          <w:szCs w:val="22"/>
          <w:lang w:eastAsia="en-US"/>
        </w:rPr>
      </w:pPr>
      <w:r w:rsidRPr="00210E9E">
        <w:rPr>
          <w:szCs w:val="22"/>
          <w:lang w:eastAsia="en-US"/>
        </w:rPr>
        <w:t xml:space="preserve">GS-US-174-0103 tyrime pacientų, kuriems 48-ąją savaitę ALT </w:t>
      </w:r>
      <w:r w:rsidR="009C43EA">
        <w:rPr>
          <w:szCs w:val="22"/>
          <w:lang w:eastAsia="en-US"/>
        </w:rPr>
        <w:t xml:space="preserve">aktyvumas </w:t>
      </w:r>
      <w:r w:rsidRPr="00210E9E">
        <w:rPr>
          <w:szCs w:val="22"/>
          <w:lang w:eastAsia="en-US"/>
        </w:rPr>
        <w:t xml:space="preserve">buvo normalus ir buvo pasiektas HBsAg netekimas, dalis buvo reikšmingai didesnė </w:t>
      </w:r>
      <w:r w:rsidR="005C4DF8">
        <w:rPr>
          <w:szCs w:val="22"/>
          <w:lang w:eastAsia="en-US"/>
        </w:rPr>
        <w:t>t</w:t>
      </w:r>
      <w:r w:rsidR="00653D08">
        <w:rPr>
          <w:szCs w:val="22"/>
          <w:lang w:eastAsia="en-US"/>
        </w:rPr>
        <w:t xml:space="preserve">enofoviro dizoproksilio </w:t>
      </w:r>
      <w:r w:rsidRPr="00210E9E">
        <w:rPr>
          <w:szCs w:val="22"/>
          <w:lang w:eastAsia="en-US"/>
        </w:rPr>
        <w:t>grupėje, lyginant su adefoviro dipivoksilio grupe (žr. žemiau 3 lentelę).</w:t>
      </w:r>
    </w:p>
    <w:p w14:paraId="389A6A6C" w14:textId="77777777" w:rsidR="009C43EA" w:rsidRDefault="009C43EA" w:rsidP="00210E9E">
      <w:pPr>
        <w:tabs>
          <w:tab w:val="left" w:pos="567"/>
        </w:tabs>
        <w:rPr>
          <w:szCs w:val="22"/>
          <w:lang w:eastAsia="en-US"/>
        </w:rPr>
      </w:pPr>
    </w:p>
    <w:p w14:paraId="16F173C6" w14:textId="77777777" w:rsidR="00743362" w:rsidRPr="009C43EA" w:rsidRDefault="00210E9E" w:rsidP="00210E9E">
      <w:pPr>
        <w:tabs>
          <w:tab w:val="left" w:pos="567"/>
        </w:tabs>
        <w:rPr>
          <w:b/>
          <w:szCs w:val="22"/>
          <w:lang w:eastAsia="en-US"/>
        </w:rPr>
      </w:pPr>
      <w:r w:rsidRPr="009C43EA">
        <w:rPr>
          <w:b/>
          <w:szCs w:val="22"/>
          <w:lang w:eastAsia="en-US"/>
        </w:rPr>
        <w:t>3 lentelė. Veiksmingumo parametrai kompensuotiems HBeAg neigiamiems ir HBeAg teigiamiems pacientams 48-ąją savaitę</w:t>
      </w:r>
    </w:p>
    <w:p w14:paraId="47F331CB" w14:textId="77777777" w:rsidR="00743362" w:rsidRDefault="00743362" w:rsidP="006D2D23">
      <w:pPr>
        <w:tabs>
          <w:tab w:val="left" w:pos="567"/>
        </w:tabs>
        <w:rPr>
          <w:szCs w:val="22"/>
          <w:lang w:eastAsia="en-US"/>
        </w:rPr>
      </w:pPr>
    </w:p>
    <w:tbl>
      <w:tblPr>
        <w:tblW w:w="5000" w:type="pct"/>
        <w:tblCellMar>
          <w:left w:w="0" w:type="dxa"/>
          <w:right w:w="0" w:type="dxa"/>
        </w:tblCellMar>
        <w:tblLook w:val="01E0" w:firstRow="1" w:lastRow="1" w:firstColumn="1" w:lastColumn="1" w:noHBand="0" w:noVBand="0"/>
      </w:tblPr>
      <w:tblGrid>
        <w:gridCol w:w="2912"/>
        <w:gridCol w:w="1613"/>
        <w:gridCol w:w="1461"/>
        <w:gridCol w:w="1613"/>
        <w:gridCol w:w="1461"/>
      </w:tblGrid>
      <w:tr w:rsidR="009C43EA" w:rsidRPr="009C43EA" w14:paraId="62CA61B1" w14:textId="77777777" w:rsidTr="00A47C6D">
        <w:trPr>
          <w:trHeight w:val="20"/>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CA21CB" w14:textId="77777777" w:rsidR="009C43EA" w:rsidRPr="00CA49A8" w:rsidRDefault="009C43EA" w:rsidP="009C43EA">
            <w:pPr>
              <w:keepNext/>
              <w:jc w:val="center"/>
            </w:pPr>
          </w:p>
        </w:tc>
        <w:tc>
          <w:tcPr>
            <w:tcW w:w="0" w:type="auto"/>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7F5BEA" w14:textId="77777777" w:rsidR="009C43EA" w:rsidRPr="009C43EA" w:rsidRDefault="009C43EA" w:rsidP="009C43EA">
            <w:pPr>
              <w:keepNext/>
              <w:jc w:val="center"/>
              <w:rPr>
                <w:szCs w:val="22"/>
                <w:lang w:val="en-US" w:eastAsia="en-US"/>
              </w:rPr>
            </w:pPr>
            <w:r w:rsidRPr="009C43EA">
              <w:rPr>
                <w:b/>
                <w:bCs/>
                <w:szCs w:val="22"/>
                <w:lang w:val="en-US" w:eastAsia="en-US"/>
              </w:rPr>
              <w:t>174-0102 tyrimas (HBeAg neigiami)</w:t>
            </w:r>
          </w:p>
        </w:tc>
        <w:tc>
          <w:tcPr>
            <w:tcW w:w="0" w:type="auto"/>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F5DA74" w14:textId="0A44AE58" w:rsidR="009C43EA" w:rsidRPr="009C43EA" w:rsidRDefault="009C43EA" w:rsidP="00C0675B">
            <w:pPr>
              <w:keepNext/>
              <w:jc w:val="center"/>
              <w:rPr>
                <w:szCs w:val="22"/>
                <w:lang w:val="en-US" w:eastAsia="en-US"/>
              </w:rPr>
            </w:pPr>
            <w:r w:rsidRPr="009C43EA">
              <w:rPr>
                <w:b/>
                <w:bCs/>
                <w:szCs w:val="22"/>
                <w:lang w:val="en-US" w:eastAsia="en-US"/>
              </w:rPr>
              <w:t>174-0103 tyrimas (HBeAg teigiami)</w:t>
            </w:r>
          </w:p>
        </w:tc>
      </w:tr>
      <w:tr w:rsidR="008964D2" w:rsidRPr="009C43EA" w14:paraId="4795B4BF" w14:textId="77777777" w:rsidTr="00A47C6D">
        <w:trPr>
          <w:trHeight w:val="20"/>
        </w:trPr>
        <w:tc>
          <w:tcPr>
            <w:tcW w:w="0" w:type="auto"/>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0912A892" w14:textId="77777777" w:rsidR="009C43EA" w:rsidRPr="009C43EA" w:rsidRDefault="009C43EA" w:rsidP="008964D2">
            <w:pPr>
              <w:rPr>
                <w:szCs w:val="22"/>
                <w:lang w:val="en-US" w:eastAsia="en-US"/>
              </w:rPr>
            </w:pPr>
            <w:r w:rsidRPr="009C43EA">
              <w:rPr>
                <w:szCs w:val="22"/>
                <w:lang w:val="en-US" w:eastAsia="en-US"/>
              </w:rPr>
              <w:t>Paramet</w:t>
            </w:r>
            <w:r w:rsidR="008964D2">
              <w:rPr>
                <w:szCs w:val="22"/>
                <w:lang w:val="en-US" w:eastAsia="en-US"/>
              </w:rPr>
              <w:t>ras</w:t>
            </w:r>
          </w:p>
        </w:tc>
        <w:tc>
          <w:tcPr>
            <w:tcW w:w="0" w:type="auto"/>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BD99BFE" w14:textId="77777777" w:rsidR="009C43EA" w:rsidRPr="005C4DF8" w:rsidRDefault="009C43EA" w:rsidP="009C43EA">
            <w:pPr>
              <w:jc w:val="center"/>
              <w:rPr>
                <w:szCs w:val="22"/>
                <w:lang w:eastAsia="en-US"/>
              </w:rPr>
            </w:pPr>
            <w:r w:rsidRPr="005C4DF8">
              <w:rPr>
                <w:szCs w:val="22"/>
                <w:lang w:eastAsia="en-US"/>
              </w:rPr>
              <w:t>245</w:t>
            </w:r>
            <w:r w:rsidR="005C4DF8" w:rsidRPr="005C4DF8">
              <w:rPr>
                <w:szCs w:val="22"/>
                <w:lang w:eastAsia="en-US"/>
              </w:rPr>
              <w:t> </w:t>
            </w:r>
            <w:r w:rsidRPr="005C4DF8">
              <w:rPr>
                <w:szCs w:val="22"/>
                <w:lang w:eastAsia="en-US"/>
              </w:rPr>
              <w:t xml:space="preserve">mg tenofoviro dizoproksilio </w:t>
            </w:r>
          </w:p>
          <w:p w14:paraId="56422687" w14:textId="77777777" w:rsidR="009C43EA" w:rsidRPr="005C4DF8" w:rsidRDefault="009C43EA" w:rsidP="009C43EA">
            <w:pPr>
              <w:jc w:val="center"/>
              <w:rPr>
                <w:szCs w:val="22"/>
                <w:lang w:eastAsia="en-US"/>
              </w:rPr>
            </w:pPr>
            <w:r w:rsidRPr="005C4DF8">
              <w:rPr>
                <w:szCs w:val="22"/>
                <w:lang w:eastAsia="en-US"/>
              </w:rPr>
              <w:t>n = 250</w:t>
            </w:r>
          </w:p>
        </w:tc>
        <w:tc>
          <w:tcPr>
            <w:tcW w:w="0" w:type="auto"/>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2CCFF48" w14:textId="77777777" w:rsidR="009C43EA" w:rsidRPr="005C4DF8" w:rsidRDefault="009C43EA" w:rsidP="009C43EA">
            <w:pPr>
              <w:jc w:val="center"/>
              <w:rPr>
                <w:szCs w:val="22"/>
                <w:lang w:eastAsia="en-US"/>
              </w:rPr>
            </w:pPr>
            <w:r w:rsidRPr="005C4DF8">
              <w:rPr>
                <w:szCs w:val="22"/>
                <w:lang w:eastAsia="en-US"/>
              </w:rPr>
              <w:t>10</w:t>
            </w:r>
            <w:r w:rsidR="005C4DF8" w:rsidRPr="005C4DF8">
              <w:rPr>
                <w:szCs w:val="22"/>
                <w:lang w:eastAsia="en-US"/>
              </w:rPr>
              <w:t> </w:t>
            </w:r>
            <w:r w:rsidRPr="005C4DF8">
              <w:rPr>
                <w:szCs w:val="22"/>
                <w:lang w:eastAsia="en-US"/>
              </w:rPr>
              <w:t>mg adefoviro dipivoksilio</w:t>
            </w:r>
          </w:p>
          <w:p w14:paraId="4D6A38C2" w14:textId="77777777" w:rsidR="009C43EA" w:rsidRPr="005C4DF8" w:rsidRDefault="009C43EA" w:rsidP="009C43EA">
            <w:pPr>
              <w:jc w:val="center"/>
              <w:rPr>
                <w:szCs w:val="22"/>
                <w:lang w:eastAsia="en-US"/>
              </w:rPr>
            </w:pPr>
            <w:r w:rsidRPr="005C4DF8">
              <w:rPr>
                <w:szCs w:val="22"/>
                <w:lang w:eastAsia="en-US"/>
              </w:rPr>
              <w:t>n = 125</w:t>
            </w:r>
          </w:p>
        </w:tc>
        <w:tc>
          <w:tcPr>
            <w:tcW w:w="0" w:type="auto"/>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F104EE0" w14:textId="77777777" w:rsidR="009C43EA" w:rsidRPr="005C4DF8" w:rsidRDefault="009C43EA" w:rsidP="009C43EA">
            <w:pPr>
              <w:jc w:val="center"/>
              <w:rPr>
                <w:szCs w:val="22"/>
                <w:lang w:eastAsia="en-US"/>
              </w:rPr>
            </w:pPr>
            <w:r w:rsidRPr="005C4DF8">
              <w:rPr>
                <w:szCs w:val="22"/>
                <w:lang w:eastAsia="en-US"/>
              </w:rPr>
              <w:t>245</w:t>
            </w:r>
            <w:r w:rsidR="005C4DF8" w:rsidRPr="005C4DF8">
              <w:rPr>
                <w:szCs w:val="22"/>
                <w:lang w:eastAsia="en-US"/>
              </w:rPr>
              <w:t> </w:t>
            </w:r>
            <w:r w:rsidRPr="005C4DF8">
              <w:rPr>
                <w:szCs w:val="22"/>
                <w:lang w:eastAsia="en-US"/>
              </w:rPr>
              <w:t xml:space="preserve">mg tenofoviro dizoproksilio </w:t>
            </w:r>
          </w:p>
          <w:p w14:paraId="2FAEF6DD" w14:textId="77777777" w:rsidR="009C43EA" w:rsidRPr="005C4DF8" w:rsidRDefault="009C43EA" w:rsidP="009C43EA">
            <w:pPr>
              <w:jc w:val="center"/>
              <w:rPr>
                <w:szCs w:val="22"/>
                <w:lang w:eastAsia="en-US"/>
              </w:rPr>
            </w:pPr>
            <w:r w:rsidRPr="005C4DF8">
              <w:rPr>
                <w:szCs w:val="22"/>
                <w:lang w:eastAsia="en-US"/>
              </w:rPr>
              <w:t xml:space="preserve">n = 176 </w:t>
            </w:r>
          </w:p>
        </w:tc>
        <w:tc>
          <w:tcPr>
            <w:tcW w:w="0" w:type="auto"/>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6415021" w14:textId="77777777" w:rsidR="009C43EA" w:rsidRPr="005C4DF8" w:rsidRDefault="009C43EA" w:rsidP="009C43EA">
            <w:pPr>
              <w:jc w:val="center"/>
              <w:rPr>
                <w:szCs w:val="22"/>
                <w:lang w:eastAsia="en-US"/>
              </w:rPr>
            </w:pPr>
            <w:r w:rsidRPr="005C4DF8">
              <w:rPr>
                <w:szCs w:val="22"/>
                <w:lang w:eastAsia="en-US"/>
              </w:rPr>
              <w:t>10</w:t>
            </w:r>
            <w:r w:rsidR="005C4DF8" w:rsidRPr="005C4DF8">
              <w:rPr>
                <w:szCs w:val="22"/>
                <w:lang w:eastAsia="en-US"/>
              </w:rPr>
              <w:t> </w:t>
            </w:r>
            <w:r w:rsidRPr="005C4DF8">
              <w:rPr>
                <w:szCs w:val="22"/>
                <w:lang w:eastAsia="en-US"/>
              </w:rPr>
              <w:t>mg adefoviro dipivoksilio</w:t>
            </w:r>
          </w:p>
          <w:p w14:paraId="72ABE5A4" w14:textId="77777777" w:rsidR="009C43EA" w:rsidRPr="005C4DF8" w:rsidRDefault="009C43EA" w:rsidP="009C43EA">
            <w:pPr>
              <w:jc w:val="center"/>
              <w:rPr>
                <w:szCs w:val="22"/>
                <w:lang w:eastAsia="en-US"/>
              </w:rPr>
            </w:pPr>
            <w:r w:rsidRPr="005C4DF8">
              <w:rPr>
                <w:szCs w:val="22"/>
                <w:lang w:eastAsia="en-US"/>
              </w:rPr>
              <w:t>n = 90</w:t>
            </w:r>
          </w:p>
        </w:tc>
      </w:tr>
      <w:tr w:rsidR="008964D2" w:rsidRPr="009C43EA" w14:paraId="5A51215F" w14:textId="77777777" w:rsidTr="00A47C6D">
        <w:trPr>
          <w:trHeight w:val="20"/>
        </w:trPr>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43DA14" w14:textId="77777777" w:rsidR="009C43EA" w:rsidRPr="009C43EA" w:rsidRDefault="008964D2" w:rsidP="008964D2">
            <w:pPr>
              <w:rPr>
                <w:szCs w:val="22"/>
                <w:lang w:val="en-US" w:eastAsia="en-US"/>
              </w:rPr>
            </w:pPr>
            <w:r w:rsidRPr="008964D2">
              <w:rPr>
                <w:b/>
                <w:bCs/>
                <w:szCs w:val="22"/>
                <w:lang w:val="en-US" w:eastAsia="en-US"/>
              </w:rPr>
              <w:t>Visiškas atsakas (%)</w:t>
            </w:r>
            <w:r w:rsidR="009C43EA" w:rsidRPr="009C43EA">
              <w:rPr>
                <w:b/>
                <w:szCs w:val="22"/>
                <w:vertAlign w:val="superscript"/>
                <w:lang w:val="en-US" w:eastAsia="en-US"/>
              </w:rPr>
              <w:t>a</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12112D" w14:textId="77777777" w:rsidR="009C43EA" w:rsidRPr="009C43EA" w:rsidRDefault="009C43EA" w:rsidP="009C43EA">
            <w:pPr>
              <w:rPr>
                <w:szCs w:val="22"/>
                <w:lang w:val="en-US" w:eastAsia="en-US"/>
              </w:rPr>
            </w:pPr>
            <w:r w:rsidRPr="009C43EA">
              <w:rPr>
                <w:szCs w:val="22"/>
                <w:lang w:val="en-US" w:eastAsia="en-US"/>
              </w:rPr>
              <w:t>71*</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29B200" w14:textId="77777777" w:rsidR="009C43EA" w:rsidRPr="009C43EA" w:rsidRDefault="009C43EA" w:rsidP="009C43EA">
            <w:pPr>
              <w:rPr>
                <w:szCs w:val="22"/>
                <w:lang w:val="en-US" w:eastAsia="en-US"/>
              </w:rPr>
            </w:pPr>
            <w:r w:rsidRPr="009C43EA">
              <w:rPr>
                <w:szCs w:val="22"/>
                <w:lang w:val="en-US" w:eastAsia="en-US"/>
              </w:rPr>
              <w:t>49</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9EB538" w14:textId="77777777" w:rsidR="009C43EA" w:rsidRPr="009C43EA" w:rsidRDefault="009C43EA" w:rsidP="009C43EA">
            <w:pPr>
              <w:rPr>
                <w:szCs w:val="22"/>
                <w:lang w:val="en-US" w:eastAsia="en-US"/>
              </w:rPr>
            </w:pPr>
            <w:r w:rsidRPr="009C43EA">
              <w:rPr>
                <w:szCs w:val="22"/>
                <w:lang w:val="en-US" w:eastAsia="en-US"/>
              </w:rPr>
              <w:t>67*</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9AEBB4" w14:textId="77777777" w:rsidR="009C43EA" w:rsidRPr="009C43EA" w:rsidRDefault="009C43EA" w:rsidP="009C43EA">
            <w:pPr>
              <w:rPr>
                <w:szCs w:val="22"/>
                <w:lang w:val="en-US" w:eastAsia="en-US"/>
              </w:rPr>
            </w:pPr>
            <w:r w:rsidRPr="009C43EA">
              <w:rPr>
                <w:szCs w:val="22"/>
                <w:lang w:val="en-US" w:eastAsia="en-US"/>
              </w:rPr>
              <w:t>12</w:t>
            </w:r>
          </w:p>
        </w:tc>
      </w:tr>
      <w:tr w:rsidR="008964D2" w:rsidRPr="009C43EA" w14:paraId="68D2858C" w14:textId="77777777" w:rsidTr="00A47C6D">
        <w:trPr>
          <w:trHeight w:val="20"/>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7A1033" w14:textId="77777777" w:rsidR="008964D2" w:rsidRPr="008964D2" w:rsidRDefault="008964D2" w:rsidP="008964D2">
            <w:pPr>
              <w:rPr>
                <w:b/>
                <w:bCs/>
                <w:szCs w:val="22"/>
                <w:lang w:val="en-US" w:eastAsia="en-US"/>
              </w:rPr>
            </w:pPr>
            <w:r w:rsidRPr="008964D2">
              <w:rPr>
                <w:b/>
                <w:bCs/>
                <w:szCs w:val="22"/>
                <w:lang w:val="en-US" w:eastAsia="en-US"/>
              </w:rPr>
              <w:t>Histologija</w:t>
            </w:r>
          </w:p>
          <w:p w14:paraId="66CC7ACC" w14:textId="77777777" w:rsidR="009C43EA" w:rsidRPr="009C43EA" w:rsidRDefault="008964D2" w:rsidP="008964D2">
            <w:pPr>
              <w:rPr>
                <w:szCs w:val="22"/>
                <w:lang w:val="en-US" w:eastAsia="en-US"/>
              </w:rPr>
            </w:pPr>
            <w:r w:rsidRPr="008964D2">
              <w:rPr>
                <w:bCs/>
                <w:szCs w:val="22"/>
                <w:lang w:val="en-US" w:eastAsia="en-US"/>
              </w:rPr>
              <w:t>Histologinis atsakas (%)</w:t>
            </w:r>
            <w:r w:rsidRPr="008964D2">
              <w:rPr>
                <w:bCs/>
                <w:szCs w:val="22"/>
                <w:vertAlign w:val="superscript"/>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8FD121" w14:textId="77777777" w:rsidR="009C43EA" w:rsidRPr="009C43EA" w:rsidRDefault="009C43EA" w:rsidP="009C43EA">
            <w:pPr>
              <w:rPr>
                <w:szCs w:val="22"/>
                <w:lang w:val="en-US" w:eastAsia="en-US"/>
              </w:rPr>
            </w:pPr>
            <w:r w:rsidRPr="009C43EA">
              <w:rPr>
                <w:szCs w:val="22"/>
                <w:lang w:val="en-US" w:eastAsia="en-US"/>
              </w:rPr>
              <w:t>72</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6C3D8" w14:textId="77777777" w:rsidR="009C43EA" w:rsidRPr="009C43EA" w:rsidRDefault="009C43EA" w:rsidP="009C43EA">
            <w:pPr>
              <w:rPr>
                <w:szCs w:val="22"/>
                <w:lang w:val="en-US" w:eastAsia="en-US"/>
              </w:rPr>
            </w:pPr>
            <w:r w:rsidRPr="009C43EA">
              <w:rPr>
                <w:szCs w:val="22"/>
                <w:lang w:val="en-US" w:eastAsia="en-US"/>
              </w:rPr>
              <w:t>69</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A3FBAE" w14:textId="77777777" w:rsidR="009C43EA" w:rsidRPr="009C43EA" w:rsidRDefault="009C43EA" w:rsidP="009C43EA">
            <w:pPr>
              <w:rPr>
                <w:szCs w:val="22"/>
                <w:lang w:val="en-US" w:eastAsia="en-US"/>
              </w:rPr>
            </w:pPr>
            <w:r w:rsidRPr="009C43EA">
              <w:rPr>
                <w:szCs w:val="22"/>
                <w:lang w:val="en-US" w:eastAsia="en-US"/>
              </w:rPr>
              <w:t>74</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FAFD41" w14:textId="77777777" w:rsidR="009C43EA" w:rsidRPr="009C43EA" w:rsidRDefault="009C43EA" w:rsidP="009C43EA">
            <w:pPr>
              <w:rPr>
                <w:szCs w:val="22"/>
                <w:lang w:val="en-US" w:eastAsia="en-US"/>
              </w:rPr>
            </w:pPr>
            <w:r w:rsidRPr="009C43EA">
              <w:rPr>
                <w:szCs w:val="22"/>
                <w:lang w:val="en-US" w:eastAsia="en-US"/>
              </w:rPr>
              <w:t>68</w:t>
            </w:r>
          </w:p>
        </w:tc>
      </w:tr>
      <w:tr w:rsidR="008964D2" w:rsidRPr="009C43EA" w14:paraId="30EF9957" w14:textId="77777777" w:rsidTr="00A47C6D">
        <w:trPr>
          <w:trHeight w:val="20"/>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5A2B04" w14:textId="77777777" w:rsidR="008964D2" w:rsidRPr="00CA49A8" w:rsidRDefault="008964D2" w:rsidP="008964D2">
            <w:pPr>
              <w:rPr>
                <w:b/>
                <w:lang w:val="it-IT"/>
              </w:rPr>
            </w:pPr>
            <w:r w:rsidRPr="00CA49A8">
              <w:rPr>
                <w:b/>
                <w:lang w:val="it-IT"/>
              </w:rPr>
              <w:t>HBV DNR lygio sumažėjimo nuo pradinio mediana</w:t>
            </w:r>
            <w:r w:rsidRPr="00CA49A8">
              <w:rPr>
                <w:vertAlign w:val="superscript"/>
                <w:lang w:val="it-IT"/>
              </w:rPr>
              <w:t>c</w:t>
            </w:r>
          </w:p>
          <w:p w14:paraId="71312C84" w14:textId="77777777" w:rsidR="009C43EA" w:rsidRPr="009C43EA" w:rsidRDefault="008964D2" w:rsidP="008964D2">
            <w:pPr>
              <w:rPr>
                <w:szCs w:val="22"/>
                <w:lang w:val="en-US" w:eastAsia="en-US"/>
              </w:rPr>
            </w:pPr>
            <w:r w:rsidRPr="008964D2">
              <w:rPr>
                <w:bCs/>
                <w:szCs w:val="22"/>
                <w:lang w:val="en-US" w:eastAsia="en-US"/>
              </w:rPr>
              <w:t>(log</w:t>
            </w:r>
            <w:r w:rsidRPr="008964D2">
              <w:rPr>
                <w:bCs/>
                <w:szCs w:val="22"/>
                <w:vertAlign w:val="subscript"/>
                <w:lang w:val="en-US" w:eastAsia="en-US"/>
              </w:rPr>
              <w:t>10</w:t>
            </w:r>
            <w:r w:rsidRPr="008964D2">
              <w:rPr>
                <w:bCs/>
                <w:szCs w:val="22"/>
                <w:lang w:val="en-US" w:eastAsia="en-US"/>
              </w:rPr>
              <w:t xml:space="preserve"> kopijų/ml)</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85ABBC" w14:textId="77777777" w:rsidR="009C43EA" w:rsidRPr="009C43EA" w:rsidRDefault="009C43EA" w:rsidP="005C4DF8">
            <w:pPr>
              <w:rPr>
                <w:szCs w:val="22"/>
                <w:lang w:val="en-US" w:eastAsia="en-US"/>
              </w:rPr>
            </w:pPr>
            <w:r w:rsidRPr="009C43EA">
              <w:rPr>
                <w:szCs w:val="22"/>
                <w:lang w:val="en-US" w:eastAsia="en-US"/>
              </w:rPr>
              <w:t>-4</w:t>
            </w:r>
            <w:r w:rsidR="005C4DF8">
              <w:rPr>
                <w:szCs w:val="22"/>
                <w:lang w:val="en-US" w:eastAsia="en-US"/>
              </w:rPr>
              <w:t>,</w:t>
            </w:r>
            <w:r w:rsidRPr="009C43EA">
              <w:rPr>
                <w:szCs w:val="22"/>
                <w:lang w:val="en-US" w:eastAsia="en-US"/>
              </w:rPr>
              <w:t>7*</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19EE70" w14:textId="77777777" w:rsidR="009C43EA" w:rsidRPr="009C43EA" w:rsidRDefault="009C43EA" w:rsidP="005C4DF8">
            <w:pPr>
              <w:rPr>
                <w:szCs w:val="22"/>
                <w:lang w:val="en-US" w:eastAsia="en-US"/>
              </w:rPr>
            </w:pPr>
            <w:r w:rsidRPr="009C43EA">
              <w:rPr>
                <w:szCs w:val="22"/>
                <w:lang w:val="en-US" w:eastAsia="en-US"/>
              </w:rPr>
              <w:t>-4</w:t>
            </w:r>
            <w:r w:rsidR="005C4DF8">
              <w:rPr>
                <w:szCs w:val="22"/>
                <w:lang w:val="en-US" w:eastAsia="en-US"/>
              </w:rPr>
              <w:t>,</w:t>
            </w:r>
            <w:r w:rsidRPr="009C43EA">
              <w:rPr>
                <w:szCs w:val="22"/>
                <w:lang w:val="en-US" w:eastAsia="en-US"/>
              </w:rPr>
              <w:t>0</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DD1FCB" w14:textId="77777777" w:rsidR="009C43EA" w:rsidRPr="009C43EA" w:rsidRDefault="009C43EA" w:rsidP="005C4DF8">
            <w:pPr>
              <w:rPr>
                <w:szCs w:val="22"/>
                <w:lang w:val="en-US" w:eastAsia="en-US"/>
              </w:rPr>
            </w:pPr>
            <w:r w:rsidRPr="009C43EA">
              <w:rPr>
                <w:szCs w:val="22"/>
                <w:lang w:val="en-US" w:eastAsia="en-US"/>
              </w:rPr>
              <w:t>-6</w:t>
            </w:r>
            <w:r w:rsidR="005C4DF8">
              <w:rPr>
                <w:szCs w:val="22"/>
                <w:lang w:val="en-US" w:eastAsia="en-US"/>
              </w:rPr>
              <w:t>,</w:t>
            </w:r>
            <w:r w:rsidRPr="009C43EA">
              <w:rPr>
                <w:szCs w:val="22"/>
                <w:lang w:val="en-US" w:eastAsia="en-US"/>
              </w:rPr>
              <w:t>4*</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19982C" w14:textId="77777777" w:rsidR="009C43EA" w:rsidRPr="009C43EA" w:rsidRDefault="009C43EA" w:rsidP="005C4DF8">
            <w:pPr>
              <w:rPr>
                <w:szCs w:val="22"/>
                <w:lang w:val="en-US" w:eastAsia="en-US"/>
              </w:rPr>
            </w:pPr>
            <w:r w:rsidRPr="009C43EA">
              <w:rPr>
                <w:szCs w:val="22"/>
                <w:lang w:val="en-US" w:eastAsia="en-US"/>
              </w:rPr>
              <w:t>-3</w:t>
            </w:r>
            <w:r w:rsidR="005C4DF8">
              <w:rPr>
                <w:szCs w:val="22"/>
                <w:lang w:val="en-US" w:eastAsia="en-US"/>
              </w:rPr>
              <w:t>,</w:t>
            </w:r>
            <w:r w:rsidRPr="009C43EA">
              <w:rPr>
                <w:szCs w:val="22"/>
                <w:lang w:val="en-US" w:eastAsia="en-US"/>
              </w:rPr>
              <w:t>7</w:t>
            </w:r>
          </w:p>
        </w:tc>
      </w:tr>
      <w:tr w:rsidR="008964D2" w:rsidRPr="009C43EA" w14:paraId="192E31A6" w14:textId="77777777" w:rsidTr="00A47C6D">
        <w:trPr>
          <w:trHeight w:val="20"/>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DA71C6" w14:textId="77777777" w:rsidR="009C43EA" w:rsidRPr="00CA49A8" w:rsidRDefault="009C43EA" w:rsidP="009C43EA">
            <w:pPr>
              <w:rPr>
                <w:lang w:val="de-DE"/>
              </w:rPr>
            </w:pPr>
            <w:r w:rsidRPr="00CA49A8">
              <w:rPr>
                <w:b/>
                <w:lang w:val="de-DE"/>
              </w:rPr>
              <w:t xml:space="preserve">HBV DNA </w:t>
            </w:r>
            <w:r w:rsidRPr="00CA49A8">
              <w:rPr>
                <w:lang w:val="de-DE"/>
              </w:rPr>
              <w:t>(%)</w:t>
            </w:r>
          </w:p>
          <w:p w14:paraId="414BAA99" w14:textId="77777777" w:rsidR="009C43EA" w:rsidRPr="00CA49A8" w:rsidRDefault="009C43EA" w:rsidP="009C43EA">
            <w:pPr>
              <w:rPr>
                <w:lang w:val="de-DE"/>
              </w:rPr>
            </w:pPr>
          </w:p>
          <w:p w14:paraId="0EDC7831" w14:textId="77777777" w:rsidR="009C43EA" w:rsidRPr="00CA49A8" w:rsidRDefault="004F3990" w:rsidP="009C43EA">
            <w:pPr>
              <w:rPr>
                <w:lang w:val="de-DE"/>
              </w:rPr>
            </w:pPr>
            <w:r w:rsidRPr="00CA49A8">
              <w:rPr>
                <w:lang w:val="de-DE"/>
              </w:rPr>
              <w:t>&lt; 400 kopijų/ml (&lt; 69 TV/ml)</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FBA3A7" w14:textId="77777777" w:rsidR="009C43EA" w:rsidRPr="00CA49A8" w:rsidRDefault="009C43EA" w:rsidP="009C43EA">
            <w:pPr>
              <w:rPr>
                <w:lang w:val="de-DE"/>
              </w:rPr>
            </w:pPr>
          </w:p>
          <w:p w14:paraId="62C20BD1" w14:textId="77777777" w:rsidR="009C43EA" w:rsidRPr="00CA49A8" w:rsidRDefault="009C43EA" w:rsidP="009C43EA">
            <w:pPr>
              <w:rPr>
                <w:lang w:val="de-DE"/>
              </w:rPr>
            </w:pPr>
          </w:p>
          <w:p w14:paraId="494C3C13" w14:textId="77777777" w:rsidR="009C43EA" w:rsidRPr="009C43EA" w:rsidRDefault="009C43EA" w:rsidP="009C43EA">
            <w:pPr>
              <w:rPr>
                <w:szCs w:val="22"/>
                <w:lang w:val="en-US" w:eastAsia="en-US"/>
              </w:rPr>
            </w:pPr>
            <w:r w:rsidRPr="009C43EA">
              <w:rPr>
                <w:szCs w:val="22"/>
                <w:lang w:val="en-US" w:eastAsia="en-US"/>
              </w:rPr>
              <w:t>93*</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A97501" w14:textId="77777777" w:rsidR="009C43EA" w:rsidRPr="009C43EA" w:rsidRDefault="009C43EA" w:rsidP="009C43EA">
            <w:pPr>
              <w:rPr>
                <w:szCs w:val="22"/>
                <w:lang w:val="en-US" w:eastAsia="en-US"/>
              </w:rPr>
            </w:pPr>
          </w:p>
          <w:p w14:paraId="5BFA6182" w14:textId="77777777" w:rsidR="009C43EA" w:rsidRPr="009C43EA" w:rsidRDefault="009C43EA" w:rsidP="009C43EA">
            <w:pPr>
              <w:rPr>
                <w:szCs w:val="22"/>
                <w:lang w:val="en-US" w:eastAsia="en-US"/>
              </w:rPr>
            </w:pPr>
          </w:p>
          <w:p w14:paraId="2F7B9045" w14:textId="77777777" w:rsidR="009C43EA" w:rsidRPr="009C43EA" w:rsidRDefault="009C43EA" w:rsidP="009C43EA">
            <w:pPr>
              <w:rPr>
                <w:szCs w:val="22"/>
                <w:lang w:val="en-US" w:eastAsia="en-US"/>
              </w:rPr>
            </w:pPr>
            <w:r w:rsidRPr="009C43EA">
              <w:rPr>
                <w:szCs w:val="22"/>
                <w:lang w:val="en-US" w:eastAsia="en-US"/>
              </w:rPr>
              <w:t>63</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5A6AF4" w14:textId="77777777" w:rsidR="009C43EA" w:rsidRPr="009C43EA" w:rsidRDefault="009C43EA" w:rsidP="009C43EA">
            <w:pPr>
              <w:rPr>
                <w:szCs w:val="22"/>
                <w:lang w:val="en-US" w:eastAsia="en-US"/>
              </w:rPr>
            </w:pPr>
          </w:p>
          <w:p w14:paraId="51C5DBD8" w14:textId="77777777" w:rsidR="009C43EA" w:rsidRPr="009C43EA" w:rsidRDefault="009C43EA" w:rsidP="009C43EA">
            <w:pPr>
              <w:rPr>
                <w:szCs w:val="22"/>
                <w:lang w:val="en-US" w:eastAsia="en-US"/>
              </w:rPr>
            </w:pPr>
          </w:p>
          <w:p w14:paraId="2E8FD911" w14:textId="77777777" w:rsidR="009C43EA" w:rsidRPr="009C43EA" w:rsidRDefault="009C43EA" w:rsidP="009C43EA">
            <w:pPr>
              <w:rPr>
                <w:szCs w:val="22"/>
                <w:lang w:val="en-US" w:eastAsia="en-US"/>
              </w:rPr>
            </w:pPr>
            <w:r w:rsidRPr="009C43EA">
              <w:rPr>
                <w:szCs w:val="22"/>
                <w:lang w:val="en-US" w:eastAsia="en-US"/>
              </w:rPr>
              <w:t>76*</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8734B8" w14:textId="77777777" w:rsidR="009C43EA" w:rsidRPr="009C43EA" w:rsidRDefault="009C43EA" w:rsidP="009C43EA">
            <w:pPr>
              <w:rPr>
                <w:szCs w:val="22"/>
                <w:lang w:val="en-US" w:eastAsia="en-US"/>
              </w:rPr>
            </w:pPr>
          </w:p>
          <w:p w14:paraId="60FE64FD" w14:textId="77777777" w:rsidR="009C43EA" w:rsidRPr="009C43EA" w:rsidRDefault="009C43EA" w:rsidP="009C43EA">
            <w:pPr>
              <w:rPr>
                <w:szCs w:val="22"/>
                <w:lang w:val="en-US" w:eastAsia="en-US"/>
              </w:rPr>
            </w:pPr>
          </w:p>
          <w:p w14:paraId="1A751834" w14:textId="77777777" w:rsidR="009C43EA" w:rsidRPr="009C43EA" w:rsidRDefault="009C43EA" w:rsidP="009C43EA">
            <w:pPr>
              <w:rPr>
                <w:szCs w:val="22"/>
                <w:lang w:val="en-US" w:eastAsia="en-US"/>
              </w:rPr>
            </w:pPr>
            <w:r w:rsidRPr="009C43EA">
              <w:rPr>
                <w:szCs w:val="22"/>
                <w:lang w:val="en-US" w:eastAsia="en-US"/>
              </w:rPr>
              <w:t>13</w:t>
            </w:r>
          </w:p>
        </w:tc>
      </w:tr>
      <w:tr w:rsidR="008964D2" w:rsidRPr="009C43EA" w14:paraId="273391E1" w14:textId="77777777" w:rsidTr="00A47C6D">
        <w:trPr>
          <w:trHeight w:val="20"/>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336DF8" w14:textId="77777777" w:rsidR="009C43EA" w:rsidRPr="009C43EA" w:rsidRDefault="009C43EA" w:rsidP="009C43EA">
            <w:pPr>
              <w:rPr>
                <w:szCs w:val="22"/>
                <w:lang w:val="en-US" w:eastAsia="en-US"/>
              </w:rPr>
            </w:pPr>
            <w:r w:rsidRPr="009C43EA">
              <w:rPr>
                <w:b/>
                <w:bCs/>
                <w:szCs w:val="22"/>
                <w:lang w:val="en-US" w:eastAsia="en-US"/>
              </w:rPr>
              <w:t xml:space="preserve">ALT </w:t>
            </w:r>
            <w:r w:rsidRPr="009C43EA">
              <w:rPr>
                <w:szCs w:val="22"/>
                <w:lang w:val="en-US" w:eastAsia="en-US"/>
              </w:rPr>
              <w:t>(%)</w:t>
            </w:r>
          </w:p>
          <w:p w14:paraId="7C0E9390" w14:textId="77777777" w:rsidR="009C43EA" w:rsidRPr="009C43EA" w:rsidRDefault="009C43EA" w:rsidP="009C43EA">
            <w:pPr>
              <w:rPr>
                <w:szCs w:val="22"/>
                <w:lang w:val="en-US" w:eastAsia="en-US"/>
              </w:rPr>
            </w:pPr>
          </w:p>
          <w:p w14:paraId="563FFEA9" w14:textId="77777777" w:rsidR="009C43EA" w:rsidRPr="009C43EA" w:rsidRDefault="004F3990" w:rsidP="004F3990">
            <w:pPr>
              <w:rPr>
                <w:szCs w:val="22"/>
                <w:lang w:val="en-US" w:eastAsia="en-US"/>
              </w:rPr>
            </w:pPr>
            <w:r>
              <w:rPr>
                <w:szCs w:val="22"/>
                <w:lang w:val="en-US" w:eastAsia="en-US"/>
              </w:rPr>
              <w:t>Sunormalėjęs</w:t>
            </w:r>
            <w:r w:rsidR="009C43EA" w:rsidRPr="009C43EA">
              <w:rPr>
                <w:szCs w:val="22"/>
                <w:lang w:val="en-US" w:eastAsia="en-US"/>
              </w:rPr>
              <w:t xml:space="preserve"> ALT</w:t>
            </w:r>
            <w:r w:rsidR="009C43EA" w:rsidRPr="009C43EA">
              <w:rPr>
                <w:szCs w:val="22"/>
                <w:vertAlign w:val="superscript"/>
                <w:lang w:val="en-US" w:eastAsia="en-US"/>
              </w:rPr>
              <w:t>d</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198344" w14:textId="77777777" w:rsidR="009C43EA" w:rsidRPr="009C43EA" w:rsidRDefault="009C43EA" w:rsidP="009C43EA">
            <w:pPr>
              <w:rPr>
                <w:szCs w:val="22"/>
                <w:lang w:val="en-US" w:eastAsia="en-US"/>
              </w:rPr>
            </w:pPr>
          </w:p>
          <w:p w14:paraId="1DCDBACC" w14:textId="77777777" w:rsidR="009C43EA" w:rsidRPr="009C43EA" w:rsidRDefault="009C43EA" w:rsidP="009C43EA">
            <w:pPr>
              <w:rPr>
                <w:szCs w:val="22"/>
                <w:lang w:val="en-US" w:eastAsia="en-US"/>
              </w:rPr>
            </w:pPr>
          </w:p>
          <w:p w14:paraId="7883D795" w14:textId="77777777" w:rsidR="009C43EA" w:rsidRPr="009C43EA" w:rsidRDefault="009C43EA" w:rsidP="009C43EA">
            <w:pPr>
              <w:rPr>
                <w:szCs w:val="22"/>
                <w:lang w:val="en-US" w:eastAsia="en-US"/>
              </w:rPr>
            </w:pPr>
            <w:r w:rsidRPr="009C43EA">
              <w:rPr>
                <w:szCs w:val="22"/>
                <w:lang w:val="en-US" w:eastAsia="en-US"/>
              </w:rPr>
              <w:t>76</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F26729" w14:textId="77777777" w:rsidR="009C43EA" w:rsidRPr="009C43EA" w:rsidRDefault="009C43EA" w:rsidP="009C43EA">
            <w:pPr>
              <w:rPr>
                <w:szCs w:val="22"/>
                <w:lang w:val="en-US" w:eastAsia="en-US"/>
              </w:rPr>
            </w:pPr>
          </w:p>
          <w:p w14:paraId="126C8FCD" w14:textId="77777777" w:rsidR="009C43EA" w:rsidRPr="009C43EA" w:rsidRDefault="009C43EA" w:rsidP="009C43EA">
            <w:pPr>
              <w:rPr>
                <w:szCs w:val="22"/>
                <w:lang w:val="en-US" w:eastAsia="en-US"/>
              </w:rPr>
            </w:pPr>
          </w:p>
          <w:p w14:paraId="69D56158" w14:textId="77777777" w:rsidR="009C43EA" w:rsidRPr="009C43EA" w:rsidRDefault="009C43EA" w:rsidP="009C43EA">
            <w:pPr>
              <w:rPr>
                <w:szCs w:val="22"/>
                <w:lang w:val="en-US" w:eastAsia="en-US"/>
              </w:rPr>
            </w:pPr>
            <w:r w:rsidRPr="009C43EA">
              <w:rPr>
                <w:szCs w:val="22"/>
                <w:lang w:val="en-US" w:eastAsia="en-US"/>
              </w:rPr>
              <w:t>77</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045DD0" w14:textId="77777777" w:rsidR="009C43EA" w:rsidRPr="009C43EA" w:rsidRDefault="009C43EA" w:rsidP="009C43EA">
            <w:pPr>
              <w:rPr>
                <w:szCs w:val="22"/>
                <w:lang w:val="en-US" w:eastAsia="en-US"/>
              </w:rPr>
            </w:pPr>
          </w:p>
          <w:p w14:paraId="548FBD2B" w14:textId="77777777" w:rsidR="009C43EA" w:rsidRPr="009C43EA" w:rsidRDefault="009C43EA" w:rsidP="009C43EA">
            <w:pPr>
              <w:rPr>
                <w:szCs w:val="22"/>
                <w:lang w:val="en-US" w:eastAsia="en-US"/>
              </w:rPr>
            </w:pPr>
          </w:p>
          <w:p w14:paraId="2958F4D6" w14:textId="77777777" w:rsidR="009C43EA" w:rsidRPr="009C43EA" w:rsidRDefault="009C43EA" w:rsidP="009C43EA">
            <w:pPr>
              <w:rPr>
                <w:szCs w:val="22"/>
                <w:lang w:val="en-US" w:eastAsia="en-US"/>
              </w:rPr>
            </w:pPr>
            <w:r w:rsidRPr="009C43EA">
              <w:rPr>
                <w:szCs w:val="22"/>
                <w:lang w:val="en-US" w:eastAsia="en-US"/>
              </w:rPr>
              <w:t>68*</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B583E4" w14:textId="77777777" w:rsidR="009C43EA" w:rsidRPr="009C43EA" w:rsidRDefault="009C43EA" w:rsidP="009C43EA">
            <w:pPr>
              <w:rPr>
                <w:szCs w:val="22"/>
                <w:lang w:val="en-US" w:eastAsia="en-US"/>
              </w:rPr>
            </w:pPr>
          </w:p>
          <w:p w14:paraId="5291ACFA" w14:textId="77777777" w:rsidR="009C43EA" w:rsidRPr="009C43EA" w:rsidRDefault="009C43EA" w:rsidP="009C43EA">
            <w:pPr>
              <w:rPr>
                <w:szCs w:val="22"/>
                <w:lang w:val="en-US" w:eastAsia="en-US"/>
              </w:rPr>
            </w:pPr>
          </w:p>
          <w:p w14:paraId="39A5C2EB" w14:textId="77777777" w:rsidR="009C43EA" w:rsidRPr="009C43EA" w:rsidRDefault="009C43EA" w:rsidP="009C43EA">
            <w:pPr>
              <w:rPr>
                <w:szCs w:val="22"/>
                <w:lang w:val="en-US" w:eastAsia="en-US"/>
              </w:rPr>
            </w:pPr>
            <w:r w:rsidRPr="009C43EA">
              <w:rPr>
                <w:szCs w:val="22"/>
                <w:lang w:val="en-US" w:eastAsia="en-US"/>
              </w:rPr>
              <w:t>54</w:t>
            </w:r>
          </w:p>
        </w:tc>
      </w:tr>
      <w:tr w:rsidR="008964D2" w:rsidRPr="009C43EA" w14:paraId="2F44DAFE" w14:textId="77777777" w:rsidTr="00A47C6D">
        <w:trPr>
          <w:trHeight w:val="20"/>
        </w:trPr>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703CC9" w14:textId="77777777" w:rsidR="009C43EA" w:rsidRPr="00EC331C" w:rsidRDefault="009C43EA" w:rsidP="009C43EA">
            <w:pPr>
              <w:rPr>
                <w:szCs w:val="22"/>
                <w:lang w:eastAsia="en-US"/>
              </w:rPr>
            </w:pPr>
            <w:r w:rsidRPr="00EC331C">
              <w:rPr>
                <w:b/>
                <w:bCs/>
                <w:szCs w:val="22"/>
                <w:lang w:eastAsia="en-US"/>
              </w:rPr>
              <w:t>Serolog</w:t>
            </w:r>
            <w:r w:rsidR="004F3990" w:rsidRPr="00EC331C">
              <w:rPr>
                <w:b/>
                <w:bCs/>
                <w:szCs w:val="22"/>
                <w:lang w:eastAsia="en-US"/>
              </w:rPr>
              <w:t>ija</w:t>
            </w:r>
            <w:r w:rsidRPr="00EC331C">
              <w:rPr>
                <w:b/>
                <w:bCs/>
                <w:szCs w:val="22"/>
                <w:lang w:eastAsia="en-US"/>
              </w:rPr>
              <w:t xml:space="preserve"> </w:t>
            </w:r>
            <w:r w:rsidRPr="00EC331C">
              <w:rPr>
                <w:szCs w:val="22"/>
                <w:lang w:eastAsia="en-US"/>
              </w:rPr>
              <w:t>(%)</w:t>
            </w:r>
          </w:p>
          <w:p w14:paraId="6CD8888A" w14:textId="77777777" w:rsidR="009C43EA" w:rsidRPr="00EC331C" w:rsidRDefault="004F3990" w:rsidP="004F3990">
            <w:pPr>
              <w:rPr>
                <w:szCs w:val="22"/>
                <w:lang w:eastAsia="en-US"/>
              </w:rPr>
            </w:pPr>
            <w:r w:rsidRPr="00EC331C">
              <w:rPr>
                <w:szCs w:val="22"/>
                <w:lang w:eastAsia="en-US"/>
              </w:rPr>
              <w:t>HBeAg netekimas/serokonversija</w:t>
            </w:r>
          </w:p>
          <w:p w14:paraId="49FB05B4" w14:textId="77777777" w:rsidR="009C43EA" w:rsidRPr="00EC331C" w:rsidRDefault="009C43EA" w:rsidP="004F3990">
            <w:pPr>
              <w:rPr>
                <w:szCs w:val="22"/>
                <w:lang w:eastAsia="en-US"/>
              </w:rPr>
            </w:pPr>
            <w:r w:rsidRPr="00EC331C">
              <w:rPr>
                <w:szCs w:val="22"/>
                <w:lang w:eastAsia="en-US"/>
              </w:rPr>
              <w:t xml:space="preserve">HBsAg </w:t>
            </w:r>
            <w:r w:rsidR="004F3990" w:rsidRPr="00EC331C">
              <w:rPr>
                <w:szCs w:val="22"/>
                <w:lang w:eastAsia="en-US"/>
              </w:rPr>
              <w:t>netekimas/serokonversija</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169B3D" w14:textId="77777777" w:rsidR="009C43EA" w:rsidRPr="00EC331C" w:rsidRDefault="009C43EA" w:rsidP="009C43EA">
            <w:pPr>
              <w:rPr>
                <w:szCs w:val="22"/>
                <w:lang w:eastAsia="en-US"/>
              </w:rPr>
            </w:pPr>
          </w:p>
          <w:p w14:paraId="044E4CA1" w14:textId="77777777" w:rsidR="009C43EA" w:rsidRPr="00EC331C" w:rsidRDefault="009C43EA" w:rsidP="009C43EA">
            <w:pPr>
              <w:rPr>
                <w:szCs w:val="22"/>
                <w:lang w:eastAsia="en-US"/>
              </w:rPr>
            </w:pPr>
          </w:p>
          <w:p w14:paraId="4ADE6B51" w14:textId="77777777" w:rsidR="009C43EA" w:rsidRPr="009C43EA" w:rsidRDefault="009C43EA" w:rsidP="009C43EA">
            <w:pPr>
              <w:rPr>
                <w:szCs w:val="22"/>
                <w:lang w:val="en-US" w:eastAsia="en-US"/>
              </w:rPr>
            </w:pPr>
            <w:r w:rsidRPr="009C43EA">
              <w:rPr>
                <w:szCs w:val="22"/>
                <w:lang w:val="en-US" w:eastAsia="en-US"/>
              </w:rPr>
              <w:t>n/a</w:t>
            </w:r>
          </w:p>
          <w:p w14:paraId="51C7F06B" w14:textId="77777777" w:rsidR="009C43EA" w:rsidRPr="009C43EA" w:rsidRDefault="009C43EA" w:rsidP="009C43EA">
            <w:pPr>
              <w:rPr>
                <w:szCs w:val="22"/>
                <w:lang w:val="en-US" w:eastAsia="en-US"/>
              </w:rPr>
            </w:pPr>
          </w:p>
          <w:p w14:paraId="7E5F2B95" w14:textId="77777777" w:rsidR="009C43EA" w:rsidRPr="009C43EA" w:rsidRDefault="009C43EA" w:rsidP="009C43EA">
            <w:pPr>
              <w:rPr>
                <w:szCs w:val="22"/>
                <w:lang w:val="en-US" w:eastAsia="en-US"/>
              </w:rPr>
            </w:pPr>
          </w:p>
          <w:p w14:paraId="2417F6DB" w14:textId="77777777" w:rsidR="009C43EA" w:rsidRPr="009C43EA" w:rsidRDefault="009C43EA" w:rsidP="009C43EA">
            <w:pPr>
              <w:rPr>
                <w:szCs w:val="22"/>
                <w:lang w:val="en-US" w:eastAsia="en-US"/>
              </w:rPr>
            </w:pPr>
            <w:r w:rsidRPr="009C43EA">
              <w:rPr>
                <w:szCs w:val="22"/>
                <w:lang w:val="en-US" w:eastAsia="en-US"/>
              </w:rPr>
              <w:t>0/0</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65EF9F" w14:textId="77777777" w:rsidR="009C43EA" w:rsidRPr="009C43EA" w:rsidRDefault="009C43EA" w:rsidP="009C43EA">
            <w:pPr>
              <w:rPr>
                <w:szCs w:val="22"/>
                <w:lang w:val="en-US" w:eastAsia="en-US"/>
              </w:rPr>
            </w:pPr>
          </w:p>
          <w:p w14:paraId="4FA68C37" w14:textId="77777777" w:rsidR="009C43EA" w:rsidRPr="009C43EA" w:rsidRDefault="009C43EA" w:rsidP="009C43EA">
            <w:pPr>
              <w:rPr>
                <w:szCs w:val="22"/>
                <w:lang w:val="en-US" w:eastAsia="en-US"/>
              </w:rPr>
            </w:pPr>
          </w:p>
          <w:p w14:paraId="435DF192" w14:textId="77777777" w:rsidR="009C43EA" w:rsidRPr="009C43EA" w:rsidRDefault="009C43EA" w:rsidP="009C43EA">
            <w:pPr>
              <w:rPr>
                <w:szCs w:val="22"/>
                <w:lang w:val="en-US" w:eastAsia="en-US"/>
              </w:rPr>
            </w:pPr>
            <w:r w:rsidRPr="009C43EA">
              <w:rPr>
                <w:szCs w:val="22"/>
                <w:lang w:val="en-US" w:eastAsia="en-US"/>
              </w:rPr>
              <w:t>n/a</w:t>
            </w:r>
          </w:p>
          <w:p w14:paraId="060954D8" w14:textId="77777777" w:rsidR="009C43EA" w:rsidRPr="009C43EA" w:rsidRDefault="009C43EA" w:rsidP="009C43EA">
            <w:pPr>
              <w:rPr>
                <w:szCs w:val="22"/>
                <w:lang w:val="en-US" w:eastAsia="en-US"/>
              </w:rPr>
            </w:pPr>
          </w:p>
          <w:p w14:paraId="2F089E0A" w14:textId="77777777" w:rsidR="009C43EA" w:rsidRPr="009C43EA" w:rsidRDefault="009C43EA" w:rsidP="009C43EA">
            <w:pPr>
              <w:rPr>
                <w:szCs w:val="22"/>
                <w:lang w:val="en-US" w:eastAsia="en-US"/>
              </w:rPr>
            </w:pPr>
          </w:p>
          <w:p w14:paraId="78A3A89E" w14:textId="77777777" w:rsidR="009C43EA" w:rsidRPr="009C43EA" w:rsidRDefault="009C43EA" w:rsidP="009C43EA">
            <w:pPr>
              <w:rPr>
                <w:szCs w:val="22"/>
                <w:lang w:val="en-US" w:eastAsia="en-US"/>
              </w:rPr>
            </w:pPr>
            <w:r w:rsidRPr="009C43EA">
              <w:rPr>
                <w:szCs w:val="22"/>
                <w:lang w:val="en-US" w:eastAsia="en-US"/>
              </w:rPr>
              <w:t>0/0</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89E13" w14:textId="77777777" w:rsidR="009C43EA" w:rsidRPr="009C43EA" w:rsidRDefault="009C43EA" w:rsidP="009C43EA">
            <w:pPr>
              <w:rPr>
                <w:szCs w:val="22"/>
                <w:lang w:val="en-US" w:eastAsia="en-US"/>
              </w:rPr>
            </w:pPr>
          </w:p>
          <w:p w14:paraId="49250F4D" w14:textId="77777777" w:rsidR="009C43EA" w:rsidRPr="009C43EA" w:rsidRDefault="009C43EA" w:rsidP="009C43EA">
            <w:pPr>
              <w:rPr>
                <w:szCs w:val="22"/>
                <w:lang w:val="en-US" w:eastAsia="en-US"/>
              </w:rPr>
            </w:pPr>
          </w:p>
          <w:p w14:paraId="2DC8D2FE" w14:textId="77777777" w:rsidR="009C43EA" w:rsidRPr="009C43EA" w:rsidRDefault="009C43EA" w:rsidP="009C43EA">
            <w:pPr>
              <w:rPr>
                <w:szCs w:val="22"/>
                <w:lang w:val="en-US" w:eastAsia="en-US"/>
              </w:rPr>
            </w:pPr>
            <w:r w:rsidRPr="009C43EA">
              <w:rPr>
                <w:szCs w:val="22"/>
                <w:lang w:val="en-US" w:eastAsia="en-US"/>
              </w:rPr>
              <w:t>22/21</w:t>
            </w:r>
          </w:p>
          <w:p w14:paraId="0C5321D5" w14:textId="77777777" w:rsidR="009C43EA" w:rsidRPr="009C43EA" w:rsidRDefault="009C43EA" w:rsidP="009C43EA">
            <w:pPr>
              <w:rPr>
                <w:szCs w:val="22"/>
                <w:lang w:val="en-US" w:eastAsia="en-US"/>
              </w:rPr>
            </w:pPr>
          </w:p>
          <w:p w14:paraId="6C45ADC3" w14:textId="77777777" w:rsidR="009C43EA" w:rsidRPr="009C43EA" w:rsidRDefault="009C43EA" w:rsidP="009C43EA">
            <w:pPr>
              <w:rPr>
                <w:szCs w:val="22"/>
                <w:lang w:val="en-US" w:eastAsia="en-US"/>
              </w:rPr>
            </w:pPr>
          </w:p>
          <w:p w14:paraId="4827F352" w14:textId="77777777" w:rsidR="009C43EA" w:rsidRPr="009C43EA" w:rsidRDefault="009C43EA" w:rsidP="009C43EA">
            <w:pPr>
              <w:rPr>
                <w:szCs w:val="22"/>
                <w:lang w:val="en-US" w:eastAsia="en-US"/>
              </w:rPr>
            </w:pPr>
            <w:r w:rsidRPr="009C43EA">
              <w:rPr>
                <w:szCs w:val="22"/>
                <w:lang w:val="en-US" w:eastAsia="en-US"/>
              </w:rPr>
              <w:t>3*/1</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AE76C4" w14:textId="77777777" w:rsidR="009C43EA" w:rsidRPr="009C43EA" w:rsidRDefault="009C43EA" w:rsidP="009C43EA">
            <w:pPr>
              <w:rPr>
                <w:szCs w:val="22"/>
                <w:lang w:val="en-US" w:eastAsia="en-US"/>
              </w:rPr>
            </w:pPr>
          </w:p>
          <w:p w14:paraId="230F1F36" w14:textId="77777777" w:rsidR="009C43EA" w:rsidRPr="009C43EA" w:rsidRDefault="009C43EA" w:rsidP="009C43EA">
            <w:pPr>
              <w:rPr>
                <w:szCs w:val="22"/>
                <w:lang w:val="en-US" w:eastAsia="en-US"/>
              </w:rPr>
            </w:pPr>
          </w:p>
          <w:p w14:paraId="162D2493" w14:textId="77777777" w:rsidR="009C43EA" w:rsidRPr="009C43EA" w:rsidRDefault="009C43EA" w:rsidP="009C43EA">
            <w:pPr>
              <w:rPr>
                <w:szCs w:val="22"/>
                <w:lang w:val="en-US" w:eastAsia="en-US"/>
              </w:rPr>
            </w:pPr>
            <w:r w:rsidRPr="009C43EA">
              <w:rPr>
                <w:szCs w:val="22"/>
                <w:lang w:val="en-US" w:eastAsia="en-US"/>
              </w:rPr>
              <w:t>18/18</w:t>
            </w:r>
          </w:p>
          <w:p w14:paraId="5CE0D997" w14:textId="77777777" w:rsidR="009C43EA" w:rsidRPr="009C43EA" w:rsidRDefault="009C43EA" w:rsidP="009C43EA">
            <w:pPr>
              <w:rPr>
                <w:szCs w:val="22"/>
                <w:lang w:val="en-US" w:eastAsia="en-US"/>
              </w:rPr>
            </w:pPr>
          </w:p>
          <w:p w14:paraId="39086CEB" w14:textId="77777777" w:rsidR="009C43EA" w:rsidRPr="009C43EA" w:rsidRDefault="009C43EA" w:rsidP="009C43EA">
            <w:pPr>
              <w:rPr>
                <w:szCs w:val="22"/>
                <w:lang w:val="en-US" w:eastAsia="en-US"/>
              </w:rPr>
            </w:pPr>
          </w:p>
          <w:p w14:paraId="13473EE7" w14:textId="77777777" w:rsidR="009C43EA" w:rsidRPr="009C43EA" w:rsidRDefault="009C43EA" w:rsidP="009C43EA">
            <w:pPr>
              <w:rPr>
                <w:szCs w:val="22"/>
                <w:lang w:val="en-US" w:eastAsia="en-US"/>
              </w:rPr>
            </w:pPr>
            <w:r w:rsidRPr="009C43EA">
              <w:rPr>
                <w:szCs w:val="22"/>
                <w:lang w:val="en-US" w:eastAsia="en-US"/>
              </w:rPr>
              <w:t>0/0</w:t>
            </w:r>
          </w:p>
        </w:tc>
      </w:tr>
    </w:tbl>
    <w:p w14:paraId="7F920927" w14:textId="77777777" w:rsidR="004F3990" w:rsidRPr="00C83DF1" w:rsidRDefault="004F3990" w:rsidP="004F3990">
      <w:pPr>
        <w:tabs>
          <w:tab w:val="left" w:pos="567"/>
        </w:tabs>
        <w:rPr>
          <w:sz w:val="20"/>
          <w:lang w:eastAsia="en-US"/>
        </w:rPr>
      </w:pPr>
      <w:r w:rsidRPr="00C83DF1">
        <w:rPr>
          <w:sz w:val="20"/>
          <w:lang w:eastAsia="en-US"/>
        </w:rPr>
        <w:t>*p &lt; 0,05, palyginus su adefoviro dipivoksiliu.</w:t>
      </w:r>
    </w:p>
    <w:p w14:paraId="207616EE" w14:textId="77777777" w:rsidR="004F3990" w:rsidRPr="00C83DF1" w:rsidRDefault="004F3990" w:rsidP="004F3990">
      <w:pPr>
        <w:tabs>
          <w:tab w:val="left" w:pos="567"/>
        </w:tabs>
        <w:ind w:left="142" w:hanging="142"/>
        <w:rPr>
          <w:sz w:val="20"/>
          <w:lang w:eastAsia="en-US"/>
        </w:rPr>
      </w:pPr>
      <w:r w:rsidRPr="00C83DF1">
        <w:rPr>
          <w:sz w:val="20"/>
          <w:vertAlign w:val="superscript"/>
          <w:lang w:eastAsia="en-US"/>
        </w:rPr>
        <w:t>a</w:t>
      </w:r>
      <w:r w:rsidRPr="00C83DF1">
        <w:rPr>
          <w:sz w:val="20"/>
          <w:lang w:eastAsia="en-US"/>
        </w:rPr>
        <w:t xml:space="preserve"> Visišką atsaką apibūdina HBV DNR &lt;</w:t>
      </w:r>
      <w:r w:rsidR="005C4DF8">
        <w:rPr>
          <w:sz w:val="20"/>
          <w:lang w:eastAsia="en-US"/>
        </w:rPr>
        <w:t> </w:t>
      </w:r>
      <w:r w:rsidRPr="00C83DF1">
        <w:rPr>
          <w:sz w:val="20"/>
          <w:lang w:eastAsia="en-US"/>
        </w:rPr>
        <w:t>400</w:t>
      </w:r>
      <w:r w:rsidR="005C4DF8">
        <w:rPr>
          <w:sz w:val="20"/>
          <w:lang w:eastAsia="en-US"/>
        </w:rPr>
        <w:t> </w:t>
      </w:r>
      <w:r w:rsidRPr="00C83DF1">
        <w:rPr>
          <w:sz w:val="20"/>
          <w:lang w:eastAsia="en-US"/>
        </w:rPr>
        <w:t xml:space="preserve">kopijų/ml ir bent dviem taškais padidėjęs </w:t>
      </w:r>
      <w:r w:rsidRPr="00CA49A8">
        <w:rPr>
          <w:i/>
          <w:sz w:val="20"/>
          <w:lang w:eastAsia="en-US"/>
        </w:rPr>
        <w:t>Knodell</w:t>
      </w:r>
      <w:r w:rsidRPr="00C83DF1">
        <w:rPr>
          <w:sz w:val="20"/>
          <w:lang w:eastAsia="en-US"/>
        </w:rPr>
        <w:t xml:space="preserve"> nekrozinio uždegimo balas, nesant </w:t>
      </w:r>
      <w:r w:rsidRPr="00CA49A8">
        <w:rPr>
          <w:i/>
          <w:sz w:val="20"/>
          <w:lang w:eastAsia="en-US"/>
        </w:rPr>
        <w:t>Knodell</w:t>
      </w:r>
      <w:r w:rsidRPr="00C83DF1">
        <w:rPr>
          <w:sz w:val="20"/>
          <w:lang w:eastAsia="en-US"/>
        </w:rPr>
        <w:t xml:space="preserve"> fibrozės pablogėjimo.</w:t>
      </w:r>
    </w:p>
    <w:p w14:paraId="6D5A6261" w14:textId="77777777" w:rsidR="004F3990" w:rsidRPr="00C83DF1" w:rsidRDefault="004F3990" w:rsidP="004F3990">
      <w:pPr>
        <w:tabs>
          <w:tab w:val="left" w:pos="567"/>
        </w:tabs>
        <w:ind w:left="142" w:hanging="142"/>
        <w:rPr>
          <w:sz w:val="20"/>
          <w:lang w:eastAsia="en-US"/>
        </w:rPr>
      </w:pPr>
      <w:r w:rsidRPr="00C83DF1">
        <w:rPr>
          <w:sz w:val="20"/>
          <w:vertAlign w:val="superscript"/>
          <w:lang w:eastAsia="en-US"/>
        </w:rPr>
        <w:t>b</w:t>
      </w:r>
      <w:r w:rsidRPr="00C83DF1">
        <w:rPr>
          <w:sz w:val="20"/>
          <w:lang w:eastAsia="en-US"/>
        </w:rPr>
        <w:t xml:space="preserve"> Bent dviem taškais padidėjęs </w:t>
      </w:r>
      <w:r w:rsidRPr="00CA49A8">
        <w:rPr>
          <w:i/>
          <w:sz w:val="20"/>
          <w:lang w:eastAsia="en-US"/>
        </w:rPr>
        <w:t>Knodell</w:t>
      </w:r>
      <w:r w:rsidRPr="00C83DF1">
        <w:rPr>
          <w:sz w:val="20"/>
          <w:lang w:eastAsia="en-US"/>
        </w:rPr>
        <w:t xml:space="preserve"> nekrozinio uždegimo balas, nesant </w:t>
      </w:r>
      <w:r w:rsidRPr="00CA49A8">
        <w:rPr>
          <w:i/>
          <w:sz w:val="20"/>
          <w:lang w:eastAsia="en-US"/>
        </w:rPr>
        <w:t>Knodell</w:t>
      </w:r>
      <w:r w:rsidRPr="00C83DF1">
        <w:rPr>
          <w:sz w:val="20"/>
          <w:lang w:eastAsia="en-US"/>
        </w:rPr>
        <w:t xml:space="preserve"> fibrozės pablogėjimo.</w:t>
      </w:r>
    </w:p>
    <w:p w14:paraId="3F7D0CBD" w14:textId="77777777" w:rsidR="004F3990" w:rsidRPr="00C83DF1" w:rsidRDefault="004F3990" w:rsidP="004F3990">
      <w:pPr>
        <w:tabs>
          <w:tab w:val="left" w:pos="567"/>
        </w:tabs>
        <w:ind w:left="142" w:hanging="142"/>
        <w:rPr>
          <w:sz w:val="20"/>
          <w:lang w:eastAsia="en-US"/>
        </w:rPr>
      </w:pPr>
      <w:r w:rsidRPr="00C83DF1">
        <w:rPr>
          <w:sz w:val="20"/>
          <w:vertAlign w:val="superscript"/>
          <w:lang w:eastAsia="en-US"/>
        </w:rPr>
        <w:t>c</w:t>
      </w:r>
      <w:r w:rsidRPr="00C83DF1">
        <w:rPr>
          <w:sz w:val="20"/>
          <w:lang w:eastAsia="en-US"/>
        </w:rPr>
        <w:t xml:space="preserve"> Pokyčio nuo pradinio HBV DNR lygio mediana rodo skirtumą tarp pradinio HBV DNR ir tyrimo aptikimo ribos (</w:t>
      </w:r>
      <w:r w:rsidR="00C0675B">
        <w:rPr>
          <w:sz w:val="20"/>
          <w:lang w:eastAsia="en-US"/>
        </w:rPr>
        <w:t xml:space="preserve">angl. </w:t>
      </w:r>
      <w:r w:rsidRPr="00164838">
        <w:rPr>
          <w:i/>
          <w:sz w:val="20"/>
          <w:lang w:eastAsia="en-US"/>
        </w:rPr>
        <w:t>limit of detection</w:t>
      </w:r>
      <w:r w:rsidRPr="00C83DF1">
        <w:rPr>
          <w:sz w:val="20"/>
          <w:lang w:eastAsia="en-US"/>
        </w:rPr>
        <w:t>, LOD).</w:t>
      </w:r>
    </w:p>
    <w:p w14:paraId="3B5E7EE9" w14:textId="77777777" w:rsidR="004F3990" w:rsidRPr="00C83DF1" w:rsidRDefault="004F3990" w:rsidP="004F3990">
      <w:pPr>
        <w:tabs>
          <w:tab w:val="left" w:pos="567"/>
        </w:tabs>
        <w:ind w:left="142" w:hanging="142"/>
        <w:rPr>
          <w:sz w:val="20"/>
          <w:lang w:eastAsia="en-US"/>
        </w:rPr>
      </w:pPr>
      <w:r w:rsidRPr="00C83DF1">
        <w:rPr>
          <w:sz w:val="20"/>
          <w:lang w:eastAsia="en-US"/>
        </w:rPr>
        <w:t xml:space="preserve">d ALT normalizavimosi tyrimai buvo atliekami pacientams, kurių ALT </w:t>
      </w:r>
      <w:r w:rsidR="00C0675B">
        <w:rPr>
          <w:sz w:val="20"/>
          <w:lang w:eastAsia="en-US"/>
        </w:rPr>
        <w:t xml:space="preserve">aktyvumo </w:t>
      </w:r>
      <w:r w:rsidRPr="00C83DF1">
        <w:rPr>
          <w:sz w:val="20"/>
          <w:lang w:eastAsia="en-US"/>
        </w:rPr>
        <w:t>padidėjimas buvo aukščiau normos ribų pradinės ribos.</w:t>
      </w:r>
    </w:p>
    <w:p w14:paraId="333778BA" w14:textId="77777777" w:rsidR="004F3990" w:rsidRPr="00C83DF1" w:rsidRDefault="004F3990" w:rsidP="004F3990">
      <w:pPr>
        <w:tabs>
          <w:tab w:val="left" w:pos="567"/>
        </w:tabs>
        <w:rPr>
          <w:sz w:val="20"/>
          <w:lang w:eastAsia="en-US"/>
        </w:rPr>
      </w:pPr>
      <w:r w:rsidRPr="00C83DF1">
        <w:rPr>
          <w:sz w:val="20"/>
          <w:lang w:eastAsia="en-US"/>
        </w:rPr>
        <w:t>n/a = not applicable (duomenys nebūtini).</w:t>
      </w:r>
    </w:p>
    <w:p w14:paraId="721F475E" w14:textId="77777777" w:rsidR="004F3990" w:rsidRPr="004F3990" w:rsidRDefault="004F3990" w:rsidP="004F3990">
      <w:pPr>
        <w:tabs>
          <w:tab w:val="left" w:pos="567"/>
        </w:tabs>
        <w:rPr>
          <w:szCs w:val="22"/>
          <w:lang w:eastAsia="en-US"/>
        </w:rPr>
      </w:pPr>
    </w:p>
    <w:p w14:paraId="3501CC26" w14:textId="656B9033" w:rsidR="004F3990" w:rsidRDefault="008A4C9B" w:rsidP="004F3990">
      <w:pPr>
        <w:tabs>
          <w:tab w:val="left" w:pos="567"/>
        </w:tabs>
        <w:rPr>
          <w:szCs w:val="22"/>
          <w:lang w:eastAsia="en-US"/>
        </w:rPr>
      </w:pPr>
      <w:r w:rsidRPr="004F3990">
        <w:rPr>
          <w:szCs w:val="22"/>
          <w:lang w:eastAsia="en-US"/>
        </w:rPr>
        <w:lastRenderedPageBreak/>
        <w:t>Tenofovir</w:t>
      </w:r>
      <w:r>
        <w:rPr>
          <w:szCs w:val="22"/>
          <w:lang w:eastAsia="en-US"/>
        </w:rPr>
        <w:t>as</w:t>
      </w:r>
      <w:r w:rsidRPr="004F3990">
        <w:rPr>
          <w:szCs w:val="22"/>
          <w:lang w:eastAsia="en-US"/>
        </w:rPr>
        <w:t xml:space="preserve"> </w:t>
      </w:r>
      <w:r w:rsidR="004F3990" w:rsidRPr="004F3990">
        <w:rPr>
          <w:szCs w:val="22"/>
          <w:lang w:eastAsia="en-US"/>
        </w:rPr>
        <w:t>dizoproksili</w:t>
      </w:r>
      <w:r w:rsidR="00C0675B">
        <w:rPr>
          <w:szCs w:val="22"/>
          <w:lang w:eastAsia="en-US"/>
        </w:rPr>
        <w:t>s</w:t>
      </w:r>
      <w:r w:rsidR="004F3990" w:rsidRPr="004F3990">
        <w:rPr>
          <w:szCs w:val="22"/>
          <w:lang w:eastAsia="en-US"/>
        </w:rPr>
        <w:t xml:space="preserve"> buvo susijęs su reikšmingai didesne pacientų dalimi, kuriems buvo nenustatoma HBV DNR (&lt;</w:t>
      </w:r>
      <w:r w:rsidR="005C4DF8">
        <w:rPr>
          <w:szCs w:val="22"/>
          <w:lang w:eastAsia="en-US"/>
        </w:rPr>
        <w:t> </w:t>
      </w:r>
      <w:r w:rsidR="004F3990" w:rsidRPr="004F3990">
        <w:rPr>
          <w:szCs w:val="22"/>
          <w:lang w:eastAsia="en-US"/>
        </w:rPr>
        <w:t>169</w:t>
      </w:r>
      <w:r w:rsidR="005C4DF8">
        <w:rPr>
          <w:szCs w:val="22"/>
          <w:lang w:eastAsia="en-US"/>
        </w:rPr>
        <w:t> </w:t>
      </w:r>
      <w:r w:rsidR="004F3990" w:rsidRPr="004F3990">
        <w:rPr>
          <w:szCs w:val="22"/>
          <w:lang w:eastAsia="en-US"/>
        </w:rPr>
        <w:t>kopijų/ml (&lt;</w:t>
      </w:r>
      <w:r w:rsidR="005C4DF8">
        <w:rPr>
          <w:szCs w:val="22"/>
          <w:lang w:eastAsia="en-US"/>
        </w:rPr>
        <w:t> </w:t>
      </w:r>
      <w:r w:rsidR="004F3990" w:rsidRPr="004F3990">
        <w:rPr>
          <w:szCs w:val="22"/>
          <w:lang w:eastAsia="en-US"/>
        </w:rPr>
        <w:t>29</w:t>
      </w:r>
      <w:r w:rsidR="005C4DF8">
        <w:rPr>
          <w:szCs w:val="22"/>
          <w:lang w:eastAsia="en-US"/>
        </w:rPr>
        <w:t> </w:t>
      </w:r>
      <w:r w:rsidR="004F3990" w:rsidRPr="004F3990">
        <w:rPr>
          <w:szCs w:val="22"/>
          <w:lang w:eastAsia="en-US"/>
        </w:rPr>
        <w:t xml:space="preserve">TV/ml); </w:t>
      </w:r>
      <w:r w:rsidR="004F3990" w:rsidRPr="00CA49A8">
        <w:rPr>
          <w:i/>
          <w:szCs w:val="22"/>
          <w:lang w:eastAsia="en-US"/>
        </w:rPr>
        <w:t>Roche Cobas Togman</w:t>
      </w:r>
      <w:r w:rsidR="004F3990" w:rsidRPr="004F3990">
        <w:rPr>
          <w:szCs w:val="22"/>
          <w:lang w:eastAsia="en-US"/>
        </w:rPr>
        <w:t xml:space="preserve"> HBV tyrimų kiekybinio įvertinimo riba), lyginant su </w:t>
      </w:r>
      <w:r w:rsidRPr="004F3990">
        <w:rPr>
          <w:szCs w:val="22"/>
          <w:lang w:eastAsia="en-US"/>
        </w:rPr>
        <w:t>adefovir</w:t>
      </w:r>
      <w:r>
        <w:rPr>
          <w:szCs w:val="22"/>
          <w:lang w:eastAsia="en-US"/>
        </w:rPr>
        <w:t>u</w:t>
      </w:r>
      <w:r w:rsidRPr="004F3990">
        <w:rPr>
          <w:szCs w:val="22"/>
          <w:lang w:eastAsia="en-US"/>
        </w:rPr>
        <w:t xml:space="preserve"> </w:t>
      </w:r>
      <w:r w:rsidR="004F3990" w:rsidRPr="004F3990">
        <w:rPr>
          <w:szCs w:val="22"/>
          <w:lang w:eastAsia="en-US"/>
        </w:rPr>
        <w:t>dipivoksiliu (atitinkamai GS-US-174-0102 tyrime 91</w:t>
      </w:r>
      <w:r w:rsidR="005C4DF8">
        <w:rPr>
          <w:szCs w:val="22"/>
          <w:lang w:eastAsia="en-US"/>
        </w:rPr>
        <w:t> </w:t>
      </w:r>
      <w:r w:rsidR="004F3990" w:rsidRPr="004F3990">
        <w:rPr>
          <w:szCs w:val="22"/>
          <w:lang w:eastAsia="en-US"/>
        </w:rPr>
        <w:t>% ir 56</w:t>
      </w:r>
      <w:r w:rsidR="005C4DF8">
        <w:rPr>
          <w:szCs w:val="22"/>
          <w:lang w:eastAsia="en-US"/>
        </w:rPr>
        <w:t> </w:t>
      </w:r>
      <w:r w:rsidR="004F3990" w:rsidRPr="004F3990">
        <w:rPr>
          <w:szCs w:val="22"/>
          <w:lang w:eastAsia="en-US"/>
        </w:rPr>
        <w:t>%, GS-US-174-0103 tyrime 69</w:t>
      </w:r>
      <w:r w:rsidR="005C4DF8">
        <w:rPr>
          <w:szCs w:val="22"/>
          <w:lang w:eastAsia="en-US"/>
        </w:rPr>
        <w:t> </w:t>
      </w:r>
      <w:r w:rsidR="004F3990" w:rsidRPr="004F3990">
        <w:rPr>
          <w:szCs w:val="22"/>
          <w:lang w:eastAsia="en-US"/>
        </w:rPr>
        <w:t>% ir 9</w:t>
      </w:r>
      <w:r w:rsidR="005C4DF8">
        <w:rPr>
          <w:szCs w:val="22"/>
          <w:lang w:eastAsia="en-US"/>
        </w:rPr>
        <w:t> </w:t>
      </w:r>
      <w:r w:rsidR="004F3990" w:rsidRPr="004F3990">
        <w:rPr>
          <w:szCs w:val="22"/>
          <w:lang w:eastAsia="en-US"/>
        </w:rPr>
        <w:t>%).</w:t>
      </w:r>
    </w:p>
    <w:p w14:paraId="21018FF8" w14:textId="77777777" w:rsidR="004F3990" w:rsidRDefault="004F3990" w:rsidP="006D2D23">
      <w:pPr>
        <w:tabs>
          <w:tab w:val="left" w:pos="567"/>
        </w:tabs>
        <w:rPr>
          <w:szCs w:val="22"/>
          <w:lang w:eastAsia="en-US"/>
        </w:rPr>
      </w:pPr>
    </w:p>
    <w:p w14:paraId="53FCDF7B" w14:textId="6A87DFF9" w:rsidR="004F3990" w:rsidRPr="004F3990" w:rsidRDefault="004F3990" w:rsidP="004F3990">
      <w:pPr>
        <w:tabs>
          <w:tab w:val="left" w:pos="567"/>
        </w:tabs>
        <w:rPr>
          <w:szCs w:val="22"/>
          <w:lang w:eastAsia="en-US"/>
        </w:rPr>
      </w:pPr>
      <w:r>
        <w:rPr>
          <w:szCs w:val="22"/>
          <w:lang w:eastAsia="en-US"/>
        </w:rPr>
        <w:t>Apibendrintais</w:t>
      </w:r>
      <w:r w:rsidRPr="004F3990">
        <w:rPr>
          <w:szCs w:val="22"/>
          <w:lang w:eastAsia="en-US"/>
        </w:rPr>
        <w:t xml:space="preserve"> GS-US-174-0102 ir GS-US-174-0103 tyrim</w:t>
      </w:r>
      <w:r>
        <w:rPr>
          <w:szCs w:val="22"/>
          <w:lang w:eastAsia="en-US"/>
        </w:rPr>
        <w:t>ų duomenimis</w:t>
      </w:r>
      <w:r w:rsidRPr="004F3990">
        <w:rPr>
          <w:szCs w:val="22"/>
          <w:lang w:eastAsia="en-US"/>
        </w:rPr>
        <w:t>, nukleozidiniais vaist</w:t>
      </w:r>
      <w:r>
        <w:rPr>
          <w:szCs w:val="22"/>
          <w:lang w:eastAsia="en-US"/>
        </w:rPr>
        <w:t>iniais preparatais</w:t>
      </w:r>
      <w:r w:rsidRPr="004F3990">
        <w:rPr>
          <w:szCs w:val="22"/>
          <w:lang w:eastAsia="en-US"/>
        </w:rPr>
        <w:t xml:space="preserve"> gydytų (n = 51) ir negydytų (n = 375) pacientų bei prieš pradedant tyrimą normalų ALT </w:t>
      </w:r>
      <w:r>
        <w:rPr>
          <w:szCs w:val="22"/>
          <w:lang w:eastAsia="en-US"/>
        </w:rPr>
        <w:t>aktyvumą</w:t>
      </w:r>
      <w:r w:rsidRPr="004F3990">
        <w:rPr>
          <w:szCs w:val="22"/>
          <w:lang w:eastAsia="en-US"/>
        </w:rPr>
        <w:t xml:space="preserve"> (n = 21) ir nenormalų ALT </w:t>
      </w:r>
      <w:r>
        <w:rPr>
          <w:szCs w:val="22"/>
          <w:lang w:eastAsia="en-US"/>
        </w:rPr>
        <w:t>aktyvumą</w:t>
      </w:r>
      <w:r w:rsidRPr="004F3990">
        <w:rPr>
          <w:szCs w:val="22"/>
          <w:lang w:eastAsia="en-US"/>
        </w:rPr>
        <w:t xml:space="preserve"> turinčių pacientų (n = 405) atsakas į gydymą </w:t>
      </w:r>
      <w:r w:rsidR="008A4C9B">
        <w:rPr>
          <w:szCs w:val="22"/>
          <w:lang w:eastAsia="en-US"/>
        </w:rPr>
        <w:t xml:space="preserve">tenofoviru </w:t>
      </w:r>
      <w:r w:rsidR="00653D08">
        <w:rPr>
          <w:szCs w:val="22"/>
          <w:lang w:eastAsia="en-US"/>
        </w:rPr>
        <w:t>dizoproksili</w:t>
      </w:r>
      <w:r w:rsidR="00555484">
        <w:rPr>
          <w:szCs w:val="22"/>
          <w:lang w:eastAsia="en-US"/>
        </w:rPr>
        <w:t>u</w:t>
      </w:r>
      <w:r w:rsidR="00653D08">
        <w:rPr>
          <w:szCs w:val="22"/>
          <w:lang w:eastAsia="en-US"/>
        </w:rPr>
        <w:t xml:space="preserve"> </w:t>
      </w:r>
      <w:r w:rsidRPr="004F3990">
        <w:rPr>
          <w:szCs w:val="22"/>
          <w:lang w:eastAsia="en-US"/>
        </w:rPr>
        <w:t>buvo panašus. Keturiasdešimt devyni iš 51 nukleozidiniais vaist</w:t>
      </w:r>
      <w:r>
        <w:rPr>
          <w:szCs w:val="22"/>
          <w:lang w:eastAsia="en-US"/>
        </w:rPr>
        <w:t>iniais preparatais</w:t>
      </w:r>
      <w:r w:rsidRPr="004F3990">
        <w:rPr>
          <w:szCs w:val="22"/>
          <w:lang w:eastAsia="en-US"/>
        </w:rPr>
        <w:t xml:space="preserve"> gydyti pacientai anksčiau buvo gydyti lamivudinu. Visišką atsaką į gydymą pasiekė septyniasdešimt trys procentai nukleozidiniais vaist</w:t>
      </w:r>
      <w:r>
        <w:rPr>
          <w:szCs w:val="22"/>
          <w:lang w:eastAsia="en-US"/>
        </w:rPr>
        <w:t>iniais preparatais</w:t>
      </w:r>
      <w:r w:rsidRPr="004F3990">
        <w:rPr>
          <w:szCs w:val="22"/>
          <w:lang w:eastAsia="en-US"/>
        </w:rPr>
        <w:t xml:space="preserve"> gydytų ir 69</w:t>
      </w:r>
      <w:r w:rsidR="00555484">
        <w:rPr>
          <w:szCs w:val="22"/>
          <w:lang w:eastAsia="en-US"/>
        </w:rPr>
        <w:t> </w:t>
      </w:r>
      <w:r w:rsidRPr="004F3990">
        <w:rPr>
          <w:szCs w:val="22"/>
          <w:lang w:eastAsia="en-US"/>
        </w:rPr>
        <w:t>% jais negydytų pacientų, o 90</w:t>
      </w:r>
      <w:r w:rsidR="00555484">
        <w:rPr>
          <w:szCs w:val="22"/>
          <w:lang w:eastAsia="en-US"/>
        </w:rPr>
        <w:t> </w:t>
      </w:r>
      <w:r w:rsidRPr="004F3990">
        <w:rPr>
          <w:szCs w:val="22"/>
          <w:lang w:eastAsia="en-US"/>
        </w:rPr>
        <w:t>% nukleozidiniais vaistiniais preparatais gydytų pacientų ir 88</w:t>
      </w:r>
      <w:r w:rsidR="00555484">
        <w:rPr>
          <w:szCs w:val="22"/>
          <w:lang w:eastAsia="en-US"/>
        </w:rPr>
        <w:t> </w:t>
      </w:r>
      <w:r w:rsidRPr="004F3990">
        <w:rPr>
          <w:szCs w:val="22"/>
          <w:lang w:eastAsia="en-US"/>
        </w:rPr>
        <w:t>% nukleozidiniais vaistiniais preparatais negydytų pacientų HBV DNR sumažėjo iki &lt;</w:t>
      </w:r>
      <w:r w:rsidR="00555484">
        <w:rPr>
          <w:szCs w:val="22"/>
          <w:lang w:eastAsia="en-US"/>
        </w:rPr>
        <w:t> </w:t>
      </w:r>
      <w:r w:rsidRPr="004F3990">
        <w:rPr>
          <w:szCs w:val="22"/>
          <w:lang w:eastAsia="en-US"/>
        </w:rPr>
        <w:t>400</w:t>
      </w:r>
      <w:r w:rsidR="00555484">
        <w:rPr>
          <w:szCs w:val="22"/>
          <w:lang w:eastAsia="en-US"/>
        </w:rPr>
        <w:t> </w:t>
      </w:r>
      <w:r w:rsidRPr="004F3990">
        <w:rPr>
          <w:szCs w:val="22"/>
          <w:lang w:eastAsia="en-US"/>
        </w:rPr>
        <w:t xml:space="preserve">kopijų/ml. Visiems normalų pradinį ALT </w:t>
      </w:r>
      <w:r w:rsidR="00C83DF1">
        <w:rPr>
          <w:szCs w:val="22"/>
          <w:lang w:eastAsia="en-US"/>
        </w:rPr>
        <w:t>aktyvumą</w:t>
      </w:r>
      <w:r w:rsidRPr="004F3990">
        <w:rPr>
          <w:szCs w:val="22"/>
          <w:lang w:eastAsia="en-US"/>
        </w:rPr>
        <w:t xml:space="preserve"> turėjusiems pacientams ir 88</w:t>
      </w:r>
      <w:r w:rsidR="00555484">
        <w:rPr>
          <w:szCs w:val="22"/>
          <w:lang w:eastAsia="en-US"/>
        </w:rPr>
        <w:t> </w:t>
      </w:r>
      <w:r w:rsidRPr="004F3990">
        <w:rPr>
          <w:szCs w:val="22"/>
          <w:lang w:eastAsia="en-US"/>
        </w:rPr>
        <w:t xml:space="preserve">% nenormalų pradinį ALT </w:t>
      </w:r>
      <w:r w:rsidR="00C83DF1">
        <w:rPr>
          <w:szCs w:val="22"/>
          <w:lang w:eastAsia="en-US"/>
        </w:rPr>
        <w:t>aktyvumą</w:t>
      </w:r>
      <w:r w:rsidRPr="004F3990">
        <w:rPr>
          <w:szCs w:val="22"/>
          <w:lang w:eastAsia="en-US"/>
        </w:rPr>
        <w:t xml:space="preserve"> turėjusiems pacientams HBV DNR sumažėjo iki &lt;</w:t>
      </w:r>
      <w:r w:rsidR="00555484">
        <w:rPr>
          <w:szCs w:val="22"/>
          <w:lang w:eastAsia="en-US"/>
        </w:rPr>
        <w:t> </w:t>
      </w:r>
      <w:r w:rsidRPr="004F3990">
        <w:rPr>
          <w:szCs w:val="22"/>
          <w:lang w:eastAsia="en-US"/>
        </w:rPr>
        <w:t>400</w:t>
      </w:r>
      <w:r w:rsidR="00555484">
        <w:rPr>
          <w:szCs w:val="22"/>
          <w:lang w:eastAsia="en-US"/>
        </w:rPr>
        <w:t> </w:t>
      </w:r>
      <w:r w:rsidRPr="004F3990">
        <w:rPr>
          <w:szCs w:val="22"/>
          <w:lang w:eastAsia="en-US"/>
        </w:rPr>
        <w:t>kopijų/ml).</w:t>
      </w:r>
    </w:p>
    <w:p w14:paraId="271648FA" w14:textId="77777777" w:rsidR="00C83DF1" w:rsidRDefault="00C83DF1" w:rsidP="004F3990">
      <w:pPr>
        <w:tabs>
          <w:tab w:val="left" w:pos="567"/>
        </w:tabs>
        <w:rPr>
          <w:szCs w:val="22"/>
          <w:lang w:eastAsia="en-US"/>
        </w:rPr>
      </w:pPr>
    </w:p>
    <w:p w14:paraId="1CFA69C0" w14:textId="77777777" w:rsidR="004F3990" w:rsidRPr="00C83DF1" w:rsidRDefault="004F3990" w:rsidP="004F3990">
      <w:pPr>
        <w:tabs>
          <w:tab w:val="left" w:pos="567"/>
        </w:tabs>
        <w:rPr>
          <w:i/>
          <w:szCs w:val="22"/>
          <w:lang w:eastAsia="en-US"/>
        </w:rPr>
      </w:pPr>
      <w:r w:rsidRPr="00C83DF1">
        <w:rPr>
          <w:i/>
          <w:szCs w:val="22"/>
          <w:lang w:eastAsia="en-US"/>
        </w:rPr>
        <w:t>Patirtis virš 48 savaičių GS-US-174-0102 ir GS-US-174-0103 tyrim</w:t>
      </w:r>
      <w:r w:rsidR="00C83DF1">
        <w:rPr>
          <w:i/>
          <w:szCs w:val="22"/>
          <w:lang w:eastAsia="en-US"/>
        </w:rPr>
        <w:t>uose</w:t>
      </w:r>
    </w:p>
    <w:p w14:paraId="4DB7B6CD" w14:textId="1DA14F28" w:rsidR="004F3990" w:rsidRPr="004F3990" w:rsidRDefault="004F3990" w:rsidP="004F3990">
      <w:pPr>
        <w:tabs>
          <w:tab w:val="left" w:pos="567"/>
        </w:tabs>
        <w:rPr>
          <w:szCs w:val="22"/>
          <w:lang w:eastAsia="en-US"/>
        </w:rPr>
      </w:pPr>
      <w:r w:rsidRPr="004F3990">
        <w:rPr>
          <w:szCs w:val="22"/>
          <w:lang w:eastAsia="en-US"/>
        </w:rPr>
        <w:t>GS-US-174-0102 ir GS-US-174-0103 tyrimuose po dvigubai koduoto 48 savaičių gydymo (245</w:t>
      </w:r>
      <w:r w:rsidR="00555484">
        <w:rPr>
          <w:szCs w:val="22"/>
          <w:lang w:eastAsia="en-US"/>
        </w:rPr>
        <w:t> </w:t>
      </w:r>
      <w:r w:rsidRPr="004F3990">
        <w:rPr>
          <w:szCs w:val="22"/>
          <w:lang w:eastAsia="en-US"/>
        </w:rPr>
        <w:t xml:space="preserve">mg </w:t>
      </w:r>
      <w:r w:rsidR="008A4C9B" w:rsidRPr="004F3990">
        <w:rPr>
          <w:szCs w:val="22"/>
          <w:lang w:eastAsia="en-US"/>
        </w:rPr>
        <w:t>tenofovir</w:t>
      </w:r>
      <w:r w:rsidR="008A4C9B">
        <w:rPr>
          <w:szCs w:val="22"/>
          <w:lang w:eastAsia="en-US"/>
        </w:rPr>
        <w:t>u</w:t>
      </w:r>
      <w:r w:rsidR="008A4C9B" w:rsidRPr="004F3990">
        <w:rPr>
          <w:szCs w:val="22"/>
          <w:lang w:eastAsia="en-US"/>
        </w:rPr>
        <w:t xml:space="preserve"> </w:t>
      </w:r>
      <w:r w:rsidRPr="004F3990">
        <w:rPr>
          <w:szCs w:val="22"/>
          <w:lang w:eastAsia="en-US"/>
        </w:rPr>
        <w:t>dizoproksili</w:t>
      </w:r>
      <w:r w:rsidR="00C0675B">
        <w:rPr>
          <w:szCs w:val="22"/>
          <w:lang w:eastAsia="en-US"/>
        </w:rPr>
        <w:t>u</w:t>
      </w:r>
      <w:r w:rsidRPr="004F3990">
        <w:rPr>
          <w:szCs w:val="22"/>
          <w:lang w:eastAsia="en-US"/>
        </w:rPr>
        <w:t xml:space="preserve"> arba 10</w:t>
      </w:r>
      <w:r w:rsidR="00555484">
        <w:rPr>
          <w:szCs w:val="22"/>
          <w:lang w:eastAsia="en-US"/>
        </w:rPr>
        <w:t> </w:t>
      </w:r>
      <w:r w:rsidRPr="004F3990">
        <w:rPr>
          <w:szCs w:val="22"/>
          <w:lang w:eastAsia="en-US"/>
        </w:rPr>
        <w:t xml:space="preserve">mg </w:t>
      </w:r>
      <w:r w:rsidR="008A4C9B" w:rsidRPr="004F3990">
        <w:rPr>
          <w:szCs w:val="22"/>
          <w:lang w:eastAsia="en-US"/>
        </w:rPr>
        <w:t>adefovir</w:t>
      </w:r>
      <w:r w:rsidR="008A4C9B">
        <w:rPr>
          <w:szCs w:val="22"/>
          <w:lang w:eastAsia="en-US"/>
        </w:rPr>
        <w:t>u</w:t>
      </w:r>
      <w:r w:rsidR="008A4C9B" w:rsidRPr="004F3990">
        <w:rPr>
          <w:szCs w:val="22"/>
          <w:lang w:eastAsia="en-US"/>
        </w:rPr>
        <w:t xml:space="preserve"> dipivoksili</w:t>
      </w:r>
      <w:r w:rsidR="008A4C9B">
        <w:rPr>
          <w:szCs w:val="22"/>
          <w:lang w:eastAsia="en-US"/>
        </w:rPr>
        <w:t>u</w:t>
      </w:r>
      <w:r w:rsidRPr="004F3990">
        <w:rPr>
          <w:szCs w:val="22"/>
          <w:lang w:eastAsia="en-US"/>
        </w:rPr>
        <w:t>), pacientai be pertraukos perėjo prie atviro</w:t>
      </w:r>
      <w:r w:rsidR="001826C2">
        <w:rPr>
          <w:szCs w:val="22"/>
          <w:lang w:eastAsia="en-US"/>
        </w:rPr>
        <w:t xml:space="preserve"> gydymo </w:t>
      </w:r>
      <w:r w:rsidR="008A4C9B">
        <w:rPr>
          <w:szCs w:val="22"/>
          <w:lang w:eastAsia="en-US"/>
        </w:rPr>
        <w:t xml:space="preserve">tenofoviru </w:t>
      </w:r>
      <w:r w:rsidR="001826C2">
        <w:rPr>
          <w:szCs w:val="22"/>
          <w:lang w:eastAsia="en-US"/>
        </w:rPr>
        <w:t>dizoproksiliu</w:t>
      </w:r>
      <w:r w:rsidRPr="004F3990">
        <w:rPr>
          <w:szCs w:val="22"/>
          <w:lang w:eastAsia="en-US"/>
        </w:rPr>
        <w:t>. GS-US-174-0102 ir GS-US-174-0103 tyrimuose atitinkamai 77</w:t>
      </w:r>
      <w:r w:rsidR="00555484">
        <w:rPr>
          <w:szCs w:val="22"/>
          <w:lang w:eastAsia="en-US"/>
        </w:rPr>
        <w:t> </w:t>
      </w:r>
      <w:r w:rsidRPr="004F3990">
        <w:rPr>
          <w:szCs w:val="22"/>
          <w:lang w:eastAsia="en-US"/>
        </w:rPr>
        <w:t>% ir 61</w:t>
      </w:r>
      <w:r w:rsidR="00555484">
        <w:rPr>
          <w:szCs w:val="22"/>
          <w:lang w:eastAsia="en-US"/>
        </w:rPr>
        <w:t> </w:t>
      </w:r>
      <w:r w:rsidRPr="004F3990">
        <w:rPr>
          <w:szCs w:val="22"/>
          <w:lang w:eastAsia="en-US"/>
        </w:rPr>
        <w:t xml:space="preserve">% pacientų toliau dalyvavo tyrime iki 384-osios savaitės. 96-ąją, 144-ąją, 192-ąją, 240-ąją, 288-ąją ir 384-ąją savaitę virusų sumažėjimas, biocheminis ir serologinis atsakas buvo palaikomi tęsiant gydymą </w:t>
      </w:r>
      <w:r w:rsidR="008A4C9B">
        <w:rPr>
          <w:szCs w:val="22"/>
          <w:lang w:eastAsia="en-US"/>
        </w:rPr>
        <w:t xml:space="preserve">tenofoviru </w:t>
      </w:r>
      <w:r w:rsidR="00653D08">
        <w:rPr>
          <w:szCs w:val="22"/>
          <w:lang w:eastAsia="en-US"/>
        </w:rPr>
        <w:t>dizoproksili</w:t>
      </w:r>
      <w:r w:rsidR="00C0675B">
        <w:rPr>
          <w:szCs w:val="22"/>
          <w:lang w:eastAsia="en-US"/>
        </w:rPr>
        <w:t>u</w:t>
      </w:r>
      <w:r w:rsidR="00653D08">
        <w:rPr>
          <w:szCs w:val="22"/>
          <w:lang w:eastAsia="en-US"/>
        </w:rPr>
        <w:t xml:space="preserve"> </w:t>
      </w:r>
      <w:r w:rsidRPr="004F3990">
        <w:rPr>
          <w:szCs w:val="22"/>
          <w:lang w:eastAsia="en-US"/>
        </w:rPr>
        <w:t>(žr. žemiau 4 ir 5 lentelę).</w:t>
      </w:r>
    </w:p>
    <w:p w14:paraId="1BECBE53" w14:textId="77777777" w:rsidR="00C83DF1" w:rsidRDefault="00C83DF1" w:rsidP="004F3990">
      <w:pPr>
        <w:tabs>
          <w:tab w:val="left" w:pos="567"/>
        </w:tabs>
        <w:rPr>
          <w:szCs w:val="22"/>
          <w:lang w:eastAsia="en-US"/>
        </w:rPr>
      </w:pPr>
    </w:p>
    <w:p w14:paraId="644E468C" w14:textId="77777777" w:rsidR="004F3990" w:rsidRPr="00C83DF1" w:rsidRDefault="00C83DF1" w:rsidP="00C83DF1">
      <w:pPr>
        <w:tabs>
          <w:tab w:val="left" w:pos="567"/>
        </w:tabs>
        <w:rPr>
          <w:b/>
          <w:szCs w:val="22"/>
          <w:lang w:eastAsia="en-US"/>
        </w:rPr>
      </w:pPr>
      <w:r w:rsidRPr="00C83DF1">
        <w:rPr>
          <w:b/>
          <w:szCs w:val="22"/>
          <w:lang w:eastAsia="en-US"/>
        </w:rPr>
        <w:t>4 lentelė. Veiksmingumo parametrai kompensuotiems HBeAg neigiamiems pacientams 96-ąją, 144-ąją, 192-ąją, 240-ąją, 288-ąją ir 384-ąją atviro gydymo savaitę</w:t>
      </w:r>
    </w:p>
    <w:p w14:paraId="29F5653E" w14:textId="77777777" w:rsidR="004F3990" w:rsidRPr="00C83DF1" w:rsidRDefault="004F3990" w:rsidP="006D2D23">
      <w:pPr>
        <w:tabs>
          <w:tab w:val="left" w:pos="567"/>
        </w:tabs>
        <w:rPr>
          <w:b/>
          <w:szCs w:val="22"/>
          <w:lang w:eastAsia="en-US"/>
        </w:rPr>
      </w:pPr>
    </w:p>
    <w:tbl>
      <w:tblPr>
        <w:tblW w:w="5000" w:type="pct"/>
        <w:tblCellMar>
          <w:left w:w="0" w:type="dxa"/>
          <w:right w:w="0" w:type="dxa"/>
        </w:tblCellMar>
        <w:tblLook w:val="01E0" w:firstRow="1" w:lastRow="1" w:firstColumn="1" w:lastColumn="1" w:noHBand="0" w:noVBand="0"/>
      </w:tblPr>
      <w:tblGrid>
        <w:gridCol w:w="1499"/>
        <w:gridCol w:w="638"/>
        <w:gridCol w:w="638"/>
        <w:gridCol w:w="638"/>
        <w:gridCol w:w="638"/>
        <w:gridCol w:w="638"/>
        <w:gridCol w:w="694"/>
        <w:gridCol w:w="547"/>
        <w:gridCol w:w="551"/>
        <w:gridCol w:w="689"/>
        <w:gridCol w:w="549"/>
        <w:gridCol w:w="689"/>
        <w:gridCol w:w="652"/>
      </w:tblGrid>
      <w:tr w:rsidR="00C83DF1" w:rsidRPr="00C83DF1" w14:paraId="1208CE93" w14:textId="77777777" w:rsidTr="00A47C6D">
        <w:tc>
          <w:tcPr>
            <w:tcW w:w="82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39C314" w14:textId="77777777" w:rsidR="00C83DF1" w:rsidRPr="00CA49A8" w:rsidRDefault="00C83DF1" w:rsidP="00C83DF1">
            <w:pPr>
              <w:jc w:val="center"/>
            </w:pPr>
          </w:p>
        </w:tc>
        <w:tc>
          <w:tcPr>
            <w:tcW w:w="4172" w:type="pct"/>
            <w:gridSpan w:val="1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0FDC204" w14:textId="53D1EB74" w:rsidR="00C83DF1" w:rsidRPr="00C83DF1" w:rsidRDefault="00C83DF1" w:rsidP="007554D4">
            <w:pPr>
              <w:jc w:val="center"/>
              <w:rPr>
                <w:szCs w:val="22"/>
                <w:lang w:val="en-US" w:eastAsia="en-US"/>
              </w:rPr>
            </w:pPr>
            <w:r w:rsidRPr="00C83DF1">
              <w:rPr>
                <w:b/>
                <w:bCs/>
                <w:szCs w:val="22"/>
                <w:lang w:val="en-US" w:eastAsia="en-US"/>
              </w:rPr>
              <w:t>174-0102</w:t>
            </w:r>
            <w:r w:rsidR="00F2269D">
              <w:rPr>
                <w:b/>
                <w:bCs/>
                <w:szCs w:val="22"/>
                <w:lang w:val="en-US" w:eastAsia="en-US"/>
              </w:rPr>
              <w:t xml:space="preserve"> tyrimas </w:t>
            </w:r>
            <w:r w:rsidRPr="00C83DF1">
              <w:rPr>
                <w:b/>
                <w:bCs/>
                <w:szCs w:val="22"/>
                <w:lang w:val="en-US" w:eastAsia="en-US"/>
              </w:rPr>
              <w:t xml:space="preserve"> (HBeAg </w:t>
            </w:r>
            <w:r w:rsidR="007554D4">
              <w:rPr>
                <w:b/>
                <w:bCs/>
                <w:szCs w:val="22"/>
                <w:lang w:val="en-US" w:eastAsia="en-US"/>
              </w:rPr>
              <w:t>neigiami</w:t>
            </w:r>
            <w:r w:rsidRPr="00C83DF1">
              <w:rPr>
                <w:b/>
                <w:bCs/>
                <w:szCs w:val="22"/>
                <w:lang w:val="en-US" w:eastAsia="en-US"/>
              </w:rPr>
              <w:t>)</w:t>
            </w:r>
          </w:p>
        </w:tc>
      </w:tr>
      <w:tr w:rsidR="00C83DF1" w:rsidRPr="00C83DF1" w14:paraId="2A612896" w14:textId="77777777" w:rsidTr="00C83DF1">
        <w:tc>
          <w:tcPr>
            <w:tcW w:w="828" w:type="pct"/>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6E99CF0" w14:textId="77777777" w:rsidR="00C83DF1" w:rsidRPr="00C83DF1" w:rsidRDefault="00C83DF1" w:rsidP="00C83DF1">
            <w:pPr>
              <w:rPr>
                <w:szCs w:val="22"/>
                <w:lang w:val="en-US" w:eastAsia="en-US"/>
              </w:rPr>
            </w:pPr>
            <w:r w:rsidRPr="00C83DF1">
              <w:rPr>
                <w:szCs w:val="22"/>
                <w:lang w:val="en-US" w:eastAsia="en-US"/>
              </w:rPr>
              <w:t>Paramet</w:t>
            </w:r>
            <w:r>
              <w:rPr>
                <w:szCs w:val="22"/>
                <w:lang w:val="en-US" w:eastAsia="en-US"/>
              </w:rPr>
              <w:t>ras</w:t>
            </w:r>
            <w:r w:rsidRPr="00C83DF1">
              <w:rPr>
                <w:szCs w:val="22"/>
                <w:vertAlign w:val="superscript"/>
                <w:lang w:val="en-US" w:eastAsia="en-US"/>
              </w:rPr>
              <w:t>a</w:t>
            </w:r>
          </w:p>
        </w:tc>
        <w:tc>
          <w:tcPr>
            <w:tcW w:w="2142" w:type="pct"/>
            <w:gridSpan w:val="6"/>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B36A496" w14:textId="77777777" w:rsidR="00C83DF1" w:rsidRPr="00C83DF1" w:rsidRDefault="00C83DF1" w:rsidP="00C406A1">
            <w:pPr>
              <w:jc w:val="center"/>
              <w:rPr>
                <w:szCs w:val="22"/>
                <w:lang w:val="en-US" w:eastAsia="en-US"/>
              </w:rPr>
            </w:pPr>
            <w:r w:rsidRPr="00C83DF1">
              <w:rPr>
                <w:szCs w:val="22"/>
                <w:lang w:val="fr-FR" w:eastAsia="en-US"/>
              </w:rPr>
              <w:t>245</w:t>
            </w:r>
            <w:r w:rsidR="00555484">
              <w:rPr>
                <w:szCs w:val="22"/>
                <w:lang w:val="fr-FR" w:eastAsia="en-US"/>
              </w:rPr>
              <w:t> </w:t>
            </w:r>
            <w:r w:rsidRPr="00C83DF1">
              <w:rPr>
                <w:szCs w:val="22"/>
                <w:lang w:val="fr-FR" w:eastAsia="en-US"/>
              </w:rPr>
              <w:t>mg tenofoviro dizoproksilio n = 250</w:t>
            </w:r>
          </w:p>
        </w:tc>
        <w:tc>
          <w:tcPr>
            <w:tcW w:w="2029" w:type="pct"/>
            <w:gridSpan w:val="6"/>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A550301" w14:textId="05A4F3BA" w:rsidR="00C83DF1" w:rsidRPr="00C83DF1" w:rsidRDefault="00C83DF1" w:rsidP="008A4C9B">
            <w:pPr>
              <w:jc w:val="center"/>
              <w:rPr>
                <w:szCs w:val="22"/>
                <w:lang w:val="en-US" w:eastAsia="en-US"/>
              </w:rPr>
            </w:pPr>
            <w:r w:rsidRPr="00EF4C22">
              <w:rPr>
                <w:szCs w:val="22"/>
                <w:lang w:val="pt-BR" w:eastAsia="en-US"/>
              </w:rPr>
              <w:t>10</w:t>
            </w:r>
            <w:r w:rsidR="00555484">
              <w:rPr>
                <w:szCs w:val="22"/>
                <w:lang w:val="pt-BR" w:eastAsia="en-US"/>
              </w:rPr>
              <w:t> </w:t>
            </w:r>
            <w:r w:rsidRPr="00EF4C22">
              <w:rPr>
                <w:szCs w:val="22"/>
                <w:lang w:val="pt-BR" w:eastAsia="en-US"/>
              </w:rPr>
              <w:t>mg adefoviro dipivoksilio pakeista 245</w:t>
            </w:r>
            <w:r w:rsidR="00555484">
              <w:rPr>
                <w:szCs w:val="22"/>
                <w:lang w:val="pt-BR" w:eastAsia="en-US"/>
              </w:rPr>
              <w:t> </w:t>
            </w:r>
            <w:r w:rsidRPr="00EF4C22">
              <w:rPr>
                <w:szCs w:val="22"/>
                <w:lang w:val="pt-BR" w:eastAsia="en-US"/>
              </w:rPr>
              <w:t xml:space="preserve">mg tenofoviro </w:t>
            </w:r>
            <w:r w:rsidR="008A4C9B" w:rsidRPr="00EF4C22">
              <w:rPr>
                <w:szCs w:val="22"/>
                <w:lang w:val="pt-BR" w:eastAsia="en-US"/>
              </w:rPr>
              <w:t>dizoproksili</w:t>
            </w:r>
            <w:r w:rsidR="008A4C9B">
              <w:rPr>
                <w:szCs w:val="22"/>
                <w:lang w:val="pt-BR" w:eastAsia="en-US"/>
              </w:rPr>
              <w:t>o,</w:t>
            </w:r>
            <w:r w:rsidR="008A4C9B" w:rsidRPr="00EF4C22">
              <w:rPr>
                <w:szCs w:val="22"/>
                <w:lang w:val="pt-BR" w:eastAsia="en-US"/>
              </w:rPr>
              <w:t xml:space="preserve"> </w:t>
            </w:r>
            <w:r w:rsidRPr="00C83DF1">
              <w:rPr>
                <w:szCs w:val="22"/>
                <w:lang w:val="en-US" w:eastAsia="en-US"/>
              </w:rPr>
              <w:t>n = 125</w:t>
            </w:r>
          </w:p>
        </w:tc>
      </w:tr>
      <w:tr w:rsidR="00C83DF1" w:rsidRPr="00C83DF1" w14:paraId="2E21BEEE" w14:textId="77777777" w:rsidTr="00C83DF1">
        <w:tc>
          <w:tcPr>
            <w:tcW w:w="828"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C5ED9A2" w14:textId="77777777" w:rsidR="00C83DF1" w:rsidRPr="00C83DF1" w:rsidRDefault="00C83DF1" w:rsidP="00C83DF1">
            <w:pPr>
              <w:rPr>
                <w:szCs w:val="22"/>
                <w:lang w:val="en-US" w:eastAsia="en-US"/>
              </w:rPr>
            </w:pPr>
            <w:r>
              <w:rPr>
                <w:b/>
                <w:bCs/>
                <w:szCs w:val="22"/>
                <w:lang w:val="en-US" w:eastAsia="en-US"/>
              </w:rPr>
              <w:t>Savaitė</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DCFFF36" w14:textId="77777777" w:rsidR="00C83DF1" w:rsidRPr="00C83DF1" w:rsidRDefault="00C83DF1" w:rsidP="00C83DF1">
            <w:pPr>
              <w:jc w:val="center"/>
              <w:rPr>
                <w:szCs w:val="22"/>
                <w:lang w:val="en-US" w:eastAsia="en-US"/>
              </w:rPr>
            </w:pPr>
            <w:r w:rsidRPr="00C83DF1">
              <w:rPr>
                <w:szCs w:val="22"/>
                <w:lang w:val="en-US" w:eastAsia="en-US"/>
              </w:rPr>
              <w:t>96</w:t>
            </w:r>
            <w:r w:rsidRPr="00C83DF1">
              <w:rPr>
                <w:szCs w:val="22"/>
                <w:vertAlign w:val="superscript"/>
                <w:lang w:val="en-US" w:eastAsia="en-US"/>
              </w:rPr>
              <w:t>b</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F7E68B2" w14:textId="77777777" w:rsidR="00C83DF1" w:rsidRPr="00C83DF1" w:rsidRDefault="00C83DF1" w:rsidP="00C83DF1">
            <w:pPr>
              <w:jc w:val="center"/>
              <w:rPr>
                <w:szCs w:val="22"/>
                <w:lang w:val="en-US" w:eastAsia="en-US"/>
              </w:rPr>
            </w:pPr>
            <w:r w:rsidRPr="00C83DF1">
              <w:rPr>
                <w:szCs w:val="22"/>
                <w:lang w:val="en-US" w:eastAsia="en-US"/>
              </w:rPr>
              <w:t>144</w:t>
            </w:r>
            <w:r w:rsidRPr="00C83DF1">
              <w:rPr>
                <w:szCs w:val="22"/>
                <w:vertAlign w:val="superscript"/>
                <w:lang w:val="en-US" w:eastAsia="en-US"/>
              </w:rPr>
              <w:t>e</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F8369B4" w14:textId="77777777" w:rsidR="00C83DF1" w:rsidRPr="00C83DF1" w:rsidRDefault="00C83DF1" w:rsidP="00C83DF1">
            <w:pPr>
              <w:jc w:val="center"/>
              <w:rPr>
                <w:szCs w:val="22"/>
                <w:lang w:val="en-US" w:eastAsia="en-US"/>
              </w:rPr>
            </w:pPr>
            <w:r w:rsidRPr="00C83DF1">
              <w:rPr>
                <w:szCs w:val="22"/>
                <w:lang w:val="en-US" w:eastAsia="en-US"/>
              </w:rPr>
              <w:t>192</w:t>
            </w:r>
            <w:r w:rsidRPr="00C83DF1">
              <w:rPr>
                <w:szCs w:val="22"/>
                <w:vertAlign w:val="superscript"/>
                <w:lang w:val="en-US" w:eastAsia="en-US"/>
              </w:rPr>
              <w:t>g</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F7AEDBD" w14:textId="77777777" w:rsidR="00C83DF1" w:rsidRPr="00C83DF1" w:rsidRDefault="00C83DF1" w:rsidP="00C83DF1">
            <w:pPr>
              <w:jc w:val="center"/>
              <w:rPr>
                <w:szCs w:val="22"/>
                <w:lang w:val="en-US" w:eastAsia="en-US"/>
              </w:rPr>
            </w:pPr>
            <w:r w:rsidRPr="00C83DF1">
              <w:rPr>
                <w:szCs w:val="22"/>
                <w:lang w:val="en-US" w:eastAsia="en-US"/>
              </w:rPr>
              <w:t>240</w:t>
            </w:r>
            <w:r w:rsidRPr="00C83DF1">
              <w:rPr>
                <w:szCs w:val="22"/>
                <w:vertAlign w:val="superscript"/>
                <w:lang w:val="en-US" w:eastAsia="en-US"/>
              </w:rPr>
              <w:t>i</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9FF5337" w14:textId="77777777" w:rsidR="00C83DF1" w:rsidRPr="00C83DF1" w:rsidRDefault="00C83DF1" w:rsidP="00C83DF1">
            <w:pPr>
              <w:jc w:val="center"/>
              <w:rPr>
                <w:szCs w:val="22"/>
                <w:lang w:val="en-US" w:eastAsia="en-US"/>
              </w:rPr>
            </w:pPr>
            <w:r w:rsidRPr="00C83DF1">
              <w:rPr>
                <w:szCs w:val="22"/>
                <w:lang w:val="en-US" w:eastAsia="en-US"/>
              </w:rPr>
              <w:t>288</w:t>
            </w:r>
            <w:r w:rsidRPr="00C83DF1">
              <w:rPr>
                <w:szCs w:val="22"/>
                <w:vertAlign w:val="superscript"/>
                <w:lang w:val="en-US" w:eastAsia="en-US"/>
              </w:rPr>
              <w:t>l</w:t>
            </w:r>
          </w:p>
        </w:tc>
        <w:tc>
          <w:tcPr>
            <w:tcW w:w="383"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3281982" w14:textId="77777777" w:rsidR="00C83DF1" w:rsidRPr="00C83DF1" w:rsidRDefault="00C83DF1" w:rsidP="00C83DF1">
            <w:pPr>
              <w:jc w:val="center"/>
              <w:rPr>
                <w:szCs w:val="22"/>
                <w:lang w:val="en-US" w:eastAsia="en-US"/>
              </w:rPr>
            </w:pPr>
            <w:r w:rsidRPr="00C83DF1">
              <w:rPr>
                <w:szCs w:val="22"/>
                <w:lang w:val="en-US" w:eastAsia="en-US"/>
              </w:rPr>
              <w:t>384</w:t>
            </w:r>
            <w:r w:rsidRPr="00C83DF1">
              <w:rPr>
                <w:szCs w:val="22"/>
                <w:vertAlign w:val="superscript"/>
                <w:lang w:val="en-US" w:eastAsia="en-US"/>
              </w:rPr>
              <w:t>o</w:t>
            </w:r>
          </w:p>
        </w:tc>
        <w:tc>
          <w:tcPr>
            <w:tcW w:w="30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467505D" w14:textId="77777777" w:rsidR="00C83DF1" w:rsidRPr="00C83DF1" w:rsidRDefault="00C83DF1" w:rsidP="00C83DF1">
            <w:pPr>
              <w:jc w:val="center"/>
              <w:rPr>
                <w:szCs w:val="22"/>
                <w:lang w:val="en-US" w:eastAsia="en-US"/>
              </w:rPr>
            </w:pPr>
            <w:r w:rsidRPr="00C83DF1">
              <w:rPr>
                <w:szCs w:val="22"/>
                <w:lang w:val="en-US" w:eastAsia="en-US"/>
              </w:rPr>
              <w:t>96</w:t>
            </w:r>
            <w:r w:rsidRPr="00C83DF1">
              <w:rPr>
                <w:szCs w:val="22"/>
                <w:vertAlign w:val="superscript"/>
                <w:lang w:val="en-US" w:eastAsia="en-US"/>
              </w:rPr>
              <w:t>c</w:t>
            </w:r>
          </w:p>
        </w:tc>
        <w:tc>
          <w:tcPr>
            <w:tcW w:w="304"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A82EC36" w14:textId="77777777" w:rsidR="00C83DF1" w:rsidRPr="00C83DF1" w:rsidRDefault="00C83DF1" w:rsidP="00C83DF1">
            <w:pPr>
              <w:jc w:val="center"/>
              <w:rPr>
                <w:szCs w:val="22"/>
                <w:lang w:val="en-US" w:eastAsia="en-US"/>
              </w:rPr>
            </w:pPr>
            <w:r w:rsidRPr="00C83DF1">
              <w:rPr>
                <w:szCs w:val="22"/>
                <w:lang w:val="en-US" w:eastAsia="en-US"/>
              </w:rPr>
              <w:t>144</w:t>
            </w:r>
            <w:r w:rsidRPr="00C83DF1">
              <w:rPr>
                <w:szCs w:val="22"/>
                <w:vertAlign w:val="superscript"/>
                <w:lang w:val="en-US" w:eastAsia="en-US"/>
              </w:rPr>
              <w:t>f</w:t>
            </w:r>
          </w:p>
        </w:tc>
        <w:tc>
          <w:tcPr>
            <w:tcW w:w="38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BAC80BA" w14:textId="77777777" w:rsidR="00C83DF1" w:rsidRPr="00C83DF1" w:rsidRDefault="00C83DF1" w:rsidP="00C83DF1">
            <w:pPr>
              <w:jc w:val="center"/>
              <w:rPr>
                <w:szCs w:val="22"/>
                <w:lang w:val="en-US" w:eastAsia="en-US"/>
              </w:rPr>
            </w:pPr>
            <w:r w:rsidRPr="00C83DF1">
              <w:rPr>
                <w:szCs w:val="22"/>
                <w:lang w:val="en-US" w:eastAsia="en-US"/>
              </w:rPr>
              <w:t>192</w:t>
            </w:r>
            <w:r w:rsidRPr="00C83DF1">
              <w:rPr>
                <w:szCs w:val="22"/>
                <w:vertAlign w:val="superscript"/>
                <w:lang w:val="en-US" w:eastAsia="en-US"/>
              </w:rPr>
              <w:t>h</w:t>
            </w:r>
          </w:p>
        </w:tc>
        <w:tc>
          <w:tcPr>
            <w:tcW w:w="303"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3D32063" w14:textId="77777777" w:rsidR="00C83DF1" w:rsidRPr="00C83DF1" w:rsidRDefault="00C83DF1" w:rsidP="00C83DF1">
            <w:pPr>
              <w:jc w:val="center"/>
              <w:rPr>
                <w:szCs w:val="22"/>
                <w:lang w:val="en-US" w:eastAsia="en-US"/>
              </w:rPr>
            </w:pPr>
            <w:r w:rsidRPr="00C83DF1">
              <w:rPr>
                <w:szCs w:val="22"/>
                <w:lang w:val="en-US" w:eastAsia="en-US"/>
              </w:rPr>
              <w:t>240</w:t>
            </w:r>
            <w:r w:rsidRPr="00C83DF1">
              <w:rPr>
                <w:szCs w:val="22"/>
                <w:vertAlign w:val="superscript"/>
                <w:lang w:val="en-US" w:eastAsia="en-US"/>
              </w:rPr>
              <w:t>j</w:t>
            </w:r>
          </w:p>
        </w:tc>
        <w:tc>
          <w:tcPr>
            <w:tcW w:w="38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58E2E03" w14:textId="77777777" w:rsidR="00C83DF1" w:rsidRPr="00C83DF1" w:rsidRDefault="00C83DF1" w:rsidP="00C83DF1">
            <w:pPr>
              <w:jc w:val="center"/>
              <w:rPr>
                <w:szCs w:val="22"/>
                <w:lang w:val="en-US" w:eastAsia="en-US"/>
              </w:rPr>
            </w:pPr>
            <w:r w:rsidRPr="00C83DF1">
              <w:rPr>
                <w:szCs w:val="22"/>
                <w:lang w:val="en-US" w:eastAsia="en-US"/>
              </w:rPr>
              <w:t>288</w:t>
            </w:r>
            <w:r w:rsidRPr="00C83DF1">
              <w:rPr>
                <w:szCs w:val="22"/>
                <w:vertAlign w:val="superscript"/>
                <w:lang w:val="en-US" w:eastAsia="en-US"/>
              </w:rPr>
              <w:t>m</w:t>
            </w:r>
          </w:p>
        </w:tc>
        <w:tc>
          <w:tcPr>
            <w:tcW w:w="36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A87FDD5" w14:textId="77777777" w:rsidR="00C83DF1" w:rsidRPr="00C83DF1" w:rsidRDefault="00C83DF1" w:rsidP="00C83DF1">
            <w:pPr>
              <w:jc w:val="center"/>
              <w:rPr>
                <w:szCs w:val="22"/>
                <w:lang w:val="en-US" w:eastAsia="en-US"/>
              </w:rPr>
            </w:pPr>
            <w:r w:rsidRPr="00C83DF1">
              <w:rPr>
                <w:szCs w:val="22"/>
                <w:lang w:val="en-US" w:eastAsia="en-US"/>
              </w:rPr>
              <w:t>384</w:t>
            </w:r>
            <w:r w:rsidRPr="00C83DF1">
              <w:rPr>
                <w:szCs w:val="22"/>
                <w:vertAlign w:val="superscript"/>
                <w:lang w:val="en-US" w:eastAsia="en-US"/>
              </w:rPr>
              <w:t>p</w:t>
            </w:r>
          </w:p>
        </w:tc>
      </w:tr>
      <w:tr w:rsidR="00C83DF1" w:rsidRPr="00C83DF1" w14:paraId="4EAD70D0" w14:textId="77777777" w:rsidTr="00C83DF1">
        <w:tc>
          <w:tcPr>
            <w:tcW w:w="828"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FA66F2D" w14:textId="77777777" w:rsidR="00C83DF1" w:rsidRPr="00CA49A8" w:rsidRDefault="00C83DF1" w:rsidP="00C83DF1">
            <w:pPr>
              <w:rPr>
                <w:lang w:val="de-DE"/>
              </w:rPr>
            </w:pPr>
            <w:r w:rsidRPr="00CA49A8">
              <w:rPr>
                <w:b/>
                <w:lang w:val="de-DE"/>
              </w:rPr>
              <w:t xml:space="preserve">HBV DNR </w:t>
            </w:r>
            <w:r w:rsidRPr="00CA49A8">
              <w:rPr>
                <w:lang w:val="de-DE"/>
              </w:rPr>
              <w:t>(%)</w:t>
            </w:r>
          </w:p>
          <w:p w14:paraId="0F03EC77" w14:textId="77777777" w:rsidR="00C83DF1" w:rsidRPr="00CA49A8" w:rsidRDefault="00C83DF1" w:rsidP="00C83DF1">
            <w:pPr>
              <w:rPr>
                <w:lang w:val="de-DE"/>
              </w:rPr>
            </w:pPr>
          </w:p>
          <w:p w14:paraId="24933FEA" w14:textId="77777777" w:rsidR="00C83DF1" w:rsidRPr="00CA49A8" w:rsidRDefault="00C83DF1" w:rsidP="00C83DF1">
            <w:pPr>
              <w:rPr>
                <w:lang w:val="de-DE"/>
              </w:rPr>
            </w:pPr>
            <w:r w:rsidRPr="00CA49A8">
              <w:rPr>
                <w:lang w:val="de-DE"/>
              </w:rPr>
              <w:t>400 kopijų/ml (&lt; 69 TV/ml)</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007ADB4" w14:textId="77777777" w:rsidR="00C83DF1" w:rsidRPr="00C83DF1" w:rsidRDefault="00C83DF1" w:rsidP="00C83DF1">
            <w:pPr>
              <w:jc w:val="center"/>
              <w:rPr>
                <w:szCs w:val="22"/>
                <w:lang w:val="en-US" w:eastAsia="en-US"/>
              </w:rPr>
            </w:pPr>
            <w:r w:rsidRPr="00C83DF1">
              <w:rPr>
                <w:szCs w:val="22"/>
                <w:lang w:val="en-US" w:eastAsia="en-US"/>
              </w:rPr>
              <w:t>90</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19FA6FD" w14:textId="77777777" w:rsidR="00C83DF1" w:rsidRPr="00C83DF1" w:rsidRDefault="00C83DF1" w:rsidP="00C83DF1">
            <w:pPr>
              <w:jc w:val="center"/>
              <w:rPr>
                <w:szCs w:val="22"/>
                <w:lang w:val="en-US" w:eastAsia="en-US"/>
              </w:rPr>
            </w:pPr>
            <w:r w:rsidRPr="00C83DF1">
              <w:rPr>
                <w:szCs w:val="22"/>
                <w:lang w:val="en-US" w:eastAsia="en-US"/>
              </w:rPr>
              <w:t>87</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4D5EE28" w14:textId="77777777" w:rsidR="00C83DF1" w:rsidRPr="00C83DF1" w:rsidRDefault="00C83DF1" w:rsidP="00C83DF1">
            <w:pPr>
              <w:jc w:val="center"/>
              <w:rPr>
                <w:szCs w:val="22"/>
                <w:lang w:val="en-US" w:eastAsia="en-US"/>
              </w:rPr>
            </w:pPr>
            <w:r w:rsidRPr="00C83DF1">
              <w:rPr>
                <w:szCs w:val="22"/>
                <w:lang w:val="en-US" w:eastAsia="en-US"/>
              </w:rPr>
              <w:t>84</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E1E61D9" w14:textId="77777777" w:rsidR="00C83DF1" w:rsidRPr="00C83DF1" w:rsidRDefault="00C83DF1" w:rsidP="00C83DF1">
            <w:pPr>
              <w:jc w:val="center"/>
              <w:rPr>
                <w:szCs w:val="22"/>
                <w:lang w:val="en-US" w:eastAsia="en-US"/>
              </w:rPr>
            </w:pPr>
            <w:r w:rsidRPr="00C83DF1">
              <w:rPr>
                <w:szCs w:val="22"/>
                <w:lang w:val="en-US" w:eastAsia="en-US"/>
              </w:rPr>
              <w:t>83</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E9CCE05" w14:textId="77777777" w:rsidR="00C83DF1" w:rsidRPr="00C83DF1" w:rsidRDefault="00C83DF1" w:rsidP="00C83DF1">
            <w:pPr>
              <w:jc w:val="center"/>
              <w:rPr>
                <w:szCs w:val="22"/>
                <w:lang w:val="en-US" w:eastAsia="en-US"/>
              </w:rPr>
            </w:pPr>
            <w:r w:rsidRPr="00C83DF1">
              <w:rPr>
                <w:szCs w:val="22"/>
                <w:lang w:val="en-US" w:eastAsia="en-US"/>
              </w:rPr>
              <w:t>80</w:t>
            </w:r>
          </w:p>
        </w:tc>
        <w:tc>
          <w:tcPr>
            <w:tcW w:w="383"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0989054" w14:textId="77777777" w:rsidR="00C83DF1" w:rsidRPr="00C83DF1" w:rsidRDefault="00C83DF1" w:rsidP="00C83DF1">
            <w:pPr>
              <w:jc w:val="center"/>
              <w:rPr>
                <w:szCs w:val="22"/>
                <w:lang w:val="en-US" w:eastAsia="en-US"/>
              </w:rPr>
            </w:pPr>
            <w:r w:rsidRPr="00C83DF1">
              <w:rPr>
                <w:szCs w:val="22"/>
                <w:lang w:val="en-US" w:eastAsia="en-US"/>
              </w:rPr>
              <w:t>74</w:t>
            </w:r>
          </w:p>
        </w:tc>
        <w:tc>
          <w:tcPr>
            <w:tcW w:w="30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7E59964" w14:textId="77777777" w:rsidR="00C83DF1" w:rsidRPr="00C83DF1" w:rsidRDefault="00C83DF1" w:rsidP="00C83DF1">
            <w:pPr>
              <w:jc w:val="center"/>
              <w:rPr>
                <w:szCs w:val="22"/>
                <w:lang w:val="en-US" w:eastAsia="en-US"/>
              </w:rPr>
            </w:pPr>
            <w:r w:rsidRPr="00C83DF1">
              <w:rPr>
                <w:szCs w:val="22"/>
                <w:lang w:val="en-US" w:eastAsia="en-US"/>
              </w:rPr>
              <w:t>89</w:t>
            </w:r>
          </w:p>
        </w:tc>
        <w:tc>
          <w:tcPr>
            <w:tcW w:w="304"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E3A77FB" w14:textId="77777777" w:rsidR="00C83DF1" w:rsidRPr="00C83DF1" w:rsidRDefault="00C83DF1" w:rsidP="00C83DF1">
            <w:pPr>
              <w:jc w:val="center"/>
              <w:rPr>
                <w:szCs w:val="22"/>
                <w:lang w:val="en-US" w:eastAsia="en-US"/>
              </w:rPr>
            </w:pPr>
            <w:r w:rsidRPr="00C83DF1">
              <w:rPr>
                <w:szCs w:val="22"/>
                <w:lang w:val="en-US" w:eastAsia="en-US"/>
              </w:rPr>
              <w:t>88</w:t>
            </w:r>
          </w:p>
        </w:tc>
        <w:tc>
          <w:tcPr>
            <w:tcW w:w="38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3419AC2E" w14:textId="77777777" w:rsidR="00C83DF1" w:rsidRPr="00C83DF1" w:rsidRDefault="00C83DF1" w:rsidP="00C83DF1">
            <w:pPr>
              <w:jc w:val="center"/>
              <w:rPr>
                <w:szCs w:val="22"/>
                <w:lang w:val="en-US" w:eastAsia="en-US"/>
              </w:rPr>
            </w:pPr>
            <w:r w:rsidRPr="00C83DF1">
              <w:rPr>
                <w:szCs w:val="22"/>
                <w:lang w:val="en-US" w:eastAsia="en-US"/>
              </w:rPr>
              <w:t>87</w:t>
            </w:r>
          </w:p>
        </w:tc>
        <w:tc>
          <w:tcPr>
            <w:tcW w:w="303"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7EF2BF0" w14:textId="77777777" w:rsidR="00C83DF1" w:rsidRPr="00C83DF1" w:rsidRDefault="00C83DF1" w:rsidP="00C83DF1">
            <w:pPr>
              <w:jc w:val="center"/>
              <w:rPr>
                <w:szCs w:val="22"/>
                <w:lang w:val="en-US" w:eastAsia="en-US"/>
              </w:rPr>
            </w:pPr>
            <w:r w:rsidRPr="00C83DF1">
              <w:rPr>
                <w:szCs w:val="22"/>
                <w:lang w:val="en-US" w:eastAsia="en-US"/>
              </w:rPr>
              <w:t>84</w:t>
            </w:r>
          </w:p>
        </w:tc>
        <w:tc>
          <w:tcPr>
            <w:tcW w:w="38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D757E1E" w14:textId="77777777" w:rsidR="00C83DF1" w:rsidRPr="00C83DF1" w:rsidRDefault="00C83DF1" w:rsidP="00C83DF1">
            <w:pPr>
              <w:jc w:val="center"/>
              <w:rPr>
                <w:szCs w:val="22"/>
                <w:lang w:val="en-US" w:eastAsia="en-US"/>
              </w:rPr>
            </w:pPr>
            <w:r w:rsidRPr="00C83DF1">
              <w:rPr>
                <w:szCs w:val="22"/>
                <w:lang w:val="en-US" w:eastAsia="en-US"/>
              </w:rPr>
              <w:t>84</w:t>
            </w:r>
          </w:p>
        </w:tc>
        <w:tc>
          <w:tcPr>
            <w:tcW w:w="36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F73F5E6" w14:textId="77777777" w:rsidR="00C83DF1" w:rsidRPr="00C83DF1" w:rsidRDefault="00C83DF1" w:rsidP="00C83DF1">
            <w:pPr>
              <w:jc w:val="center"/>
              <w:rPr>
                <w:szCs w:val="22"/>
                <w:lang w:val="en-US" w:eastAsia="en-US"/>
              </w:rPr>
            </w:pPr>
            <w:r w:rsidRPr="00C83DF1">
              <w:rPr>
                <w:szCs w:val="22"/>
                <w:lang w:val="en-US" w:eastAsia="en-US"/>
              </w:rPr>
              <w:t>76</w:t>
            </w:r>
          </w:p>
        </w:tc>
      </w:tr>
      <w:tr w:rsidR="00C83DF1" w:rsidRPr="00C83DF1" w14:paraId="13D19FDA" w14:textId="77777777" w:rsidTr="00C83DF1">
        <w:tc>
          <w:tcPr>
            <w:tcW w:w="828"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ECDC9EE" w14:textId="77777777" w:rsidR="00C83DF1" w:rsidRPr="00C83DF1" w:rsidRDefault="00C83DF1" w:rsidP="00C83DF1">
            <w:pPr>
              <w:rPr>
                <w:szCs w:val="22"/>
                <w:lang w:val="en-US" w:eastAsia="en-US"/>
              </w:rPr>
            </w:pPr>
            <w:r w:rsidRPr="00C83DF1">
              <w:rPr>
                <w:b/>
                <w:bCs/>
                <w:szCs w:val="22"/>
                <w:lang w:val="en-US" w:eastAsia="en-US"/>
              </w:rPr>
              <w:t xml:space="preserve">ALT </w:t>
            </w:r>
            <w:r w:rsidRPr="00C83DF1">
              <w:rPr>
                <w:szCs w:val="22"/>
                <w:lang w:val="en-US" w:eastAsia="en-US"/>
              </w:rPr>
              <w:t>(%)</w:t>
            </w:r>
          </w:p>
          <w:p w14:paraId="67C89EA7" w14:textId="77777777" w:rsidR="00C83DF1" w:rsidRPr="00C83DF1" w:rsidRDefault="00C83DF1" w:rsidP="00C83DF1">
            <w:pPr>
              <w:rPr>
                <w:szCs w:val="22"/>
                <w:lang w:val="en-US" w:eastAsia="en-US"/>
              </w:rPr>
            </w:pPr>
          </w:p>
          <w:p w14:paraId="167B5BCA" w14:textId="77777777" w:rsidR="00C83DF1" w:rsidRPr="00C83DF1" w:rsidRDefault="00C83DF1" w:rsidP="00C83DF1">
            <w:pPr>
              <w:rPr>
                <w:szCs w:val="22"/>
                <w:lang w:val="en-US" w:eastAsia="en-US"/>
              </w:rPr>
            </w:pPr>
            <w:r>
              <w:rPr>
                <w:szCs w:val="22"/>
                <w:lang w:val="en-US" w:eastAsia="en-US"/>
              </w:rPr>
              <w:t>Sunormalėjęs</w:t>
            </w:r>
          </w:p>
          <w:p w14:paraId="157D162C" w14:textId="77777777" w:rsidR="00C83DF1" w:rsidRPr="00C83DF1" w:rsidRDefault="00C83DF1" w:rsidP="00C83DF1">
            <w:pPr>
              <w:rPr>
                <w:szCs w:val="22"/>
                <w:lang w:val="en-US" w:eastAsia="en-US"/>
              </w:rPr>
            </w:pPr>
            <w:r w:rsidRPr="00C83DF1">
              <w:rPr>
                <w:szCs w:val="22"/>
                <w:lang w:val="en-US" w:eastAsia="en-US"/>
              </w:rPr>
              <w:t>ALT</w:t>
            </w:r>
            <w:r w:rsidRPr="00C83DF1">
              <w:rPr>
                <w:szCs w:val="22"/>
                <w:vertAlign w:val="superscript"/>
                <w:lang w:val="en-US" w:eastAsia="en-US"/>
              </w:rPr>
              <w:t>d</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AC85BE4" w14:textId="77777777" w:rsidR="00C83DF1" w:rsidRPr="00C83DF1" w:rsidRDefault="00C83DF1" w:rsidP="00C83DF1">
            <w:pPr>
              <w:jc w:val="center"/>
              <w:rPr>
                <w:szCs w:val="22"/>
                <w:lang w:val="en-US" w:eastAsia="en-US"/>
              </w:rPr>
            </w:pPr>
            <w:r w:rsidRPr="00C83DF1">
              <w:rPr>
                <w:szCs w:val="22"/>
                <w:lang w:val="en-US" w:eastAsia="en-US"/>
              </w:rPr>
              <w:t>72</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37A25B9" w14:textId="77777777" w:rsidR="00C83DF1" w:rsidRPr="00C83DF1" w:rsidRDefault="00C83DF1" w:rsidP="00C83DF1">
            <w:pPr>
              <w:jc w:val="center"/>
              <w:rPr>
                <w:szCs w:val="22"/>
                <w:lang w:val="en-US" w:eastAsia="en-US"/>
              </w:rPr>
            </w:pPr>
            <w:r w:rsidRPr="00C83DF1">
              <w:rPr>
                <w:szCs w:val="22"/>
                <w:lang w:val="en-US" w:eastAsia="en-US"/>
              </w:rPr>
              <w:t>73</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300619A0" w14:textId="77777777" w:rsidR="00C83DF1" w:rsidRPr="00C83DF1" w:rsidRDefault="00C83DF1" w:rsidP="00C83DF1">
            <w:pPr>
              <w:jc w:val="center"/>
              <w:rPr>
                <w:szCs w:val="22"/>
                <w:lang w:val="en-US" w:eastAsia="en-US"/>
              </w:rPr>
            </w:pPr>
            <w:r w:rsidRPr="00C83DF1">
              <w:rPr>
                <w:szCs w:val="22"/>
                <w:lang w:val="en-US" w:eastAsia="en-US"/>
              </w:rPr>
              <w:t>67</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511ECDB" w14:textId="77777777" w:rsidR="00C83DF1" w:rsidRPr="00C83DF1" w:rsidRDefault="00C83DF1" w:rsidP="00C83DF1">
            <w:pPr>
              <w:jc w:val="center"/>
              <w:rPr>
                <w:szCs w:val="22"/>
                <w:lang w:val="en-US" w:eastAsia="en-US"/>
              </w:rPr>
            </w:pPr>
            <w:r w:rsidRPr="00C83DF1">
              <w:rPr>
                <w:szCs w:val="22"/>
                <w:lang w:val="en-US" w:eastAsia="en-US"/>
              </w:rPr>
              <w:t>70</w:t>
            </w:r>
          </w:p>
        </w:tc>
        <w:tc>
          <w:tcPr>
            <w:tcW w:w="35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BB896AD" w14:textId="77777777" w:rsidR="00C83DF1" w:rsidRPr="00C83DF1" w:rsidRDefault="00C83DF1" w:rsidP="00C83DF1">
            <w:pPr>
              <w:jc w:val="center"/>
              <w:rPr>
                <w:szCs w:val="22"/>
                <w:lang w:val="en-US" w:eastAsia="en-US"/>
              </w:rPr>
            </w:pPr>
            <w:r w:rsidRPr="00C83DF1">
              <w:rPr>
                <w:szCs w:val="22"/>
                <w:lang w:val="en-US" w:eastAsia="en-US"/>
              </w:rPr>
              <w:t>68</w:t>
            </w:r>
          </w:p>
        </w:tc>
        <w:tc>
          <w:tcPr>
            <w:tcW w:w="383"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3795447" w14:textId="77777777" w:rsidR="00C83DF1" w:rsidRPr="00C83DF1" w:rsidRDefault="00C83DF1" w:rsidP="00C83DF1">
            <w:pPr>
              <w:jc w:val="center"/>
              <w:rPr>
                <w:szCs w:val="22"/>
                <w:lang w:val="en-US" w:eastAsia="en-US"/>
              </w:rPr>
            </w:pPr>
            <w:r w:rsidRPr="00C83DF1">
              <w:rPr>
                <w:szCs w:val="22"/>
                <w:lang w:val="en-US" w:eastAsia="en-US"/>
              </w:rPr>
              <w:t>64</w:t>
            </w:r>
          </w:p>
        </w:tc>
        <w:tc>
          <w:tcPr>
            <w:tcW w:w="302"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0A2CAB5" w14:textId="77777777" w:rsidR="00C83DF1" w:rsidRPr="00C83DF1" w:rsidRDefault="00C83DF1" w:rsidP="00C83DF1">
            <w:pPr>
              <w:jc w:val="center"/>
              <w:rPr>
                <w:szCs w:val="22"/>
                <w:lang w:val="en-US" w:eastAsia="en-US"/>
              </w:rPr>
            </w:pPr>
            <w:r w:rsidRPr="00C83DF1">
              <w:rPr>
                <w:szCs w:val="22"/>
                <w:lang w:val="en-US" w:eastAsia="en-US"/>
              </w:rPr>
              <w:t>68</w:t>
            </w:r>
          </w:p>
        </w:tc>
        <w:tc>
          <w:tcPr>
            <w:tcW w:w="304"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0477451" w14:textId="77777777" w:rsidR="00C83DF1" w:rsidRPr="00C83DF1" w:rsidRDefault="00C83DF1" w:rsidP="00C83DF1">
            <w:pPr>
              <w:jc w:val="center"/>
              <w:rPr>
                <w:szCs w:val="22"/>
                <w:lang w:val="en-US" w:eastAsia="en-US"/>
              </w:rPr>
            </w:pPr>
            <w:r w:rsidRPr="00C83DF1">
              <w:rPr>
                <w:szCs w:val="22"/>
                <w:lang w:val="en-US" w:eastAsia="en-US"/>
              </w:rPr>
              <w:t>70</w:t>
            </w:r>
          </w:p>
        </w:tc>
        <w:tc>
          <w:tcPr>
            <w:tcW w:w="38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30463D37" w14:textId="77777777" w:rsidR="00C83DF1" w:rsidRPr="00C83DF1" w:rsidRDefault="00C83DF1" w:rsidP="00C83DF1">
            <w:pPr>
              <w:jc w:val="center"/>
              <w:rPr>
                <w:szCs w:val="22"/>
                <w:lang w:val="en-US" w:eastAsia="en-US"/>
              </w:rPr>
            </w:pPr>
            <w:r w:rsidRPr="00C83DF1">
              <w:rPr>
                <w:szCs w:val="22"/>
                <w:lang w:val="en-US" w:eastAsia="en-US"/>
              </w:rPr>
              <w:t>77</w:t>
            </w:r>
          </w:p>
        </w:tc>
        <w:tc>
          <w:tcPr>
            <w:tcW w:w="303"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1A72F24" w14:textId="77777777" w:rsidR="00C83DF1" w:rsidRPr="00C83DF1" w:rsidRDefault="00C83DF1" w:rsidP="00C83DF1">
            <w:pPr>
              <w:jc w:val="center"/>
              <w:rPr>
                <w:szCs w:val="22"/>
                <w:lang w:val="en-US" w:eastAsia="en-US"/>
              </w:rPr>
            </w:pPr>
            <w:r w:rsidRPr="00C83DF1">
              <w:rPr>
                <w:szCs w:val="22"/>
                <w:lang w:val="en-US" w:eastAsia="en-US"/>
              </w:rPr>
              <w:t>76</w:t>
            </w:r>
          </w:p>
        </w:tc>
        <w:tc>
          <w:tcPr>
            <w:tcW w:w="38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5C8287B" w14:textId="77777777" w:rsidR="00C83DF1" w:rsidRPr="00C83DF1" w:rsidRDefault="00C83DF1" w:rsidP="00C83DF1">
            <w:pPr>
              <w:jc w:val="center"/>
              <w:rPr>
                <w:szCs w:val="22"/>
                <w:lang w:val="en-US" w:eastAsia="en-US"/>
              </w:rPr>
            </w:pPr>
            <w:r w:rsidRPr="00C83DF1">
              <w:rPr>
                <w:szCs w:val="22"/>
                <w:lang w:val="en-US" w:eastAsia="en-US"/>
              </w:rPr>
              <w:t>74</w:t>
            </w:r>
          </w:p>
        </w:tc>
        <w:tc>
          <w:tcPr>
            <w:tcW w:w="360" w:type="pct"/>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AC5DD8F" w14:textId="77777777" w:rsidR="00C83DF1" w:rsidRPr="00C83DF1" w:rsidRDefault="00C83DF1" w:rsidP="00C83DF1">
            <w:pPr>
              <w:jc w:val="center"/>
              <w:rPr>
                <w:szCs w:val="22"/>
                <w:lang w:val="en-US" w:eastAsia="en-US"/>
              </w:rPr>
            </w:pPr>
            <w:r w:rsidRPr="00C83DF1">
              <w:rPr>
                <w:szCs w:val="22"/>
                <w:lang w:val="en-US" w:eastAsia="en-US"/>
              </w:rPr>
              <w:t>69</w:t>
            </w:r>
          </w:p>
        </w:tc>
      </w:tr>
      <w:tr w:rsidR="00C83DF1" w:rsidRPr="00C83DF1" w14:paraId="6CF459E6" w14:textId="77777777" w:rsidTr="00C83DF1">
        <w:tc>
          <w:tcPr>
            <w:tcW w:w="828"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EE2D0F" w14:textId="77777777" w:rsidR="00C83DF1" w:rsidRPr="00EC331C" w:rsidRDefault="00C83DF1" w:rsidP="00C83DF1">
            <w:pPr>
              <w:rPr>
                <w:szCs w:val="22"/>
                <w:lang w:eastAsia="en-US"/>
              </w:rPr>
            </w:pPr>
            <w:r w:rsidRPr="00EC331C">
              <w:rPr>
                <w:b/>
                <w:bCs/>
                <w:szCs w:val="22"/>
                <w:lang w:eastAsia="en-US"/>
              </w:rPr>
              <w:t xml:space="preserve">Serologija </w:t>
            </w:r>
            <w:r w:rsidRPr="00EC331C">
              <w:rPr>
                <w:szCs w:val="22"/>
                <w:lang w:eastAsia="en-US"/>
              </w:rPr>
              <w:t>(%)</w:t>
            </w:r>
          </w:p>
          <w:p w14:paraId="2B438180" w14:textId="77777777" w:rsidR="00C83DF1" w:rsidRPr="00EC331C" w:rsidRDefault="00C83DF1" w:rsidP="00C83DF1">
            <w:pPr>
              <w:rPr>
                <w:szCs w:val="22"/>
                <w:lang w:eastAsia="en-US"/>
              </w:rPr>
            </w:pPr>
          </w:p>
          <w:p w14:paraId="57CBD873" w14:textId="77777777" w:rsidR="00C83DF1" w:rsidRPr="00EC331C" w:rsidRDefault="00C83DF1" w:rsidP="00C83DF1">
            <w:pPr>
              <w:rPr>
                <w:szCs w:val="22"/>
                <w:lang w:eastAsia="en-US"/>
              </w:rPr>
            </w:pPr>
            <w:r w:rsidRPr="00EC331C">
              <w:rPr>
                <w:szCs w:val="22"/>
                <w:lang w:eastAsia="en-US"/>
              </w:rPr>
              <w:t>HBeAg netekimas/</w:t>
            </w:r>
          </w:p>
          <w:p w14:paraId="423BA286" w14:textId="77777777" w:rsidR="00C83DF1" w:rsidRPr="00EC331C" w:rsidRDefault="00C83DF1" w:rsidP="00C83DF1">
            <w:pPr>
              <w:rPr>
                <w:szCs w:val="22"/>
                <w:lang w:eastAsia="en-US"/>
              </w:rPr>
            </w:pPr>
            <w:r w:rsidRPr="00EC331C">
              <w:rPr>
                <w:szCs w:val="22"/>
                <w:lang w:eastAsia="en-US"/>
              </w:rPr>
              <w:t>serokonversija</w:t>
            </w:r>
          </w:p>
          <w:p w14:paraId="04D6B3FE" w14:textId="77777777" w:rsidR="00C83DF1" w:rsidRPr="00EC331C" w:rsidRDefault="00C83DF1" w:rsidP="00C83DF1">
            <w:pPr>
              <w:rPr>
                <w:szCs w:val="22"/>
                <w:lang w:eastAsia="en-US"/>
              </w:rPr>
            </w:pPr>
          </w:p>
          <w:p w14:paraId="3BC3CB6D" w14:textId="77777777" w:rsidR="00C83DF1" w:rsidRPr="00EC331C" w:rsidRDefault="00C83DF1" w:rsidP="00C83DF1">
            <w:pPr>
              <w:rPr>
                <w:szCs w:val="22"/>
                <w:lang w:eastAsia="en-US"/>
              </w:rPr>
            </w:pPr>
            <w:r w:rsidRPr="00EC331C">
              <w:rPr>
                <w:szCs w:val="22"/>
                <w:lang w:eastAsia="en-US"/>
              </w:rPr>
              <w:t>HBsAg netekimas/</w:t>
            </w:r>
          </w:p>
          <w:p w14:paraId="615FD842" w14:textId="77777777" w:rsidR="00C83DF1" w:rsidRPr="00C83DF1" w:rsidRDefault="00C83DF1" w:rsidP="00C83DF1">
            <w:pPr>
              <w:rPr>
                <w:szCs w:val="22"/>
                <w:lang w:val="en-US" w:eastAsia="en-US"/>
              </w:rPr>
            </w:pPr>
            <w:r w:rsidRPr="00C83DF1">
              <w:rPr>
                <w:szCs w:val="22"/>
                <w:lang w:val="en-US" w:eastAsia="en-US"/>
              </w:rPr>
              <w:t>serokonversija</w:t>
            </w:r>
          </w:p>
        </w:tc>
        <w:tc>
          <w:tcPr>
            <w:tcW w:w="352"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4F836A4" w14:textId="77777777" w:rsidR="00C83DF1" w:rsidRPr="00C83DF1" w:rsidRDefault="00C83DF1" w:rsidP="00C83DF1">
            <w:pPr>
              <w:jc w:val="center"/>
              <w:rPr>
                <w:szCs w:val="22"/>
                <w:lang w:val="en-US" w:eastAsia="en-US"/>
              </w:rPr>
            </w:pPr>
          </w:p>
          <w:p w14:paraId="3155032D" w14:textId="77777777" w:rsidR="00C83DF1" w:rsidRPr="00C83DF1" w:rsidRDefault="00C83DF1" w:rsidP="00C83DF1">
            <w:pPr>
              <w:jc w:val="center"/>
              <w:rPr>
                <w:szCs w:val="22"/>
                <w:lang w:val="en-US" w:eastAsia="en-US"/>
              </w:rPr>
            </w:pPr>
          </w:p>
          <w:p w14:paraId="2567A7C5" w14:textId="77777777" w:rsidR="00C83DF1" w:rsidRPr="00C83DF1" w:rsidRDefault="00C83DF1" w:rsidP="00C83DF1">
            <w:pPr>
              <w:jc w:val="center"/>
              <w:rPr>
                <w:szCs w:val="22"/>
                <w:lang w:val="en-US" w:eastAsia="en-US"/>
              </w:rPr>
            </w:pPr>
            <w:r w:rsidRPr="00C83DF1">
              <w:rPr>
                <w:szCs w:val="22"/>
                <w:lang w:val="en-US" w:eastAsia="en-US"/>
              </w:rPr>
              <w:t>n/a</w:t>
            </w:r>
          </w:p>
          <w:p w14:paraId="149C02EA" w14:textId="77777777" w:rsidR="00C83DF1" w:rsidRPr="00C83DF1" w:rsidRDefault="00C83DF1" w:rsidP="00C83DF1">
            <w:pPr>
              <w:jc w:val="center"/>
              <w:rPr>
                <w:szCs w:val="22"/>
                <w:lang w:val="en-US" w:eastAsia="en-US"/>
              </w:rPr>
            </w:pPr>
          </w:p>
          <w:p w14:paraId="40289663" w14:textId="77777777" w:rsidR="00C83DF1" w:rsidRDefault="00C83DF1" w:rsidP="00C83DF1">
            <w:pPr>
              <w:jc w:val="center"/>
              <w:rPr>
                <w:szCs w:val="22"/>
                <w:lang w:val="en-US" w:eastAsia="en-US"/>
              </w:rPr>
            </w:pPr>
          </w:p>
          <w:p w14:paraId="701E2376" w14:textId="77777777" w:rsidR="00C83DF1" w:rsidRDefault="00C83DF1" w:rsidP="00C83DF1">
            <w:pPr>
              <w:jc w:val="center"/>
              <w:rPr>
                <w:szCs w:val="22"/>
                <w:lang w:val="en-US" w:eastAsia="en-US"/>
              </w:rPr>
            </w:pPr>
          </w:p>
          <w:p w14:paraId="4F435B5B" w14:textId="77777777" w:rsidR="00C83DF1" w:rsidRPr="00C83DF1" w:rsidRDefault="00C83DF1" w:rsidP="00C83DF1">
            <w:pPr>
              <w:jc w:val="center"/>
              <w:rPr>
                <w:szCs w:val="22"/>
                <w:lang w:val="en-US" w:eastAsia="en-US"/>
              </w:rPr>
            </w:pPr>
          </w:p>
          <w:p w14:paraId="661484B4" w14:textId="77777777" w:rsidR="00C83DF1" w:rsidRPr="00C83DF1" w:rsidRDefault="00C83DF1" w:rsidP="00C83DF1">
            <w:pPr>
              <w:jc w:val="center"/>
              <w:rPr>
                <w:szCs w:val="22"/>
                <w:lang w:val="en-US" w:eastAsia="en-US"/>
              </w:rPr>
            </w:pPr>
            <w:r w:rsidRPr="00C83DF1">
              <w:rPr>
                <w:szCs w:val="22"/>
                <w:lang w:val="en-US" w:eastAsia="en-US"/>
              </w:rPr>
              <w:t>0/0</w:t>
            </w:r>
          </w:p>
        </w:tc>
        <w:tc>
          <w:tcPr>
            <w:tcW w:w="352"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33D4A4" w14:textId="77777777" w:rsidR="00C83DF1" w:rsidRPr="00C83DF1" w:rsidRDefault="00C83DF1" w:rsidP="00C83DF1">
            <w:pPr>
              <w:jc w:val="center"/>
              <w:rPr>
                <w:szCs w:val="22"/>
                <w:lang w:val="en-US" w:eastAsia="en-US"/>
              </w:rPr>
            </w:pPr>
          </w:p>
          <w:p w14:paraId="2B717CF5" w14:textId="77777777" w:rsidR="00C83DF1" w:rsidRPr="00C83DF1" w:rsidRDefault="00C83DF1" w:rsidP="00C83DF1">
            <w:pPr>
              <w:jc w:val="center"/>
              <w:rPr>
                <w:szCs w:val="22"/>
                <w:lang w:val="en-US" w:eastAsia="en-US"/>
              </w:rPr>
            </w:pPr>
          </w:p>
          <w:p w14:paraId="3BD393A1" w14:textId="77777777" w:rsidR="00C83DF1" w:rsidRPr="00C83DF1" w:rsidRDefault="00C83DF1" w:rsidP="00C83DF1">
            <w:pPr>
              <w:jc w:val="center"/>
              <w:rPr>
                <w:szCs w:val="22"/>
                <w:lang w:val="en-US" w:eastAsia="en-US"/>
              </w:rPr>
            </w:pPr>
            <w:r w:rsidRPr="00C83DF1">
              <w:rPr>
                <w:szCs w:val="22"/>
                <w:lang w:val="en-US" w:eastAsia="en-US"/>
              </w:rPr>
              <w:t>n/a</w:t>
            </w:r>
          </w:p>
          <w:p w14:paraId="3ED34C0C" w14:textId="77777777" w:rsidR="00C83DF1" w:rsidRPr="00C83DF1" w:rsidRDefault="00C83DF1" w:rsidP="00C83DF1">
            <w:pPr>
              <w:jc w:val="center"/>
              <w:rPr>
                <w:szCs w:val="22"/>
                <w:lang w:val="en-US" w:eastAsia="en-US"/>
              </w:rPr>
            </w:pPr>
          </w:p>
          <w:p w14:paraId="4B1949EA" w14:textId="77777777" w:rsidR="00C83DF1" w:rsidRDefault="00C83DF1" w:rsidP="00C83DF1">
            <w:pPr>
              <w:jc w:val="center"/>
              <w:rPr>
                <w:szCs w:val="22"/>
                <w:lang w:val="en-US" w:eastAsia="en-US"/>
              </w:rPr>
            </w:pPr>
          </w:p>
          <w:p w14:paraId="243582E1" w14:textId="77777777" w:rsidR="00C83DF1" w:rsidRDefault="00C83DF1" w:rsidP="00C83DF1">
            <w:pPr>
              <w:jc w:val="center"/>
              <w:rPr>
                <w:szCs w:val="22"/>
                <w:lang w:val="en-US" w:eastAsia="en-US"/>
              </w:rPr>
            </w:pPr>
          </w:p>
          <w:p w14:paraId="33EAC8A8" w14:textId="77777777" w:rsidR="00C83DF1" w:rsidRPr="00C83DF1" w:rsidRDefault="00C83DF1" w:rsidP="00C83DF1">
            <w:pPr>
              <w:jc w:val="center"/>
              <w:rPr>
                <w:szCs w:val="22"/>
                <w:lang w:val="en-US" w:eastAsia="en-US"/>
              </w:rPr>
            </w:pPr>
          </w:p>
          <w:p w14:paraId="5120A37B" w14:textId="77777777" w:rsidR="00C83DF1" w:rsidRPr="00C83DF1" w:rsidRDefault="00C83DF1" w:rsidP="00C83DF1">
            <w:pPr>
              <w:jc w:val="center"/>
              <w:rPr>
                <w:szCs w:val="22"/>
                <w:lang w:val="en-US" w:eastAsia="en-US"/>
              </w:rPr>
            </w:pPr>
            <w:r w:rsidRPr="00C83DF1">
              <w:rPr>
                <w:szCs w:val="22"/>
                <w:lang w:val="en-US" w:eastAsia="en-US"/>
              </w:rPr>
              <w:t>0/0</w:t>
            </w:r>
          </w:p>
        </w:tc>
        <w:tc>
          <w:tcPr>
            <w:tcW w:w="352"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2C8657" w14:textId="77777777" w:rsidR="00C83DF1" w:rsidRPr="00C83DF1" w:rsidRDefault="00C83DF1" w:rsidP="00C83DF1">
            <w:pPr>
              <w:jc w:val="center"/>
              <w:rPr>
                <w:szCs w:val="22"/>
                <w:lang w:val="en-US" w:eastAsia="en-US"/>
              </w:rPr>
            </w:pPr>
          </w:p>
          <w:p w14:paraId="032A9D96" w14:textId="77777777" w:rsidR="00C83DF1" w:rsidRPr="00C83DF1" w:rsidRDefault="00C83DF1" w:rsidP="00C83DF1">
            <w:pPr>
              <w:jc w:val="center"/>
              <w:rPr>
                <w:szCs w:val="22"/>
                <w:lang w:val="en-US" w:eastAsia="en-US"/>
              </w:rPr>
            </w:pPr>
          </w:p>
          <w:p w14:paraId="14EC3F37" w14:textId="77777777" w:rsidR="00C83DF1" w:rsidRPr="00C83DF1" w:rsidRDefault="00C83DF1" w:rsidP="00C83DF1">
            <w:pPr>
              <w:jc w:val="center"/>
              <w:rPr>
                <w:szCs w:val="22"/>
                <w:lang w:val="en-US" w:eastAsia="en-US"/>
              </w:rPr>
            </w:pPr>
            <w:r w:rsidRPr="00C83DF1">
              <w:rPr>
                <w:szCs w:val="22"/>
                <w:lang w:val="en-US" w:eastAsia="en-US"/>
              </w:rPr>
              <w:t>n/a</w:t>
            </w:r>
          </w:p>
          <w:p w14:paraId="4641CB8B" w14:textId="77777777" w:rsidR="00C83DF1" w:rsidRPr="00C83DF1" w:rsidRDefault="00C83DF1" w:rsidP="00C83DF1">
            <w:pPr>
              <w:jc w:val="center"/>
              <w:rPr>
                <w:szCs w:val="22"/>
                <w:lang w:val="en-US" w:eastAsia="en-US"/>
              </w:rPr>
            </w:pPr>
          </w:p>
          <w:p w14:paraId="652A6491" w14:textId="77777777" w:rsidR="00C83DF1" w:rsidRDefault="00C83DF1" w:rsidP="00C83DF1">
            <w:pPr>
              <w:jc w:val="center"/>
              <w:rPr>
                <w:szCs w:val="22"/>
                <w:lang w:val="en-US" w:eastAsia="en-US"/>
              </w:rPr>
            </w:pPr>
          </w:p>
          <w:p w14:paraId="2660FD0C" w14:textId="77777777" w:rsidR="00C83DF1" w:rsidRDefault="00C83DF1" w:rsidP="00C83DF1">
            <w:pPr>
              <w:jc w:val="center"/>
              <w:rPr>
                <w:szCs w:val="22"/>
                <w:lang w:val="en-US" w:eastAsia="en-US"/>
              </w:rPr>
            </w:pPr>
          </w:p>
          <w:p w14:paraId="71D87E30" w14:textId="77777777" w:rsidR="00C83DF1" w:rsidRPr="00C83DF1" w:rsidRDefault="00C83DF1" w:rsidP="00C83DF1">
            <w:pPr>
              <w:jc w:val="center"/>
              <w:rPr>
                <w:szCs w:val="22"/>
                <w:lang w:val="en-US" w:eastAsia="en-US"/>
              </w:rPr>
            </w:pPr>
          </w:p>
          <w:p w14:paraId="196DE68F" w14:textId="77777777" w:rsidR="00C83DF1" w:rsidRPr="00C83DF1" w:rsidRDefault="00C83DF1" w:rsidP="00C83DF1">
            <w:pPr>
              <w:jc w:val="center"/>
              <w:rPr>
                <w:szCs w:val="22"/>
                <w:lang w:val="en-US" w:eastAsia="en-US"/>
              </w:rPr>
            </w:pPr>
            <w:r w:rsidRPr="00C83DF1">
              <w:rPr>
                <w:szCs w:val="22"/>
                <w:lang w:val="en-US" w:eastAsia="en-US"/>
              </w:rPr>
              <w:t>0/0</w:t>
            </w:r>
          </w:p>
        </w:tc>
        <w:tc>
          <w:tcPr>
            <w:tcW w:w="352"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32BDD0" w14:textId="77777777" w:rsidR="00C83DF1" w:rsidRPr="00C83DF1" w:rsidRDefault="00C83DF1" w:rsidP="00C83DF1">
            <w:pPr>
              <w:jc w:val="center"/>
              <w:rPr>
                <w:szCs w:val="22"/>
                <w:lang w:val="en-US" w:eastAsia="en-US"/>
              </w:rPr>
            </w:pPr>
          </w:p>
          <w:p w14:paraId="3DA8A170" w14:textId="77777777" w:rsidR="00C83DF1" w:rsidRPr="00C83DF1" w:rsidRDefault="00C83DF1" w:rsidP="00C83DF1">
            <w:pPr>
              <w:jc w:val="center"/>
              <w:rPr>
                <w:szCs w:val="22"/>
                <w:lang w:val="en-US" w:eastAsia="en-US"/>
              </w:rPr>
            </w:pPr>
          </w:p>
          <w:p w14:paraId="09462D78" w14:textId="77777777" w:rsidR="00C83DF1" w:rsidRPr="00C83DF1" w:rsidRDefault="00C83DF1" w:rsidP="00C83DF1">
            <w:pPr>
              <w:jc w:val="center"/>
              <w:rPr>
                <w:szCs w:val="22"/>
                <w:lang w:val="en-US" w:eastAsia="en-US"/>
              </w:rPr>
            </w:pPr>
            <w:r w:rsidRPr="00C83DF1">
              <w:rPr>
                <w:szCs w:val="22"/>
                <w:lang w:val="en-US" w:eastAsia="en-US"/>
              </w:rPr>
              <w:t>n/a</w:t>
            </w:r>
          </w:p>
          <w:p w14:paraId="644AF7A9" w14:textId="77777777" w:rsidR="00C83DF1" w:rsidRPr="00C83DF1" w:rsidRDefault="00C83DF1" w:rsidP="00C83DF1">
            <w:pPr>
              <w:jc w:val="center"/>
              <w:rPr>
                <w:szCs w:val="22"/>
                <w:lang w:val="en-US" w:eastAsia="en-US"/>
              </w:rPr>
            </w:pPr>
          </w:p>
          <w:p w14:paraId="2B0BE889" w14:textId="77777777" w:rsidR="00C83DF1" w:rsidRDefault="00C83DF1" w:rsidP="00C83DF1">
            <w:pPr>
              <w:jc w:val="center"/>
              <w:rPr>
                <w:szCs w:val="22"/>
                <w:lang w:val="en-US" w:eastAsia="en-US"/>
              </w:rPr>
            </w:pPr>
          </w:p>
          <w:p w14:paraId="02E496F5" w14:textId="77777777" w:rsidR="00C83DF1" w:rsidRDefault="00C83DF1" w:rsidP="00C83DF1">
            <w:pPr>
              <w:jc w:val="center"/>
              <w:rPr>
                <w:szCs w:val="22"/>
                <w:lang w:val="en-US" w:eastAsia="en-US"/>
              </w:rPr>
            </w:pPr>
          </w:p>
          <w:p w14:paraId="167FD78C" w14:textId="77777777" w:rsidR="00C83DF1" w:rsidRPr="00C83DF1" w:rsidRDefault="00C83DF1" w:rsidP="00C83DF1">
            <w:pPr>
              <w:jc w:val="center"/>
              <w:rPr>
                <w:szCs w:val="22"/>
                <w:lang w:val="en-US" w:eastAsia="en-US"/>
              </w:rPr>
            </w:pPr>
          </w:p>
          <w:p w14:paraId="417CE596" w14:textId="77777777" w:rsidR="00C83DF1" w:rsidRPr="00C83DF1" w:rsidRDefault="00C83DF1" w:rsidP="00C83DF1">
            <w:pPr>
              <w:jc w:val="center"/>
              <w:rPr>
                <w:szCs w:val="22"/>
                <w:lang w:val="en-US" w:eastAsia="en-US"/>
              </w:rPr>
            </w:pPr>
            <w:r w:rsidRPr="00C83DF1">
              <w:rPr>
                <w:szCs w:val="22"/>
                <w:lang w:val="en-US" w:eastAsia="en-US"/>
              </w:rPr>
              <w:t>0/0</w:t>
            </w:r>
          </w:p>
        </w:tc>
        <w:tc>
          <w:tcPr>
            <w:tcW w:w="352"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808029" w14:textId="77777777" w:rsidR="00C83DF1" w:rsidRPr="00C83DF1" w:rsidRDefault="00C83DF1" w:rsidP="00C83DF1">
            <w:pPr>
              <w:jc w:val="center"/>
              <w:rPr>
                <w:szCs w:val="22"/>
                <w:lang w:val="en-US" w:eastAsia="en-US"/>
              </w:rPr>
            </w:pPr>
          </w:p>
          <w:p w14:paraId="2FC1887A" w14:textId="77777777" w:rsidR="00C83DF1" w:rsidRPr="00C83DF1" w:rsidRDefault="00C83DF1" w:rsidP="00C83DF1">
            <w:pPr>
              <w:jc w:val="center"/>
              <w:rPr>
                <w:szCs w:val="22"/>
                <w:lang w:val="en-US" w:eastAsia="en-US"/>
              </w:rPr>
            </w:pPr>
          </w:p>
          <w:p w14:paraId="2E9D733C" w14:textId="77777777" w:rsidR="00C83DF1" w:rsidRPr="00C83DF1" w:rsidRDefault="00C83DF1" w:rsidP="00C83DF1">
            <w:pPr>
              <w:jc w:val="center"/>
              <w:rPr>
                <w:szCs w:val="22"/>
                <w:lang w:val="en-US" w:eastAsia="en-US"/>
              </w:rPr>
            </w:pPr>
            <w:r w:rsidRPr="00C83DF1">
              <w:rPr>
                <w:szCs w:val="22"/>
                <w:lang w:val="en-US" w:eastAsia="en-US"/>
              </w:rPr>
              <w:t>n/a</w:t>
            </w:r>
          </w:p>
          <w:p w14:paraId="695A8023" w14:textId="77777777" w:rsidR="00C83DF1" w:rsidRPr="00C83DF1" w:rsidRDefault="00C83DF1" w:rsidP="00C83DF1">
            <w:pPr>
              <w:jc w:val="center"/>
              <w:rPr>
                <w:szCs w:val="22"/>
                <w:lang w:val="en-US" w:eastAsia="en-US"/>
              </w:rPr>
            </w:pPr>
          </w:p>
          <w:p w14:paraId="4FF2B986" w14:textId="77777777" w:rsidR="00C83DF1" w:rsidRDefault="00C83DF1" w:rsidP="00C83DF1">
            <w:pPr>
              <w:jc w:val="center"/>
              <w:rPr>
                <w:szCs w:val="22"/>
                <w:lang w:val="en-US" w:eastAsia="en-US"/>
              </w:rPr>
            </w:pPr>
          </w:p>
          <w:p w14:paraId="2DC4185B" w14:textId="77777777" w:rsidR="00C83DF1" w:rsidRDefault="00C83DF1" w:rsidP="00C83DF1">
            <w:pPr>
              <w:jc w:val="center"/>
              <w:rPr>
                <w:szCs w:val="22"/>
                <w:lang w:val="en-US" w:eastAsia="en-US"/>
              </w:rPr>
            </w:pPr>
          </w:p>
          <w:p w14:paraId="56E72A42" w14:textId="77777777" w:rsidR="00C83DF1" w:rsidRPr="00C83DF1" w:rsidRDefault="00C83DF1" w:rsidP="00C83DF1">
            <w:pPr>
              <w:jc w:val="center"/>
              <w:rPr>
                <w:szCs w:val="22"/>
                <w:lang w:val="en-US" w:eastAsia="en-US"/>
              </w:rPr>
            </w:pPr>
          </w:p>
          <w:p w14:paraId="7D4CFF96" w14:textId="77777777" w:rsidR="00C83DF1" w:rsidRPr="00C83DF1" w:rsidRDefault="00C83DF1" w:rsidP="00C83DF1">
            <w:pPr>
              <w:jc w:val="center"/>
              <w:rPr>
                <w:szCs w:val="22"/>
                <w:lang w:val="en-US" w:eastAsia="en-US"/>
              </w:rPr>
            </w:pPr>
            <w:r w:rsidRPr="00C83DF1">
              <w:rPr>
                <w:szCs w:val="22"/>
                <w:lang w:val="en-US" w:eastAsia="en-US"/>
              </w:rPr>
              <w:t>0/0</w:t>
            </w:r>
          </w:p>
        </w:tc>
        <w:tc>
          <w:tcPr>
            <w:tcW w:w="383"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DF626FD" w14:textId="77777777" w:rsidR="00C83DF1" w:rsidRPr="00C83DF1" w:rsidRDefault="00C83DF1" w:rsidP="00C83DF1">
            <w:pPr>
              <w:jc w:val="center"/>
              <w:rPr>
                <w:szCs w:val="22"/>
                <w:lang w:val="en-US" w:eastAsia="en-US"/>
              </w:rPr>
            </w:pPr>
          </w:p>
          <w:p w14:paraId="37427760" w14:textId="77777777" w:rsidR="00C83DF1" w:rsidRPr="00C83DF1" w:rsidRDefault="00C83DF1" w:rsidP="00C83DF1">
            <w:pPr>
              <w:jc w:val="center"/>
              <w:rPr>
                <w:szCs w:val="22"/>
                <w:lang w:val="en-US" w:eastAsia="en-US"/>
              </w:rPr>
            </w:pPr>
          </w:p>
          <w:p w14:paraId="0BEA71F3" w14:textId="77777777" w:rsidR="00C83DF1" w:rsidRPr="00C83DF1" w:rsidRDefault="00C83DF1" w:rsidP="00C83DF1">
            <w:pPr>
              <w:jc w:val="center"/>
              <w:rPr>
                <w:szCs w:val="22"/>
                <w:lang w:val="en-US" w:eastAsia="en-US"/>
              </w:rPr>
            </w:pPr>
            <w:r w:rsidRPr="00C83DF1">
              <w:rPr>
                <w:szCs w:val="22"/>
                <w:lang w:val="en-US" w:eastAsia="en-US"/>
              </w:rPr>
              <w:t>n/a</w:t>
            </w:r>
          </w:p>
          <w:p w14:paraId="3C22231C" w14:textId="77777777" w:rsidR="00C83DF1" w:rsidRPr="00C83DF1" w:rsidRDefault="00C83DF1" w:rsidP="00C83DF1">
            <w:pPr>
              <w:jc w:val="center"/>
              <w:rPr>
                <w:szCs w:val="22"/>
                <w:lang w:val="en-US" w:eastAsia="en-US"/>
              </w:rPr>
            </w:pPr>
          </w:p>
          <w:p w14:paraId="04A9CCFB" w14:textId="77777777" w:rsidR="00C83DF1" w:rsidRDefault="00C83DF1" w:rsidP="00C83DF1">
            <w:pPr>
              <w:jc w:val="center"/>
              <w:rPr>
                <w:szCs w:val="22"/>
                <w:lang w:val="en-US" w:eastAsia="en-US"/>
              </w:rPr>
            </w:pPr>
          </w:p>
          <w:p w14:paraId="01296A91" w14:textId="77777777" w:rsidR="00C83DF1" w:rsidRDefault="00C83DF1" w:rsidP="00C83DF1">
            <w:pPr>
              <w:jc w:val="center"/>
              <w:rPr>
                <w:szCs w:val="22"/>
                <w:lang w:val="en-US" w:eastAsia="en-US"/>
              </w:rPr>
            </w:pPr>
          </w:p>
          <w:p w14:paraId="2CE9E4B0" w14:textId="77777777" w:rsidR="00C83DF1" w:rsidRPr="00C83DF1" w:rsidRDefault="00C83DF1" w:rsidP="00C83DF1">
            <w:pPr>
              <w:jc w:val="center"/>
              <w:rPr>
                <w:szCs w:val="22"/>
                <w:lang w:val="en-US" w:eastAsia="en-US"/>
              </w:rPr>
            </w:pPr>
          </w:p>
          <w:p w14:paraId="23F70DA1" w14:textId="77777777" w:rsidR="00C83DF1" w:rsidRPr="00C83DF1" w:rsidRDefault="00C83DF1" w:rsidP="00C83DF1">
            <w:pPr>
              <w:jc w:val="center"/>
              <w:rPr>
                <w:szCs w:val="22"/>
                <w:lang w:val="en-US" w:eastAsia="en-US"/>
              </w:rPr>
            </w:pPr>
            <w:r w:rsidRPr="00C83DF1">
              <w:rPr>
                <w:szCs w:val="22"/>
                <w:lang w:val="en-US" w:eastAsia="en-US"/>
              </w:rPr>
              <w:t>1/1</w:t>
            </w:r>
            <w:r w:rsidRPr="00C83DF1">
              <w:rPr>
                <w:szCs w:val="22"/>
                <w:vertAlign w:val="superscript"/>
                <w:lang w:val="en-US" w:eastAsia="en-US"/>
              </w:rPr>
              <w:t>n</w:t>
            </w:r>
          </w:p>
        </w:tc>
        <w:tc>
          <w:tcPr>
            <w:tcW w:w="302"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D2A8B9" w14:textId="77777777" w:rsidR="00C83DF1" w:rsidRPr="00C83DF1" w:rsidRDefault="00C83DF1" w:rsidP="00C83DF1">
            <w:pPr>
              <w:jc w:val="center"/>
              <w:rPr>
                <w:szCs w:val="22"/>
                <w:lang w:val="en-US" w:eastAsia="en-US"/>
              </w:rPr>
            </w:pPr>
          </w:p>
          <w:p w14:paraId="479FB17D" w14:textId="77777777" w:rsidR="00C83DF1" w:rsidRPr="00C83DF1" w:rsidRDefault="00C83DF1" w:rsidP="00C83DF1">
            <w:pPr>
              <w:jc w:val="center"/>
              <w:rPr>
                <w:szCs w:val="22"/>
                <w:lang w:val="en-US" w:eastAsia="en-US"/>
              </w:rPr>
            </w:pPr>
          </w:p>
          <w:p w14:paraId="5468D656" w14:textId="77777777" w:rsidR="00C83DF1" w:rsidRPr="00C83DF1" w:rsidRDefault="00C83DF1" w:rsidP="00C83DF1">
            <w:pPr>
              <w:jc w:val="center"/>
              <w:rPr>
                <w:szCs w:val="22"/>
                <w:lang w:val="en-US" w:eastAsia="en-US"/>
              </w:rPr>
            </w:pPr>
            <w:r w:rsidRPr="00C83DF1">
              <w:rPr>
                <w:szCs w:val="22"/>
                <w:lang w:val="en-US" w:eastAsia="en-US"/>
              </w:rPr>
              <w:t>n/a</w:t>
            </w:r>
          </w:p>
          <w:p w14:paraId="54F3777C" w14:textId="77777777" w:rsidR="00C83DF1" w:rsidRPr="00C83DF1" w:rsidRDefault="00C83DF1" w:rsidP="00C83DF1">
            <w:pPr>
              <w:jc w:val="center"/>
              <w:rPr>
                <w:szCs w:val="22"/>
                <w:lang w:val="en-US" w:eastAsia="en-US"/>
              </w:rPr>
            </w:pPr>
          </w:p>
          <w:p w14:paraId="1B3BAC83" w14:textId="77777777" w:rsidR="00C83DF1" w:rsidRDefault="00C83DF1" w:rsidP="00C83DF1">
            <w:pPr>
              <w:jc w:val="center"/>
              <w:rPr>
                <w:szCs w:val="22"/>
                <w:lang w:val="en-US" w:eastAsia="en-US"/>
              </w:rPr>
            </w:pPr>
          </w:p>
          <w:p w14:paraId="5B55D69C" w14:textId="77777777" w:rsidR="00C83DF1" w:rsidRDefault="00C83DF1" w:rsidP="00C83DF1">
            <w:pPr>
              <w:jc w:val="center"/>
              <w:rPr>
                <w:szCs w:val="22"/>
                <w:lang w:val="en-US" w:eastAsia="en-US"/>
              </w:rPr>
            </w:pPr>
          </w:p>
          <w:p w14:paraId="07170148" w14:textId="77777777" w:rsidR="00C83DF1" w:rsidRPr="00C83DF1" w:rsidRDefault="00C83DF1" w:rsidP="00C83DF1">
            <w:pPr>
              <w:jc w:val="center"/>
              <w:rPr>
                <w:szCs w:val="22"/>
                <w:lang w:val="en-US" w:eastAsia="en-US"/>
              </w:rPr>
            </w:pPr>
          </w:p>
          <w:p w14:paraId="1898DC22" w14:textId="77777777" w:rsidR="00C83DF1" w:rsidRPr="00C83DF1" w:rsidRDefault="00C83DF1" w:rsidP="00C83DF1">
            <w:pPr>
              <w:jc w:val="center"/>
              <w:rPr>
                <w:szCs w:val="22"/>
                <w:lang w:val="en-US" w:eastAsia="en-US"/>
              </w:rPr>
            </w:pPr>
            <w:r w:rsidRPr="00C83DF1">
              <w:rPr>
                <w:szCs w:val="22"/>
                <w:lang w:val="en-US" w:eastAsia="en-US"/>
              </w:rPr>
              <w:t>0/0</w:t>
            </w:r>
          </w:p>
        </w:tc>
        <w:tc>
          <w:tcPr>
            <w:tcW w:w="304"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41C7F0" w14:textId="77777777" w:rsidR="00C83DF1" w:rsidRPr="00C83DF1" w:rsidRDefault="00C83DF1" w:rsidP="00C83DF1">
            <w:pPr>
              <w:jc w:val="center"/>
              <w:rPr>
                <w:szCs w:val="22"/>
                <w:lang w:val="en-US" w:eastAsia="en-US"/>
              </w:rPr>
            </w:pPr>
          </w:p>
          <w:p w14:paraId="65A015E1" w14:textId="77777777" w:rsidR="00C83DF1" w:rsidRPr="00C83DF1" w:rsidRDefault="00C83DF1" w:rsidP="00C83DF1">
            <w:pPr>
              <w:jc w:val="center"/>
              <w:rPr>
                <w:szCs w:val="22"/>
                <w:lang w:val="en-US" w:eastAsia="en-US"/>
              </w:rPr>
            </w:pPr>
          </w:p>
          <w:p w14:paraId="497454D2" w14:textId="77777777" w:rsidR="00C83DF1" w:rsidRPr="00C83DF1" w:rsidRDefault="00C83DF1" w:rsidP="00C83DF1">
            <w:pPr>
              <w:jc w:val="center"/>
              <w:rPr>
                <w:szCs w:val="22"/>
                <w:lang w:val="en-US" w:eastAsia="en-US"/>
              </w:rPr>
            </w:pPr>
            <w:r w:rsidRPr="00C83DF1">
              <w:rPr>
                <w:szCs w:val="22"/>
                <w:lang w:val="en-US" w:eastAsia="en-US"/>
              </w:rPr>
              <w:t>n/a</w:t>
            </w:r>
          </w:p>
          <w:p w14:paraId="0EE6CE57" w14:textId="77777777" w:rsidR="00C83DF1" w:rsidRPr="00C83DF1" w:rsidRDefault="00C83DF1" w:rsidP="00C83DF1">
            <w:pPr>
              <w:jc w:val="center"/>
              <w:rPr>
                <w:szCs w:val="22"/>
                <w:lang w:val="en-US" w:eastAsia="en-US"/>
              </w:rPr>
            </w:pPr>
          </w:p>
          <w:p w14:paraId="47868F1C" w14:textId="77777777" w:rsidR="00C83DF1" w:rsidRDefault="00C83DF1" w:rsidP="00C83DF1">
            <w:pPr>
              <w:jc w:val="center"/>
              <w:rPr>
                <w:szCs w:val="22"/>
                <w:lang w:val="en-US" w:eastAsia="en-US"/>
              </w:rPr>
            </w:pPr>
          </w:p>
          <w:p w14:paraId="102D0529" w14:textId="77777777" w:rsidR="00C83DF1" w:rsidRDefault="00C83DF1" w:rsidP="00C83DF1">
            <w:pPr>
              <w:jc w:val="center"/>
              <w:rPr>
                <w:szCs w:val="22"/>
                <w:lang w:val="en-US" w:eastAsia="en-US"/>
              </w:rPr>
            </w:pPr>
          </w:p>
          <w:p w14:paraId="2A2B9D29" w14:textId="77777777" w:rsidR="00C83DF1" w:rsidRPr="00C83DF1" w:rsidRDefault="00C83DF1" w:rsidP="00C83DF1">
            <w:pPr>
              <w:jc w:val="center"/>
              <w:rPr>
                <w:szCs w:val="22"/>
                <w:lang w:val="en-US" w:eastAsia="en-US"/>
              </w:rPr>
            </w:pPr>
          </w:p>
          <w:p w14:paraId="6638E843" w14:textId="77777777" w:rsidR="00C83DF1" w:rsidRPr="00C83DF1" w:rsidRDefault="00C83DF1" w:rsidP="00C83DF1">
            <w:pPr>
              <w:jc w:val="center"/>
              <w:rPr>
                <w:szCs w:val="22"/>
                <w:lang w:val="en-US" w:eastAsia="en-US"/>
              </w:rPr>
            </w:pPr>
            <w:r w:rsidRPr="00C83DF1">
              <w:rPr>
                <w:szCs w:val="22"/>
                <w:lang w:val="en-US" w:eastAsia="en-US"/>
              </w:rPr>
              <w:t>0/0</w:t>
            </w:r>
          </w:p>
        </w:tc>
        <w:tc>
          <w:tcPr>
            <w:tcW w:w="380"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0333F49" w14:textId="77777777" w:rsidR="00C83DF1" w:rsidRPr="00C83DF1" w:rsidRDefault="00C83DF1" w:rsidP="00C83DF1">
            <w:pPr>
              <w:jc w:val="center"/>
              <w:rPr>
                <w:szCs w:val="22"/>
                <w:lang w:val="en-US" w:eastAsia="en-US"/>
              </w:rPr>
            </w:pPr>
          </w:p>
          <w:p w14:paraId="390FB168" w14:textId="77777777" w:rsidR="00C83DF1" w:rsidRPr="00C83DF1" w:rsidRDefault="00C83DF1" w:rsidP="00C83DF1">
            <w:pPr>
              <w:jc w:val="center"/>
              <w:rPr>
                <w:szCs w:val="22"/>
                <w:lang w:val="en-US" w:eastAsia="en-US"/>
              </w:rPr>
            </w:pPr>
          </w:p>
          <w:p w14:paraId="2A15AD1D" w14:textId="77777777" w:rsidR="00C83DF1" w:rsidRPr="00C83DF1" w:rsidRDefault="00C83DF1" w:rsidP="00C83DF1">
            <w:pPr>
              <w:jc w:val="center"/>
              <w:rPr>
                <w:szCs w:val="22"/>
                <w:lang w:val="en-US" w:eastAsia="en-US"/>
              </w:rPr>
            </w:pPr>
            <w:r w:rsidRPr="00C83DF1">
              <w:rPr>
                <w:szCs w:val="22"/>
                <w:lang w:val="en-US" w:eastAsia="en-US"/>
              </w:rPr>
              <w:t>n/a</w:t>
            </w:r>
          </w:p>
          <w:p w14:paraId="1C9EEC35" w14:textId="77777777" w:rsidR="00C83DF1" w:rsidRPr="00C83DF1" w:rsidRDefault="00C83DF1" w:rsidP="00C83DF1">
            <w:pPr>
              <w:jc w:val="center"/>
              <w:rPr>
                <w:szCs w:val="22"/>
                <w:lang w:val="en-US" w:eastAsia="en-US"/>
              </w:rPr>
            </w:pPr>
          </w:p>
          <w:p w14:paraId="17D86959" w14:textId="77777777" w:rsidR="00C83DF1" w:rsidRDefault="00C83DF1" w:rsidP="00C83DF1">
            <w:pPr>
              <w:jc w:val="center"/>
              <w:rPr>
                <w:szCs w:val="22"/>
                <w:lang w:val="en-US" w:eastAsia="en-US"/>
              </w:rPr>
            </w:pPr>
          </w:p>
          <w:p w14:paraId="644E48BB" w14:textId="77777777" w:rsidR="00C83DF1" w:rsidRDefault="00C83DF1" w:rsidP="00C83DF1">
            <w:pPr>
              <w:jc w:val="center"/>
              <w:rPr>
                <w:szCs w:val="22"/>
                <w:lang w:val="en-US" w:eastAsia="en-US"/>
              </w:rPr>
            </w:pPr>
          </w:p>
          <w:p w14:paraId="2A492020" w14:textId="77777777" w:rsidR="00C83DF1" w:rsidRPr="00C83DF1" w:rsidRDefault="00C83DF1" w:rsidP="00C83DF1">
            <w:pPr>
              <w:jc w:val="center"/>
              <w:rPr>
                <w:szCs w:val="22"/>
                <w:lang w:val="en-US" w:eastAsia="en-US"/>
              </w:rPr>
            </w:pPr>
          </w:p>
          <w:p w14:paraId="52623E92" w14:textId="77777777" w:rsidR="00C83DF1" w:rsidRPr="00C83DF1" w:rsidRDefault="00C83DF1" w:rsidP="00C83DF1">
            <w:pPr>
              <w:jc w:val="center"/>
              <w:rPr>
                <w:szCs w:val="22"/>
                <w:lang w:val="en-US" w:eastAsia="en-US"/>
              </w:rPr>
            </w:pPr>
            <w:r w:rsidRPr="00C83DF1">
              <w:rPr>
                <w:szCs w:val="22"/>
                <w:lang w:val="en-US" w:eastAsia="en-US"/>
              </w:rPr>
              <w:t>0/0</w:t>
            </w:r>
          </w:p>
        </w:tc>
        <w:tc>
          <w:tcPr>
            <w:tcW w:w="303"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E0743CD" w14:textId="77777777" w:rsidR="00C83DF1" w:rsidRPr="00C83DF1" w:rsidRDefault="00C83DF1" w:rsidP="00C83DF1">
            <w:pPr>
              <w:jc w:val="center"/>
              <w:rPr>
                <w:szCs w:val="22"/>
                <w:lang w:val="en-US" w:eastAsia="en-US"/>
              </w:rPr>
            </w:pPr>
          </w:p>
          <w:p w14:paraId="17C0E45F" w14:textId="77777777" w:rsidR="00C83DF1" w:rsidRPr="00C83DF1" w:rsidRDefault="00C83DF1" w:rsidP="00C83DF1">
            <w:pPr>
              <w:jc w:val="center"/>
              <w:rPr>
                <w:szCs w:val="22"/>
                <w:lang w:val="en-US" w:eastAsia="en-US"/>
              </w:rPr>
            </w:pPr>
          </w:p>
          <w:p w14:paraId="5E05BC45" w14:textId="77777777" w:rsidR="00C83DF1" w:rsidRPr="00C83DF1" w:rsidRDefault="00C83DF1" w:rsidP="00C83DF1">
            <w:pPr>
              <w:jc w:val="center"/>
              <w:rPr>
                <w:szCs w:val="22"/>
                <w:lang w:val="en-US" w:eastAsia="en-US"/>
              </w:rPr>
            </w:pPr>
            <w:r w:rsidRPr="00C83DF1">
              <w:rPr>
                <w:szCs w:val="22"/>
                <w:lang w:val="en-US" w:eastAsia="en-US"/>
              </w:rPr>
              <w:t>n/a</w:t>
            </w:r>
          </w:p>
          <w:p w14:paraId="1D147FE8" w14:textId="77777777" w:rsidR="00C83DF1" w:rsidRPr="00C83DF1" w:rsidRDefault="00C83DF1" w:rsidP="00C83DF1">
            <w:pPr>
              <w:jc w:val="center"/>
              <w:rPr>
                <w:szCs w:val="22"/>
                <w:lang w:val="en-US" w:eastAsia="en-US"/>
              </w:rPr>
            </w:pPr>
          </w:p>
          <w:p w14:paraId="367B9CC8" w14:textId="77777777" w:rsidR="00C83DF1" w:rsidRDefault="00C83DF1" w:rsidP="00C83DF1">
            <w:pPr>
              <w:jc w:val="center"/>
              <w:rPr>
                <w:szCs w:val="22"/>
                <w:lang w:val="en-US" w:eastAsia="en-US"/>
              </w:rPr>
            </w:pPr>
          </w:p>
          <w:p w14:paraId="3F3A72A8" w14:textId="77777777" w:rsidR="00C83DF1" w:rsidRDefault="00C83DF1" w:rsidP="00C83DF1">
            <w:pPr>
              <w:jc w:val="center"/>
              <w:rPr>
                <w:szCs w:val="22"/>
                <w:lang w:val="en-US" w:eastAsia="en-US"/>
              </w:rPr>
            </w:pPr>
          </w:p>
          <w:p w14:paraId="404D743E" w14:textId="77777777" w:rsidR="00C83DF1" w:rsidRPr="00C83DF1" w:rsidRDefault="00C83DF1" w:rsidP="00C83DF1">
            <w:pPr>
              <w:jc w:val="center"/>
              <w:rPr>
                <w:szCs w:val="22"/>
                <w:lang w:val="en-US" w:eastAsia="en-US"/>
              </w:rPr>
            </w:pPr>
          </w:p>
          <w:p w14:paraId="767146DC" w14:textId="77777777" w:rsidR="00C83DF1" w:rsidRPr="00C83DF1" w:rsidRDefault="00C83DF1" w:rsidP="00C83DF1">
            <w:pPr>
              <w:jc w:val="center"/>
              <w:rPr>
                <w:szCs w:val="22"/>
                <w:lang w:val="en-US" w:eastAsia="en-US"/>
              </w:rPr>
            </w:pPr>
            <w:r w:rsidRPr="00C83DF1">
              <w:rPr>
                <w:szCs w:val="22"/>
                <w:lang w:val="en-US" w:eastAsia="en-US"/>
              </w:rPr>
              <w:t>0/0</w:t>
            </w:r>
            <w:r w:rsidRPr="00C83DF1">
              <w:rPr>
                <w:szCs w:val="22"/>
                <w:vertAlign w:val="superscript"/>
                <w:lang w:val="en-US" w:eastAsia="en-US"/>
              </w:rPr>
              <w:t>k</w:t>
            </w:r>
          </w:p>
        </w:tc>
        <w:tc>
          <w:tcPr>
            <w:tcW w:w="380"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2B86C0A" w14:textId="77777777" w:rsidR="00C83DF1" w:rsidRPr="00C83DF1" w:rsidRDefault="00C83DF1" w:rsidP="00C83DF1">
            <w:pPr>
              <w:jc w:val="center"/>
              <w:rPr>
                <w:szCs w:val="22"/>
                <w:lang w:val="en-US" w:eastAsia="en-US"/>
              </w:rPr>
            </w:pPr>
          </w:p>
          <w:p w14:paraId="2815C13B" w14:textId="77777777" w:rsidR="00C83DF1" w:rsidRPr="00C83DF1" w:rsidRDefault="00C83DF1" w:rsidP="00C83DF1">
            <w:pPr>
              <w:jc w:val="center"/>
              <w:rPr>
                <w:szCs w:val="22"/>
                <w:lang w:val="en-US" w:eastAsia="en-US"/>
              </w:rPr>
            </w:pPr>
          </w:p>
          <w:p w14:paraId="65A2C92D" w14:textId="77777777" w:rsidR="00C83DF1" w:rsidRPr="00C83DF1" w:rsidRDefault="00C83DF1" w:rsidP="00C83DF1">
            <w:pPr>
              <w:jc w:val="center"/>
              <w:rPr>
                <w:szCs w:val="22"/>
                <w:lang w:val="en-US" w:eastAsia="en-US"/>
              </w:rPr>
            </w:pPr>
            <w:r w:rsidRPr="00C83DF1">
              <w:rPr>
                <w:szCs w:val="22"/>
                <w:lang w:val="en-US" w:eastAsia="en-US"/>
              </w:rPr>
              <w:t>n/a</w:t>
            </w:r>
          </w:p>
          <w:p w14:paraId="310CADE6" w14:textId="77777777" w:rsidR="00C83DF1" w:rsidRPr="00C83DF1" w:rsidRDefault="00C83DF1" w:rsidP="00C83DF1">
            <w:pPr>
              <w:jc w:val="center"/>
              <w:rPr>
                <w:szCs w:val="22"/>
                <w:lang w:val="en-US" w:eastAsia="en-US"/>
              </w:rPr>
            </w:pPr>
          </w:p>
          <w:p w14:paraId="4E780F45" w14:textId="77777777" w:rsidR="00C83DF1" w:rsidRDefault="00C83DF1" w:rsidP="00C83DF1">
            <w:pPr>
              <w:jc w:val="center"/>
              <w:rPr>
                <w:szCs w:val="22"/>
                <w:lang w:val="en-US" w:eastAsia="en-US"/>
              </w:rPr>
            </w:pPr>
          </w:p>
          <w:p w14:paraId="6EEEA52D" w14:textId="77777777" w:rsidR="00C83DF1" w:rsidRDefault="00C83DF1" w:rsidP="00C83DF1">
            <w:pPr>
              <w:jc w:val="center"/>
              <w:rPr>
                <w:szCs w:val="22"/>
                <w:lang w:val="en-US" w:eastAsia="en-US"/>
              </w:rPr>
            </w:pPr>
          </w:p>
          <w:p w14:paraId="5443AAC1" w14:textId="77777777" w:rsidR="00C83DF1" w:rsidRPr="00C83DF1" w:rsidRDefault="00C83DF1" w:rsidP="00C83DF1">
            <w:pPr>
              <w:jc w:val="center"/>
              <w:rPr>
                <w:szCs w:val="22"/>
                <w:lang w:val="en-US" w:eastAsia="en-US"/>
              </w:rPr>
            </w:pPr>
          </w:p>
          <w:p w14:paraId="42FA8E3F" w14:textId="77777777" w:rsidR="00C83DF1" w:rsidRPr="00C83DF1" w:rsidRDefault="00C83DF1" w:rsidP="00C83DF1">
            <w:pPr>
              <w:jc w:val="center"/>
              <w:rPr>
                <w:szCs w:val="22"/>
                <w:lang w:val="en-US" w:eastAsia="en-US"/>
              </w:rPr>
            </w:pPr>
            <w:r w:rsidRPr="00C83DF1">
              <w:rPr>
                <w:szCs w:val="22"/>
                <w:lang w:val="en-US" w:eastAsia="en-US"/>
              </w:rPr>
              <w:t>1/1</w:t>
            </w:r>
            <w:r w:rsidRPr="00C83DF1">
              <w:rPr>
                <w:szCs w:val="22"/>
                <w:vertAlign w:val="superscript"/>
                <w:lang w:val="en-US" w:eastAsia="en-US"/>
              </w:rPr>
              <w:t>n</w:t>
            </w:r>
          </w:p>
        </w:tc>
        <w:tc>
          <w:tcPr>
            <w:tcW w:w="360" w:type="pct"/>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2FE274" w14:textId="77777777" w:rsidR="00C83DF1" w:rsidRPr="00C83DF1" w:rsidRDefault="00C83DF1" w:rsidP="00C83DF1">
            <w:pPr>
              <w:jc w:val="center"/>
              <w:rPr>
                <w:szCs w:val="22"/>
                <w:lang w:val="en-US" w:eastAsia="en-US"/>
              </w:rPr>
            </w:pPr>
          </w:p>
          <w:p w14:paraId="450F2E45" w14:textId="77777777" w:rsidR="00C83DF1" w:rsidRPr="00C83DF1" w:rsidRDefault="00C83DF1" w:rsidP="00C83DF1">
            <w:pPr>
              <w:jc w:val="center"/>
              <w:rPr>
                <w:szCs w:val="22"/>
                <w:lang w:val="en-US" w:eastAsia="en-US"/>
              </w:rPr>
            </w:pPr>
          </w:p>
          <w:p w14:paraId="726ED465" w14:textId="77777777" w:rsidR="00C83DF1" w:rsidRPr="00C83DF1" w:rsidRDefault="00C83DF1" w:rsidP="00C83DF1">
            <w:pPr>
              <w:jc w:val="center"/>
              <w:rPr>
                <w:szCs w:val="22"/>
                <w:lang w:val="en-US" w:eastAsia="en-US"/>
              </w:rPr>
            </w:pPr>
            <w:r w:rsidRPr="00C83DF1">
              <w:rPr>
                <w:szCs w:val="22"/>
                <w:lang w:val="en-US" w:eastAsia="en-US"/>
              </w:rPr>
              <w:t>n/a</w:t>
            </w:r>
          </w:p>
          <w:p w14:paraId="20D723E6" w14:textId="77777777" w:rsidR="00C83DF1" w:rsidRPr="00C83DF1" w:rsidRDefault="00C83DF1" w:rsidP="00C83DF1">
            <w:pPr>
              <w:jc w:val="center"/>
              <w:rPr>
                <w:szCs w:val="22"/>
                <w:lang w:val="en-US" w:eastAsia="en-US"/>
              </w:rPr>
            </w:pPr>
          </w:p>
          <w:p w14:paraId="7888F61C" w14:textId="77777777" w:rsidR="00C83DF1" w:rsidRDefault="00C83DF1" w:rsidP="00C83DF1">
            <w:pPr>
              <w:jc w:val="center"/>
              <w:rPr>
                <w:szCs w:val="22"/>
                <w:lang w:val="en-US" w:eastAsia="en-US"/>
              </w:rPr>
            </w:pPr>
          </w:p>
          <w:p w14:paraId="39567BEB" w14:textId="77777777" w:rsidR="00C83DF1" w:rsidRDefault="00C83DF1" w:rsidP="00C83DF1">
            <w:pPr>
              <w:jc w:val="center"/>
              <w:rPr>
                <w:szCs w:val="22"/>
                <w:lang w:val="en-US" w:eastAsia="en-US"/>
              </w:rPr>
            </w:pPr>
          </w:p>
          <w:p w14:paraId="45DCC801" w14:textId="77777777" w:rsidR="00C83DF1" w:rsidRPr="00C83DF1" w:rsidRDefault="00C83DF1" w:rsidP="00C83DF1">
            <w:pPr>
              <w:jc w:val="center"/>
              <w:rPr>
                <w:szCs w:val="22"/>
                <w:lang w:val="en-US" w:eastAsia="en-US"/>
              </w:rPr>
            </w:pPr>
          </w:p>
          <w:p w14:paraId="41F19BD7" w14:textId="77777777" w:rsidR="00C83DF1" w:rsidRPr="00C83DF1" w:rsidRDefault="00C83DF1" w:rsidP="00C83DF1">
            <w:pPr>
              <w:jc w:val="center"/>
              <w:rPr>
                <w:szCs w:val="22"/>
                <w:lang w:val="en-US" w:eastAsia="en-US"/>
              </w:rPr>
            </w:pPr>
            <w:r w:rsidRPr="00C83DF1">
              <w:rPr>
                <w:szCs w:val="22"/>
                <w:lang w:val="en-US" w:eastAsia="en-US"/>
              </w:rPr>
              <w:t>1/1</w:t>
            </w:r>
            <w:r w:rsidRPr="00C83DF1">
              <w:rPr>
                <w:szCs w:val="22"/>
                <w:vertAlign w:val="superscript"/>
                <w:lang w:val="en-US" w:eastAsia="en-US"/>
              </w:rPr>
              <w:t>n</w:t>
            </w:r>
          </w:p>
        </w:tc>
      </w:tr>
    </w:tbl>
    <w:p w14:paraId="7529C1BD" w14:textId="77777777" w:rsidR="00C83DF1" w:rsidRPr="00C83DF1" w:rsidRDefault="00C83DF1" w:rsidP="00C83DF1">
      <w:pPr>
        <w:tabs>
          <w:tab w:val="left" w:pos="567"/>
        </w:tabs>
        <w:ind w:left="142" w:hanging="142"/>
        <w:rPr>
          <w:sz w:val="20"/>
          <w:lang w:eastAsia="en-US"/>
        </w:rPr>
      </w:pPr>
      <w:r w:rsidRPr="00A47C6D">
        <w:rPr>
          <w:szCs w:val="22"/>
          <w:vertAlign w:val="superscript"/>
          <w:lang w:eastAsia="en-US"/>
        </w:rPr>
        <w:t xml:space="preserve">a </w:t>
      </w:r>
      <w:r w:rsidRPr="00C83DF1">
        <w:rPr>
          <w:sz w:val="20"/>
          <w:lang w:eastAsia="en-US"/>
        </w:rPr>
        <w:t>Pagrįsta ilg</w:t>
      </w:r>
      <w:r w:rsidR="00A47C6D">
        <w:rPr>
          <w:sz w:val="20"/>
          <w:lang w:eastAsia="en-US"/>
        </w:rPr>
        <w:t>alaikio</w:t>
      </w:r>
      <w:r w:rsidRPr="00C83DF1">
        <w:rPr>
          <w:sz w:val="20"/>
          <w:lang w:eastAsia="en-US"/>
        </w:rPr>
        <w:t xml:space="preserve"> vertinimo algoritmu (LTE (</w:t>
      </w:r>
      <w:r w:rsidR="00C0675B">
        <w:rPr>
          <w:sz w:val="20"/>
          <w:lang w:eastAsia="en-US"/>
        </w:rPr>
        <w:t xml:space="preserve">angl. </w:t>
      </w:r>
      <w:r w:rsidRPr="00164838">
        <w:rPr>
          <w:i/>
          <w:sz w:val="20"/>
          <w:lang w:eastAsia="en-US"/>
        </w:rPr>
        <w:t>Long Term Evaluation</w:t>
      </w:r>
      <w:r w:rsidRPr="00C83DF1">
        <w:rPr>
          <w:sz w:val="20"/>
          <w:lang w:eastAsia="en-US"/>
        </w:rPr>
        <w:t>) analizė) - pacientai, kurie nutraukė tyrimą bet kuriuo metu iki 384-osios savaitės dėl protokolo nustatytos vertinamosios baigties bei pacientai, baigę 384 savaičių gydymą, buvo įtraukti į vardiklį.</w:t>
      </w:r>
    </w:p>
    <w:p w14:paraId="5DFA7328" w14:textId="0187D009" w:rsidR="00C83DF1" w:rsidRPr="00C83DF1" w:rsidRDefault="00C83DF1" w:rsidP="00C83DF1">
      <w:pPr>
        <w:tabs>
          <w:tab w:val="left" w:pos="567"/>
        </w:tabs>
        <w:ind w:left="142" w:hanging="142"/>
        <w:rPr>
          <w:sz w:val="20"/>
          <w:lang w:eastAsia="en-US"/>
        </w:rPr>
      </w:pPr>
      <w:r w:rsidRPr="00A47C6D">
        <w:rPr>
          <w:sz w:val="20"/>
          <w:vertAlign w:val="superscript"/>
          <w:lang w:eastAsia="en-US"/>
        </w:rPr>
        <w:t xml:space="preserve">b </w:t>
      </w:r>
      <w:r w:rsidRPr="00C83DF1">
        <w:rPr>
          <w:sz w:val="20"/>
          <w:lang w:eastAsia="en-US"/>
        </w:rPr>
        <w:t xml:space="preserve">48 savaičių dvigubai koduotas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po kurio buvo vykdomas 48 savaičių atviras gydymas.</w:t>
      </w:r>
    </w:p>
    <w:p w14:paraId="6C20BD57" w14:textId="2D2CDDD6" w:rsidR="00C83DF1" w:rsidRPr="00C83DF1" w:rsidRDefault="00C83DF1" w:rsidP="00C83DF1">
      <w:pPr>
        <w:tabs>
          <w:tab w:val="left" w:pos="567"/>
        </w:tabs>
        <w:ind w:left="142" w:hanging="142"/>
        <w:rPr>
          <w:sz w:val="20"/>
          <w:lang w:eastAsia="en-US"/>
        </w:rPr>
      </w:pPr>
      <w:r w:rsidRPr="00A47C6D">
        <w:rPr>
          <w:sz w:val="20"/>
          <w:vertAlign w:val="superscript"/>
          <w:lang w:eastAsia="en-US"/>
        </w:rPr>
        <w:t>c</w:t>
      </w:r>
      <w:r w:rsidRPr="00C83DF1">
        <w:rPr>
          <w:sz w:val="20"/>
          <w:lang w:eastAsia="en-US"/>
        </w:rPr>
        <w:t xml:space="preserve"> 48 savaičių dvigubai koduotas gydymas </w:t>
      </w:r>
      <w:r w:rsidR="008A4C9B" w:rsidRPr="00C83DF1">
        <w:rPr>
          <w:sz w:val="20"/>
          <w:lang w:eastAsia="en-US"/>
        </w:rPr>
        <w:t>adefovir</w:t>
      </w:r>
      <w:r w:rsidR="008A4C9B">
        <w:rPr>
          <w:sz w:val="20"/>
          <w:lang w:eastAsia="en-US"/>
        </w:rPr>
        <w:t>u</w:t>
      </w:r>
      <w:r w:rsidR="008A4C9B" w:rsidRPr="00C83DF1">
        <w:rPr>
          <w:sz w:val="20"/>
          <w:lang w:eastAsia="en-US"/>
        </w:rPr>
        <w:t xml:space="preserve"> </w:t>
      </w:r>
      <w:r w:rsidRPr="00C83DF1">
        <w:rPr>
          <w:sz w:val="20"/>
          <w:lang w:eastAsia="en-US"/>
        </w:rPr>
        <w:t xml:space="preserve">dipivoksiliu, po kurio buvo vykdomas 48 savaičių atviras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xml:space="preserve"> </w:t>
      </w:r>
    </w:p>
    <w:p w14:paraId="3F0C9D74" w14:textId="1F546E54" w:rsidR="00C83DF1" w:rsidRPr="00C83DF1" w:rsidRDefault="00C83DF1" w:rsidP="00C83DF1">
      <w:pPr>
        <w:tabs>
          <w:tab w:val="left" w:pos="567"/>
        </w:tabs>
        <w:ind w:left="142" w:hanging="142"/>
        <w:rPr>
          <w:sz w:val="20"/>
          <w:lang w:eastAsia="en-US"/>
        </w:rPr>
      </w:pPr>
      <w:r w:rsidRPr="00A47C6D">
        <w:rPr>
          <w:sz w:val="20"/>
          <w:vertAlign w:val="superscript"/>
          <w:lang w:eastAsia="en-US"/>
        </w:rPr>
        <w:lastRenderedPageBreak/>
        <w:t xml:space="preserve">d </w:t>
      </w:r>
      <w:r w:rsidRPr="00C83DF1">
        <w:rPr>
          <w:sz w:val="20"/>
          <w:lang w:eastAsia="en-US"/>
        </w:rPr>
        <w:t xml:space="preserve">ALT </w:t>
      </w:r>
      <w:r w:rsidR="00A47C6D">
        <w:rPr>
          <w:sz w:val="20"/>
          <w:lang w:eastAsia="en-US"/>
        </w:rPr>
        <w:t>sunormalėjimo</w:t>
      </w:r>
      <w:r w:rsidRPr="00C83DF1">
        <w:rPr>
          <w:sz w:val="20"/>
          <w:lang w:eastAsia="en-US"/>
        </w:rPr>
        <w:t xml:space="preserve"> tyrimai buvo atliekami </w:t>
      </w:r>
      <w:r w:rsidR="00A47C6D">
        <w:rPr>
          <w:sz w:val="20"/>
          <w:lang w:eastAsia="en-US"/>
        </w:rPr>
        <w:t>tik</w:t>
      </w:r>
      <w:r w:rsidR="00DD401C">
        <w:rPr>
          <w:sz w:val="20"/>
          <w:lang w:eastAsia="en-US"/>
        </w:rPr>
        <w:t xml:space="preserve"> </w:t>
      </w:r>
      <w:r w:rsidRPr="00C83DF1">
        <w:rPr>
          <w:sz w:val="20"/>
          <w:lang w:eastAsia="en-US"/>
        </w:rPr>
        <w:t xml:space="preserve">pacientams, kurių </w:t>
      </w:r>
      <w:r w:rsidR="00A47C6D">
        <w:rPr>
          <w:sz w:val="20"/>
          <w:lang w:eastAsia="en-US"/>
        </w:rPr>
        <w:t xml:space="preserve">pradinis </w:t>
      </w:r>
      <w:r w:rsidRPr="00C83DF1">
        <w:rPr>
          <w:sz w:val="20"/>
          <w:lang w:eastAsia="en-US"/>
        </w:rPr>
        <w:t xml:space="preserve">ALT </w:t>
      </w:r>
      <w:r w:rsidR="00A47C6D">
        <w:rPr>
          <w:sz w:val="20"/>
          <w:lang w:eastAsia="en-US"/>
        </w:rPr>
        <w:t xml:space="preserve">aktyvumo </w:t>
      </w:r>
      <w:r w:rsidRPr="00C83DF1">
        <w:rPr>
          <w:sz w:val="20"/>
          <w:lang w:eastAsia="en-US"/>
        </w:rPr>
        <w:t xml:space="preserve">padidėjimas buvo aukščiau </w:t>
      </w:r>
      <w:r w:rsidR="00A47C6D">
        <w:rPr>
          <w:sz w:val="20"/>
          <w:lang w:eastAsia="en-US"/>
        </w:rPr>
        <w:t xml:space="preserve">viršutinės </w:t>
      </w:r>
      <w:r w:rsidRPr="00C83DF1">
        <w:rPr>
          <w:sz w:val="20"/>
          <w:lang w:eastAsia="en-US"/>
        </w:rPr>
        <w:t>normos rib</w:t>
      </w:r>
      <w:r w:rsidR="00A47C6D">
        <w:rPr>
          <w:sz w:val="20"/>
          <w:lang w:eastAsia="en-US"/>
        </w:rPr>
        <w:t>os</w:t>
      </w:r>
      <w:r w:rsidRPr="00C83DF1">
        <w:rPr>
          <w:sz w:val="20"/>
          <w:lang w:eastAsia="en-US"/>
        </w:rPr>
        <w:t>.</w:t>
      </w:r>
    </w:p>
    <w:p w14:paraId="620145E1" w14:textId="05195CB1" w:rsidR="00C83DF1" w:rsidRPr="00C83DF1" w:rsidRDefault="00C83DF1" w:rsidP="00C83DF1">
      <w:pPr>
        <w:tabs>
          <w:tab w:val="left" w:pos="567"/>
        </w:tabs>
        <w:ind w:left="142" w:hanging="142"/>
        <w:rPr>
          <w:sz w:val="20"/>
          <w:lang w:eastAsia="en-US"/>
        </w:rPr>
      </w:pPr>
      <w:r w:rsidRPr="00A47C6D">
        <w:rPr>
          <w:sz w:val="20"/>
          <w:vertAlign w:val="superscript"/>
          <w:lang w:eastAsia="en-US"/>
        </w:rPr>
        <w:t>e</w:t>
      </w:r>
      <w:r w:rsidRPr="00C83DF1">
        <w:rPr>
          <w:sz w:val="20"/>
          <w:lang w:eastAsia="en-US"/>
        </w:rPr>
        <w:t xml:space="preserve"> 48 savaičių dvigubai koduotas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po kurio buvo vykdomas 96 savaičių atviras gydymas.</w:t>
      </w:r>
    </w:p>
    <w:p w14:paraId="65E2A14D" w14:textId="2AC0BD6E" w:rsidR="00C83DF1" w:rsidRPr="00C83DF1" w:rsidRDefault="00C83DF1" w:rsidP="00C83DF1">
      <w:pPr>
        <w:tabs>
          <w:tab w:val="left" w:pos="567"/>
        </w:tabs>
        <w:ind w:left="142" w:hanging="142"/>
        <w:rPr>
          <w:sz w:val="20"/>
          <w:lang w:eastAsia="en-US"/>
        </w:rPr>
      </w:pPr>
      <w:r w:rsidRPr="00A47C6D">
        <w:rPr>
          <w:sz w:val="20"/>
          <w:vertAlign w:val="superscript"/>
          <w:lang w:eastAsia="en-US"/>
        </w:rPr>
        <w:t>f</w:t>
      </w:r>
      <w:r w:rsidRPr="00C83DF1">
        <w:rPr>
          <w:sz w:val="20"/>
          <w:lang w:eastAsia="en-US"/>
        </w:rPr>
        <w:t xml:space="preserve"> 48 savaičių dvigubai koduotas gydymas </w:t>
      </w:r>
      <w:r w:rsidR="008A4C9B" w:rsidRPr="00C83DF1">
        <w:rPr>
          <w:sz w:val="20"/>
          <w:lang w:eastAsia="en-US"/>
        </w:rPr>
        <w:t>adefovir</w:t>
      </w:r>
      <w:r w:rsidR="008A4C9B">
        <w:rPr>
          <w:sz w:val="20"/>
          <w:lang w:eastAsia="en-US"/>
        </w:rPr>
        <w:t>u</w:t>
      </w:r>
      <w:r w:rsidR="008A4C9B" w:rsidRPr="00C83DF1">
        <w:rPr>
          <w:sz w:val="20"/>
          <w:lang w:eastAsia="en-US"/>
        </w:rPr>
        <w:t xml:space="preserve"> </w:t>
      </w:r>
      <w:r w:rsidRPr="00C83DF1">
        <w:rPr>
          <w:sz w:val="20"/>
          <w:lang w:eastAsia="en-US"/>
        </w:rPr>
        <w:t xml:space="preserve">dipivoksiliu, po kurio buvo vykdomas 96 savaičių atviras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w:t>
      </w:r>
    </w:p>
    <w:p w14:paraId="4252FBA3" w14:textId="3F2FE939" w:rsidR="004F3990" w:rsidRPr="00C83DF1" w:rsidRDefault="00C83DF1" w:rsidP="00C83DF1">
      <w:pPr>
        <w:tabs>
          <w:tab w:val="left" w:pos="567"/>
        </w:tabs>
        <w:ind w:left="142" w:hanging="142"/>
        <w:rPr>
          <w:sz w:val="20"/>
          <w:lang w:eastAsia="en-US"/>
        </w:rPr>
      </w:pPr>
      <w:r w:rsidRPr="00A47C6D">
        <w:rPr>
          <w:sz w:val="20"/>
          <w:vertAlign w:val="superscript"/>
          <w:lang w:eastAsia="en-US"/>
        </w:rPr>
        <w:t>g</w:t>
      </w:r>
      <w:r w:rsidRPr="00C83DF1">
        <w:rPr>
          <w:sz w:val="20"/>
          <w:lang w:eastAsia="en-US"/>
        </w:rPr>
        <w:t xml:space="preserve"> 48 savaičių dvigubai koduotas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po kurio buvo vykdomas 144 savaičių atviras gydymas.</w:t>
      </w:r>
    </w:p>
    <w:p w14:paraId="048C6EF1" w14:textId="6E5CD451" w:rsidR="00C83DF1" w:rsidRPr="00C83DF1" w:rsidRDefault="00C83DF1" w:rsidP="00C83DF1">
      <w:pPr>
        <w:tabs>
          <w:tab w:val="left" w:pos="567"/>
        </w:tabs>
        <w:ind w:left="142" w:hanging="142"/>
        <w:rPr>
          <w:sz w:val="20"/>
          <w:lang w:eastAsia="en-US"/>
        </w:rPr>
      </w:pPr>
      <w:r w:rsidRPr="00A47C6D">
        <w:rPr>
          <w:sz w:val="20"/>
          <w:vertAlign w:val="superscript"/>
          <w:lang w:eastAsia="en-US"/>
        </w:rPr>
        <w:t>h</w:t>
      </w:r>
      <w:r w:rsidRPr="00C83DF1">
        <w:rPr>
          <w:sz w:val="20"/>
          <w:lang w:eastAsia="en-US"/>
        </w:rPr>
        <w:t xml:space="preserve"> 48 savaičių dvigubai koduotas gydymas </w:t>
      </w:r>
      <w:r w:rsidR="008A4C9B" w:rsidRPr="00C83DF1">
        <w:rPr>
          <w:sz w:val="20"/>
          <w:lang w:eastAsia="en-US"/>
        </w:rPr>
        <w:t>adefovir</w:t>
      </w:r>
      <w:r w:rsidR="008A4C9B">
        <w:rPr>
          <w:sz w:val="20"/>
          <w:lang w:eastAsia="en-US"/>
        </w:rPr>
        <w:t>u</w:t>
      </w:r>
      <w:r w:rsidR="008A4C9B" w:rsidRPr="00C83DF1">
        <w:rPr>
          <w:sz w:val="20"/>
          <w:lang w:eastAsia="en-US"/>
        </w:rPr>
        <w:t xml:space="preserve"> </w:t>
      </w:r>
      <w:r w:rsidRPr="00C83DF1">
        <w:rPr>
          <w:sz w:val="20"/>
          <w:lang w:eastAsia="en-US"/>
        </w:rPr>
        <w:t xml:space="preserve">dipivoksiliu, po kurio buvo vykdomas 144 savaičių atviras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w:t>
      </w:r>
    </w:p>
    <w:p w14:paraId="1A88B50C" w14:textId="7A4A2334" w:rsidR="00C83DF1" w:rsidRPr="00C83DF1" w:rsidRDefault="00C83DF1" w:rsidP="00C83DF1">
      <w:pPr>
        <w:tabs>
          <w:tab w:val="left" w:pos="567"/>
        </w:tabs>
        <w:ind w:left="142" w:hanging="142"/>
        <w:rPr>
          <w:sz w:val="20"/>
          <w:lang w:eastAsia="en-US"/>
        </w:rPr>
      </w:pPr>
      <w:r w:rsidRPr="00A47C6D">
        <w:rPr>
          <w:sz w:val="20"/>
          <w:vertAlign w:val="superscript"/>
          <w:lang w:eastAsia="en-US"/>
        </w:rPr>
        <w:t>i</w:t>
      </w:r>
      <w:r w:rsidRPr="00C83DF1">
        <w:rPr>
          <w:sz w:val="20"/>
          <w:lang w:eastAsia="en-US"/>
        </w:rPr>
        <w:t xml:space="preserve"> 48 savaičių dvigubai koduotas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po kurio buvo vykdomas 192 savaičių atviras gydymas.</w:t>
      </w:r>
    </w:p>
    <w:p w14:paraId="09964842" w14:textId="65341FCF" w:rsidR="00C83DF1" w:rsidRPr="00C83DF1" w:rsidRDefault="00C83DF1" w:rsidP="00C83DF1">
      <w:pPr>
        <w:tabs>
          <w:tab w:val="left" w:pos="567"/>
        </w:tabs>
        <w:ind w:left="142" w:hanging="142"/>
        <w:rPr>
          <w:sz w:val="20"/>
          <w:lang w:eastAsia="en-US"/>
        </w:rPr>
      </w:pPr>
      <w:r w:rsidRPr="00A47C6D">
        <w:rPr>
          <w:sz w:val="20"/>
          <w:vertAlign w:val="superscript"/>
          <w:lang w:eastAsia="en-US"/>
        </w:rPr>
        <w:t>j</w:t>
      </w:r>
      <w:r w:rsidRPr="00C83DF1">
        <w:rPr>
          <w:sz w:val="20"/>
          <w:lang w:eastAsia="en-US"/>
        </w:rPr>
        <w:t xml:space="preserve"> 48 savaičių dvigubai koduotas gydymas </w:t>
      </w:r>
      <w:r w:rsidR="008A4C9B" w:rsidRPr="00C83DF1">
        <w:rPr>
          <w:sz w:val="20"/>
          <w:lang w:eastAsia="en-US"/>
        </w:rPr>
        <w:t>adefovir</w:t>
      </w:r>
      <w:r w:rsidR="008A4C9B">
        <w:rPr>
          <w:sz w:val="20"/>
          <w:lang w:eastAsia="en-US"/>
        </w:rPr>
        <w:t>u</w:t>
      </w:r>
      <w:r w:rsidR="008A4C9B" w:rsidRPr="00C83DF1">
        <w:rPr>
          <w:sz w:val="20"/>
          <w:lang w:eastAsia="en-US"/>
        </w:rPr>
        <w:t xml:space="preserve"> </w:t>
      </w:r>
      <w:r w:rsidRPr="00C83DF1">
        <w:rPr>
          <w:sz w:val="20"/>
          <w:lang w:eastAsia="en-US"/>
        </w:rPr>
        <w:t xml:space="preserve">dipivoksiliu, po kurio buvo vykdomas 192 savaičių atviras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w:t>
      </w:r>
    </w:p>
    <w:p w14:paraId="655EB69C" w14:textId="77777777" w:rsidR="00C83DF1" w:rsidRPr="00C83DF1" w:rsidRDefault="00C83DF1" w:rsidP="00C83DF1">
      <w:pPr>
        <w:tabs>
          <w:tab w:val="left" w:pos="567"/>
        </w:tabs>
        <w:ind w:left="142" w:hanging="142"/>
        <w:rPr>
          <w:sz w:val="20"/>
          <w:lang w:eastAsia="en-US"/>
        </w:rPr>
      </w:pPr>
      <w:r w:rsidRPr="00A47C6D">
        <w:rPr>
          <w:sz w:val="20"/>
          <w:vertAlign w:val="superscript"/>
          <w:lang w:eastAsia="en-US"/>
        </w:rPr>
        <w:t>k</w:t>
      </w:r>
      <w:r w:rsidRPr="00C83DF1">
        <w:rPr>
          <w:sz w:val="20"/>
          <w:lang w:eastAsia="en-US"/>
        </w:rPr>
        <w:t xml:space="preserve"> Vienas šios grupės pacientas pirmą kartą tapo HBsAg neigiamu 240-osios savaitės apsilankymo metu ir paskutinę duomenų rinkimo dieną toliau dalyvavo tyrime. Tačiau kito apsilankymo metu buvo galiausiai patvirtintas tiriamojo HBsAg nebuvimas.</w:t>
      </w:r>
    </w:p>
    <w:p w14:paraId="7D906612" w14:textId="1BB52DA8" w:rsidR="00C83DF1" w:rsidRPr="00C83DF1" w:rsidRDefault="00C83DF1" w:rsidP="00C83DF1">
      <w:pPr>
        <w:tabs>
          <w:tab w:val="left" w:pos="567"/>
        </w:tabs>
        <w:ind w:left="142" w:hanging="142"/>
        <w:rPr>
          <w:sz w:val="20"/>
          <w:lang w:eastAsia="en-US"/>
        </w:rPr>
      </w:pPr>
      <w:r w:rsidRPr="00A47C6D">
        <w:rPr>
          <w:sz w:val="20"/>
          <w:vertAlign w:val="superscript"/>
          <w:lang w:eastAsia="en-US"/>
        </w:rPr>
        <w:t>l</w:t>
      </w:r>
      <w:r w:rsidRPr="00C83DF1">
        <w:rPr>
          <w:sz w:val="20"/>
          <w:lang w:eastAsia="en-US"/>
        </w:rPr>
        <w:t xml:space="preserve"> 48 savaičių dvigubai koduotas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po kurio buvo vykdomas 240 savaičių atviras gydymas.</w:t>
      </w:r>
    </w:p>
    <w:p w14:paraId="27A8B3DB" w14:textId="2D45C5C8" w:rsidR="00C83DF1" w:rsidRPr="00C83DF1" w:rsidRDefault="00C83DF1" w:rsidP="00C83DF1">
      <w:pPr>
        <w:tabs>
          <w:tab w:val="left" w:pos="567"/>
        </w:tabs>
        <w:ind w:left="142" w:hanging="142"/>
        <w:rPr>
          <w:sz w:val="20"/>
          <w:lang w:eastAsia="en-US"/>
        </w:rPr>
      </w:pPr>
      <w:r w:rsidRPr="00A47C6D">
        <w:rPr>
          <w:sz w:val="20"/>
          <w:vertAlign w:val="superscript"/>
          <w:lang w:eastAsia="en-US"/>
        </w:rPr>
        <w:t>m</w:t>
      </w:r>
      <w:r w:rsidRPr="00C83DF1">
        <w:rPr>
          <w:sz w:val="20"/>
          <w:lang w:eastAsia="en-US"/>
        </w:rPr>
        <w:t xml:space="preserve"> 48 savaičių dvigubai koduotas gydymas </w:t>
      </w:r>
      <w:r w:rsidR="008A4C9B" w:rsidRPr="00C83DF1">
        <w:rPr>
          <w:sz w:val="20"/>
          <w:lang w:eastAsia="en-US"/>
        </w:rPr>
        <w:t>adefovir</w:t>
      </w:r>
      <w:r w:rsidR="008A4C9B">
        <w:rPr>
          <w:sz w:val="20"/>
          <w:lang w:eastAsia="en-US"/>
        </w:rPr>
        <w:t>u</w:t>
      </w:r>
      <w:r w:rsidR="008A4C9B" w:rsidRPr="00C83DF1">
        <w:rPr>
          <w:sz w:val="20"/>
          <w:lang w:eastAsia="en-US"/>
        </w:rPr>
        <w:t xml:space="preserve"> </w:t>
      </w:r>
      <w:r w:rsidRPr="00C83DF1">
        <w:rPr>
          <w:sz w:val="20"/>
          <w:lang w:eastAsia="en-US"/>
        </w:rPr>
        <w:t xml:space="preserve">dipivoksiliu, po kurio buvo vykdomas 240 savaičių atviras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w:t>
      </w:r>
    </w:p>
    <w:p w14:paraId="0E08A105" w14:textId="5989850E" w:rsidR="00C83DF1" w:rsidRPr="00C83DF1" w:rsidRDefault="00C83DF1" w:rsidP="00C83DF1">
      <w:pPr>
        <w:tabs>
          <w:tab w:val="left" w:pos="567"/>
        </w:tabs>
        <w:ind w:left="142" w:hanging="142"/>
        <w:rPr>
          <w:sz w:val="20"/>
          <w:lang w:eastAsia="en-US"/>
        </w:rPr>
      </w:pPr>
      <w:r w:rsidRPr="00A47C6D">
        <w:rPr>
          <w:sz w:val="20"/>
          <w:vertAlign w:val="superscript"/>
          <w:lang w:eastAsia="en-US"/>
        </w:rPr>
        <w:t>n</w:t>
      </w:r>
      <w:r w:rsidRPr="00C83DF1">
        <w:rPr>
          <w:sz w:val="20"/>
          <w:lang w:eastAsia="en-US"/>
        </w:rPr>
        <w:t xml:space="preserve"> Pateikti skaičiai yra bendrosios procentinės dalys, remiantis </w:t>
      </w:r>
      <w:r w:rsidRPr="00CA49A8">
        <w:rPr>
          <w:i/>
          <w:sz w:val="20"/>
          <w:lang w:eastAsia="en-US"/>
        </w:rPr>
        <w:t>Kaplano Mejerio</w:t>
      </w:r>
      <w:r w:rsidRPr="00C83DF1">
        <w:rPr>
          <w:sz w:val="20"/>
          <w:lang w:eastAsia="en-US"/>
        </w:rPr>
        <w:t xml:space="preserve"> analize, neskaitant duomenų, surinktų į atvirą gydymą </w:t>
      </w:r>
      <w:r w:rsidR="008A4C9B">
        <w:rPr>
          <w:sz w:val="20"/>
          <w:lang w:eastAsia="en-US"/>
        </w:rPr>
        <w:t xml:space="preserve">tenofoviru </w:t>
      </w:r>
      <w:r w:rsidR="00653D08">
        <w:rPr>
          <w:sz w:val="20"/>
          <w:lang w:eastAsia="en-US"/>
        </w:rPr>
        <w:t>dizoproksili</w:t>
      </w:r>
      <w:r w:rsidR="00C406A1">
        <w:rPr>
          <w:sz w:val="20"/>
          <w:lang w:eastAsia="en-US"/>
        </w:rPr>
        <w:t>u</w:t>
      </w:r>
      <w:r w:rsidR="00653D08">
        <w:rPr>
          <w:sz w:val="20"/>
          <w:lang w:eastAsia="en-US"/>
        </w:rPr>
        <w:t xml:space="preserve"> </w:t>
      </w:r>
      <w:r w:rsidRPr="00C83DF1">
        <w:rPr>
          <w:sz w:val="20"/>
          <w:lang w:eastAsia="en-US"/>
        </w:rPr>
        <w:t>įtraukus emtricitabiną (KM</w:t>
      </w:r>
      <w:r w:rsidR="00191FEA">
        <w:rPr>
          <w:sz w:val="20"/>
          <w:lang w:eastAsia="en-US"/>
        </w:rPr>
        <w:t xml:space="preserve"> </w:t>
      </w:r>
      <w:r w:rsidRPr="00C83DF1">
        <w:rPr>
          <w:sz w:val="20"/>
          <w:lang w:eastAsia="en-US"/>
        </w:rPr>
        <w:t>-</w:t>
      </w:r>
      <w:r w:rsidR="00191FEA">
        <w:rPr>
          <w:sz w:val="20"/>
          <w:lang w:eastAsia="en-US"/>
        </w:rPr>
        <w:t xml:space="preserve"> tenofoviras dizoproksilis</w:t>
      </w:r>
      <w:r w:rsidRPr="00C83DF1">
        <w:rPr>
          <w:sz w:val="20"/>
          <w:lang w:eastAsia="en-US"/>
        </w:rPr>
        <w:t>).</w:t>
      </w:r>
    </w:p>
    <w:p w14:paraId="7C15E2BA" w14:textId="0BC252C4" w:rsidR="00C83DF1" w:rsidRPr="00C83DF1" w:rsidRDefault="00C83DF1" w:rsidP="00C83DF1">
      <w:pPr>
        <w:tabs>
          <w:tab w:val="left" w:pos="567"/>
        </w:tabs>
        <w:ind w:left="142" w:hanging="142"/>
        <w:rPr>
          <w:sz w:val="20"/>
          <w:lang w:eastAsia="en-US"/>
        </w:rPr>
      </w:pPr>
      <w:r w:rsidRPr="00A47C6D">
        <w:rPr>
          <w:sz w:val="20"/>
          <w:vertAlign w:val="superscript"/>
          <w:lang w:eastAsia="en-US"/>
        </w:rPr>
        <w:t xml:space="preserve">o </w:t>
      </w:r>
      <w:r w:rsidRPr="00C83DF1">
        <w:rPr>
          <w:sz w:val="20"/>
          <w:lang w:eastAsia="en-US"/>
        </w:rPr>
        <w:t xml:space="preserve">48 savaičių dvigubai koduotas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 po kurio buvo vykdomas 336 savaičių atviras gydymas.</w:t>
      </w:r>
    </w:p>
    <w:p w14:paraId="6EA7F653" w14:textId="16CAC14F" w:rsidR="00C83DF1" w:rsidRPr="00C83DF1" w:rsidRDefault="00C83DF1" w:rsidP="00C83DF1">
      <w:pPr>
        <w:tabs>
          <w:tab w:val="left" w:pos="567"/>
        </w:tabs>
        <w:ind w:left="142" w:hanging="142"/>
        <w:rPr>
          <w:sz w:val="20"/>
          <w:lang w:eastAsia="en-US"/>
        </w:rPr>
      </w:pPr>
      <w:r w:rsidRPr="00A47C6D">
        <w:rPr>
          <w:sz w:val="20"/>
          <w:vertAlign w:val="superscript"/>
          <w:lang w:eastAsia="en-US"/>
        </w:rPr>
        <w:t>p</w:t>
      </w:r>
      <w:r w:rsidRPr="00C83DF1">
        <w:rPr>
          <w:sz w:val="20"/>
          <w:lang w:eastAsia="en-US"/>
        </w:rPr>
        <w:t xml:space="preserve"> 48 savaičių dvigubai koduotas gydymas </w:t>
      </w:r>
      <w:r w:rsidR="008A4C9B" w:rsidRPr="00C83DF1">
        <w:rPr>
          <w:sz w:val="20"/>
          <w:lang w:eastAsia="en-US"/>
        </w:rPr>
        <w:t>adefovir</w:t>
      </w:r>
      <w:r w:rsidR="008A4C9B">
        <w:rPr>
          <w:sz w:val="20"/>
          <w:lang w:eastAsia="en-US"/>
        </w:rPr>
        <w:t>u</w:t>
      </w:r>
      <w:r w:rsidR="008A4C9B" w:rsidRPr="00C83DF1">
        <w:rPr>
          <w:sz w:val="20"/>
          <w:lang w:eastAsia="en-US"/>
        </w:rPr>
        <w:t xml:space="preserve"> </w:t>
      </w:r>
      <w:r w:rsidRPr="00C83DF1">
        <w:rPr>
          <w:sz w:val="20"/>
          <w:lang w:eastAsia="en-US"/>
        </w:rPr>
        <w:t xml:space="preserve">dipivoksiliu, po kurio buvo vykdomas 336 savaičių atviras gydymas </w:t>
      </w:r>
      <w:r w:rsidR="008A4C9B" w:rsidRPr="00C83DF1">
        <w:rPr>
          <w:sz w:val="20"/>
          <w:lang w:eastAsia="en-US"/>
        </w:rPr>
        <w:t>tenofovir</w:t>
      </w:r>
      <w:r w:rsidR="008A4C9B">
        <w:rPr>
          <w:sz w:val="20"/>
          <w:lang w:eastAsia="en-US"/>
        </w:rPr>
        <w:t>u</w:t>
      </w:r>
      <w:r w:rsidR="008A4C9B" w:rsidRPr="00C83DF1">
        <w:rPr>
          <w:sz w:val="20"/>
          <w:lang w:eastAsia="en-US"/>
        </w:rPr>
        <w:t xml:space="preserve"> </w:t>
      </w:r>
      <w:r w:rsidRPr="00C83DF1">
        <w:rPr>
          <w:sz w:val="20"/>
          <w:lang w:eastAsia="en-US"/>
        </w:rPr>
        <w:t>dizoproksili</w:t>
      </w:r>
      <w:r w:rsidR="00C406A1">
        <w:rPr>
          <w:sz w:val="20"/>
          <w:lang w:eastAsia="en-US"/>
        </w:rPr>
        <w:t>u</w:t>
      </w:r>
      <w:r w:rsidRPr="00C83DF1">
        <w:rPr>
          <w:sz w:val="20"/>
          <w:lang w:eastAsia="en-US"/>
        </w:rPr>
        <w:t>.</w:t>
      </w:r>
    </w:p>
    <w:p w14:paraId="3CA1B8A0" w14:textId="77777777" w:rsidR="00C83DF1" w:rsidRPr="00C83DF1" w:rsidRDefault="00C83DF1" w:rsidP="00C83DF1">
      <w:pPr>
        <w:tabs>
          <w:tab w:val="left" w:pos="567"/>
        </w:tabs>
        <w:ind w:left="142" w:hanging="142"/>
        <w:rPr>
          <w:sz w:val="20"/>
          <w:lang w:eastAsia="en-US"/>
        </w:rPr>
      </w:pPr>
      <w:r w:rsidRPr="00C83DF1">
        <w:rPr>
          <w:sz w:val="20"/>
          <w:lang w:eastAsia="en-US"/>
        </w:rPr>
        <w:t>n/a = not applicable (duomenys nebūtini).</w:t>
      </w:r>
    </w:p>
    <w:p w14:paraId="2334B050" w14:textId="77777777" w:rsidR="00A47C6D" w:rsidRDefault="00A47C6D" w:rsidP="00C83DF1">
      <w:pPr>
        <w:tabs>
          <w:tab w:val="left" w:pos="567"/>
        </w:tabs>
        <w:rPr>
          <w:szCs w:val="22"/>
          <w:lang w:eastAsia="en-US"/>
        </w:rPr>
      </w:pPr>
    </w:p>
    <w:p w14:paraId="375CACE7" w14:textId="77777777" w:rsidR="00C83DF1" w:rsidRPr="00A47C6D" w:rsidRDefault="00C83DF1" w:rsidP="00C83DF1">
      <w:pPr>
        <w:tabs>
          <w:tab w:val="left" w:pos="567"/>
        </w:tabs>
        <w:rPr>
          <w:b/>
          <w:szCs w:val="22"/>
          <w:lang w:eastAsia="en-US"/>
        </w:rPr>
      </w:pPr>
      <w:r w:rsidRPr="00A47C6D">
        <w:rPr>
          <w:b/>
          <w:szCs w:val="22"/>
          <w:lang w:eastAsia="en-US"/>
        </w:rPr>
        <w:t>5 lentelė. Veiksmingumo parametrai kompensuotiems HBeAg teigiamiems pacientams 96-ąją, 144-ąją, 192-ąją, 240-ąją, 288-ąją ir 384-ąją atviro gydymo savaitę</w:t>
      </w:r>
    </w:p>
    <w:p w14:paraId="7961EA76" w14:textId="77777777" w:rsidR="00A47C6D" w:rsidRDefault="00A47C6D" w:rsidP="00C83DF1">
      <w:pPr>
        <w:tabs>
          <w:tab w:val="left" w:pos="567"/>
        </w:tabs>
        <w:rPr>
          <w:szCs w:val="22"/>
          <w:lang w:eastAsia="en-US"/>
        </w:rPr>
      </w:pPr>
    </w:p>
    <w:tbl>
      <w:tblPr>
        <w:tblW w:w="5014" w:type="pct"/>
        <w:tblInd w:w="-23" w:type="dxa"/>
        <w:tblCellMar>
          <w:left w:w="0" w:type="dxa"/>
          <w:right w:w="0" w:type="dxa"/>
        </w:tblCellMar>
        <w:tblLook w:val="01E0" w:firstRow="1" w:lastRow="1" w:firstColumn="1" w:lastColumn="1" w:noHBand="0" w:noVBand="0"/>
      </w:tblPr>
      <w:tblGrid>
        <w:gridCol w:w="1892"/>
        <w:gridCol w:w="365"/>
        <w:gridCol w:w="473"/>
        <w:gridCol w:w="480"/>
        <w:gridCol w:w="448"/>
        <w:gridCol w:w="521"/>
        <w:gridCol w:w="480"/>
        <w:gridCol w:w="585"/>
        <w:gridCol w:w="747"/>
        <w:gridCol w:w="733"/>
        <w:gridCol w:w="787"/>
        <w:gridCol w:w="787"/>
        <w:gridCol w:w="787"/>
      </w:tblGrid>
      <w:tr w:rsidR="00A47C6D" w:rsidRPr="00A47C6D" w14:paraId="237B74FD" w14:textId="77777777" w:rsidTr="00A47C6D">
        <w:tc>
          <w:tcPr>
            <w:tcW w:w="0" w:type="auto"/>
            <w:tcBorders>
              <w:top w:val="single" w:sz="4" w:space="0" w:color="000000"/>
              <w:left w:val="single" w:sz="4" w:space="0" w:color="000000"/>
              <w:bottom w:val="single" w:sz="4" w:space="0" w:color="000000"/>
              <w:right w:val="single" w:sz="4" w:space="0" w:color="000000"/>
            </w:tcBorders>
          </w:tcPr>
          <w:p w14:paraId="3C6CBB2F" w14:textId="77777777" w:rsidR="00A47C6D" w:rsidRPr="00CA49A8" w:rsidRDefault="00A47C6D" w:rsidP="00A47C6D">
            <w:pPr>
              <w:jc w:val="center"/>
            </w:pPr>
          </w:p>
        </w:tc>
        <w:tc>
          <w:tcPr>
            <w:tcW w:w="0" w:type="auto"/>
            <w:gridSpan w:val="1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55DFE7" w14:textId="77777777" w:rsidR="00A47C6D" w:rsidRPr="00A47C6D" w:rsidRDefault="00A47C6D" w:rsidP="00A47C6D">
            <w:pPr>
              <w:jc w:val="center"/>
              <w:rPr>
                <w:szCs w:val="22"/>
                <w:lang w:val="en-US" w:eastAsia="en-US"/>
              </w:rPr>
            </w:pPr>
            <w:r w:rsidRPr="00A47C6D">
              <w:rPr>
                <w:b/>
                <w:bCs/>
                <w:szCs w:val="22"/>
                <w:lang w:val="en-US" w:eastAsia="en-US"/>
              </w:rPr>
              <w:t>174-0102 tyrimas (HBeAg neigiami)</w:t>
            </w:r>
          </w:p>
        </w:tc>
      </w:tr>
      <w:tr w:rsidR="00A47C6D" w:rsidRPr="00A47C6D" w14:paraId="502BD94C" w14:textId="77777777" w:rsidTr="00A47C6D">
        <w:tc>
          <w:tcPr>
            <w:tcW w:w="0" w:type="auto"/>
            <w:tcBorders>
              <w:top w:val="single" w:sz="4" w:space="0" w:color="000000"/>
              <w:left w:val="single" w:sz="4" w:space="0" w:color="000000"/>
              <w:bottom w:val="single" w:sz="6" w:space="0" w:color="000000"/>
              <w:right w:val="single" w:sz="4" w:space="0" w:color="000000"/>
            </w:tcBorders>
          </w:tcPr>
          <w:p w14:paraId="5243E01B" w14:textId="77777777" w:rsidR="00A47C6D" w:rsidRPr="00C83DF1" w:rsidRDefault="00A47C6D" w:rsidP="00A47C6D">
            <w:pPr>
              <w:rPr>
                <w:szCs w:val="22"/>
                <w:lang w:val="en-US" w:eastAsia="en-US"/>
              </w:rPr>
            </w:pPr>
            <w:r w:rsidRPr="00C83DF1">
              <w:rPr>
                <w:szCs w:val="22"/>
                <w:lang w:val="en-US" w:eastAsia="en-US"/>
              </w:rPr>
              <w:t>Paramet</w:t>
            </w:r>
            <w:r>
              <w:rPr>
                <w:szCs w:val="22"/>
                <w:lang w:val="en-US" w:eastAsia="en-US"/>
              </w:rPr>
              <w:t>ras</w:t>
            </w:r>
            <w:r w:rsidRPr="00C83DF1">
              <w:rPr>
                <w:szCs w:val="22"/>
                <w:vertAlign w:val="superscript"/>
                <w:lang w:val="en-US" w:eastAsia="en-US"/>
              </w:rPr>
              <w:t>a</w:t>
            </w:r>
          </w:p>
        </w:tc>
        <w:tc>
          <w:tcPr>
            <w:tcW w:w="0" w:type="auto"/>
            <w:gridSpan w:val="6"/>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0F94F9E" w14:textId="77777777" w:rsidR="001A1491" w:rsidRPr="001A1491" w:rsidRDefault="001A1491" w:rsidP="001A1491">
            <w:pPr>
              <w:jc w:val="center"/>
              <w:rPr>
                <w:szCs w:val="22"/>
                <w:lang w:val="fr-FR" w:eastAsia="en-US"/>
              </w:rPr>
            </w:pPr>
            <w:r w:rsidRPr="001A1491">
              <w:rPr>
                <w:szCs w:val="22"/>
                <w:lang w:val="fr-FR" w:eastAsia="en-US"/>
              </w:rPr>
              <w:t>245</w:t>
            </w:r>
            <w:r w:rsidR="00DE3FE0">
              <w:rPr>
                <w:szCs w:val="22"/>
                <w:lang w:val="fr-FR" w:eastAsia="en-US"/>
              </w:rPr>
              <w:t> </w:t>
            </w:r>
            <w:r w:rsidRPr="001A1491">
              <w:rPr>
                <w:szCs w:val="22"/>
                <w:lang w:val="fr-FR" w:eastAsia="en-US"/>
              </w:rPr>
              <w:t xml:space="preserve">mg tenofoviro dizoproksilio </w:t>
            </w:r>
          </w:p>
          <w:p w14:paraId="477011C7" w14:textId="77777777" w:rsidR="00A47C6D" w:rsidRPr="00A47C6D" w:rsidRDefault="001A1491" w:rsidP="001A1491">
            <w:pPr>
              <w:jc w:val="center"/>
              <w:rPr>
                <w:szCs w:val="22"/>
                <w:lang w:val="en-US" w:eastAsia="en-US"/>
              </w:rPr>
            </w:pPr>
            <w:r w:rsidRPr="001A1491">
              <w:rPr>
                <w:szCs w:val="22"/>
                <w:lang w:val="fr-FR" w:eastAsia="en-US"/>
              </w:rPr>
              <w:t>n = 176</w:t>
            </w:r>
          </w:p>
        </w:tc>
        <w:tc>
          <w:tcPr>
            <w:tcW w:w="0" w:type="auto"/>
            <w:gridSpan w:val="6"/>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tcPr>
          <w:p w14:paraId="3166CDAB" w14:textId="2FC8B140" w:rsidR="001A1491" w:rsidRPr="00EF4C22" w:rsidRDefault="001A1491" w:rsidP="001A1491">
            <w:pPr>
              <w:jc w:val="center"/>
              <w:rPr>
                <w:szCs w:val="22"/>
                <w:lang w:val="pt-BR" w:eastAsia="en-US"/>
              </w:rPr>
            </w:pPr>
            <w:r w:rsidRPr="00EF4C22">
              <w:rPr>
                <w:szCs w:val="22"/>
                <w:lang w:val="pt-BR" w:eastAsia="en-US"/>
              </w:rPr>
              <w:t>10</w:t>
            </w:r>
            <w:r w:rsidR="00DE3FE0">
              <w:rPr>
                <w:szCs w:val="22"/>
                <w:lang w:val="pt-BR" w:eastAsia="en-US"/>
              </w:rPr>
              <w:t> </w:t>
            </w:r>
            <w:r w:rsidRPr="00EF4C22">
              <w:rPr>
                <w:szCs w:val="22"/>
                <w:lang w:val="pt-BR" w:eastAsia="en-US"/>
              </w:rPr>
              <w:t>mg adefoviro dipivoksilio pakeista 245</w:t>
            </w:r>
            <w:r w:rsidR="00DE3FE0">
              <w:rPr>
                <w:szCs w:val="22"/>
                <w:lang w:val="pt-BR" w:eastAsia="en-US"/>
              </w:rPr>
              <w:t> </w:t>
            </w:r>
            <w:r w:rsidRPr="00EF4C22">
              <w:rPr>
                <w:szCs w:val="22"/>
                <w:lang w:val="pt-BR" w:eastAsia="en-US"/>
              </w:rPr>
              <w:t xml:space="preserve">mg tenofoviro </w:t>
            </w:r>
            <w:r w:rsidR="008A4C9B" w:rsidRPr="00EF4C22">
              <w:rPr>
                <w:szCs w:val="22"/>
                <w:lang w:val="pt-BR" w:eastAsia="en-US"/>
              </w:rPr>
              <w:t>dizoproksili</w:t>
            </w:r>
            <w:r w:rsidR="008A4C9B">
              <w:rPr>
                <w:szCs w:val="22"/>
                <w:lang w:val="pt-BR" w:eastAsia="en-US"/>
              </w:rPr>
              <w:t>o</w:t>
            </w:r>
            <w:r w:rsidR="008A4C9B" w:rsidRPr="00EF4C22">
              <w:rPr>
                <w:szCs w:val="22"/>
                <w:lang w:val="pt-BR" w:eastAsia="en-US"/>
              </w:rPr>
              <w:t xml:space="preserve"> </w:t>
            </w:r>
          </w:p>
          <w:p w14:paraId="4FECF2CF" w14:textId="77777777" w:rsidR="00A47C6D" w:rsidRPr="00A47C6D" w:rsidRDefault="00A47C6D" w:rsidP="00A47C6D">
            <w:pPr>
              <w:jc w:val="center"/>
              <w:rPr>
                <w:szCs w:val="22"/>
                <w:lang w:val="en-US" w:eastAsia="en-US"/>
              </w:rPr>
            </w:pPr>
            <w:r w:rsidRPr="00A47C6D">
              <w:rPr>
                <w:szCs w:val="22"/>
                <w:lang w:val="en-US" w:eastAsia="en-US"/>
              </w:rPr>
              <w:t>n = 90</w:t>
            </w:r>
          </w:p>
        </w:tc>
      </w:tr>
      <w:tr w:rsidR="00A47C6D" w:rsidRPr="00A47C6D" w14:paraId="7D6E62AC" w14:textId="77777777" w:rsidTr="00A47C6D">
        <w:tc>
          <w:tcPr>
            <w:tcW w:w="0" w:type="auto"/>
            <w:tcBorders>
              <w:top w:val="single" w:sz="6" w:space="0" w:color="000000"/>
              <w:left w:val="single" w:sz="4" w:space="0" w:color="000000"/>
              <w:bottom w:val="single" w:sz="6" w:space="0" w:color="000000"/>
              <w:right w:val="single" w:sz="4" w:space="0" w:color="000000"/>
            </w:tcBorders>
          </w:tcPr>
          <w:p w14:paraId="3D3C1A3E" w14:textId="77777777" w:rsidR="00A47C6D" w:rsidRPr="00C83DF1" w:rsidRDefault="00A47C6D" w:rsidP="00A47C6D">
            <w:pPr>
              <w:rPr>
                <w:szCs w:val="22"/>
                <w:lang w:val="en-US" w:eastAsia="en-US"/>
              </w:rPr>
            </w:pPr>
            <w:r>
              <w:rPr>
                <w:b/>
                <w:bCs/>
                <w:szCs w:val="22"/>
                <w:lang w:val="en-US" w:eastAsia="en-US"/>
              </w:rPr>
              <w:t>Savaitė</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5C78A00" w14:textId="77777777" w:rsidR="00A47C6D" w:rsidRPr="00A47C6D" w:rsidRDefault="00A47C6D" w:rsidP="00A47C6D">
            <w:pPr>
              <w:rPr>
                <w:szCs w:val="22"/>
                <w:lang w:val="en-US" w:eastAsia="en-US"/>
              </w:rPr>
            </w:pPr>
            <w:r w:rsidRPr="00A47C6D">
              <w:rPr>
                <w:szCs w:val="22"/>
                <w:lang w:val="en-US" w:eastAsia="en-US"/>
              </w:rPr>
              <w:t>96</w:t>
            </w:r>
            <w:r w:rsidRPr="00A47C6D">
              <w:rPr>
                <w:szCs w:val="22"/>
                <w:vertAlign w:val="superscript"/>
                <w:lang w:val="en-US" w:eastAsia="en-US"/>
              </w:rPr>
              <w:t>b</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305F4CD" w14:textId="77777777" w:rsidR="00A47C6D" w:rsidRPr="00A47C6D" w:rsidRDefault="00A47C6D" w:rsidP="00A47C6D">
            <w:pPr>
              <w:rPr>
                <w:szCs w:val="22"/>
                <w:lang w:val="en-US" w:eastAsia="en-US"/>
              </w:rPr>
            </w:pPr>
            <w:r w:rsidRPr="00A47C6D">
              <w:rPr>
                <w:szCs w:val="22"/>
                <w:lang w:val="en-US" w:eastAsia="en-US"/>
              </w:rPr>
              <w:t>144</w:t>
            </w:r>
            <w:r w:rsidRPr="00A47C6D">
              <w:rPr>
                <w:szCs w:val="22"/>
                <w:vertAlign w:val="superscript"/>
                <w:lang w:val="en-US" w:eastAsia="en-US"/>
              </w:rPr>
              <w:t>e</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68D04EF" w14:textId="77777777" w:rsidR="00A47C6D" w:rsidRPr="00A47C6D" w:rsidRDefault="00A47C6D" w:rsidP="00A47C6D">
            <w:pPr>
              <w:rPr>
                <w:szCs w:val="22"/>
                <w:lang w:val="en-US" w:eastAsia="en-US"/>
              </w:rPr>
            </w:pPr>
            <w:r w:rsidRPr="00A47C6D">
              <w:rPr>
                <w:szCs w:val="22"/>
                <w:lang w:val="en-US" w:eastAsia="en-US"/>
              </w:rPr>
              <w:t>192</w:t>
            </w:r>
            <w:r w:rsidRPr="00A47C6D">
              <w:rPr>
                <w:szCs w:val="22"/>
                <w:vertAlign w:val="superscript"/>
                <w:lang w:val="en-US" w:eastAsia="en-US"/>
              </w:rPr>
              <w:t>h</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4B0321F6" w14:textId="77777777" w:rsidR="00A47C6D" w:rsidRPr="00A47C6D" w:rsidRDefault="00A47C6D" w:rsidP="00A47C6D">
            <w:pPr>
              <w:rPr>
                <w:szCs w:val="22"/>
                <w:lang w:val="en-US" w:eastAsia="en-US"/>
              </w:rPr>
            </w:pPr>
            <w:r w:rsidRPr="00A47C6D">
              <w:rPr>
                <w:szCs w:val="22"/>
                <w:lang w:val="en-US" w:eastAsia="en-US"/>
              </w:rPr>
              <w:t>240</w:t>
            </w:r>
            <w:r w:rsidRPr="00A47C6D">
              <w:rPr>
                <w:szCs w:val="22"/>
                <w:vertAlign w:val="superscript"/>
                <w:lang w:val="en-US" w:eastAsia="en-US"/>
              </w:rPr>
              <w:t>j</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23AABBD" w14:textId="77777777" w:rsidR="00A47C6D" w:rsidRPr="00A47C6D" w:rsidRDefault="00A47C6D" w:rsidP="00A47C6D">
            <w:pPr>
              <w:rPr>
                <w:szCs w:val="22"/>
                <w:lang w:val="en-US" w:eastAsia="en-US"/>
              </w:rPr>
            </w:pPr>
            <w:r w:rsidRPr="00A47C6D">
              <w:rPr>
                <w:szCs w:val="22"/>
                <w:lang w:val="en-US" w:eastAsia="en-US"/>
              </w:rPr>
              <w:t>288</w:t>
            </w:r>
            <w:r w:rsidRPr="00A47C6D">
              <w:rPr>
                <w:szCs w:val="22"/>
                <w:vertAlign w:val="superscript"/>
                <w:lang w:val="en-US" w:eastAsia="en-US"/>
              </w:rPr>
              <w:t>m</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FDB558A" w14:textId="77777777" w:rsidR="00A47C6D" w:rsidRPr="00A47C6D" w:rsidRDefault="00A47C6D" w:rsidP="00A47C6D">
            <w:pPr>
              <w:rPr>
                <w:szCs w:val="22"/>
                <w:lang w:val="en-US" w:eastAsia="en-US"/>
              </w:rPr>
            </w:pPr>
            <w:r w:rsidRPr="00A47C6D">
              <w:rPr>
                <w:szCs w:val="22"/>
                <w:lang w:val="en-US" w:eastAsia="en-US"/>
              </w:rPr>
              <w:t>384</w:t>
            </w:r>
            <w:r w:rsidRPr="00A47C6D">
              <w:rPr>
                <w:szCs w:val="22"/>
                <w:vertAlign w:val="superscript"/>
                <w:lang w:val="en-US" w:eastAsia="en-US"/>
              </w:rPr>
              <w:t>o</w:t>
            </w:r>
          </w:p>
        </w:tc>
        <w:tc>
          <w:tcPr>
            <w:tcW w:w="0" w:type="auto"/>
            <w:tcBorders>
              <w:top w:val="single" w:sz="6" w:space="0" w:color="000000"/>
              <w:left w:val="single" w:sz="4" w:space="0" w:color="000000"/>
              <w:bottom w:val="single" w:sz="6" w:space="0" w:color="000000"/>
              <w:right w:val="single" w:sz="6" w:space="0" w:color="000000"/>
            </w:tcBorders>
            <w:tcMar>
              <w:top w:w="28" w:type="dxa"/>
              <w:left w:w="28" w:type="dxa"/>
              <w:bottom w:w="28" w:type="dxa"/>
              <w:right w:w="28" w:type="dxa"/>
            </w:tcMar>
          </w:tcPr>
          <w:p w14:paraId="0C6D6DD8" w14:textId="77777777" w:rsidR="00A47C6D" w:rsidRPr="00A47C6D" w:rsidRDefault="00A47C6D" w:rsidP="00A47C6D">
            <w:pPr>
              <w:rPr>
                <w:szCs w:val="22"/>
                <w:lang w:val="en-US" w:eastAsia="en-US"/>
              </w:rPr>
            </w:pPr>
            <w:r w:rsidRPr="00A47C6D">
              <w:rPr>
                <w:szCs w:val="22"/>
                <w:lang w:val="en-US" w:eastAsia="en-US"/>
              </w:rPr>
              <w:t>96</w:t>
            </w:r>
            <w:r w:rsidRPr="00A47C6D">
              <w:rPr>
                <w:szCs w:val="22"/>
                <w:vertAlign w:val="superscript"/>
                <w:lang w:val="en-US" w:eastAsia="en-US"/>
              </w:rPr>
              <w:t>c</w:t>
            </w:r>
          </w:p>
        </w:tc>
        <w:tc>
          <w:tcPr>
            <w:tcW w:w="0" w:type="auto"/>
            <w:tcBorders>
              <w:top w:val="single" w:sz="6" w:space="0" w:color="000000"/>
              <w:left w:val="single" w:sz="6" w:space="0" w:color="000000"/>
              <w:bottom w:val="single" w:sz="6" w:space="0" w:color="000000"/>
              <w:right w:val="single" w:sz="4" w:space="0" w:color="000000"/>
            </w:tcBorders>
            <w:tcMar>
              <w:top w:w="28" w:type="dxa"/>
              <w:left w:w="28" w:type="dxa"/>
              <w:bottom w:w="28" w:type="dxa"/>
              <w:right w:w="28" w:type="dxa"/>
            </w:tcMar>
          </w:tcPr>
          <w:p w14:paraId="5D1BC1B9" w14:textId="77777777" w:rsidR="00A47C6D" w:rsidRPr="00A47C6D" w:rsidRDefault="00A47C6D" w:rsidP="00A47C6D">
            <w:pPr>
              <w:rPr>
                <w:szCs w:val="22"/>
                <w:lang w:val="en-US" w:eastAsia="en-US"/>
              </w:rPr>
            </w:pPr>
            <w:r w:rsidRPr="00A47C6D">
              <w:rPr>
                <w:szCs w:val="22"/>
                <w:lang w:val="en-US" w:eastAsia="en-US"/>
              </w:rPr>
              <w:t>144</w:t>
            </w:r>
            <w:r w:rsidRPr="00A47C6D">
              <w:rPr>
                <w:szCs w:val="22"/>
                <w:vertAlign w:val="superscript"/>
                <w:lang w:val="en-US" w:eastAsia="en-US"/>
              </w:rPr>
              <w:t>f</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CE3B046" w14:textId="77777777" w:rsidR="00A47C6D" w:rsidRPr="00A47C6D" w:rsidRDefault="00A47C6D" w:rsidP="00A47C6D">
            <w:pPr>
              <w:rPr>
                <w:szCs w:val="22"/>
                <w:lang w:val="en-US" w:eastAsia="en-US"/>
              </w:rPr>
            </w:pPr>
            <w:r w:rsidRPr="00A47C6D">
              <w:rPr>
                <w:szCs w:val="22"/>
                <w:lang w:val="en-US" w:eastAsia="en-US"/>
              </w:rPr>
              <w:t>192</w:t>
            </w:r>
            <w:r w:rsidRPr="00A47C6D">
              <w:rPr>
                <w:szCs w:val="22"/>
                <w:vertAlign w:val="superscript"/>
                <w:lang w:val="en-US" w:eastAsia="en-US"/>
              </w:rPr>
              <w:t>i</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5EE2DA5" w14:textId="77777777" w:rsidR="00A47C6D" w:rsidRPr="00A47C6D" w:rsidRDefault="00A47C6D" w:rsidP="00A47C6D">
            <w:pPr>
              <w:rPr>
                <w:szCs w:val="22"/>
                <w:lang w:val="en-US" w:eastAsia="en-US"/>
              </w:rPr>
            </w:pPr>
            <w:r w:rsidRPr="00A47C6D">
              <w:rPr>
                <w:szCs w:val="22"/>
                <w:lang w:val="en-US" w:eastAsia="en-US"/>
              </w:rPr>
              <w:t>240</w:t>
            </w:r>
            <w:r w:rsidRPr="00A47C6D">
              <w:rPr>
                <w:szCs w:val="22"/>
                <w:vertAlign w:val="superscript"/>
                <w:lang w:val="en-US" w:eastAsia="en-US"/>
              </w:rPr>
              <w:t>k</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D59DFF7" w14:textId="77777777" w:rsidR="00A47C6D" w:rsidRPr="00A47C6D" w:rsidRDefault="00A47C6D" w:rsidP="00A47C6D">
            <w:pPr>
              <w:rPr>
                <w:szCs w:val="22"/>
                <w:lang w:val="en-US" w:eastAsia="en-US"/>
              </w:rPr>
            </w:pPr>
            <w:r w:rsidRPr="00A47C6D">
              <w:rPr>
                <w:szCs w:val="22"/>
                <w:lang w:val="en-US" w:eastAsia="en-US"/>
              </w:rPr>
              <w:t>288</w:t>
            </w:r>
            <w:r w:rsidRPr="00A47C6D">
              <w:rPr>
                <w:szCs w:val="22"/>
                <w:vertAlign w:val="superscript"/>
                <w:lang w:val="en-US" w:eastAsia="en-US"/>
              </w:rPr>
              <w:t>n</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BF1FC72" w14:textId="77777777" w:rsidR="00A47C6D" w:rsidRPr="00A47C6D" w:rsidRDefault="00A47C6D" w:rsidP="00A47C6D">
            <w:pPr>
              <w:rPr>
                <w:szCs w:val="22"/>
                <w:lang w:val="en-US" w:eastAsia="en-US"/>
              </w:rPr>
            </w:pPr>
            <w:r w:rsidRPr="00A47C6D">
              <w:rPr>
                <w:szCs w:val="22"/>
                <w:lang w:val="en-US" w:eastAsia="en-US"/>
              </w:rPr>
              <w:t>384</w:t>
            </w:r>
            <w:r w:rsidRPr="00A47C6D">
              <w:rPr>
                <w:szCs w:val="22"/>
                <w:vertAlign w:val="superscript"/>
                <w:lang w:val="en-US" w:eastAsia="en-US"/>
              </w:rPr>
              <w:t>p</w:t>
            </w:r>
          </w:p>
        </w:tc>
      </w:tr>
      <w:tr w:rsidR="00A47C6D" w:rsidRPr="00A47C6D" w14:paraId="77381241" w14:textId="77777777" w:rsidTr="00A47C6D">
        <w:tc>
          <w:tcPr>
            <w:tcW w:w="0" w:type="auto"/>
            <w:tcBorders>
              <w:top w:val="single" w:sz="6" w:space="0" w:color="000000"/>
              <w:left w:val="single" w:sz="4" w:space="0" w:color="000000"/>
              <w:bottom w:val="single" w:sz="6" w:space="0" w:color="000000"/>
              <w:right w:val="single" w:sz="4" w:space="0" w:color="000000"/>
            </w:tcBorders>
          </w:tcPr>
          <w:p w14:paraId="0ECC68B5" w14:textId="77777777" w:rsidR="00A47C6D" w:rsidRPr="00CA49A8" w:rsidRDefault="00A47C6D" w:rsidP="00A47C6D">
            <w:pPr>
              <w:rPr>
                <w:lang w:val="de-DE"/>
              </w:rPr>
            </w:pPr>
            <w:r w:rsidRPr="00CA49A8">
              <w:rPr>
                <w:b/>
                <w:lang w:val="de-DE"/>
              </w:rPr>
              <w:t xml:space="preserve">HBV DNR </w:t>
            </w:r>
            <w:r w:rsidRPr="00CA49A8">
              <w:rPr>
                <w:lang w:val="de-DE"/>
              </w:rPr>
              <w:t>(%)</w:t>
            </w:r>
          </w:p>
          <w:p w14:paraId="52D9A3EC" w14:textId="77777777" w:rsidR="00A47C6D" w:rsidRPr="00CA49A8" w:rsidRDefault="00A47C6D" w:rsidP="00A47C6D">
            <w:pPr>
              <w:rPr>
                <w:lang w:val="de-DE"/>
              </w:rPr>
            </w:pPr>
          </w:p>
          <w:p w14:paraId="0272691C" w14:textId="77777777" w:rsidR="00A47C6D" w:rsidRPr="00CA49A8" w:rsidRDefault="00A47C6D" w:rsidP="00A47C6D">
            <w:pPr>
              <w:rPr>
                <w:lang w:val="de-DE"/>
              </w:rPr>
            </w:pPr>
            <w:r w:rsidRPr="00CA49A8">
              <w:rPr>
                <w:lang w:val="de-DE"/>
              </w:rPr>
              <w:t>400 kopijų/ml (&lt; 69 TV/ml)</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A36F883" w14:textId="77777777" w:rsidR="00A47C6D" w:rsidRPr="00A47C6D" w:rsidRDefault="00A47C6D" w:rsidP="00A47C6D">
            <w:pPr>
              <w:rPr>
                <w:szCs w:val="22"/>
                <w:lang w:val="en-US" w:eastAsia="en-US"/>
              </w:rPr>
            </w:pPr>
            <w:r w:rsidRPr="00A47C6D">
              <w:rPr>
                <w:szCs w:val="22"/>
                <w:lang w:val="en-US" w:eastAsia="en-US"/>
              </w:rPr>
              <w:t>76</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9E8B347" w14:textId="77777777" w:rsidR="00A47C6D" w:rsidRPr="00A47C6D" w:rsidRDefault="00A47C6D" w:rsidP="00A47C6D">
            <w:pPr>
              <w:rPr>
                <w:szCs w:val="22"/>
                <w:lang w:val="en-US" w:eastAsia="en-US"/>
              </w:rPr>
            </w:pPr>
            <w:r w:rsidRPr="00A47C6D">
              <w:rPr>
                <w:szCs w:val="22"/>
                <w:lang w:val="en-US" w:eastAsia="en-US"/>
              </w:rPr>
              <w:t>72</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F3274BF" w14:textId="77777777" w:rsidR="00A47C6D" w:rsidRPr="00A47C6D" w:rsidRDefault="00A47C6D" w:rsidP="00A47C6D">
            <w:pPr>
              <w:rPr>
                <w:szCs w:val="22"/>
                <w:lang w:val="en-US" w:eastAsia="en-US"/>
              </w:rPr>
            </w:pPr>
            <w:r w:rsidRPr="00A47C6D">
              <w:rPr>
                <w:szCs w:val="22"/>
                <w:lang w:val="en-US" w:eastAsia="en-US"/>
              </w:rPr>
              <w:t>68</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DB5A7F1" w14:textId="77777777" w:rsidR="00A47C6D" w:rsidRPr="00A47C6D" w:rsidRDefault="00A47C6D" w:rsidP="00A47C6D">
            <w:pPr>
              <w:rPr>
                <w:szCs w:val="22"/>
                <w:lang w:val="en-US" w:eastAsia="en-US"/>
              </w:rPr>
            </w:pPr>
            <w:r w:rsidRPr="00A47C6D">
              <w:rPr>
                <w:szCs w:val="22"/>
                <w:lang w:val="en-US" w:eastAsia="en-US"/>
              </w:rPr>
              <w:t>64</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CF89940" w14:textId="77777777" w:rsidR="00A47C6D" w:rsidRPr="00A47C6D" w:rsidRDefault="00A47C6D" w:rsidP="00A47C6D">
            <w:pPr>
              <w:rPr>
                <w:szCs w:val="22"/>
                <w:lang w:val="en-US" w:eastAsia="en-US"/>
              </w:rPr>
            </w:pPr>
            <w:r w:rsidRPr="00A47C6D">
              <w:rPr>
                <w:szCs w:val="22"/>
                <w:lang w:val="en-US" w:eastAsia="en-US"/>
              </w:rPr>
              <w:t>61</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81BF7C7" w14:textId="77777777" w:rsidR="00A47C6D" w:rsidRPr="00A47C6D" w:rsidRDefault="00A47C6D" w:rsidP="00A47C6D">
            <w:pPr>
              <w:rPr>
                <w:szCs w:val="22"/>
                <w:lang w:val="en-US" w:eastAsia="en-US"/>
              </w:rPr>
            </w:pPr>
            <w:r w:rsidRPr="00A47C6D">
              <w:rPr>
                <w:szCs w:val="22"/>
                <w:lang w:val="en-US" w:eastAsia="en-US"/>
              </w:rPr>
              <w:t>56</w:t>
            </w:r>
          </w:p>
        </w:tc>
        <w:tc>
          <w:tcPr>
            <w:tcW w:w="0" w:type="auto"/>
            <w:tcBorders>
              <w:top w:val="single" w:sz="6" w:space="0" w:color="000000"/>
              <w:left w:val="single" w:sz="4" w:space="0" w:color="000000"/>
              <w:bottom w:val="single" w:sz="6" w:space="0" w:color="000000"/>
              <w:right w:val="single" w:sz="6" w:space="0" w:color="000000"/>
            </w:tcBorders>
            <w:tcMar>
              <w:top w:w="28" w:type="dxa"/>
              <w:left w:w="28" w:type="dxa"/>
              <w:bottom w:w="28" w:type="dxa"/>
              <w:right w:w="28" w:type="dxa"/>
            </w:tcMar>
          </w:tcPr>
          <w:p w14:paraId="43FD6ABB" w14:textId="77777777" w:rsidR="00A47C6D" w:rsidRPr="00A47C6D" w:rsidRDefault="00A47C6D" w:rsidP="00A47C6D">
            <w:pPr>
              <w:rPr>
                <w:szCs w:val="22"/>
                <w:lang w:val="en-US" w:eastAsia="en-US"/>
              </w:rPr>
            </w:pPr>
            <w:r w:rsidRPr="00A47C6D">
              <w:rPr>
                <w:szCs w:val="22"/>
                <w:lang w:val="en-US" w:eastAsia="en-US"/>
              </w:rPr>
              <w:t>74</w:t>
            </w:r>
          </w:p>
        </w:tc>
        <w:tc>
          <w:tcPr>
            <w:tcW w:w="0" w:type="auto"/>
            <w:tcBorders>
              <w:top w:val="single" w:sz="6" w:space="0" w:color="000000"/>
              <w:left w:val="single" w:sz="6" w:space="0" w:color="000000"/>
              <w:bottom w:val="single" w:sz="6" w:space="0" w:color="000000"/>
              <w:right w:val="single" w:sz="4" w:space="0" w:color="000000"/>
            </w:tcBorders>
            <w:tcMar>
              <w:top w:w="28" w:type="dxa"/>
              <w:left w:w="28" w:type="dxa"/>
              <w:bottom w:w="28" w:type="dxa"/>
              <w:right w:w="28" w:type="dxa"/>
            </w:tcMar>
          </w:tcPr>
          <w:p w14:paraId="6BF44ED0" w14:textId="77777777" w:rsidR="00A47C6D" w:rsidRPr="00A47C6D" w:rsidRDefault="00A47C6D" w:rsidP="00A47C6D">
            <w:pPr>
              <w:rPr>
                <w:szCs w:val="22"/>
                <w:lang w:val="en-US" w:eastAsia="en-US"/>
              </w:rPr>
            </w:pPr>
            <w:r w:rsidRPr="00A47C6D">
              <w:rPr>
                <w:szCs w:val="22"/>
                <w:lang w:val="en-US" w:eastAsia="en-US"/>
              </w:rPr>
              <w:t>71</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6807B53" w14:textId="77777777" w:rsidR="00A47C6D" w:rsidRPr="00A47C6D" w:rsidRDefault="00A47C6D" w:rsidP="00A47C6D">
            <w:pPr>
              <w:rPr>
                <w:szCs w:val="22"/>
                <w:lang w:val="en-US" w:eastAsia="en-US"/>
              </w:rPr>
            </w:pPr>
            <w:r w:rsidRPr="00A47C6D">
              <w:rPr>
                <w:szCs w:val="22"/>
                <w:lang w:val="en-US" w:eastAsia="en-US"/>
              </w:rPr>
              <w:t>72</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A07D912" w14:textId="77777777" w:rsidR="00A47C6D" w:rsidRPr="00A47C6D" w:rsidRDefault="00A47C6D" w:rsidP="00A47C6D">
            <w:pPr>
              <w:rPr>
                <w:szCs w:val="22"/>
                <w:lang w:val="en-US" w:eastAsia="en-US"/>
              </w:rPr>
            </w:pPr>
            <w:r w:rsidRPr="00A47C6D">
              <w:rPr>
                <w:szCs w:val="22"/>
                <w:lang w:val="en-US" w:eastAsia="en-US"/>
              </w:rPr>
              <w:t>66</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A1F7109" w14:textId="77777777" w:rsidR="00A47C6D" w:rsidRPr="00A47C6D" w:rsidRDefault="00A47C6D" w:rsidP="00A47C6D">
            <w:pPr>
              <w:rPr>
                <w:szCs w:val="22"/>
                <w:lang w:val="en-US" w:eastAsia="en-US"/>
              </w:rPr>
            </w:pPr>
            <w:r w:rsidRPr="00A47C6D">
              <w:rPr>
                <w:szCs w:val="22"/>
                <w:lang w:val="en-US" w:eastAsia="en-US"/>
              </w:rPr>
              <w:t>65</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23405CE2" w14:textId="77777777" w:rsidR="00A47C6D" w:rsidRPr="00A47C6D" w:rsidRDefault="00A47C6D" w:rsidP="00A47C6D">
            <w:pPr>
              <w:rPr>
                <w:szCs w:val="22"/>
                <w:lang w:val="en-US" w:eastAsia="en-US"/>
              </w:rPr>
            </w:pPr>
            <w:r w:rsidRPr="00A47C6D">
              <w:rPr>
                <w:szCs w:val="22"/>
                <w:lang w:val="en-US" w:eastAsia="en-US"/>
              </w:rPr>
              <w:t>61</w:t>
            </w:r>
          </w:p>
        </w:tc>
      </w:tr>
      <w:tr w:rsidR="00A47C6D" w:rsidRPr="00A47C6D" w14:paraId="445BA7B5" w14:textId="77777777" w:rsidTr="00A47C6D">
        <w:tc>
          <w:tcPr>
            <w:tcW w:w="0" w:type="auto"/>
            <w:tcBorders>
              <w:top w:val="single" w:sz="6" w:space="0" w:color="000000"/>
              <w:left w:val="single" w:sz="4" w:space="0" w:color="000000"/>
              <w:bottom w:val="single" w:sz="6" w:space="0" w:color="000000"/>
              <w:right w:val="single" w:sz="4" w:space="0" w:color="000000"/>
            </w:tcBorders>
          </w:tcPr>
          <w:p w14:paraId="3D2144BE" w14:textId="77777777" w:rsidR="00A47C6D" w:rsidRPr="00C83DF1" w:rsidRDefault="00A47C6D" w:rsidP="00A47C6D">
            <w:pPr>
              <w:rPr>
                <w:szCs w:val="22"/>
                <w:lang w:val="en-US" w:eastAsia="en-US"/>
              </w:rPr>
            </w:pPr>
            <w:r w:rsidRPr="00C83DF1">
              <w:rPr>
                <w:b/>
                <w:bCs/>
                <w:szCs w:val="22"/>
                <w:lang w:val="en-US" w:eastAsia="en-US"/>
              </w:rPr>
              <w:t xml:space="preserve">ALT </w:t>
            </w:r>
            <w:r w:rsidRPr="00C83DF1">
              <w:rPr>
                <w:szCs w:val="22"/>
                <w:lang w:val="en-US" w:eastAsia="en-US"/>
              </w:rPr>
              <w:t>(%)</w:t>
            </w:r>
          </w:p>
          <w:p w14:paraId="4057140D" w14:textId="77777777" w:rsidR="00A47C6D" w:rsidRPr="00C83DF1" w:rsidRDefault="00A47C6D" w:rsidP="00A47C6D">
            <w:pPr>
              <w:rPr>
                <w:szCs w:val="22"/>
                <w:lang w:val="en-US" w:eastAsia="en-US"/>
              </w:rPr>
            </w:pPr>
          </w:p>
          <w:p w14:paraId="67A90732" w14:textId="77777777" w:rsidR="00A47C6D" w:rsidRPr="00C83DF1" w:rsidRDefault="00A47C6D" w:rsidP="00A47C6D">
            <w:pPr>
              <w:rPr>
                <w:szCs w:val="22"/>
                <w:lang w:val="en-US" w:eastAsia="en-US"/>
              </w:rPr>
            </w:pPr>
            <w:r>
              <w:rPr>
                <w:szCs w:val="22"/>
                <w:lang w:val="en-US" w:eastAsia="en-US"/>
              </w:rPr>
              <w:t>Sunormalėjęs</w:t>
            </w:r>
          </w:p>
          <w:p w14:paraId="5A85E626" w14:textId="77777777" w:rsidR="00A47C6D" w:rsidRPr="00C83DF1" w:rsidRDefault="00A47C6D" w:rsidP="00A47C6D">
            <w:pPr>
              <w:rPr>
                <w:szCs w:val="22"/>
                <w:lang w:val="en-US" w:eastAsia="en-US"/>
              </w:rPr>
            </w:pPr>
            <w:r w:rsidRPr="00C83DF1">
              <w:rPr>
                <w:szCs w:val="22"/>
                <w:lang w:val="en-US" w:eastAsia="en-US"/>
              </w:rPr>
              <w:t>ALT</w:t>
            </w:r>
            <w:r w:rsidRPr="00C83DF1">
              <w:rPr>
                <w:szCs w:val="22"/>
                <w:vertAlign w:val="superscript"/>
                <w:lang w:val="en-US" w:eastAsia="en-US"/>
              </w:rPr>
              <w:t>d</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5DDB299A" w14:textId="77777777" w:rsidR="00A47C6D" w:rsidRPr="00A47C6D" w:rsidRDefault="00A47C6D" w:rsidP="00A47C6D">
            <w:pPr>
              <w:rPr>
                <w:szCs w:val="22"/>
                <w:lang w:val="en-US" w:eastAsia="en-US"/>
              </w:rPr>
            </w:pPr>
            <w:r w:rsidRPr="00A47C6D">
              <w:rPr>
                <w:szCs w:val="22"/>
                <w:lang w:val="en-US" w:eastAsia="en-US"/>
              </w:rPr>
              <w:t>60</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3BD7E511" w14:textId="77777777" w:rsidR="00A47C6D" w:rsidRPr="00A47C6D" w:rsidRDefault="00A47C6D" w:rsidP="00A47C6D">
            <w:pPr>
              <w:rPr>
                <w:szCs w:val="22"/>
                <w:lang w:val="en-US" w:eastAsia="en-US"/>
              </w:rPr>
            </w:pPr>
            <w:r w:rsidRPr="00A47C6D">
              <w:rPr>
                <w:szCs w:val="22"/>
                <w:lang w:val="en-US" w:eastAsia="en-US"/>
              </w:rPr>
              <w:t>55</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47B9B22" w14:textId="77777777" w:rsidR="00A47C6D" w:rsidRPr="00A47C6D" w:rsidRDefault="00A47C6D" w:rsidP="00A47C6D">
            <w:pPr>
              <w:rPr>
                <w:szCs w:val="22"/>
                <w:lang w:val="en-US" w:eastAsia="en-US"/>
              </w:rPr>
            </w:pPr>
            <w:r w:rsidRPr="00A47C6D">
              <w:rPr>
                <w:szCs w:val="22"/>
                <w:lang w:val="en-US" w:eastAsia="en-US"/>
              </w:rPr>
              <w:t>56</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4FB5F02" w14:textId="77777777" w:rsidR="00A47C6D" w:rsidRPr="00A47C6D" w:rsidRDefault="00A47C6D" w:rsidP="00A47C6D">
            <w:pPr>
              <w:rPr>
                <w:szCs w:val="22"/>
                <w:lang w:val="en-US" w:eastAsia="en-US"/>
              </w:rPr>
            </w:pPr>
            <w:r w:rsidRPr="00A47C6D">
              <w:rPr>
                <w:szCs w:val="22"/>
                <w:lang w:val="en-US" w:eastAsia="en-US"/>
              </w:rPr>
              <w:t>46</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6A78D300" w14:textId="77777777" w:rsidR="00A47C6D" w:rsidRPr="00A47C6D" w:rsidRDefault="00A47C6D" w:rsidP="00A47C6D">
            <w:pPr>
              <w:rPr>
                <w:szCs w:val="22"/>
                <w:lang w:val="en-US" w:eastAsia="en-US"/>
              </w:rPr>
            </w:pPr>
            <w:r w:rsidRPr="00A47C6D">
              <w:rPr>
                <w:szCs w:val="22"/>
                <w:lang w:val="en-US" w:eastAsia="en-US"/>
              </w:rPr>
              <w:t>47</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384389D5" w14:textId="77777777" w:rsidR="00A47C6D" w:rsidRPr="00A47C6D" w:rsidRDefault="00A47C6D" w:rsidP="00A47C6D">
            <w:pPr>
              <w:rPr>
                <w:szCs w:val="22"/>
                <w:lang w:val="en-US" w:eastAsia="en-US"/>
              </w:rPr>
            </w:pPr>
            <w:r w:rsidRPr="00A47C6D">
              <w:rPr>
                <w:szCs w:val="22"/>
                <w:lang w:val="en-US" w:eastAsia="en-US"/>
              </w:rPr>
              <w:t>47</w:t>
            </w:r>
          </w:p>
        </w:tc>
        <w:tc>
          <w:tcPr>
            <w:tcW w:w="0" w:type="auto"/>
            <w:tcBorders>
              <w:top w:val="single" w:sz="6" w:space="0" w:color="000000"/>
              <w:left w:val="single" w:sz="4" w:space="0" w:color="000000"/>
              <w:bottom w:val="single" w:sz="6" w:space="0" w:color="000000"/>
              <w:right w:val="single" w:sz="6" w:space="0" w:color="000000"/>
            </w:tcBorders>
            <w:tcMar>
              <w:top w:w="28" w:type="dxa"/>
              <w:left w:w="28" w:type="dxa"/>
              <w:bottom w:w="28" w:type="dxa"/>
              <w:right w:w="28" w:type="dxa"/>
            </w:tcMar>
          </w:tcPr>
          <w:p w14:paraId="120B7A43" w14:textId="77777777" w:rsidR="00A47C6D" w:rsidRPr="00A47C6D" w:rsidRDefault="00A47C6D" w:rsidP="00A47C6D">
            <w:pPr>
              <w:rPr>
                <w:szCs w:val="22"/>
                <w:lang w:val="en-US" w:eastAsia="en-US"/>
              </w:rPr>
            </w:pPr>
            <w:r w:rsidRPr="00A47C6D">
              <w:rPr>
                <w:szCs w:val="22"/>
                <w:lang w:val="en-US" w:eastAsia="en-US"/>
              </w:rPr>
              <w:t>65</w:t>
            </w:r>
          </w:p>
        </w:tc>
        <w:tc>
          <w:tcPr>
            <w:tcW w:w="0" w:type="auto"/>
            <w:tcBorders>
              <w:top w:val="single" w:sz="6" w:space="0" w:color="000000"/>
              <w:left w:val="single" w:sz="6" w:space="0" w:color="000000"/>
              <w:bottom w:val="single" w:sz="6" w:space="0" w:color="000000"/>
              <w:right w:val="single" w:sz="4" w:space="0" w:color="000000"/>
            </w:tcBorders>
            <w:tcMar>
              <w:top w:w="28" w:type="dxa"/>
              <w:left w:w="28" w:type="dxa"/>
              <w:bottom w:w="28" w:type="dxa"/>
              <w:right w:w="28" w:type="dxa"/>
            </w:tcMar>
          </w:tcPr>
          <w:p w14:paraId="5D5E138F" w14:textId="77777777" w:rsidR="00A47C6D" w:rsidRPr="00A47C6D" w:rsidRDefault="00A47C6D" w:rsidP="00A47C6D">
            <w:pPr>
              <w:rPr>
                <w:szCs w:val="22"/>
                <w:lang w:val="en-US" w:eastAsia="en-US"/>
              </w:rPr>
            </w:pPr>
            <w:r w:rsidRPr="00A47C6D">
              <w:rPr>
                <w:szCs w:val="22"/>
                <w:lang w:val="en-US" w:eastAsia="en-US"/>
              </w:rPr>
              <w:t>61</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D215021" w14:textId="77777777" w:rsidR="00A47C6D" w:rsidRPr="00A47C6D" w:rsidRDefault="00A47C6D" w:rsidP="00A47C6D">
            <w:pPr>
              <w:rPr>
                <w:szCs w:val="22"/>
                <w:lang w:val="en-US" w:eastAsia="en-US"/>
              </w:rPr>
            </w:pPr>
            <w:r w:rsidRPr="00A47C6D">
              <w:rPr>
                <w:szCs w:val="22"/>
                <w:lang w:val="en-US" w:eastAsia="en-US"/>
              </w:rPr>
              <w:t>59</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020BF382" w14:textId="77777777" w:rsidR="00A47C6D" w:rsidRPr="00A47C6D" w:rsidRDefault="00A47C6D" w:rsidP="00A47C6D">
            <w:pPr>
              <w:rPr>
                <w:szCs w:val="22"/>
                <w:lang w:val="en-US" w:eastAsia="en-US"/>
              </w:rPr>
            </w:pPr>
            <w:r w:rsidRPr="00A47C6D">
              <w:rPr>
                <w:szCs w:val="22"/>
                <w:lang w:val="en-US" w:eastAsia="en-US"/>
              </w:rPr>
              <w:t>56</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1F897CE6" w14:textId="77777777" w:rsidR="00A47C6D" w:rsidRPr="00A47C6D" w:rsidRDefault="00A47C6D" w:rsidP="00A47C6D">
            <w:pPr>
              <w:rPr>
                <w:szCs w:val="22"/>
                <w:lang w:val="en-US" w:eastAsia="en-US"/>
              </w:rPr>
            </w:pPr>
            <w:r w:rsidRPr="00A47C6D">
              <w:rPr>
                <w:szCs w:val="22"/>
                <w:lang w:val="en-US" w:eastAsia="en-US"/>
              </w:rPr>
              <w:t>57</w:t>
            </w:r>
          </w:p>
        </w:tc>
        <w:tc>
          <w:tcPr>
            <w:tcW w:w="0" w:type="auto"/>
            <w:tcBorders>
              <w:top w:val="single" w:sz="6" w:space="0" w:color="000000"/>
              <w:left w:val="single" w:sz="4" w:space="0" w:color="000000"/>
              <w:bottom w:val="single" w:sz="6" w:space="0" w:color="000000"/>
              <w:right w:val="single" w:sz="4" w:space="0" w:color="000000"/>
            </w:tcBorders>
            <w:tcMar>
              <w:top w:w="28" w:type="dxa"/>
              <w:left w:w="28" w:type="dxa"/>
              <w:bottom w:w="28" w:type="dxa"/>
              <w:right w:w="28" w:type="dxa"/>
            </w:tcMar>
          </w:tcPr>
          <w:p w14:paraId="78893FA5" w14:textId="77777777" w:rsidR="00A47C6D" w:rsidRPr="00A47C6D" w:rsidRDefault="00A47C6D" w:rsidP="00A47C6D">
            <w:pPr>
              <w:rPr>
                <w:szCs w:val="22"/>
                <w:lang w:val="en-US" w:eastAsia="en-US"/>
              </w:rPr>
            </w:pPr>
            <w:r w:rsidRPr="00A47C6D">
              <w:rPr>
                <w:szCs w:val="22"/>
                <w:lang w:val="en-US" w:eastAsia="en-US"/>
              </w:rPr>
              <w:t>56</w:t>
            </w:r>
          </w:p>
        </w:tc>
      </w:tr>
      <w:tr w:rsidR="00A47C6D" w:rsidRPr="00A47C6D" w14:paraId="26A30C4F" w14:textId="77777777" w:rsidTr="00A47C6D">
        <w:tc>
          <w:tcPr>
            <w:tcW w:w="0" w:type="auto"/>
            <w:tcBorders>
              <w:top w:val="single" w:sz="6" w:space="0" w:color="000000"/>
              <w:left w:val="single" w:sz="4" w:space="0" w:color="000000"/>
              <w:bottom w:val="single" w:sz="4" w:space="0" w:color="000000"/>
              <w:right w:val="single" w:sz="4" w:space="0" w:color="000000"/>
            </w:tcBorders>
          </w:tcPr>
          <w:p w14:paraId="0B3DB3E2" w14:textId="77777777" w:rsidR="00A47C6D" w:rsidRPr="00EC331C" w:rsidRDefault="00A47C6D" w:rsidP="00A47C6D">
            <w:pPr>
              <w:rPr>
                <w:szCs w:val="22"/>
                <w:lang w:eastAsia="en-US"/>
              </w:rPr>
            </w:pPr>
            <w:r w:rsidRPr="00EC331C">
              <w:rPr>
                <w:b/>
                <w:bCs/>
                <w:szCs w:val="22"/>
                <w:lang w:eastAsia="en-US"/>
              </w:rPr>
              <w:t xml:space="preserve">Serologija </w:t>
            </w:r>
            <w:r w:rsidRPr="00EC331C">
              <w:rPr>
                <w:szCs w:val="22"/>
                <w:lang w:eastAsia="en-US"/>
              </w:rPr>
              <w:t>(%)</w:t>
            </w:r>
          </w:p>
          <w:p w14:paraId="592A9282" w14:textId="77777777" w:rsidR="00A47C6D" w:rsidRPr="00EC331C" w:rsidRDefault="00A47C6D" w:rsidP="00A47C6D">
            <w:pPr>
              <w:rPr>
                <w:szCs w:val="22"/>
                <w:lang w:eastAsia="en-US"/>
              </w:rPr>
            </w:pPr>
          </w:p>
          <w:p w14:paraId="514361EA" w14:textId="77777777" w:rsidR="00A47C6D" w:rsidRPr="00EC331C" w:rsidRDefault="00A47C6D" w:rsidP="00A47C6D">
            <w:pPr>
              <w:rPr>
                <w:szCs w:val="22"/>
                <w:lang w:eastAsia="en-US"/>
              </w:rPr>
            </w:pPr>
            <w:r w:rsidRPr="00EC331C">
              <w:rPr>
                <w:szCs w:val="22"/>
                <w:lang w:eastAsia="en-US"/>
              </w:rPr>
              <w:t>HBeAg netekimas/</w:t>
            </w:r>
          </w:p>
          <w:p w14:paraId="21101BEF" w14:textId="77777777" w:rsidR="00A47C6D" w:rsidRPr="00EC331C" w:rsidRDefault="00A47C6D" w:rsidP="00A47C6D">
            <w:pPr>
              <w:rPr>
                <w:szCs w:val="22"/>
                <w:lang w:eastAsia="en-US"/>
              </w:rPr>
            </w:pPr>
            <w:r w:rsidRPr="00EC331C">
              <w:rPr>
                <w:szCs w:val="22"/>
                <w:lang w:eastAsia="en-US"/>
              </w:rPr>
              <w:t>serokonversija</w:t>
            </w:r>
          </w:p>
          <w:p w14:paraId="020C7612" w14:textId="77777777" w:rsidR="00A47C6D" w:rsidRPr="00EC331C" w:rsidRDefault="00A47C6D" w:rsidP="00A47C6D">
            <w:pPr>
              <w:rPr>
                <w:szCs w:val="22"/>
                <w:lang w:eastAsia="en-US"/>
              </w:rPr>
            </w:pPr>
          </w:p>
          <w:p w14:paraId="331A46A3" w14:textId="77777777" w:rsidR="00A47C6D" w:rsidRPr="00EC331C" w:rsidRDefault="00A47C6D" w:rsidP="00A47C6D">
            <w:pPr>
              <w:rPr>
                <w:szCs w:val="22"/>
                <w:lang w:eastAsia="en-US"/>
              </w:rPr>
            </w:pPr>
            <w:r w:rsidRPr="00EC331C">
              <w:rPr>
                <w:szCs w:val="22"/>
                <w:lang w:eastAsia="en-US"/>
              </w:rPr>
              <w:t>HBsAg netekimas/</w:t>
            </w:r>
          </w:p>
          <w:p w14:paraId="1214BA9B" w14:textId="77777777" w:rsidR="00A47C6D" w:rsidRPr="00C83DF1" w:rsidRDefault="00A47C6D" w:rsidP="00A47C6D">
            <w:pPr>
              <w:rPr>
                <w:szCs w:val="22"/>
                <w:lang w:val="en-US" w:eastAsia="en-US"/>
              </w:rPr>
            </w:pPr>
            <w:r w:rsidRPr="00C83DF1">
              <w:rPr>
                <w:szCs w:val="22"/>
                <w:lang w:val="en-US" w:eastAsia="en-US"/>
              </w:rPr>
              <w:t>serokonversija</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477931" w14:textId="77777777" w:rsidR="00A47C6D" w:rsidRPr="00A47C6D" w:rsidRDefault="00A47C6D" w:rsidP="00A47C6D">
            <w:pPr>
              <w:rPr>
                <w:szCs w:val="22"/>
                <w:lang w:val="en-US" w:eastAsia="en-US"/>
              </w:rPr>
            </w:pPr>
          </w:p>
          <w:p w14:paraId="11011F13" w14:textId="77777777" w:rsidR="00A47C6D" w:rsidRPr="00A47C6D" w:rsidRDefault="00A47C6D" w:rsidP="00A47C6D">
            <w:pPr>
              <w:rPr>
                <w:szCs w:val="22"/>
                <w:lang w:val="en-US" w:eastAsia="en-US"/>
              </w:rPr>
            </w:pPr>
          </w:p>
          <w:p w14:paraId="7311E04F" w14:textId="77777777" w:rsidR="00A47C6D" w:rsidRPr="00A47C6D" w:rsidRDefault="00A47C6D" w:rsidP="00A47C6D">
            <w:pPr>
              <w:rPr>
                <w:szCs w:val="22"/>
                <w:lang w:val="en-US" w:eastAsia="en-US"/>
              </w:rPr>
            </w:pPr>
            <w:r w:rsidRPr="00A47C6D">
              <w:rPr>
                <w:szCs w:val="22"/>
                <w:lang w:val="en-US" w:eastAsia="en-US"/>
              </w:rPr>
              <w:t>26/</w:t>
            </w:r>
          </w:p>
          <w:p w14:paraId="0FD730B0" w14:textId="77777777" w:rsidR="00A47C6D" w:rsidRPr="00A47C6D" w:rsidRDefault="00A47C6D" w:rsidP="00A47C6D">
            <w:pPr>
              <w:rPr>
                <w:szCs w:val="22"/>
                <w:lang w:val="en-US" w:eastAsia="en-US"/>
              </w:rPr>
            </w:pPr>
            <w:r w:rsidRPr="00A47C6D">
              <w:rPr>
                <w:szCs w:val="22"/>
                <w:lang w:val="en-US" w:eastAsia="en-US"/>
              </w:rPr>
              <w:t>23</w:t>
            </w:r>
          </w:p>
          <w:p w14:paraId="4D737853" w14:textId="77777777" w:rsidR="00A47C6D" w:rsidRPr="00A47C6D" w:rsidRDefault="00A47C6D" w:rsidP="00A47C6D">
            <w:pPr>
              <w:rPr>
                <w:szCs w:val="22"/>
                <w:lang w:val="en-US" w:eastAsia="en-US"/>
              </w:rPr>
            </w:pPr>
          </w:p>
          <w:p w14:paraId="61DBDE51" w14:textId="77777777" w:rsidR="00A47C6D" w:rsidRPr="00A47C6D" w:rsidRDefault="00A47C6D" w:rsidP="00A47C6D">
            <w:pPr>
              <w:rPr>
                <w:szCs w:val="22"/>
                <w:lang w:val="en-US" w:eastAsia="en-US"/>
              </w:rPr>
            </w:pPr>
            <w:r w:rsidRPr="00A47C6D">
              <w:rPr>
                <w:szCs w:val="22"/>
                <w:lang w:val="en-US" w:eastAsia="en-US"/>
              </w:rPr>
              <w:t>5/</w:t>
            </w:r>
          </w:p>
          <w:p w14:paraId="4AECC548" w14:textId="77777777" w:rsidR="00A47C6D" w:rsidRPr="00A47C6D" w:rsidRDefault="00A47C6D" w:rsidP="00A47C6D">
            <w:pPr>
              <w:rPr>
                <w:szCs w:val="22"/>
                <w:lang w:val="en-US" w:eastAsia="en-US"/>
              </w:rPr>
            </w:pPr>
            <w:r w:rsidRPr="00A47C6D">
              <w:rPr>
                <w:szCs w:val="22"/>
                <w:lang w:val="en-US" w:eastAsia="en-US"/>
              </w:rPr>
              <w:t>4</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8593EA8" w14:textId="77777777" w:rsidR="00A47C6D" w:rsidRPr="00A47C6D" w:rsidRDefault="00A47C6D" w:rsidP="00A47C6D">
            <w:pPr>
              <w:rPr>
                <w:szCs w:val="22"/>
                <w:lang w:val="en-US" w:eastAsia="en-US"/>
              </w:rPr>
            </w:pPr>
          </w:p>
          <w:p w14:paraId="12C5BBA1" w14:textId="77777777" w:rsidR="00A47C6D" w:rsidRPr="00A47C6D" w:rsidRDefault="00A47C6D" w:rsidP="00A47C6D">
            <w:pPr>
              <w:rPr>
                <w:szCs w:val="22"/>
                <w:lang w:val="en-US" w:eastAsia="en-US"/>
              </w:rPr>
            </w:pPr>
          </w:p>
          <w:p w14:paraId="46BBC80F" w14:textId="77777777" w:rsidR="00A47C6D" w:rsidRPr="00A47C6D" w:rsidRDefault="00A47C6D" w:rsidP="00A47C6D">
            <w:pPr>
              <w:rPr>
                <w:szCs w:val="22"/>
                <w:lang w:val="en-US" w:eastAsia="en-US"/>
              </w:rPr>
            </w:pPr>
            <w:r w:rsidRPr="00A47C6D">
              <w:rPr>
                <w:szCs w:val="22"/>
                <w:lang w:val="en-US" w:eastAsia="en-US"/>
              </w:rPr>
              <w:t>29/</w:t>
            </w:r>
          </w:p>
          <w:p w14:paraId="2CF6C69C" w14:textId="77777777" w:rsidR="00A47C6D" w:rsidRPr="00A47C6D" w:rsidRDefault="00A47C6D" w:rsidP="00A47C6D">
            <w:pPr>
              <w:rPr>
                <w:szCs w:val="22"/>
                <w:lang w:val="en-US" w:eastAsia="en-US"/>
              </w:rPr>
            </w:pPr>
            <w:r w:rsidRPr="00A47C6D">
              <w:rPr>
                <w:szCs w:val="22"/>
                <w:lang w:val="en-US" w:eastAsia="en-US"/>
              </w:rPr>
              <w:t>23</w:t>
            </w:r>
          </w:p>
          <w:p w14:paraId="122E1C60" w14:textId="77777777" w:rsidR="00A47C6D" w:rsidRPr="00A47C6D" w:rsidRDefault="00A47C6D" w:rsidP="00A47C6D">
            <w:pPr>
              <w:rPr>
                <w:szCs w:val="22"/>
                <w:lang w:val="en-US" w:eastAsia="en-US"/>
              </w:rPr>
            </w:pPr>
          </w:p>
          <w:p w14:paraId="0E035037" w14:textId="77777777" w:rsidR="00A47C6D" w:rsidRPr="00A47C6D" w:rsidRDefault="00A47C6D" w:rsidP="00A47C6D">
            <w:pPr>
              <w:rPr>
                <w:szCs w:val="22"/>
                <w:lang w:val="en-US" w:eastAsia="en-US"/>
              </w:rPr>
            </w:pPr>
            <w:r w:rsidRPr="00A47C6D">
              <w:rPr>
                <w:szCs w:val="22"/>
                <w:lang w:val="en-US" w:eastAsia="en-US"/>
              </w:rPr>
              <w:t>8/</w:t>
            </w:r>
          </w:p>
          <w:p w14:paraId="30291071" w14:textId="77777777" w:rsidR="00A47C6D" w:rsidRPr="00A47C6D" w:rsidRDefault="00A47C6D" w:rsidP="00A47C6D">
            <w:pPr>
              <w:rPr>
                <w:szCs w:val="22"/>
                <w:lang w:val="en-US" w:eastAsia="en-US"/>
              </w:rPr>
            </w:pPr>
            <w:r w:rsidRPr="00A47C6D">
              <w:rPr>
                <w:szCs w:val="22"/>
                <w:lang w:val="en-US" w:eastAsia="en-US"/>
              </w:rPr>
              <w:t>6</w:t>
            </w:r>
            <w:r w:rsidRPr="00A47C6D">
              <w:rPr>
                <w:szCs w:val="22"/>
                <w:vertAlign w:val="superscript"/>
                <w:lang w:val="en-US" w:eastAsia="en-US"/>
              </w:rPr>
              <w:t>g</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689D50" w14:textId="77777777" w:rsidR="00A47C6D" w:rsidRPr="00A47C6D" w:rsidRDefault="00A47C6D" w:rsidP="00A47C6D">
            <w:pPr>
              <w:rPr>
                <w:szCs w:val="22"/>
                <w:lang w:val="en-US" w:eastAsia="en-US"/>
              </w:rPr>
            </w:pPr>
          </w:p>
          <w:p w14:paraId="7267CCDE" w14:textId="77777777" w:rsidR="00A47C6D" w:rsidRPr="00A47C6D" w:rsidRDefault="00A47C6D" w:rsidP="00A47C6D">
            <w:pPr>
              <w:rPr>
                <w:szCs w:val="22"/>
                <w:lang w:val="en-US" w:eastAsia="en-US"/>
              </w:rPr>
            </w:pPr>
          </w:p>
          <w:p w14:paraId="132B5371" w14:textId="77777777" w:rsidR="00A47C6D" w:rsidRPr="00A47C6D" w:rsidRDefault="00A47C6D" w:rsidP="00A47C6D">
            <w:pPr>
              <w:rPr>
                <w:szCs w:val="22"/>
                <w:lang w:val="en-US" w:eastAsia="en-US"/>
              </w:rPr>
            </w:pPr>
            <w:r w:rsidRPr="00A47C6D">
              <w:rPr>
                <w:szCs w:val="22"/>
                <w:lang w:val="en-US" w:eastAsia="en-US"/>
              </w:rPr>
              <w:t>34/</w:t>
            </w:r>
          </w:p>
          <w:p w14:paraId="002CD405" w14:textId="77777777" w:rsidR="00A47C6D" w:rsidRPr="00A47C6D" w:rsidRDefault="00A47C6D" w:rsidP="00A47C6D">
            <w:pPr>
              <w:rPr>
                <w:szCs w:val="22"/>
                <w:lang w:val="en-US" w:eastAsia="en-US"/>
              </w:rPr>
            </w:pPr>
            <w:r w:rsidRPr="00A47C6D">
              <w:rPr>
                <w:szCs w:val="22"/>
                <w:lang w:val="en-US" w:eastAsia="en-US"/>
              </w:rPr>
              <w:t>25</w:t>
            </w:r>
          </w:p>
          <w:p w14:paraId="52CE7F9C" w14:textId="77777777" w:rsidR="00A47C6D" w:rsidRPr="00A47C6D" w:rsidRDefault="00A47C6D" w:rsidP="00A47C6D">
            <w:pPr>
              <w:rPr>
                <w:szCs w:val="22"/>
                <w:lang w:val="en-US" w:eastAsia="en-US"/>
              </w:rPr>
            </w:pPr>
          </w:p>
          <w:p w14:paraId="57025B90" w14:textId="77777777" w:rsidR="00A47C6D" w:rsidRPr="00A47C6D" w:rsidRDefault="00A47C6D" w:rsidP="00A47C6D">
            <w:pPr>
              <w:rPr>
                <w:szCs w:val="22"/>
                <w:lang w:val="en-US" w:eastAsia="en-US"/>
              </w:rPr>
            </w:pPr>
            <w:r w:rsidRPr="00A47C6D">
              <w:rPr>
                <w:szCs w:val="22"/>
                <w:lang w:val="en-US" w:eastAsia="en-US"/>
              </w:rPr>
              <w:t>11/</w:t>
            </w:r>
          </w:p>
          <w:p w14:paraId="107F8E03" w14:textId="77777777" w:rsidR="00A47C6D" w:rsidRPr="00A47C6D" w:rsidRDefault="00A47C6D" w:rsidP="00A47C6D">
            <w:pPr>
              <w:rPr>
                <w:szCs w:val="22"/>
                <w:lang w:val="en-US" w:eastAsia="en-US"/>
              </w:rPr>
            </w:pPr>
            <w:r w:rsidRPr="00A47C6D">
              <w:rPr>
                <w:szCs w:val="22"/>
                <w:lang w:val="en-US" w:eastAsia="en-US"/>
              </w:rPr>
              <w:t>8</w:t>
            </w:r>
            <w:r w:rsidRPr="00A47C6D">
              <w:rPr>
                <w:szCs w:val="22"/>
                <w:vertAlign w:val="superscript"/>
                <w:lang w:val="en-US" w:eastAsia="en-US"/>
              </w:rPr>
              <w:t>g</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77D5BF" w14:textId="77777777" w:rsidR="00A47C6D" w:rsidRPr="00A47C6D" w:rsidRDefault="00A47C6D" w:rsidP="00A47C6D">
            <w:pPr>
              <w:rPr>
                <w:szCs w:val="22"/>
                <w:lang w:val="en-US" w:eastAsia="en-US"/>
              </w:rPr>
            </w:pPr>
          </w:p>
          <w:p w14:paraId="784FACE4" w14:textId="77777777" w:rsidR="00A47C6D" w:rsidRPr="00A47C6D" w:rsidRDefault="00A47C6D" w:rsidP="00A47C6D">
            <w:pPr>
              <w:rPr>
                <w:szCs w:val="22"/>
                <w:lang w:val="en-US" w:eastAsia="en-US"/>
              </w:rPr>
            </w:pPr>
          </w:p>
          <w:p w14:paraId="23A8A2FD" w14:textId="77777777" w:rsidR="00A47C6D" w:rsidRPr="00A47C6D" w:rsidRDefault="00A47C6D" w:rsidP="00A47C6D">
            <w:pPr>
              <w:rPr>
                <w:szCs w:val="22"/>
                <w:lang w:val="en-US" w:eastAsia="en-US"/>
              </w:rPr>
            </w:pPr>
            <w:r w:rsidRPr="00A47C6D">
              <w:rPr>
                <w:szCs w:val="22"/>
                <w:lang w:val="en-US" w:eastAsia="en-US"/>
              </w:rPr>
              <w:t>38/</w:t>
            </w:r>
          </w:p>
          <w:p w14:paraId="178176A4" w14:textId="77777777" w:rsidR="00A47C6D" w:rsidRPr="00A47C6D" w:rsidRDefault="00A47C6D" w:rsidP="00A47C6D">
            <w:pPr>
              <w:rPr>
                <w:szCs w:val="22"/>
                <w:lang w:val="en-US" w:eastAsia="en-US"/>
              </w:rPr>
            </w:pPr>
            <w:r w:rsidRPr="00A47C6D">
              <w:rPr>
                <w:szCs w:val="22"/>
                <w:lang w:val="en-US" w:eastAsia="en-US"/>
              </w:rPr>
              <w:t>30</w:t>
            </w:r>
          </w:p>
          <w:p w14:paraId="5CB123EE" w14:textId="77777777" w:rsidR="00A47C6D" w:rsidRPr="00A47C6D" w:rsidRDefault="00A47C6D" w:rsidP="00A47C6D">
            <w:pPr>
              <w:rPr>
                <w:szCs w:val="22"/>
                <w:lang w:val="en-US" w:eastAsia="en-US"/>
              </w:rPr>
            </w:pPr>
          </w:p>
          <w:p w14:paraId="12BC3DB3" w14:textId="77777777" w:rsidR="00A47C6D" w:rsidRPr="00A47C6D" w:rsidRDefault="00A47C6D" w:rsidP="00A47C6D">
            <w:pPr>
              <w:rPr>
                <w:szCs w:val="22"/>
                <w:lang w:val="en-US" w:eastAsia="en-US"/>
              </w:rPr>
            </w:pPr>
            <w:r w:rsidRPr="00A47C6D">
              <w:rPr>
                <w:szCs w:val="22"/>
                <w:lang w:val="en-US" w:eastAsia="en-US"/>
              </w:rPr>
              <w:t>11/</w:t>
            </w:r>
          </w:p>
          <w:p w14:paraId="5A97C681" w14:textId="77777777" w:rsidR="00A47C6D" w:rsidRPr="00A47C6D" w:rsidRDefault="00A47C6D" w:rsidP="00A47C6D">
            <w:pPr>
              <w:rPr>
                <w:szCs w:val="22"/>
                <w:lang w:val="en-US" w:eastAsia="en-US"/>
              </w:rPr>
            </w:pPr>
            <w:r w:rsidRPr="00A47C6D">
              <w:rPr>
                <w:szCs w:val="22"/>
                <w:lang w:val="en-US" w:eastAsia="en-US"/>
              </w:rPr>
              <w:t>8</w:t>
            </w:r>
            <w:r w:rsidRPr="00A47C6D">
              <w:rPr>
                <w:szCs w:val="22"/>
                <w:vertAlign w:val="superscript"/>
                <w:lang w:val="en-US" w:eastAsia="en-US"/>
              </w:rPr>
              <w:t>l</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BA731D6" w14:textId="77777777" w:rsidR="00A47C6D" w:rsidRPr="00A47C6D" w:rsidRDefault="00A47C6D" w:rsidP="00A47C6D">
            <w:pPr>
              <w:rPr>
                <w:szCs w:val="22"/>
                <w:lang w:val="en-US" w:eastAsia="en-US"/>
              </w:rPr>
            </w:pPr>
          </w:p>
          <w:p w14:paraId="282F9298" w14:textId="77777777" w:rsidR="00A47C6D" w:rsidRPr="00A47C6D" w:rsidRDefault="00A47C6D" w:rsidP="00A47C6D">
            <w:pPr>
              <w:rPr>
                <w:szCs w:val="22"/>
                <w:lang w:val="en-US" w:eastAsia="en-US"/>
              </w:rPr>
            </w:pPr>
          </w:p>
          <w:p w14:paraId="44179F5E" w14:textId="77777777" w:rsidR="00A47C6D" w:rsidRPr="00A47C6D" w:rsidRDefault="00A47C6D" w:rsidP="00A47C6D">
            <w:pPr>
              <w:rPr>
                <w:szCs w:val="22"/>
                <w:lang w:val="en-US" w:eastAsia="en-US"/>
              </w:rPr>
            </w:pPr>
            <w:r w:rsidRPr="00A47C6D">
              <w:rPr>
                <w:szCs w:val="22"/>
                <w:lang w:val="en-US" w:eastAsia="en-US"/>
              </w:rPr>
              <w:t>37/</w:t>
            </w:r>
          </w:p>
          <w:p w14:paraId="5949C44B" w14:textId="77777777" w:rsidR="00A47C6D" w:rsidRPr="00A47C6D" w:rsidRDefault="00A47C6D" w:rsidP="00A47C6D">
            <w:pPr>
              <w:rPr>
                <w:szCs w:val="22"/>
                <w:lang w:val="en-US" w:eastAsia="en-US"/>
              </w:rPr>
            </w:pPr>
            <w:r w:rsidRPr="00A47C6D">
              <w:rPr>
                <w:szCs w:val="22"/>
                <w:lang w:val="en-US" w:eastAsia="en-US"/>
              </w:rPr>
              <w:t>25</w:t>
            </w:r>
          </w:p>
          <w:p w14:paraId="7DFC67B4" w14:textId="77777777" w:rsidR="00A47C6D" w:rsidRPr="00A47C6D" w:rsidRDefault="00A47C6D" w:rsidP="00A47C6D">
            <w:pPr>
              <w:rPr>
                <w:szCs w:val="22"/>
                <w:lang w:val="en-US" w:eastAsia="en-US"/>
              </w:rPr>
            </w:pPr>
          </w:p>
          <w:p w14:paraId="57236B43" w14:textId="77777777" w:rsidR="00A47C6D" w:rsidRPr="00A47C6D" w:rsidRDefault="00A47C6D" w:rsidP="00A47C6D">
            <w:pPr>
              <w:rPr>
                <w:szCs w:val="22"/>
                <w:lang w:val="en-US" w:eastAsia="en-US"/>
              </w:rPr>
            </w:pPr>
            <w:r w:rsidRPr="00A47C6D">
              <w:rPr>
                <w:szCs w:val="22"/>
                <w:lang w:val="en-US" w:eastAsia="en-US"/>
              </w:rPr>
              <w:t>12/</w:t>
            </w:r>
          </w:p>
          <w:p w14:paraId="04D6C162" w14:textId="77777777" w:rsidR="00A47C6D" w:rsidRPr="00A47C6D" w:rsidRDefault="00A47C6D" w:rsidP="00A47C6D">
            <w:pPr>
              <w:rPr>
                <w:szCs w:val="22"/>
                <w:lang w:val="en-US" w:eastAsia="en-US"/>
              </w:rPr>
            </w:pPr>
            <w:r w:rsidRPr="00A47C6D">
              <w:rPr>
                <w:szCs w:val="22"/>
                <w:lang w:val="en-US" w:eastAsia="en-US"/>
              </w:rPr>
              <w:t>8</w:t>
            </w:r>
            <w:r w:rsidRPr="00A47C6D">
              <w:rPr>
                <w:szCs w:val="22"/>
                <w:vertAlign w:val="superscript"/>
                <w:lang w:val="en-US" w:eastAsia="en-US"/>
              </w:rPr>
              <w:t>l</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C5907D" w14:textId="77777777" w:rsidR="00A47C6D" w:rsidRPr="00A47C6D" w:rsidRDefault="00A47C6D" w:rsidP="00A47C6D">
            <w:pPr>
              <w:rPr>
                <w:szCs w:val="22"/>
                <w:lang w:val="en-US" w:eastAsia="en-US"/>
              </w:rPr>
            </w:pPr>
          </w:p>
          <w:p w14:paraId="5F44D49D" w14:textId="77777777" w:rsidR="00A47C6D" w:rsidRPr="00A47C6D" w:rsidRDefault="00A47C6D" w:rsidP="00A47C6D">
            <w:pPr>
              <w:rPr>
                <w:szCs w:val="22"/>
                <w:lang w:val="en-US" w:eastAsia="en-US"/>
              </w:rPr>
            </w:pPr>
          </w:p>
          <w:p w14:paraId="6E9D76A1" w14:textId="77777777" w:rsidR="00A47C6D" w:rsidRPr="00A47C6D" w:rsidRDefault="00A47C6D" w:rsidP="00A47C6D">
            <w:pPr>
              <w:rPr>
                <w:szCs w:val="22"/>
                <w:lang w:val="en-US" w:eastAsia="en-US"/>
              </w:rPr>
            </w:pPr>
            <w:r w:rsidRPr="00A47C6D">
              <w:rPr>
                <w:szCs w:val="22"/>
                <w:lang w:val="en-US" w:eastAsia="en-US"/>
              </w:rPr>
              <w:t>30/</w:t>
            </w:r>
          </w:p>
          <w:p w14:paraId="29DCF866" w14:textId="77777777" w:rsidR="00A47C6D" w:rsidRPr="00A47C6D" w:rsidRDefault="00A47C6D" w:rsidP="00A47C6D">
            <w:pPr>
              <w:rPr>
                <w:szCs w:val="22"/>
                <w:lang w:val="en-US" w:eastAsia="en-US"/>
              </w:rPr>
            </w:pPr>
            <w:r w:rsidRPr="00A47C6D">
              <w:rPr>
                <w:szCs w:val="22"/>
                <w:lang w:val="en-US" w:eastAsia="en-US"/>
              </w:rPr>
              <w:t>20</w:t>
            </w:r>
          </w:p>
          <w:p w14:paraId="1D3228EA" w14:textId="77777777" w:rsidR="00A47C6D" w:rsidRPr="00A47C6D" w:rsidRDefault="00A47C6D" w:rsidP="00A47C6D">
            <w:pPr>
              <w:rPr>
                <w:szCs w:val="22"/>
                <w:lang w:val="en-US" w:eastAsia="en-US"/>
              </w:rPr>
            </w:pPr>
          </w:p>
          <w:p w14:paraId="285853E7" w14:textId="77777777" w:rsidR="00A47C6D" w:rsidRPr="00A47C6D" w:rsidRDefault="00A47C6D" w:rsidP="00A47C6D">
            <w:pPr>
              <w:rPr>
                <w:szCs w:val="22"/>
                <w:lang w:val="en-US" w:eastAsia="en-US"/>
              </w:rPr>
            </w:pPr>
            <w:r w:rsidRPr="00A47C6D">
              <w:rPr>
                <w:szCs w:val="22"/>
                <w:lang w:val="en-US" w:eastAsia="en-US"/>
              </w:rPr>
              <w:t>15/</w:t>
            </w:r>
          </w:p>
          <w:p w14:paraId="5F9795EA" w14:textId="77777777" w:rsidR="00A47C6D" w:rsidRPr="00A47C6D" w:rsidRDefault="00A47C6D" w:rsidP="00A47C6D">
            <w:pPr>
              <w:rPr>
                <w:szCs w:val="22"/>
                <w:lang w:val="en-US" w:eastAsia="en-US"/>
              </w:rPr>
            </w:pPr>
            <w:r w:rsidRPr="00A47C6D">
              <w:rPr>
                <w:szCs w:val="22"/>
                <w:lang w:val="en-US" w:eastAsia="en-US"/>
              </w:rPr>
              <w:t>12</w:t>
            </w:r>
            <w:r w:rsidRPr="00A47C6D">
              <w:rPr>
                <w:szCs w:val="22"/>
                <w:vertAlign w:val="superscript"/>
                <w:lang w:val="en-US" w:eastAsia="en-US"/>
              </w:rPr>
              <w:t>l</w:t>
            </w:r>
          </w:p>
        </w:tc>
        <w:tc>
          <w:tcPr>
            <w:tcW w:w="0" w:type="auto"/>
            <w:tcBorders>
              <w:top w:val="single" w:sz="6" w:space="0" w:color="000000"/>
              <w:left w:val="single" w:sz="4" w:space="0" w:color="000000"/>
              <w:bottom w:val="single" w:sz="4" w:space="0" w:color="000000"/>
              <w:right w:val="single" w:sz="6" w:space="0" w:color="000000"/>
            </w:tcBorders>
            <w:tcMar>
              <w:top w:w="28" w:type="dxa"/>
              <w:left w:w="28" w:type="dxa"/>
              <w:bottom w:w="28" w:type="dxa"/>
              <w:right w:w="28" w:type="dxa"/>
            </w:tcMar>
          </w:tcPr>
          <w:p w14:paraId="555F1968" w14:textId="77777777" w:rsidR="00A47C6D" w:rsidRPr="00A47C6D" w:rsidRDefault="00A47C6D" w:rsidP="00A47C6D">
            <w:pPr>
              <w:rPr>
                <w:szCs w:val="22"/>
                <w:lang w:val="en-US" w:eastAsia="en-US"/>
              </w:rPr>
            </w:pPr>
          </w:p>
          <w:p w14:paraId="3C5E9E19" w14:textId="77777777" w:rsidR="00A47C6D" w:rsidRPr="00A47C6D" w:rsidRDefault="00A47C6D" w:rsidP="00A47C6D">
            <w:pPr>
              <w:rPr>
                <w:szCs w:val="22"/>
                <w:lang w:val="en-US" w:eastAsia="en-US"/>
              </w:rPr>
            </w:pPr>
          </w:p>
          <w:p w14:paraId="14E3ED77" w14:textId="77777777" w:rsidR="00A47C6D" w:rsidRPr="00A47C6D" w:rsidRDefault="00A47C6D" w:rsidP="00A47C6D">
            <w:pPr>
              <w:rPr>
                <w:szCs w:val="22"/>
                <w:lang w:val="en-US" w:eastAsia="en-US"/>
              </w:rPr>
            </w:pPr>
            <w:r w:rsidRPr="00A47C6D">
              <w:rPr>
                <w:szCs w:val="22"/>
                <w:lang w:val="en-US" w:eastAsia="en-US"/>
              </w:rPr>
              <w:t>24/</w:t>
            </w:r>
          </w:p>
          <w:p w14:paraId="0719B38B" w14:textId="77777777" w:rsidR="00A47C6D" w:rsidRPr="00A47C6D" w:rsidRDefault="00A47C6D" w:rsidP="00A47C6D">
            <w:pPr>
              <w:rPr>
                <w:szCs w:val="22"/>
                <w:lang w:val="en-US" w:eastAsia="en-US"/>
              </w:rPr>
            </w:pPr>
            <w:r w:rsidRPr="00A47C6D">
              <w:rPr>
                <w:szCs w:val="22"/>
                <w:lang w:val="en-US" w:eastAsia="en-US"/>
              </w:rPr>
              <w:t>20</w:t>
            </w:r>
          </w:p>
          <w:p w14:paraId="00098FA7" w14:textId="77777777" w:rsidR="00A47C6D" w:rsidRPr="00A47C6D" w:rsidRDefault="00A47C6D" w:rsidP="00A47C6D">
            <w:pPr>
              <w:rPr>
                <w:szCs w:val="22"/>
                <w:lang w:val="en-US" w:eastAsia="en-US"/>
              </w:rPr>
            </w:pPr>
          </w:p>
          <w:p w14:paraId="09D896F8" w14:textId="77777777" w:rsidR="00A47C6D" w:rsidRPr="00A47C6D" w:rsidRDefault="00A47C6D" w:rsidP="00A47C6D">
            <w:pPr>
              <w:rPr>
                <w:szCs w:val="22"/>
                <w:lang w:val="en-US" w:eastAsia="en-US"/>
              </w:rPr>
            </w:pPr>
            <w:r w:rsidRPr="00A47C6D">
              <w:rPr>
                <w:szCs w:val="22"/>
                <w:lang w:val="en-US" w:eastAsia="en-US"/>
              </w:rPr>
              <w:t>6/</w:t>
            </w:r>
          </w:p>
          <w:p w14:paraId="55245C65" w14:textId="77777777" w:rsidR="00A47C6D" w:rsidRPr="00A47C6D" w:rsidRDefault="00A47C6D" w:rsidP="00A47C6D">
            <w:pPr>
              <w:rPr>
                <w:szCs w:val="22"/>
                <w:lang w:val="en-US" w:eastAsia="en-US"/>
              </w:rPr>
            </w:pPr>
            <w:r w:rsidRPr="00A47C6D">
              <w:rPr>
                <w:szCs w:val="22"/>
                <w:lang w:val="en-US" w:eastAsia="en-US"/>
              </w:rPr>
              <w:t>5</w:t>
            </w:r>
          </w:p>
        </w:tc>
        <w:tc>
          <w:tcPr>
            <w:tcW w:w="0" w:type="auto"/>
            <w:tcBorders>
              <w:top w:val="single" w:sz="6" w:space="0" w:color="000000"/>
              <w:left w:val="single" w:sz="6" w:space="0" w:color="000000"/>
              <w:bottom w:val="single" w:sz="4" w:space="0" w:color="000000"/>
              <w:right w:val="single" w:sz="4" w:space="0" w:color="000000"/>
            </w:tcBorders>
            <w:tcMar>
              <w:top w:w="28" w:type="dxa"/>
              <w:left w:w="28" w:type="dxa"/>
              <w:bottom w:w="28" w:type="dxa"/>
              <w:right w:w="28" w:type="dxa"/>
            </w:tcMar>
          </w:tcPr>
          <w:p w14:paraId="6EF96DF1" w14:textId="77777777" w:rsidR="00A47C6D" w:rsidRPr="00A47C6D" w:rsidRDefault="00A47C6D" w:rsidP="00A47C6D">
            <w:pPr>
              <w:rPr>
                <w:szCs w:val="22"/>
                <w:lang w:val="en-US" w:eastAsia="en-US"/>
              </w:rPr>
            </w:pPr>
          </w:p>
          <w:p w14:paraId="71FBA9B6" w14:textId="77777777" w:rsidR="00A47C6D" w:rsidRPr="00A47C6D" w:rsidRDefault="00A47C6D" w:rsidP="00A47C6D">
            <w:pPr>
              <w:rPr>
                <w:szCs w:val="22"/>
                <w:lang w:val="en-US" w:eastAsia="en-US"/>
              </w:rPr>
            </w:pPr>
          </w:p>
          <w:p w14:paraId="5EAAB25C" w14:textId="77777777" w:rsidR="00A47C6D" w:rsidRPr="00A47C6D" w:rsidRDefault="00A47C6D" w:rsidP="00A47C6D">
            <w:pPr>
              <w:rPr>
                <w:szCs w:val="22"/>
                <w:lang w:val="en-US" w:eastAsia="en-US"/>
              </w:rPr>
            </w:pPr>
            <w:r w:rsidRPr="00A47C6D">
              <w:rPr>
                <w:szCs w:val="22"/>
                <w:lang w:val="en-US" w:eastAsia="en-US"/>
              </w:rPr>
              <w:t>33/</w:t>
            </w:r>
          </w:p>
          <w:p w14:paraId="55896E61" w14:textId="77777777" w:rsidR="00A47C6D" w:rsidRPr="00A47C6D" w:rsidRDefault="00A47C6D" w:rsidP="00A47C6D">
            <w:pPr>
              <w:rPr>
                <w:szCs w:val="22"/>
                <w:lang w:val="en-US" w:eastAsia="en-US"/>
              </w:rPr>
            </w:pPr>
            <w:r w:rsidRPr="00A47C6D">
              <w:rPr>
                <w:szCs w:val="22"/>
                <w:lang w:val="en-US" w:eastAsia="en-US"/>
              </w:rPr>
              <w:t>26</w:t>
            </w:r>
          </w:p>
          <w:p w14:paraId="145C5BDA" w14:textId="77777777" w:rsidR="00A47C6D" w:rsidRPr="00A47C6D" w:rsidRDefault="00A47C6D" w:rsidP="00A47C6D">
            <w:pPr>
              <w:rPr>
                <w:szCs w:val="22"/>
                <w:lang w:val="en-US" w:eastAsia="en-US"/>
              </w:rPr>
            </w:pPr>
          </w:p>
          <w:p w14:paraId="363C8127" w14:textId="77777777" w:rsidR="00A47C6D" w:rsidRPr="00A47C6D" w:rsidRDefault="00A47C6D" w:rsidP="00A47C6D">
            <w:pPr>
              <w:rPr>
                <w:szCs w:val="22"/>
                <w:lang w:val="en-US" w:eastAsia="en-US"/>
              </w:rPr>
            </w:pPr>
            <w:r w:rsidRPr="00A47C6D">
              <w:rPr>
                <w:szCs w:val="22"/>
                <w:lang w:val="en-US" w:eastAsia="en-US"/>
              </w:rPr>
              <w:t>8/</w:t>
            </w:r>
          </w:p>
          <w:p w14:paraId="4A338F88" w14:textId="77777777" w:rsidR="00A47C6D" w:rsidRPr="00A47C6D" w:rsidRDefault="00A47C6D" w:rsidP="00A47C6D">
            <w:pPr>
              <w:rPr>
                <w:szCs w:val="22"/>
                <w:lang w:val="en-US" w:eastAsia="en-US"/>
              </w:rPr>
            </w:pPr>
            <w:r w:rsidRPr="00A47C6D">
              <w:rPr>
                <w:szCs w:val="22"/>
                <w:lang w:val="en-US" w:eastAsia="en-US"/>
              </w:rPr>
              <w:t>7</w:t>
            </w:r>
            <w:r w:rsidRPr="00A47C6D">
              <w:rPr>
                <w:szCs w:val="22"/>
                <w:vertAlign w:val="superscript"/>
                <w:lang w:val="en-US" w:eastAsia="en-US"/>
              </w:rPr>
              <w:t>g</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16307E" w14:textId="77777777" w:rsidR="00A47C6D" w:rsidRPr="00A47C6D" w:rsidRDefault="00A47C6D" w:rsidP="00A47C6D">
            <w:pPr>
              <w:rPr>
                <w:szCs w:val="22"/>
                <w:lang w:val="en-US" w:eastAsia="en-US"/>
              </w:rPr>
            </w:pPr>
          </w:p>
          <w:p w14:paraId="694F34AD" w14:textId="77777777" w:rsidR="00A47C6D" w:rsidRPr="00A47C6D" w:rsidRDefault="00A47C6D" w:rsidP="00A47C6D">
            <w:pPr>
              <w:rPr>
                <w:szCs w:val="22"/>
                <w:lang w:val="en-US" w:eastAsia="en-US"/>
              </w:rPr>
            </w:pPr>
          </w:p>
          <w:p w14:paraId="1EA4C810" w14:textId="77777777" w:rsidR="00A47C6D" w:rsidRPr="00A47C6D" w:rsidRDefault="00A47C6D" w:rsidP="00A47C6D">
            <w:pPr>
              <w:rPr>
                <w:szCs w:val="22"/>
                <w:lang w:val="en-US" w:eastAsia="en-US"/>
              </w:rPr>
            </w:pPr>
            <w:r w:rsidRPr="00A47C6D">
              <w:rPr>
                <w:szCs w:val="22"/>
                <w:lang w:val="en-US" w:eastAsia="en-US"/>
              </w:rPr>
              <w:t>36/</w:t>
            </w:r>
          </w:p>
          <w:p w14:paraId="329BC0EA" w14:textId="77777777" w:rsidR="00A47C6D" w:rsidRPr="00A47C6D" w:rsidRDefault="00A47C6D" w:rsidP="00A47C6D">
            <w:pPr>
              <w:rPr>
                <w:szCs w:val="22"/>
                <w:lang w:val="en-US" w:eastAsia="en-US"/>
              </w:rPr>
            </w:pPr>
            <w:r w:rsidRPr="00A47C6D">
              <w:rPr>
                <w:szCs w:val="22"/>
                <w:lang w:val="en-US" w:eastAsia="en-US"/>
              </w:rPr>
              <w:t>30</w:t>
            </w:r>
          </w:p>
          <w:p w14:paraId="1C44A634" w14:textId="77777777" w:rsidR="00A47C6D" w:rsidRPr="00A47C6D" w:rsidRDefault="00A47C6D" w:rsidP="00A47C6D">
            <w:pPr>
              <w:rPr>
                <w:szCs w:val="22"/>
                <w:lang w:val="en-US" w:eastAsia="en-US"/>
              </w:rPr>
            </w:pPr>
          </w:p>
          <w:p w14:paraId="10A8E086" w14:textId="77777777" w:rsidR="00A47C6D" w:rsidRPr="00A47C6D" w:rsidRDefault="00A47C6D" w:rsidP="00A47C6D">
            <w:pPr>
              <w:rPr>
                <w:szCs w:val="22"/>
                <w:lang w:val="en-US" w:eastAsia="en-US"/>
              </w:rPr>
            </w:pPr>
            <w:r w:rsidRPr="00A47C6D">
              <w:rPr>
                <w:szCs w:val="22"/>
                <w:lang w:val="en-US" w:eastAsia="en-US"/>
              </w:rPr>
              <w:t>8/</w:t>
            </w:r>
          </w:p>
          <w:p w14:paraId="39BA4108" w14:textId="77777777" w:rsidR="00A47C6D" w:rsidRPr="00A47C6D" w:rsidRDefault="00A47C6D" w:rsidP="00A47C6D">
            <w:pPr>
              <w:rPr>
                <w:szCs w:val="22"/>
                <w:lang w:val="en-US" w:eastAsia="en-US"/>
              </w:rPr>
            </w:pPr>
            <w:r w:rsidRPr="00A47C6D">
              <w:rPr>
                <w:szCs w:val="22"/>
                <w:lang w:val="en-US" w:eastAsia="en-US"/>
              </w:rPr>
              <w:t>7</w:t>
            </w:r>
            <w:r w:rsidRPr="00A47C6D">
              <w:rPr>
                <w:szCs w:val="22"/>
                <w:vertAlign w:val="superscript"/>
                <w:lang w:val="en-US" w:eastAsia="en-US"/>
              </w:rPr>
              <w:t>g</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5DAD45" w14:textId="77777777" w:rsidR="00A47C6D" w:rsidRPr="00A47C6D" w:rsidRDefault="00A47C6D" w:rsidP="00A47C6D">
            <w:pPr>
              <w:rPr>
                <w:szCs w:val="22"/>
                <w:lang w:val="en-US" w:eastAsia="en-US"/>
              </w:rPr>
            </w:pPr>
          </w:p>
          <w:p w14:paraId="59CCEFFB" w14:textId="77777777" w:rsidR="00A47C6D" w:rsidRPr="00A47C6D" w:rsidRDefault="00A47C6D" w:rsidP="00A47C6D">
            <w:pPr>
              <w:rPr>
                <w:szCs w:val="22"/>
                <w:lang w:val="en-US" w:eastAsia="en-US"/>
              </w:rPr>
            </w:pPr>
          </w:p>
          <w:p w14:paraId="261F47B4" w14:textId="77777777" w:rsidR="00A47C6D" w:rsidRPr="00A47C6D" w:rsidRDefault="00A47C6D" w:rsidP="00A47C6D">
            <w:pPr>
              <w:rPr>
                <w:szCs w:val="22"/>
                <w:lang w:val="en-US" w:eastAsia="en-US"/>
              </w:rPr>
            </w:pPr>
            <w:r w:rsidRPr="00A47C6D">
              <w:rPr>
                <w:szCs w:val="22"/>
                <w:lang w:val="en-US" w:eastAsia="en-US"/>
              </w:rPr>
              <w:t>38/</w:t>
            </w:r>
          </w:p>
          <w:p w14:paraId="190E7DDD" w14:textId="77777777" w:rsidR="00A47C6D" w:rsidRPr="00A47C6D" w:rsidRDefault="00A47C6D" w:rsidP="00A47C6D">
            <w:pPr>
              <w:rPr>
                <w:szCs w:val="22"/>
                <w:lang w:val="en-US" w:eastAsia="en-US"/>
              </w:rPr>
            </w:pPr>
            <w:r w:rsidRPr="00A47C6D">
              <w:rPr>
                <w:szCs w:val="22"/>
                <w:lang w:val="en-US" w:eastAsia="en-US"/>
              </w:rPr>
              <w:t>31</w:t>
            </w:r>
          </w:p>
          <w:p w14:paraId="5BFF46F9" w14:textId="77777777" w:rsidR="00A47C6D" w:rsidRPr="00A47C6D" w:rsidRDefault="00A47C6D" w:rsidP="00A47C6D">
            <w:pPr>
              <w:rPr>
                <w:szCs w:val="22"/>
                <w:lang w:val="en-US" w:eastAsia="en-US"/>
              </w:rPr>
            </w:pPr>
          </w:p>
          <w:p w14:paraId="6B52A76E" w14:textId="77777777" w:rsidR="00A47C6D" w:rsidRPr="00A47C6D" w:rsidRDefault="00A47C6D" w:rsidP="00A47C6D">
            <w:pPr>
              <w:rPr>
                <w:szCs w:val="22"/>
                <w:lang w:val="en-US" w:eastAsia="en-US"/>
              </w:rPr>
            </w:pPr>
            <w:r w:rsidRPr="00A47C6D">
              <w:rPr>
                <w:szCs w:val="22"/>
                <w:lang w:val="en-US" w:eastAsia="en-US"/>
              </w:rPr>
              <w:t>10/</w:t>
            </w:r>
          </w:p>
          <w:p w14:paraId="5CEE1328" w14:textId="77777777" w:rsidR="00A47C6D" w:rsidRPr="00A47C6D" w:rsidRDefault="00A47C6D" w:rsidP="00A47C6D">
            <w:pPr>
              <w:rPr>
                <w:szCs w:val="22"/>
                <w:lang w:val="en-US" w:eastAsia="en-US"/>
              </w:rPr>
            </w:pPr>
            <w:r w:rsidRPr="00A47C6D">
              <w:rPr>
                <w:szCs w:val="22"/>
                <w:lang w:val="en-US" w:eastAsia="en-US"/>
              </w:rPr>
              <w:t>10</w:t>
            </w:r>
            <w:r w:rsidRPr="00A47C6D">
              <w:rPr>
                <w:szCs w:val="22"/>
                <w:vertAlign w:val="superscript"/>
                <w:lang w:val="en-US" w:eastAsia="en-US"/>
              </w:rPr>
              <w:t>l</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461CA76" w14:textId="77777777" w:rsidR="00A47C6D" w:rsidRPr="00A47C6D" w:rsidRDefault="00A47C6D" w:rsidP="00A47C6D">
            <w:pPr>
              <w:rPr>
                <w:szCs w:val="22"/>
                <w:lang w:val="en-US" w:eastAsia="en-US"/>
              </w:rPr>
            </w:pPr>
          </w:p>
          <w:p w14:paraId="26A0DE0C" w14:textId="77777777" w:rsidR="00A47C6D" w:rsidRPr="00A47C6D" w:rsidRDefault="00A47C6D" w:rsidP="00A47C6D">
            <w:pPr>
              <w:rPr>
                <w:szCs w:val="22"/>
                <w:lang w:val="en-US" w:eastAsia="en-US"/>
              </w:rPr>
            </w:pPr>
          </w:p>
          <w:p w14:paraId="04732949" w14:textId="77777777" w:rsidR="00A47C6D" w:rsidRPr="00A47C6D" w:rsidRDefault="00A47C6D" w:rsidP="00A47C6D">
            <w:pPr>
              <w:rPr>
                <w:szCs w:val="22"/>
                <w:lang w:val="en-US" w:eastAsia="en-US"/>
              </w:rPr>
            </w:pPr>
            <w:r w:rsidRPr="00A47C6D">
              <w:rPr>
                <w:szCs w:val="22"/>
                <w:lang w:val="en-US" w:eastAsia="en-US"/>
              </w:rPr>
              <w:t>40/</w:t>
            </w:r>
          </w:p>
          <w:p w14:paraId="51038E77" w14:textId="77777777" w:rsidR="00A47C6D" w:rsidRPr="00A47C6D" w:rsidRDefault="00A47C6D" w:rsidP="00A47C6D">
            <w:pPr>
              <w:rPr>
                <w:szCs w:val="22"/>
                <w:lang w:val="en-US" w:eastAsia="en-US"/>
              </w:rPr>
            </w:pPr>
            <w:r w:rsidRPr="00A47C6D">
              <w:rPr>
                <w:szCs w:val="22"/>
                <w:lang w:val="en-US" w:eastAsia="en-US"/>
              </w:rPr>
              <w:t>31</w:t>
            </w:r>
          </w:p>
          <w:p w14:paraId="107D46DF" w14:textId="77777777" w:rsidR="00A47C6D" w:rsidRPr="00A47C6D" w:rsidRDefault="00A47C6D" w:rsidP="00A47C6D">
            <w:pPr>
              <w:rPr>
                <w:szCs w:val="22"/>
                <w:lang w:val="en-US" w:eastAsia="en-US"/>
              </w:rPr>
            </w:pPr>
          </w:p>
          <w:p w14:paraId="3114921C" w14:textId="77777777" w:rsidR="00A47C6D" w:rsidRPr="00A47C6D" w:rsidRDefault="00A47C6D" w:rsidP="00A47C6D">
            <w:pPr>
              <w:rPr>
                <w:szCs w:val="22"/>
                <w:lang w:val="en-US" w:eastAsia="en-US"/>
              </w:rPr>
            </w:pPr>
            <w:r w:rsidRPr="00A47C6D">
              <w:rPr>
                <w:szCs w:val="22"/>
                <w:lang w:val="en-US" w:eastAsia="en-US"/>
              </w:rPr>
              <w:t>11/</w:t>
            </w:r>
          </w:p>
          <w:p w14:paraId="7D35FF61" w14:textId="77777777" w:rsidR="00A47C6D" w:rsidRPr="00A47C6D" w:rsidRDefault="00A47C6D" w:rsidP="00A47C6D">
            <w:pPr>
              <w:rPr>
                <w:szCs w:val="22"/>
                <w:lang w:val="en-US" w:eastAsia="en-US"/>
              </w:rPr>
            </w:pPr>
            <w:r w:rsidRPr="00A47C6D">
              <w:rPr>
                <w:szCs w:val="22"/>
                <w:lang w:val="en-US" w:eastAsia="en-US"/>
              </w:rPr>
              <w:t>10</w:t>
            </w:r>
            <w:r w:rsidRPr="00A47C6D">
              <w:rPr>
                <w:szCs w:val="22"/>
                <w:vertAlign w:val="superscript"/>
                <w:lang w:val="en-US" w:eastAsia="en-US"/>
              </w:rPr>
              <w:t>l</w:t>
            </w:r>
          </w:p>
        </w:tc>
        <w:tc>
          <w:tcPr>
            <w:tcW w:w="0" w:type="auto"/>
            <w:tcBorders>
              <w:top w:val="single" w:sz="6"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9329D2" w14:textId="77777777" w:rsidR="00A47C6D" w:rsidRPr="00A47C6D" w:rsidRDefault="00A47C6D" w:rsidP="00A47C6D">
            <w:pPr>
              <w:rPr>
                <w:szCs w:val="22"/>
                <w:lang w:val="en-US" w:eastAsia="en-US"/>
              </w:rPr>
            </w:pPr>
          </w:p>
          <w:p w14:paraId="77B8213F" w14:textId="77777777" w:rsidR="00A47C6D" w:rsidRPr="00A47C6D" w:rsidRDefault="00A47C6D" w:rsidP="00A47C6D">
            <w:pPr>
              <w:rPr>
                <w:szCs w:val="22"/>
                <w:lang w:val="en-US" w:eastAsia="en-US"/>
              </w:rPr>
            </w:pPr>
          </w:p>
          <w:p w14:paraId="6DE0646C" w14:textId="77777777" w:rsidR="00A47C6D" w:rsidRPr="00A47C6D" w:rsidRDefault="00A47C6D" w:rsidP="00A47C6D">
            <w:pPr>
              <w:rPr>
                <w:szCs w:val="22"/>
                <w:lang w:val="en-US" w:eastAsia="en-US"/>
              </w:rPr>
            </w:pPr>
            <w:r w:rsidRPr="00A47C6D">
              <w:rPr>
                <w:szCs w:val="22"/>
                <w:lang w:val="en-US" w:eastAsia="en-US"/>
              </w:rPr>
              <w:t>35/</w:t>
            </w:r>
          </w:p>
          <w:p w14:paraId="54796ADC" w14:textId="77777777" w:rsidR="00A47C6D" w:rsidRPr="00A47C6D" w:rsidRDefault="00A47C6D" w:rsidP="00A47C6D">
            <w:pPr>
              <w:rPr>
                <w:szCs w:val="22"/>
                <w:lang w:val="en-US" w:eastAsia="en-US"/>
              </w:rPr>
            </w:pPr>
            <w:r w:rsidRPr="00A47C6D">
              <w:rPr>
                <w:szCs w:val="22"/>
                <w:lang w:val="en-US" w:eastAsia="en-US"/>
              </w:rPr>
              <w:t>24</w:t>
            </w:r>
          </w:p>
          <w:p w14:paraId="51055BDA" w14:textId="77777777" w:rsidR="00A47C6D" w:rsidRPr="00A47C6D" w:rsidRDefault="00A47C6D" w:rsidP="00A47C6D">
            <w:pPr>
              <w:rPr>
                <w:szCs w:val="22"/>
                <w:lang w:val="en-US" w:eastAsia="en-US"/>
              </w:rPr>
            </w:pPr>
          </w:p>
          <w:p w14:paraId="55A1A38B" w14:textId="77777777" w:rsidR="00A47C6D" w:rsidRPr="00A47C6D" w:rsidRDefault="00A47C6D" w:rsidP="00A47C6D">
            <w:pPr>
              <w:rPr>
                <w:szCs w:val="22"/>
                <w:lang w:val="en-US" w:eastAsia="en-US"/>
              </w:rPr>
            </w:pPr>
            <w:r w:rsidRPr="00A47C6D">
              <w:rPr>
                <w:szCs w:val="22"/>
                <w:lang w:val="en-US" w:eastAsia="en-US"/>
              </w:rPr>
              <w:t>13/</w:t>
            </w:r>
          </w:p>
          <w:p w14:paraId="350BF42C" w14:textId="77777777" w:rsidR="00A47C6D" w:rsidRPr="00A47C6D" w:rsidRDefault="00A47C6D" w:rsidP="00A47C6D">
            <w:pPr>
              <w:rPr>
                <w:szCs w:val="22"/>
                <w:lang w:val="en-US" w:eastAsia="en-US"/>
              </w:rPr>
            </w:pPr>
            <w:r w:rsidRPr="00A47C6D">
              <w:rPr>
                <w:szCs w:val="22"/>
                <w:lang w:val="en-US" w:eastAsia="en-US"/>
              </w:rPr>
              <w:t>11</w:t>
            </w:r>
            <w:r w:rsidRPr="00A47C6D">
              <w:rPr>
                <w:szCs w:val="22"/>
                <w:vertAlign w:val="superscript"/>
                <w:lang w:val="en-US" w:eastAsia="en-US"/>
              </w:rPr>
              <w:t>l</w:t>
            </w:r>
          </w:p>
        </w:tc>
      </w:tr>
    </w:tbl>
    <w:p w14:paraId="581C01BF" w14:textId="77777777" w:rsidR="001A1491" w:rsidRPr="001A1491" w:rsidRDefault="001A1491" w:rsidP="001A1491">
      <w:pPr>
        <w:tabs>
          <w:tab w:val="left" w:pos="567"/>
        </w:tabs>
        <w:ind w:left="142" w:hanging="142"/>
        <w:rPr>
          <w:sz w:val="20"/>
          <w:lang w:eastAsia="en-US"/>
        </w:rPr>
      </w:pPr>
      <w:r w:rsidRPr="001A1491">
        <w:rPr>
          <w:szCs w:val="22"/>
          <w:vertAlign w:val="superscript"/>
          <w:lang w:eastAsia="en-US"/>
        </w:rPr>
        <w:t>a</w:t>
      </w:r>
      <w:r w:rsidRPr="001A1491">
        <w:rPr>
          <w:szCs w:val="22"/>
          <w:lang w:eastAsia="en-US"/>
        </w:rPr>
        <w:t xml:space="preserve"> </w:t>
      </w:r>
      <w:r w:rsidRPr="001A1491">
        <w:rPr>
          <w:sz w:val="20"/>
          <w:lang w:eastAsia="en-US"/>
        </w:rPr>
        <w:t>Pagrįsta ilgalaikio vertinimo algoritmu (LTE (</w:t>
      </w:r>
      <w:r w:rsidR="00BA019C">
        <w:rPr>
          <w:sz w:val="20"/>
          <w:lang w:eastAsia="en-US"/>
        </w:rPr>
        <w:t xml:space="preserve">angl. </w:t>
      </w:r>
      <w:r w:rsidRPr="00CA49A8">
        <w:rPr>
          <w:i/>
          <w:sz w:val="20"/>
          <w:lang w:eastAsia="en-US"/>
        </w:rPr>
        <w:t>Long Term Evaluation</w:t>
      </w:r>
      <w:r w:rsidRPr="001A1491">
        <w:rPr>
          <w:sz w:val="20"/>
          <w:lang w:eastAsia="en-US"/>
        </w:rPr>
        <w:t>) analizė) - pacientai, kurie nutraukė tyrimą bet kuriuo metu iki 384-osios savaitės dėl protokolo nustatytos vertinamosios baigties bei pacientai, baigę 384 savaičių gydymą, buvo įtraukti į vardiklį.</w:t>
      </w:r>
    </w:p>
    <w:p w14:paraId="457BEE6D" w14:textId="4144A2F7" w:rsidR="001A1491" w:rsidRPr="001A1491" w:rsidRDefault="001A1491" w:rsidP="001A1491">
      <w:pPr>
        <w:tabs>
          <w:tab w:val="left" w:pos="567"/>
        </w:tabs>
        <w:ind w:left="142" w:hanging="142"/>
        <w:rPr>
          <w:sz w:val="20"/>
          <w:lang w:eastAsia="en-US"/>
        </w:rPr>
      </w:pPr>
      <w:r w:rsidRPr="001A1491">
        <w:rPr>
          <w:sz w:val="20"/>
          <w:vertAlign w:val="superscript"/>
          <w:lang w:eastAsia="en-US"/>
        </w:rPr>
        <w:t>b</w:t>
      </w:r>
      <w:r w:rsidRPr="001A1491">
        <w:rPr>
          <w:sz w:val="20"/>
          <w:lang w:eastAsia="en-US"/>
        </w:rPr>
        <w:t xml:space="preserve"> 48 savaičių dvigubai koduotas gydymas tenofovir</w:t>
      </w:r>
      <w:r w:rsidR="008A4C9B">
        <w:rPr>
          <w:sz w:val="20"/>
          <w:lang w:eastAsia="en-US"/>
        </w:rPr>
        <w:t>u</w:t>
      </w:r>
      <w:r w:rsidRPr="001A1491">
        <w:rPr>
          <w:sz w:val="20"/>
          <w:lang w:eastAsia="en-US"/>
        </w:rPr>
        <w:t xml:space="preserve"> dizoproksili</w:t>
      </w:r>
      <w:r w:rsidR="00BA019C">
        <w:rPr>
          <w:sz w:val="20"/>
          <w:lang w:eastAsia="en-US"/>
        </w:rPr>
        <w:t>u</w:t>
      </w:r>
      <w:r w:rsidRPr="001A1491">
        <w:rPr>
          <w:sz w:val="20"/>
          <w:lang w:eastAsia="en-US"/>
        </w:rPr>
        <w:t>, po kurio buvo vykdomas 48 savaičių atviras gydymas.</w:t>
      </w:r>
    </w:p>
    <w:p w14:paraId="3E76B6F8" w14:textId="2BBC0B84" w:rsidR="001A1491" w:rsidRPr="001A1491" w:rsidRDefault="001A1491" w:rsidP="001A1491">
      <w:pPr>
        <w:tabs>
          <w:tab w:val="left" w:pos="567"/>
        </w:tabs>
        <w:ind w:left="142" w:hanging="142"/>
        <w:rPr>
          <w:sz w:val="20"/>
          <w:lang w:eastAsia="en-US"/>
        </w:rPr>
      </w:pPr>
      <w:r w:rsidRPr="001A1491">
        <w:rPr>
          <w:sz w:val="20"/>
          <w:vertAlign w:val="superscript"/>
          <w:lang w:eastAsia="en-US"/>
        </w:rPr>
        <w:t>c</w:t>
      </w:r>
      <w:r w:rsidRPr="001A1491">
        <w:rPr>
          <w:sz w:val="20"/>
          <w:lang w:eastAsia="en-US"/>
        </w:rPr>
        <w:t xml:space="preserve"> 48 savaičių dvigubai koduotas gydymas </w:t>
      </w:r>
      <w:r w:rsidR="008A4C9B" w:rsidRPr="001A1491">
        <w:rPr>
          <w:sz w:val="20"/>
          <w:lang w:eastAsia="en-US"/>
        </w:rPr>
        <w:t>adefovir</w:t>
      </w:r>
      <w:r w:rsidR="008A4C9B">
        <w:rPr>
          <w:sz w:val="20"/>
          <w:lang w:eastAsia="en-US"/>
        </w:rPr>
        <w:t>u</w:t>
      </w:r>
      <w:r w:rsidR="008A4C9B" w:rsidRPr="001A1491">
        <w:rPr>
          <w:sz w:val="20"/>
          <w:lang w:eastAsia="en-US"/>
        </w:rPr>
        <w:t xml:space="preserve"> </w:t>
      </w:r>
      <w:r w:rsidRPr="001A1491">
        <w:rPr>
          <w:sz w:val="20"/>
          <w:lang w:eastAsia="en-US"/>
        </w:rPr>
        <w:t xml:space="preserve">dipivoksiliu, po kurio buvo vykdomas 48 savaičių atviras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w:t>
      </w:r>
    </w:p>
    <w:p w14:paraId="6B562D18" w14:textId="77777777" w:rsidR="001A1491" w:rsidRPr="001A1491" w:rsidRDefault="001A1491" w:rsidP="001A1491">
      <w:pPr>
        <w:tabs>
          <w:tab w:val="left" w:pos="567"/>
        </w:tabs>
        <w:ind w:left="142" w:hanging="142"/>
        <w:rPr>
          <w:sz w:val="20"/>
          <w:lang w:eastAsia="en-US"/>
        </w:rPr>
      </w:pPr>
      <w:r w:rsidRPr="001A1491">
        <w:rPr>
          <w:sz w:val="20"/>
          <w:vertAlign w:val="superscript"/>
          <w:lang w:eastAsia="en-US"/>
        </w:rPr>
        <w:lastRenderedPageBreak/>
        <w:t xml:space="preserve">d </w:t>
      </w:r>
      <w:r w:rsidRPr="001A1491">
        <w:rPr>
          <w:sz w:val="20"/>
          <w:lang w:eastAsia="en-US"/>
        </w:rPr>
        <w:t>ALT sunormalėjimo tyrimai buvo atliekami tik pacientams, kurių pradinis ALT aktyvumo padidėjimas viršijo viršutinę normos ribą.</w:t>
      </w:r>
    </w:p>
    <w:p w14:paraId="640CEC3A" w14:textId="681280A6" w:rsidR="001A1491" w:rsidRPr="001A1491" w:rsidRDefault="001A1491" w:rsidP="001A1491">
      <w:pPr>
        <w:tabs>
          <w:tab w:val="left" w:pos="567"/>
        </w:tabs>
        <w:ind w:left="142" w:hanging="142"/>
        <w:rPr>
          <w:sz w:val="20"/>
          <w:lang w:eastAsia="en-US"/>
        </w:rPr>
      </w:pPr>
      <w:r w:rsidRPr="001A1491">
        <w:rPr>
          <w:sz w:val="20"/>
          <w:vertAlign w:val="superscript"/>
          <w:lang w:eastAsia="en-US"/>
        </w:rPr>
        <w:t>e</w:t>
      </w:r>
      <w:r w:rsidRPr="001A1491">
        <w:rPr>
          <w:sz w:val="20"/>
          <w:lang w:eastAsia="en-US"/>
        </w:rPr>
        <w:t xml:space="preserve"> 48 savaičių dvigubai koduotas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 po kurio buvo vykdomas 96 savaičių atviras gydymas.</w:t>
      </w:r>
    </w:p>
    <w:p w14:paraId="5ECF464F" w14:textId="71597459" w:rsidR="001A1491" w:rsidRPr="001A1491" w:rsidRDefault="001A1491" w:rsidP="001A1491">
      <w:pPr>
        <w:tabs>
          <w:tab w:val="left" w:pos="567"/>
        </w:tabs>
        <w:ind w:left="142" w:hanging="142"/>
        <w:rPr>
          <w:sz w:val="20"/>
          <w:lang w:eastAsia="en-US"/>
        </w:rPr>
      </w:pPr>
      <w:r w:rsidRPr="001A1491">
        <w:rPr>
          <w:sz w:val="20"/>
          <w:vertAlign w:val="superscript"/>
          <w:lang w:eastAsia="en-US"/>
        </w:rPr>
        <w:t>f</w:t>
      </w:r>
      <w:r w:rsidRPr="001A1491">
        <w:rPr>
          <w:sz w:val="20"/>
          <w:lang w:eastAsia="en-US"/>
        </w:rPr>
        <w:t xml:space="preserve"> 48 savaičių dvigubai koduotas gydymas </w:t>
      </w:r>
      <w:r w:rsidR="008A4C9B" w:rsidRPr="001A1491">
        <w:rPr>
          <w:sz w:val="20"/>
          <w:lang w:eastAsia="en-US"/>
        </w:rPr>
        <w:t>adefovir</w:t>
      </w:r>
      <w:r w:rsidR="008A4C9B">
        <w:rPr>
          <w:sz w:val="20"/>
          <w:lang w:eastAsia="en-US"/>
        </w:rPr>
        <w:t>u</w:t>
      </w:r>
      <w:r w:rsidR="008A4C9B" w:rsidRPr="001A1491">
        <w:rPr>
          <w:sz w:val="20"/>
          <w:lang w:eastAsia="en-US"/>
        </w:rPr>
        <w:t xml:space="preserve"> </w:t>
      </w:r>
      <w:r w:rsidRPr="001A1491">
        <w:rPr>
          <w:sz w:val="20"/>
          <w:lang w:eastAsia="en-US"/>
        </w:rPr>
        <w:t xml:space="preserve">dipivoksiliu, po kurio buvo vykdomas 96 savaičių atviras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w:t>
      </w:r>
    </w:p>
    <w:p w14:paraId="50C92B5A" w14:textId="0FD17EBC" w:rsidR="001A1491" w:rsidRPr="001A1491" w:rsidRDefault="001A1491" w:rsidP="001A1491">
      <w:pPr>
        <w:tabs>
          <w:tab w:val="left" w:pos="567"/>
        </w:tabs>
        <w:ind w:left="142" w:hanging="142"/>
        <w:rPr>
          <w:sz w:val="20"/>
          <w:lang w:eastAsia="en-US"/>
        </w:rPr>
      </w:pPr>
      <w:r w:rsidRPr="001A1491">
        <w:rPr>
          <w:sz w:val="20"/>
          <w:vertAlign w:val="superscript"/>
          <w:lang w:eastAsia="en-US"/>
        </w:rPr>
        <w:t>g</w:t>
      </w:r>
      <w:r w:rsidRPr="001A1491">
        <w:rPr>
          <w:sz w:val="20"/>
          <w:lang w:eastAsia="en-US"/>
        </w:rPr>
        <w:t xml:space="preserve"> Pateikti skaičiai yra bendrosios procentinės dalys, remiantis </w:t>
      </w:r>
      <w:r w:rsidRPr="00CA49A8">
        <w:rPr>
          <w:i/>
          <w:sz w:val="20"/>
          <w:lang w:eastAsia="en-US"/>
        </w:rPr>
        <w:t>Kaplano Mejerio</w:t>
      </w:r>
      <w:r w:rsidRPr="001A1491">
        <w:rPr>
          <w:sz w:val="20"/>
          <w:lang w:eastAsia="en-US"/>
        </w:rPr>
        <w:t xml:space="preserve"> analize, įskaitant duomenis, surinktus į atvirą gydymą </w:t>
      </w:r>
      <w:r w:rsidR="008A4C9B">
        <w:rPr>
          <w:sz w:val="20"/>
          <w:lang w:eastAsia="en-US"/>
        </w:rPr>
        <w:t xml:space="preserve">tenofoviru </w:t>
      </w:r>
      <w:r w:rsidR="00653D08">
        <w:rPr>
          <w:sz w:val="20"/>
          <w:lang w:eastAsia="en-US"/>
        </w:rPr>
        <w:t>dizoproksili</w:t>
      </w:r>
      <w:r w:rsidR="00BA019C">
        <w:rPr>
          <w:sz w:val="20"/>
          <w:lang w:eastAsia="en-US"/>
        </w:rPr>
        <w:t>u</w:t>
      </w:r>
      <w:r w:rsidR="00653D08">
        <w:rPr>
          <w:sz w:val="20"/>
          <w:lang w:eastAsia="en-US"/>
        </w:rPr>
        <w:t xml:space="preserve"> </w:t>
      </w:r>
      <w:r w:rsidRPr="001A1491">
        <w:rPr>
          <w:sz w:val="20"/>
          <w:lang w:eastAsia="en-US"/>
        </w:rPr>
        <w:t>įtraukus emtricitabiną (KM-ITT).</w:t>
      </w:r>
    </w:p>
    <w:p w14:paraId="5090EFB0" w14:textId="72F7A445" w:rsidR="001A1491" w:rsidRPr="001A1491" w:rsidRDefault="001A1491" w:rsidP="001A1491">
      <w:pPr>
        <w:tabs>
          <w:tab w:val="left" w:pos="567"/>
        </w:tabs>
        <w:ind w:left="142" w:hanging="142"/>
        <w:rPr>
          <w:sz w:val="20"/>
          <w:lang w:eastAsia="en-US"/>
        </w:rPr>
      </w:pPr>
      <w:r w:rsidRPr="001A1491">
        <w:rPr>
          <w:sz w:val="20"/>
          <w:vertAlign w:val="superscript"/>
          <w:lang w:eastAsia="en-US"/>
        </w:rPr>
        <w:t>h</w:t>
      </w:r>
      <w:r w:rsidRPr="001A1491">
        <w:rPr>
          <w:sz w:val="20"/>
          <w:lang w:eastAsia="en-US"/>
        </w:rPr>
        <w:t xml:space="preserve"> 48 savaičių dvigubai koduotas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 po kurio buvo vykdomas 144 savaičių atviras gydymas.</w:t>
      </w:r>
    </w:p>
    <w:p w14:paraId="63482487" w14:textId="5EE29DAB" w:rsidR="001A1491" w:rsidRPr="001A1491" w:rsidRDefault="001A1491" w:rsidP="001A1491">
      <w:pPr>
        <w:tabs>
          <w:tab w:val="left" w:pos="567"/>
        </w:tabs>
        <w:ind w:left="142" w:hanging="142"/>
        <w:rPr>
          <w:sz w:val="20"/>
          <w:lang w:eastAsia="en-US"/>
        </w:rPr>
      </w:pPr>
      <w:r w:rsidRPr="001A1491">
        <w:rPr>
          <w:sz w:val="20"/>
          <w:vertAlign w:val="superscript"/>
          <w:lang w:eastAsia="en-US"/>
        </w:rPr>
        <w:t>i</w:t>
      </w:r>
      <w:r w:rsidRPr="001A1491">
        <w:rPr>
          <w:sz w:val="20"/>
          <w:lang w:eastAsia="en-US"/>
        </w:rPr>
        <w:t xml:space="preserve"> 48 savaičių dvigubai koduotas gydymas </w:t>
      </w:r>
      <w:r w:rsidR="008A4C9B" w:rsidRPr="001A1491">
        <w:rPr>
          <w:sz w:val="20"/>
          <w:lang w:eastAsia="en-US"/>
        </w:rPr>
        <w:t>adefovir</w:t>
      </w:r>
      <w:r w:rsidR="008A4C9B">
        <w:rPr>
          <w:sz w:val="20"/>
          <w:lang w:eastAsia="en-US"/>
        </w:rPr>
        <w:t>u</w:t>
      </w:r>
      <w:r w:rsidR="008A4C9B" w:rsidRPr="001A1491">
        <w:rPr>
          <w:sz w:val="20"/>
          <w:lang w:eastAsia="en-US"/>
        </w:rPr>
        <w:t xml:space="preserve"> </w:t>
      </w:r>
      <w:r w:rsidRPr="001A1491">
        <w:rPr>
          <w:sz w:val="20"/>
          <w:lang w:eastAsia="en-US"/>
        </w:rPr>
        <w:t xml:space="preserve">dipivoksiliu, po kurio buvo vykdomas 144 savaičių atviras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w:t>
      </w:r>
    </w:p>
    <w:p w14:paraId="61AE36F7" w14:textId="36C7A427" w:rsidR="001A1491" w:rsidRPr="001A1491" w:rsidRDefault="001A1491" w:rsidP="001A1491">
      <w:pPr>
        <w:tabs>
          <w:tab w:val="left" w:pos="567"/>
        </w:tabs>
        <w:ind w:left="142" w:hanging="142"/>
        <w:rPr>
          <w:sz w:val="20"/>
          <w:lang w:eastAsia="en-US"/>
        </w:rPr>
      </w:pPr>
      <w:r w:rsidRPr="001A1491">
        <w:rPr>
          <w:sz w:val="20"/>
          <w:vertAlign w:val="superscript"/>
          <w:lang w:eastAsia="en-US"/>
        </w:rPr>
        <w:t>j</w:t>
      </w:r>
      <w:r w:rsidRPr="001A1491">
        <w:rPr>
          <w:sz w:val="20"/>
          <w:lang w:eastAsia="en-US"/>
        </w:rPr>
        <w:t xml:space="preserve"> 48 savaičių dvigubai koduotas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 po kurio buvo vykdomas 192 savaičių atviras gydymas.</w:t>
      </w:r>
    </w:p>
    <w:p w14:paraId="737F9F75" w14:textId="7B8D3B95" w:rsidR="001A1491" w:rsidRPr="001A1491" w:rsidRDefault="001A1491" w:rsidP="001A1491">
      <w:pPr>
        <w:tabs>
          <w:tab w:val="left" w:pos="567"/>
        </w:tabs>
        <w:ind w:left="142" w:hanging="142"/>
        <w:rPr>
          <w:sz w:val="20"/>
          <w:lang w:eastAsia="en-US"/>
        </w:rPr>
      </w:pPr>
      <w:r w:rsidRPr="001A1491">
        <w:rPr>
          <w:sz w:val="20"/>
          <w:vertAlign w:val="superscript"/>
          <w:lang w:eastAsia="en-US"/>
        </w:rPr>
        <w:t>k</w:t>
      </w:r>
      <w:r w:rsidRPr="001A1491">
        <w:rPr>
          <w:sz w:val="20"/>
          <w:lang w:eastAsia="en-US"/>
        </w:rPr>
        <w:t xml:space="preserve"> 48 savaičių dvigubai koduotas gydymas </w:t>
      </w:r>
      <w:r w:rsidR="008A4C9B" w:rsidRPr="001A1491">
        <w:rPr>
          <w:sz w:val="20"/>
          <w:lang w:eastAsia="en-US"/>
        </w:rPr>
        <w:t>adefovir</w:t>
      </w:r>
      <w:r w:rsidR="008A4C9B">
        <w:rPr>
          <w:sz w:val="20"/>
          <w:lang w:eastAsia="en-US"/>
        </w:rPr>
        <w:t>u</w:t>
      </w:r>
      <w:r w:rsidR="008A4C9B" w:rsidRPr="001A1491">
        <w:rPr>
          <w:sz w:val="20"/>
          <w:lang w:eastAsia="en-US"/>
        </w:rPr>
        <w:t xml:space="preserve"> </w:t>
      </w:r>
      <w:r w:rsidRPr="001A1491">
        <w:rPr>
          <w:sz w:val="20"/>
          <w:lang w:eastAsia="en-US"/>
        </w:rPr>
        <w:t xml:space="preserve">dipivoksiliu, po kurio buvo vykdomas 192 savaičių atviras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w:t>
      </w:r>
    </w:p>
    <w:p w14:paraId="021543C5" w14:textId="00FBE414" w:rsidR="001A1491" w:rsidRPr="001A1491" w:rsidRDefault="001A1491" w:rsidP="001A1491">
      <w:pPr>
        <w:tabs>
          <w:tab w:val="left" w:pos="567"/>
        </w:tabs>
        <w:ind w:left="142" w:hanging="142"/>
        <w:rPr>
          <w:sz w:val="20"/>
          <w:lang w:eastAsia="en-US"/>
        </w:rPr>
      </w:pPr>
      <w:r w:rsidRPr="001A1491">
        <w:rPr>
          <w:sz w:val="20"/>
          <w:vertAlign w:val="superscript"/>
          <w:lang w:eastAsia="en-US"/>
        </w:rPr>
        <w:t>l</w:t>
      </w:r>
      <w:r w:rsidRPr="001A1491">
        <w:rPr>
          <w:sz w:val="20"/>
          <w:lang w:eastAsia="en-US"/>
        </w:rPr>
        <w:t xml:space="preserve"> Pateikti skaičiai yra bendrosios procentinės dalys, remiantis </w:t>
      </w:r>
      <w:r w:rsidRPr="00CA49A8">
        <w:rPr>
          <w:i/>
          <w:sz w:val="20"/>
          <w:lang w:eastAsia="en-US"/>
        </w:rPr>
        <w:t>Kaplano Mejerio</w:t>
      </w:r>
      <w:r w:rsidRPr="001A1491">
        <w:rPr>
          <w:sz w:val="20"/>
          <w:lang w:eastAsia="en-US"/>
        </w:rPr>
        <w:t xml:space="preserve"> analize, neskaitant duomenų, surinktų į atvirą gydymą </w:t>
      </w:r>
      <w:r w:rsidR="008A4C9B">
        <w:rPr>
          <w:sz w:val="20"/>
          <w:lang w:eastAsia="en-US"/>
        </w:rPr>
        <w:t xml:space="preserve">tenofoviru </w:t>
      </w:r>
      <w:r w:rsidR="00653D08">
        <w:rPr>
          <w:sz w:val="20"/>
          <w:lang w:eastAsia="en-US"/>
        </w:rPr>
        <w:t>dizoproksili</w:t>
      </w:r>
      <w:r w:rsidR="00BA019C">
        <w:rPr>
          <w:sz w:val="20"/>
          <w:lang w:eastAsia="en-US"/>
        </w:rPr>
        <w:t>u</w:t>
      </w:r>
      <w:r w:rsidR="00653D08">
        <w:rPr>
          <w:sz w:val="20"/>
          <w:lang w:eastAsia="en-US"/>
        </w:rPr>
        <w:t xml:space="preserve"> </w:t>
      </w:r>
      <w:r w:rsidRPr="001A1491">
        <w:rPr>
          <w:sz w:val="20"/>
          <w:lang w:eastAsia="en-US"/>
        </w:rPr>
        <w:t>įtraukus emtricitabiną (KM</w:t>
      </w:r>
      <w:r w:rsidR="00191FEA">
        <w:rPr>
          <w:sz w:val="20"/>
          <w:lang w:eastAsia="en-US"/>
        </w:rPr>
        <w:t xml:space="preserve"> </w:t>
      </w:r>
      <w:r w:rsidRPr="001A1491">
        <w:rPr>
          <w:sz w:val="20"/>
          <w:lang w:eastAsia="en-US"/>
        </w:rPr>
        <w:t>-</w:t>
      </w:r>
      <w:r w:rsidR="00191FEA">
        <w:rPr>
          <w:sz w:val="20"/>
          <w:lang w:eastAsia="en-US"/>
        </w:rPr>
        <w:t xml:space="preserve"> tenofoviras dizoproksilis</w:t>
      </w:r>
      <w:r w:rsidRPr="001A1491">
        <w:rPr>
          <w:sz w:val="20"/>
          <w:lang w:eastAsia="en-US"/>
        </w:rPr>
        <w:t>).</w:t>
      </w:r>
    </w:p>
    <w:p w14:paraId="04D57E37" w14:textId="5A69823F" w:rsidR="001A1491" w:rsidRPr="001A1491" w:rsidRDefault="001A1491" w:rsidP="001A1491">
      <w:pPr>
        <w:tabs>
          <w:tab w:val="left" w:pos="567"/>
        </w:tabs>
        <w:ind w:left="142" w:hanging="142"/>
        <w:rPr>
          <w:sz w:val="20"/>
          <w:lang w:eastAsia="en-US"/>
        </w:rPr>
      </w:pPr>
      <w:r w:rsidRPr="001A1491">
        <w:rPr>
          <w:sz w:val="20"/>
          <w:vertAlign w:val="superscript"/>
          <w:lang w:eastAsia="en-US"/>
        </w:rPr>
        <w:t>m</w:t>
      </w:r>
      <w:r w:rsidRPr="001A1491">
        <w:rPr>
          <w:sz w:val="20"/>
          <w:lang w:eastAsia="en-US"/>
        </w:rPr>
        <w:t xml:space="preserve"> 48 savaičių dvigubai koduotas gydymas </w:t>
      </w:r>
      <w:r w:rsidR="008A4C9B">
        <w:rPr>
          <w:sz w:val="20"/>
          <w:lang w:eastAsia="en-US"/>
        </w:rPr>
        <w:t xml:space="preserve">tenofoviru </w:t>
      </w:r>
      <w:r w:rsidR="00653D08">
        <w:rPr>
          <w:sz w:val="20"/>
          <w:lang w:eastAsia="en-US"/>
        </w:rPr>
        <w:t>dizoproksili</w:t>
      </w:r>
      <w:r w:rsidR="00BA019C">
        <w:rPr>
          <w:sz w:val="20"/>
          <w:lang w:eastAsia="en-US"/>
        </w:rPr>
        <w:t>u</w:t>
      </w:r>
      <w:r w:rsidR="00653D08">
        <w:rPr>
          <w:sz w:val="20"/>
          <w:lang w:eastAsia="en-US"/>
        </w:rPr>
        <w:t xml:space="preserve"> </w:t>
      </w:r>
      <w:r w:rsidRPr="001A1491">
        <w:rPr>
          <w:sz w:val="20"/>
          <w:lang w:eastAsia="en-US"/>
        </w:rPr>
        <w:t>po kurio buvo vykdomas 240 savaičių atviras gydymas.</w:t>
      </w:r>
    </w:p>
    <w:p w14:paraId="0D57A674" w14:textId="206AD814" w:rsidR="001A1491" w:rsidRPr="001A1491" w:rsidRDefault="001A1491" w:rsidP="001A1491">
      <w:pPr>
        <w:tabs>
          <w:tab w:val="left" w:pos="567"/>
        </w:tabs>
        <w:ind w:left="142" w:hanging="142"/>
        <w:rPr>
          <w:sz w:val="20"/>
          <w:lang w:eastAsia="en-US"/>
        </w:rPr>
      </w:pPr>
      <w:r w:rsidRPr="001A1491">
        <w:rPr>
          <w:sz w:val="20"/>
          <w:vertAlign w:val="superscript"/>
          <w:lang w:eastAsia="en-US"/>
        </w:rPr>
        <w:t>n</w:t>
      </w:r>
      <w:r w:rsidRPr="001A1491">
        <w:rPr>
          <w:sz w:val="20"/>
          <w:lang w:eastAsia="en-US"/>
        </w:rPr>
        <w:t xml:space="preserve"> 48 savaičių dvigubai koduotas gydymas </w:t>
      </w:r>
      <w:r w:rsidR="008A4C9B" w:rsidRPr="001A1491">
        <w:rPr>
          <w:sz w:val="20"/>
          <w:lang w:eastAsia="en-US"/>
        </w:rPr>
        <w:t>adefovir</w:t>
      </w:r>
      <w:r w:rsidR="008A4C9B">
        <w:rPr>
          <w:sz w:val="20"/>
          <w:lang w:eastAsia="en-US"/>
        </w:rPr>
        <w:t>u</w:t>
      </w:r>
      <w:r w:rsidR="008A4C9B" w:rsidRPr="001A1491">
        <w:rPr>
          <w:sz w:val="20"/>
          <w:lang w:eastAsia="en-US"/>
        </w:rPr>
        <w:t xml:space="preserve"> </w:t>
      </w:r>
      <w:r w:rsidRPr="001A1491">
        <w:rPr>
          <w:sz w:val="20"/>
          <w:lang w:eastAsia="en-US"/>
        </w:rPr>
        <w:t xml:space="preserve">dipivoksiliu, po kurio buvo vykdomas 240 savaičių atviras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w:t>
      </w:r>
    </w:p>
    <w:p w14:paraId="76996986" w14:textId="3DF04D5C" w:rsidR="001A1491" w:rsidRPr="001A1491" w:rsidRDefault="001A1491" w:rsidP="001A1491">
      <w:pPr>
        <w:tabs>
          <w:tab w:val="left" w:pos="567"/>
        </w:tabs>
        <w:ind w:left="142" w:hanging="142"/>
        <w:rPr>
          <w:sz w:val="20"/>
          <w:lang w:eastAsia="en-US"/>
        </w:rPr>
      </w:pPr>
      <w:r w:rsidRPr="001A1491">
        <w:rPr>
          <w:sz w:val="20"/>
          <w:vertAlign w:val="superscript"/>
          <w:lang w:eastAsia="en-US"/>
        </w:rPr>
        <w:t>o</w:t>
      </w:r>
      <w:r w:rsidRPr="001A1491">
        <w:rPr>
          <w:sz w:val="20"/>
          <w:lang w:eastAsia="en-US"/>
        </w:rPr>
        <w:t xml:space="preserve"> 48 savaičių dvigubai koduotas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 w:val="20"/>
          <w:lang w:eastAsia="en-US"/>
        </w:rPr>
        <w:t>, po kurio buvo vykdomas 336 savaičių atviras gydymas.</w:t>
      </w:r>
    </w:p>
    <w:p w14:paraId="76722FDE" w14:textId="63C97B8A" w:rsidR="001A1491" w:rsidRPr="001A1491" w:rsidRDefault="001A1491" w:rsidP="001A1491">
      <w:pPr>
        <w:tabs>
          <w:tab w:val="left" w:pos="567"/>
        </w:tabs>
        <w:ind w:left="142" w:hanging="142"/>
        <w:rPr>
          <w:szCs w:val="22"/>
          <w:lang w:eastAsia="en-US"/>
        </w:rPr>
      </w:pPr>
      <w:r w:rsidRPr="00D03BAA">
        <w:rPr>
          <w:sz w:val="20"/>
          <w:vertAlign w:val="superscript"/>
          <w:lang w:eastAsia="en-US"/>
        </w:rPr>
        <w:t>p</w:t>
      </w:r>
      <w:r w:rsidRPr="001A1491">
        <w:rPr>
          <w:sz w:val="20"/>
          <w:lang w:eastAsia="en-US"/>
        </w:rPr>
        <w:t xml:space="preserve"> 48 savaičių dvigubai koduotas gydymas </w:t>
      </w:r>
      <w:r w:rsidR="008A4C9B" w:rsidRPr="001A1491">
        <w:rPr>
          <w:sz w:val="20"/>
          <w:lang w:eastAsia="en-US"/>
        </w:rPr>
        <w:t>adefovir</w:t>
      </w:r>
      <w:r w:rsidR="008A4C9B">
        <w:rPr>
          <w:sz w:val="20"/>
          <w:lang w:eastAsia="en-US"/>
        </w:rPr>
        <w:t>u</w:t>
      </w:r>
      <w:r w:rsidR="008A4C9B" w:rsidRPr="001A1491">
        <w:rPr>
          <w:sz w:val="20"/>
          <w:lang w:eastAsia="en-US"/>
        </w:rPr>
        <w:t xml:space="preserve"> </w:t>
      </w:r>
      <w:r w:rsidRPr="001A1491">
        <w:rPr>
          <w:sz w:val="20"/>
          <w:lang w:eastAsia="en-US"/>
        </w:rPr>
        <w:t xml:space="preserve">dipivoksiliu, po kurio buvo vykdomas 336 savaičių atviras gydymas </w:t>
      </w:r>
      <w:r w:rsidR="008A4C9B" w:rsidRPr="001A1491">
        <w:rPr>
          <w:sz w:val="20"/>
          <w:lang w:eastAsia="en-US"/>
        </w:rPr>
        <w:t>tenofovir</w:t>
      </w:r>
      <w:r w:rsidR="008A4C9B">
        <w:rPr>
          <w:sz w:val="20"/>
          <w:lang w:eastAsia="en-US"/>
        </w:rPr>
        <w:t>u</w:t>
      </w:r>
      <w:r w:rsidR="008A4C9B" w:rsidRPr="001A1491">
        <w:rPr>
          <w:sz w:val="20"/>
          <w:lang w:eastAsia="en-US"/>
        </w:rPr>
        <w:t xml:space="preserve"> </w:t>
      </w:r>
      <w:r w:rsidRPr="001A1491">
        <w:rPr>
          <w:sz w:val="20"/>
          <w:lang w:eastAsia="en-US"/>
        </w:rPr>
        <w:t>dizoproksili</w:t>
      </w:r>
      <w:r w:rsidR="00BA019C">
        <w:rPr>
          <w:sz w:val="20"/>
          <w:lang w:eastAsia="en-US"/>
        </w:rPr>
        <w:t>u</w:t>
      </w:r>
      <w:r w:rsidRPr="001A1491">
        <w:rPr>
          <w:szCs w:val="22"/>
          <w:lang w:eastAsia="en-US"/>
        </w:rPr>
        <w:t>.</w:t>
      </w:r>
    </w:p>
    <w:p w14:paraId="15A34A11" w14:textId="77777777" w:rsidR="001A1491" w:rsidRDefault="001A1491" w:rsidP="001A1491">
      <w:pPr>
        <w:tabs>
          <w:tab w:val="left" w:pos="567"/>
        </w:tabs>
        <w:rPr>
          <w:szCs w:val="22"/>
          <w:lang w:eastAsia="en-US"/>
        </w:rPr>
      </w:pPr>
    </w:p>
    <w:p w14:paraId="345D2FBD" w14:textId="77777777" w:rsidR="001A1491" w:rsidRPr="001A1491" w:rsidRDefault="001A1491" w:rsidP="001A1491">
      <w:pPr>
        <w:tabs>
          <w:tab w:val="left" w:pos="567"/>
        </w:tabs>
        <w:rPr>
          <w:szCs w:val="22"/>
          <w:lang w:eastAsia="en-US"/>
        </w:rPr>
      </w:pPr>
      <w:r w:rsidRPr="001A1491">
        <w:rPr>
          <w:szCs w:val="22"/>
          <w:lang w:eastAsia="en-US"/>
        </w:rPr>
        <w:t xml:space="preserve">240-ąją savaitę gauti 331 iš 489 pacientų, kurie toliau dalyvavo GS-US-174-0102 ir GS-US-174-0103 tyrimuose, porinio palyginimo prieš pradedant tyrimą ir 240-ąją savaitę kepenų biopsijos duomenys (žr. 6 lentelę žemiau). Devyniasdešimt penkiems procentams (225 iš 237) pacientų, kurie prieš pradedant tyrimą nesirgo </w:t>
      </w:r>
      <w:r w:rsidR="00D840D8">
        <w:rPr>
          <w:szCs w:val="22"/>
          <w:lang w:eastAsia="en-US"/>
        </w:rPr>
        <w:t xml:space="preserve">kepenų </w:t>
      </w:r>
      <w:r w:rsidRPr="001A1491">
        <w:rPr>
          <w:szCs w:val="22"/>
          <w:lang w:eastAsia="en-US"/>
        </w:rPr>
        <w:t>ciroze, ir 99</w:t>
      </w:r>
      <w:r w:rsidR="00640D92">
        <w:rPr>
          <w:szCs w:val="22"/>
          <w:lang w:eastAsia="en-US"/>
        </w:rPr>
        <w:t> </w:t>
      </w:r>
      <w:r w:rsidRPr="001A1491">
        <w:rPr>
          <w:szCs w:val="22"/>
          <w:lang w:eastAsia="en-US"/>
        </w:rPr>
        <w:t xml:space="preserve">% (93 iš 94) pacientų, kurie prieš pradedant tyrimą sirgo </w:t>
      </w:r>
      <w:r w:rsidR="00D840D8">
        <w:rPr>
          <w:szCs w:val="22"/>
          <w:lang w:eastAsia="en-US"/>
        </w:rPr>
        <w:t xml:space="preserve">kepenų </w:t>
      </w:r>
      <w:r w:rsidRPr="001A1491">
        <w:rPr>
          <w:szCs w:val="22"/>
          <w:lang w:eastAsia="en-US"/>
        </w:rPr>
        <w:t>ciroze, fibrozės būklė nepakito arba pagerėjo (</w:t>
      </w:r>
      <w:r w:rsidRPr="00CA49A8">
        <w:rPr>
          <w:i/>
          <w:szCs w:val="22"/>
          <w:lang w:eastAsia="en-US"/>
        </w:rPr>
        <w:t>Ishak</w:t>
      </w:r>
      <w:r w:rsidRPr="001A1491">
        <w:rPr>
          <w:szCs w:val="22"/>
          <w:lang w:eastAsia="en-US"/>
        </w:rPr>
        <w:t xml:space="preserve"> fibrozės balas). Iš 94 pacientų, kurie prieš pradedant tyrimą sirgo </w:t>
      </w:r>
      <w:r w:rsidR="00D840D8">
        <w:rPr>
          <w:szCs w:val="22"/>
          <w:lang w:eastAsia="en-US"/>
        </w:rPr>
        <w:t xml:space="preserve">kepenų </w:t>
      </w:r>
      <w:r w:rsidRPr="001A1491">
        <w:rPr>
          <w:szCs w:val="22"/>
          <w:lang w:eastAsia="en-US"/>
        </w:rPr>
        <w:t>ciroze (</w:t>
      </w:r>
      <w:r w:rsidRPr="00CA49A8">
        <w:rPr>
          <w:i/>
          <w:szCs w:val="22"/>
          <w:lang w:eastAsia="en-US"/>
        </w:rPr>
        <w:t>Ishak</w:t>
      </w:r>
      <w:r w:rsidRPr="001A1491">
        <w:rPr>
          <w:szCs w:val="22"/>
          <w:lang w:eastAsia="en-US"/>
        </w:rPr>
        <w:t xml:space="preserve"> fibrozės balas: 5-6), 26</w:t>
      </w:r>
      <w:r w:rsidR="00640D92">
        <w:rPr>
          <w:szCs w:val="22"/>
          <w:lang w:eastAsia="en-US"/>
        </w:rPr>
        <w:t> </w:t>
      </w:r>
      <w:r w:rsidRPr="001A1491">
        <w:rPr>
          <w:szCs w:val="22"/>
          <w:lang w:eastAsia="en-US"/>
        </w:rPr>
        <w:t xml:space="preserve">% (24) </w:t>
      </w:r>
      <w:r w:rsidRPr="00CA49A8">
        <w:rPr>
          <w:i/>
          <w:szCs w:val="22"/>
          <w:lang w:eastAsia="en-US"/>
        </w:rPr>
        <w:t>Ishak</w:t>
      </w:r>
      <w:r w:rsidRPr="001A1491">
        <w:rPr>
          <w:szCs w:val="22"/>
          <w:lang w:eastAsia="en-US"/>
        </w:rPr>
        <w:t xml:space="preserve"> fibrozės balas nepakito, 72</w:t>
      </w:r>
      <w:r w:rsidR="00640D92">
        <w:rPr>
          <w:szCs w:val="22"/>
          <w:lang w:eastAsia="en-US"/>
        </w:rPr>
        <w:t> </w:t>
      </w:r>
      <w:r w:rsidRPr="001A1491">
        <w:rPr>
          <w:szCs w:val="22"/>
          <w:lang w:eastAsia="en-US"/>
        </w:rPr>
        <w:t xml:space="preserve">% (68) iki 240 savaitės sumažėjo </w:t>
      </w:r>
      <w:r w:rsidR="00D840D8">
        <w:rPr>
          <w:szCs w:val="22"/>
          <w:lang w:eastAsia="en-US"/>
        </w:rPr>
        <w:t xml:space="preserve">kepenų </w:t>
      </w:r>
      <w:r w:rsidRPr="001A1491">
        <w:rPr>
          <w:szCs w:val="22"/>
          <w:lang w:eastAsia="en-US"/>
        </w:rPr>
        <w:t xml:space="preserve">cirozė ir bent 2 taškais sumažėjo </w:t>
      </w:r>
      <w:r w:rsidRPr="00CA49A8">
        <w:rPr>
          <w:i/>
          <w:szCs w:val="22"/>
          <w:lang w:eastAsia="en-US"/>
        </w:rPr>
        <w:t>Ishak</w:t>
      </w:r>
      <w:r w:rsidRPr="001A1491">
        <w:rPr>
          <w:szCs w:val="22"/>
          <w:lang w:eastAsia="en-US"/>
        </w:rPr>
        <w:t xml:space="preserve"> fibrozės balas.</w:t>
      </w:r>
    </w:p>
    <w:p w14:paraId="75FD3D06" w14:textId="77777777" w:rsidR="00A47C6D" w:rsidRPr="001A1491" w:rsidRDefault="00A47C6D" w:rsidP="00C83DF1">
      <w:pPr>
        <w:tabs>
          <w:tab w:val="left" w:pos="567"/>
        </w:tabs>
        <w:rPr>
          <w:szCs w:val="22"/>
          <w:lang w:eastAsia="en-US"/>
        </w:rPr>
      </w:pPr>
    </w:p>
    <w:p w14:paraId="0F1B0771" w14:textId="77777777" w:rsidR="00A47C6D" w:rsidRPr="00D03BAA" w:rsidRDefault="00D03BAA" w:rsidP="00C83DF1">
      <w:pPr>
        <w:tabs>
          <w:tab w:val="left" w:pos="567"/>
        </w:tabs>
        <w:rPr>
          <w:b/>
          <w:szCs w:val="22"/>
          <w:lang w:eastAsia="en-US"/>
        </w:rPr>
      </w:pPr>
      <w:r w:rsidRPr="00D03BAA">
        <w:rPr>
          <w:b/>
          <w:szCs w:val="22"/>
          <w:lang w:eastAsia="en-US"/>
        </w:rPr>
        <w:t>6 lentelė. Histologinis atsakas (%) kompensuotiems HBeAg neigiamiems ir HBeAg teigiamiems tiriamiesiems 240-ąją savaitę, palyginti su atsaku prieš pradedant tyrimą</w:t>
      </w:r>
    </w:p>
    <w:p w14:paraId="1AF9420F" w14:textId="77777777" w:rsidR="00A47C6D" w:rsidRDefault="00A47C6D" w:rsidP="00C83DF1">
      <w:pPr>
        <w:tabs>
          <w:tab w:val="left" w:pos="567"/>
        </w:tabs>
        <w:rPr>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80"/>
        <w:gridCol w:w="1819"/>
        <w:gridCol w:w="1821"/>
        <w:gridCol w:w="1819"/>
        <w:gridCol w:w="1821"/>
      </w:tblGrid>
      <w:tr w:rsidR="00D03BAA" w:rsidRPr="00D03BAA" w14:paraId="1B9A4E05" w14:textId="77777777" w:rsidTr="00795B2C">
        <w:trPr>
          <w:trHeight w:val="20"/>
        </w:trPr>
        <w:tc>
          <w:tcPr>
            <w:tcW w:w="982" w:type="pct"/>
            <w:vMerge w:val="restart"/>
            <w:tcMar>
              <w:top w:w="28" w:type="dxa"/>
              <w:left w:w="28" w:type="dxa"/>
              <w:bottom w:w="28" w:type="dxa"/>
              <w:right w:w="28" w:type="dxa"/>
            </w:tcMar>
          </w:tcPr>
          <w:p w14:paraId="67680247" w14:textId="77777777" w:rsidR="00D03BAA" w:rsidRPr="00CA49A8" w:rsidRDefault="00D03BAA" w:rsidP="00D03BAA">
            <w:pPr>
              <w:keepNext/>
            </w:pPr>
          </w:p>
        </w:tc>
        <w:tc>
          <w:tcPr>
            <w:tcW w:w="2009" w:type="pct"/>
            <w:gridSpan w:val="2"/>
            <w:tcMar>
              <w:top w:w="28" w:type="dxa"/>
              <w:left w:w="28" w:type="dxa"/>
              <w:bottom w:w="28" w:type="dxa"/>
              <w:right w:w="28" w:type="dxa"/>
            </w:tcMar>
          </w:tcPr>
          <w:p w14:paraId="1C2C4CEA" w14:textId="77777777" w:rsidR="00D03BAA" w:rsidRPr="00D03BAA" w:rsidRDefault="00D03BAA" w:rsidP="00D03BAA">
            <w:pPr>
              <w:keepNext/>
              <w:jc w:val="center"/>
              <w:rPr>
                <w:szCs w:val="22"/>
                <w:lang w:val="en-US" w:eastAsia="en-US"/>
              </w:rPr>
            </w:pPr>
            <w:r w:rsidRPr="00D03BAA">
              <w:rPr>
                <w:b/>
                <w:bCs/>
                <w:szCs w:val="22"/>
                <w:lang w:val="en-US" w:eastAsia="en-US"/>
              </w:rPr>
              <w:t>174-0102 tyrimas (HBeAg neigiami)</w:t>
            </w:r>
          </w:p>
        </w:tc>
        <w:tc>
          <w:tcPr>
            <w:tcW w:w="2009" w:type="pct"/>
            <w:gridSpan w:val="2"/>
            <w:tcMar>
              <w:top w:w="28" w:type="dxa"/>
              <w:left w:w="28" w:type="dxa"/>
              <w:bottom w:w="28" w:type="dxa"/>
              <w:right w:w="28" w:type="dxa"/>
            </w:tcMar>
          </w:tcPr>
          <w:p w14:paraId="6A8F6ECB" w14:textId="77777777" w:rsidR="00D03BAA" w:rsidRPr="00D03BAA" w:rsidRDefault="00D03BAA" w:rsidP="00D03BAA">
            <w:pPr>
              <w:keepNext/>
              <w:jc w:val="center"/>
              <w:rPr>
                <w:szCs w:val="22"/>
                <w:lang w:val="en-US" w:eastAsia="en-US"/>
              </w:rPr>
            </w:pPr>
            <w:r w:rsidRPr="00D03BAA">
              <w:rPr>
                <w:b/>
                <w:bCs/>
                <w:szCs w:val="22"/>
                <w:lang w:val="en-US" w:eastAsia="en-US"/>
              </w:rPr>
              <w:t>174-0103 tyrimas (HBeAg teigiami)</w:t>
            </w:r>
          </w:p>
        </w:tc>
      </w:tr>
      <w:tr w:rsidR="00D03BAA" w:rsidRPr="00D03BAA" w14:paraId="386978A7" w14:textId="77777777" w:rsidTr="00795B2C">
        <w:trPr>
          <w:trHeight w:val="20"/>
        </w:trPr>
        <w:tc>
          <w:tcPr>
            <w:tcW w:w="982" w:type="pct"/>
            <w:vMerge/>
            <w:tcMar>
              <w:top w:w="28" w:type="dxa"/>
              <w:left w:w="28" w:type="dxa"/>
              <w:bottom w:w="28" w:type="dxa"/>
              <w:right w:w="28" w:type="dxa"/>
            </w:tcMar>
          </w:tcPr>
          <w:p w14:paraId="09AFDB5A" w14:textId="77777777" w:rsidR="00D03BAA" w:rsidRPr="00D03BAA" w:rsidRDefault="00D03BAA" w:rsidP="00D03BAA">
            <w:pPr>
              <w:keepNext/>
              <w:rPr>
                <w:szCs w:val="22"/>
                <w:lang w:val="en-US" w:eastAsia="en-US"/>
              </w:rPr>
            </w:pPr>
          </w:p>
        </w:tc>
        <w:tc>
          <w:tcPr>
            <w:tcW w:w="1004" w:type="pct"/>
            <w:tcMar>
              <w:top w:w="28" w:type="dxa"/>
              <w:left w:w="28" w:type="dxa"/>
              <w:bottom w:w="28" w:type="dxa"/>
              <w:right w:w="28" w:type="dxa"/>
            </w:tcMar>
          </w:tcPr>
          <w:p w14:paraId="3A7ED4C0" w14:textId="77777777" w:rsidR="00D03BAA" w:rsidRPr="00CA49A8" w:rsidRDefault="00D03BAA" w:rsidP="00D03BAA">
            <w:pPr>
              <w:keepNext/>
              <w:jc w:val="center"/>
              <w:rPr>
                <w:lang w:val="it-IT"/>
              </w:rPr>
            </w:pPr>
            <w:r w:rsidRPr="00CA49A8">
              <w:rPr>
                <w:lang w:val="it-IT"/>
              </w:rPr>
              <w:t>245</w:t>
            </w:r>
            <w:r w:rsidR="00640D92" w:rsidRPr="00CA49A8">
              <w:rPr>
                <w:lang w:val="it-IT"/>
              </w:rPr>
              <w:t> </w:t>
            </w:r>
            <w:r w:rsidRPr="00CA49A8">
              <w:rPr>
                <w:lang w:val="it-IT"/>
              </w:rPr>
              <w:t xml:space="preserve">mg tenofoviro dizoproksilio </w:t>
            </w:r>
          </w:p>
          <w:p w14:paraId="2EB4A769" w14:textId="77777777" w:rsidR="00D03BAA" w:rsidRPr="00CA49A8" w:rsidRDefault="00D03BAA" w:rsidP="00D03BAA">
            <w:pPr>
              <w:keepNext/>
              <w:jc w:val="center"/>
              <w:rPr>
                <w:lang w:val="it-IT"/>
              </w:rPr>
            </w:pPr>
            <w:r w:rsidRPr="00CA49A8">
              <w:rPr>
                <w:lang w:val="it-IT"/>
              </w:rPr>
              <w:t>n = 250</w:t>
            </w:r>
            <w:r w:rsidRPr="00CA49A8">
              <w:rPr>
                <w:vertAlign w:val="superscript"/>
                <w:lang w:val="it-IT"/>
              </w:rPr>
              <w:t>c</w:t>
            </w:r>
          </w:p>
        </w:tc>
        <w:tc>
          <w:tcPr>
            <w:tcW w:w="1005" w:type="pct"/>
            <w:tcMar>
              <w:top w:w="28" w:type="dxa"/>
              <w:left w:w="28" w:type="dxa"/>
              <w:bottom w:w="28" w:type="dxa"/>
              <w:right w:w="28" w:type="dxa"/>
            </w:tcMar>
          </w:tcPr>
          <w:p w14:paraId="638742EE" w14:textId="4F9E524A" w:rsidR="00D03BAA" w:rsidRPr="00EF4C22" w:rsidRDefault="00D03BAA" w:rsidP="00D03BAA">
            <w:pPr>
              <w:keepNext/>
              <w:jc w:val="center"/>
              <w:rPr>
                <w:szCs w:val="22"/>
                <w:lang w:val="pt-BR" w:eastAsia="en-US"/>
              </w:rPr>
            </w:pPr>
            <w:r w:rsidRPr="00EF4C22">
              <w:rPr>
                <w:szCs w:val="22"/>
                <w:lang w:val="pt-BR" w:eastAsia="en-US"/>
              </w:rPr>
              <w:t>10</w:t>
            </w:r>
            <w:r w:rsidR="00640D92">
              <w:rPr>
                <w:szCs w:val="22"/>
                <w:lang w:val="pt-BR" w:eastAsia="en-US"/>
              </w:rPr>
              <w:t> </w:t>
            </w:r>
            <w:r w:rsidRPr="00EF4C22">
              <w:rPr>
                <w:szCs w:val="22"/>
                <w:lang w:val="pt-BR" w:eastAsia="en-US"/>
              </w:rPr>
              <w:t>mg adefoviro dipivoksilio pakeista 245</w:t>
            </w:r>
            <w:r w:rsidR="00640D92">
              <w:rPr>
                <w:szCs w:val="22"/>
                <w:lang w:val="pt-BR" w:eastAsia="en-US"/>
              </w:rPr>
              <w:t> </w:t>
            </w:r>
            <w:r w:rsidRPr="00EF4C22">
              <w:rPr>
                <w:szCs w:val="22"/>
                <w:lang w:val="pt-BR" w:eastAsia="en-US"/>
              </w:rPr>
              <w:t xml:space="preserve">mg tenofoviro </w:t>
            </w:r>
            <w:r w:rsidR="008A4C9B" w:rsidRPr="00EF4C22">
              <w:rPr>
                <w:szCs w:val="22"/>
                <w:lang w:val="pt-BR" w:eastAsia="en-US"/>
              </w:rPr>
              <w:t>dizoproksili</w:t>
            </w:r>
            <w:r w:rsidR="008A4C9B">
              <w:rPr>
                <w:szCs w:val="22"/>
                <w:lang w:val="pt-BR" w:eastAsia="en-US"/>
              </w:rPr>
              <w:t>o</w:t>
            </w:r>
          </w:p>
          <w:p w14:paraId="571F91DB" w14:textId="77777777" w:rsidR="00D03BAA" w:rsidRPr="00D03BAA" w:rsidRDefault="00D03BAA" w:rsidP="00D03BAA">
            <w:pPr>
              <w:keepNext/>
              <w:jc w:val="center"/>
              <w:rPr>
                <w:szCs w:val="22"/>
                <w:lang w:val="en-US" w:eastAsia="en-US"/>
              </w:rPr>
            </w:pPr>
            <w:r w:rsidRPr="00D03BAA">
              <w:rPr>
                <w:szCs w:val="22"/>
                <w:lang w:val="en-US" w:eastAsia="en-US"/>
              </w:rPr>
              <w:t>n = 125</w:t>
            </w:r>
            <w:r w:rsidRPr="00D03BAA">
              <w:rPr>
                <w:szCs w:val="22"/>
                <w:vertAlign w:val="superscript"/>
                <w:lang w:val="en-US" w:eastAsia="en-US"/>
              </w:rPr>
              <w:t>d</w:t>
            </w:r>
          </w:p>
        </w:tc>
        <w:tc>
          <w:tcPr>
            <w:tcW w:w="1004" w:type="pct"/>
            <w:tcMar>
              <w:top w:w="28" w:type="dxa"/>
              <w:left w:w="28" w:type="dxa"/>
              <w:bottom w:w="28" w:type="dxa"/>
              <w:right w:w="28" w:type="dxa"/>
            </w:tcMar>
          </w:tcPr>
          <w:p w14:paraId="712B5FE3" w14:textId="77777777" w:rsidR="00D03BAA" w:rsidRPr="00CA49A8" w:rsidRDefault="00D03BAA" w:rsidP="00D03BAA">
            <w:pPr>
              <w:keepNext/>
              <w:jc w:val="center"/>
              <w:rPr>
                <w:lang w:val="it-IT"/>
              </w:rPr>
            </w:pPr>
            <w:r w:rsidRPr="00CA49A8">
              <w:rPr>
                <w:lang w:val="it-IT"/>
              </w:rPr>
              <w:t>245</w:t>
            </w:r>
            <w:r w:rsidR="00640D92" w:rsidRPr="00CA49A8">
              <w:rPr>
                <w:lang w:val="it-IT"/>
              </w:rPr>
              <w:t> </w:t>
            </w:r>
            <w:r w:rsidRPr="00CA49A8">
              <w:rPr>
                <w:lang w:val="it-IT"/>
              </w:rPr>
              <w:t xml:space="preserve">mg tenofoviro dizoproksilio </w:t>
            </w:r>
          </w:p>
          <w:p w14:paraId="280A85CC" w14:textId="77777777" w:rsidR="00D03BAA" w:rsidRPr="00CA49A8" w:rsidRDefault="00D03BAA" w:rsidP="00D03BAA">
            <w:pPr>
              <w:keepNext/>
              <w:jc w:val="center"/>
              <w:rPr>
                <w:lang w:val="it-IT"/>
              </w:rPr>
            </w:pPr>
            <w:r w:rsidRPr="00CA49A8">
              <w:rPr>
                <w:lang w:val="it-IT"/>
              </w:rPr>
              <w:t>n = 176</w:t>
            </w:r>
            <w:r w:rsidRPr="00CA49A8">
              <w:rPr>
                <w:vertAlign w:val="superscript"/>
                <w:lang w:val="it-IT"/>
              </w:rPr>
              <w:t>c</w:t>
            </w:r>
          </w:p>
        </w:tc>
        <w:tc>
          <w:tcPr>
            <w:tcW w:w="1005" w:type="pct"/>
            <w:tcMar>
              <w:top w:w="28" w:type="dxa"/>
              <w:left w:w="28" w:type="dxa"/>
              <w:bottom w:w="28" w:type="dxa"/>
              <w:right w:w="28" w:type="dxa"/>
            </w:tcMar>
          </w:tcPr>
          <w:p w14:paraId="36BBA02D" w14:textId="172A5C2A" w:rsidR="00D03BAA" w:rsidRPr="00EF4C22" w:rsidRDefault="00D03BAA" w:rsidP="00D03BAA">
            <w:pPr>
              <w:keepNext/>
              <w:jc w:val="center"/>
              <w:rPr>
                <w:szCs w:val="22"/>
                <w:lang w:val="pt-BR" w:eastAsia="en-US"/>
              </w:rPr>
            </w:pPr>
            <w:r w:rsidRPr="00EF4C22">
              <w:rPr>
                <w:szCs w:val="22"/>
                <w:lang w:val="pt-BR" w:eastAsia="en-US"/>
              </w:rPr>
              <w:t>10</w:t>
            </w:r>
            <w:r w:rsidR="00640D92">
              <w:rPr>
                <w:szCs w:val="22"/>
                <w:lang w:val="pt-BR" w:eastAsia="en-US"/>
              </w:rPr>
              <w:t> </w:t>
            </w:r>
            <w:r w:rsidRPr="00EF4C22">
              <w:rPr>
                <w:szCs w:val="22"/>
                <w:lang w:val="pt-BR" w:eastAsia="en-US"/>
              </w:rPr>
              <w:t>mg adefoviro dipivoksilio pakeista 245</w:t>
            </w:r>
            <w:r w:rsidR="00640D92">
              <w:rPr>
                <w:szCs w:val="22"/>
                <w:lang w:val="pt-BR" w:eastAsia="en-US"/>
              </w:rPr>
              <w:t> </w:t>
            </w:r>
            <w:r w:rsidRPr="00EF4C22">
              <w:rPr>
                <w:szCs w:val="22"/>
                <w:lang w:val="pt-BR" w:eastAsia="en-US"/>
              </w:rPr>
              <w:t xml:space="preserve">mg tenofoviro </w:t>
            </w:r>
            <w:r w:rsidR="008A4C9B" w:rsidRPr="00EF4C22">
              <w:rPr>
                <w:szCs w:val="22"/>
                <w:lang w:val="pt-BR" w:eastAsia="en-US"/>
              </w:rPr>
              <w:t>dizoproksili</w:t>
            </w:r>
            <w:r w:rsidR="008A4C9B">
              <w:rPr>
                <w:szCs w:val="22"/>
                <w:lang w:val="pt-BR" w:eastAsia="en-US"/>
              </w:rPr>
              <w:t>o</w:t>
            </w:r>
            <w:r w:rsidR="008A4C9B" w:rsidRPr="00EF4C22">
              <w:rPr>
                <w:szCs w:val="22"/>
                <w:lang w:val="pt-BR" w:eastAsia="en-US"/>
              </w:rPr>
              <w:t xml:space="preserve"> </w:t>
            </w:r>
          </w:p>
          <w:p w14:paraId="56FCB99C" w14:textId="77777777" w:rsidR="00D03BAA" w:rsidRPr="00D03BAA" w:rsidRDefault="00D03BAA" w:rsidP="00D03BAA">
            <w:pPr>
              <w:keepNext/>
              <w:jc w:val="center"/>
              <w:rPr>
                <w:szCs w:val="22"/>
                <w:lang w:val="en-US" w:eastAsia="en-US"/>
              </w:rPr>
            </w:pPr>
            <w:r w:rsidRPr="00D03BAA">
              <w:rPr>
                <w:szCs w:val="22"/>
                <w:lang w:val="en-US" w:eastAsia="en-US"/>
              </w:rPr>
              <w:t>n = 90</w:t>
            </w:r>
            <w:r w:rsidRPr="00D03BAA">
              <w:rPr>
                <w:szCs w:val="22"/>
                <w:vertAlign w:val="superscript"/>
                <w:lang w:val="en-US" w:eastAsia="en-US"/>
              </w:rPr>
              <w:t>d</w:t>
            </w:r>
          </w:p>
        </w:tc>
      </w:tr>
      <w:tr w:rsidR="00D03BAA" w:rsidRPr="00D03BAA" w14:paraId="786807C4" w14:textId="77777777" w:rsidTr="00795B2C">
        <w:trPr>
          <w:trHeight w:val="20"/>
        </w:trPr>
        <w:tc>
          <w:tcPr>
            <w:tcW w:w="982" w:type="pct"/>
            <w:tcMar>
              <w:top w:w="28" w:type="dxa"/>
              <w:left w:w="28" w:type="dxa"/>
              <w:bottom w:w="28" w:type="dxa"/>
              <w:right w:w="28" w:type="dxa"/>
            </w:tcMar>
            <w:vAlign w:val="center"/>
          </w:tcPr>
          <w:p w14:paraId="4146767C" w14:textId="77777777" w:rsidR="00D03BAA" w:rsidRPr="00D03BAA" w:rsidRDefault="00D03BAA" w:rsidP="00D03BAA">
            <w:pPr>
              <w:rPr>
                <w:szCs w:val="22"/>
                <w:lang w:val="en-US" w:eastAsia="en-US"/>
              </w:rPr>
            </w:pPr>
            <w:r w:rsidRPr="00D03BAA">
              <w:rPr>
                <w:szCs w:val="22"/>
                <w:lang w:val="en-US" w:eastAsia="en-US"/>
              </w:rPr>
              <w:t>Histologi</w:t>
            </w:r>
            <w:r>
              <w:rPr>
                <w:szCs w:val="22"/>
                <w:lang w:val="en-US" w:eastAsia="en-US"/>
              </w:rPr>
              <w:t>nis</w:t>
            </w:r>
            <w:r w:rsidRPr="00D03BAA">
              <w:rPr>
                <w:szCs w:val="22"/>
                <w:lang w:val="en-US" w:eastAsia="en-US"/>
              </w:rPr>
              <w:t xml:space="preserve"> </w:t>
            </w:r>
            <w:r>
              <w:rPr>
                <w:szCs w:val="22"/>
                <w:lang w:val="en-US" w:eastAsia="en-US"/>
              </w:rPr>
              <w:t>atsakas</w:t>
            </w:r>
            <w:r w:rsidRPr="00D03BAA">
              <w:rPr>
                <w:szCs w:val="22"/>
                <w:vertAlign w:val="superscript"/>
                <w:lang w:val="en-US" w:eastAsia="en-US"/>
              </w:rPr>
              <w:t>a,b</w:t>
            </w:r>
            <w:r w:rsidRPr="00D03BAA">
              <w:rPr>
                <w:szCs w:val="22"/>
                <w:lang w:val="en-US" w:eastAsia="en-US"/>
              </w:rPr>
              <w:t xml:space="preserve"> (%)</w:t>
            </w:r>
          </w:p>
        </w:tc>
        <w:tc>
          <w:tcPr>
            <w:tcW w:w="1004" w:type="pct"/>
            <w:tcMar>
              <w:top w:w="28" w:type="dxa"/>
              <w:left w:w="28" w:type="dxa"/>
              <w:bottom w:w="28" w:type="dxa"/>
              <w:right w:w="28" w:type="dxa"/>
            </w:tcMar>
          </w:tcPr>
          <w:p w14:paraId="473C4864" w14:textId="77777777" w:rsidR="00D03BAA" w:rsidRPr="00D03BAA" w:rsidRDefault="00D03BAA" w:rsidP="00D03BAA">
            <w:pPr>
              <w:jc w:val="center"/>
              <w:rPr>
                <w:szCs w:val="22"/>
                <w:lang w:val="en-US" w:eastAsia="en-US"/>
              </w:rPr>
            </w:pPr>
            <w:r w:rsidRPr="00D03BAA">
              <w:rPr>
                <w:szCs w:val="22"/>
                <w:lang w:val="en-US" w:eastAsia="en-US"/>
              </w:rPr>
              <w:t>88</w:t>
            </w:r>
          </w:p>
          <w:p w14:paraId="6EB1F9E5" w14:textId="77777777" w:rsidR="00D03BAA" w:rsidRPr="00D03BAA" w:rsidRDefault="00D03BAA" w:rsidP="00D03BAA">
            <w:pPr>
              <w:jc w:val="center"/>
              <w:rPr>
                <w:szCs w:val="22"/>
                <w:lang w:val="en-US" w:eastAsia="en-US"/>
              </w:rPr>
            </w:pPr>
          </w:p>
          <w:p w14:paraId="3CCCB0AA" w14:textId="77777777" w:rsidR="00D03BAA" w:rsidRPr="00D03BAA" w:rsidRDefault="00D03BAA" w:rsidP="00D03BAA">
            <w:pPr>
              <w:jc w:val="center"/>
              <w:rPr>
                <w:szCs w:val="22"/>
                <w:lang w:val="en-US" w:eastAsia="en-US"/>
              </w:rPr>
            </w:pPr>
            <w:r w:rsidRPr="00D03BAA">
              <w:rPr>
                <w:szCs w:val="22"/>
                <w:lang w:val="en-US" w:eastAsia="en-US"/>
              </w:rPr>
              <w:t>[130/148]</w:t>
            </w:r>
          </w:p>
        </w:tc>
        <w:tc>
          <w:tcPr>
            <w:tcW w:w="1005" w:type="pct"/>
            <w:tcMar>
              <w:top w:w="28" w:type="dxa"/>
              <w:left w:w="28" w:type="dxa"/>
              <w:bottom w:w="28" w:type="dxa"/>
              <w:right w:w="28" w:type="dxa"/>
            </w:tcMar>
          </w:tcPr>
          <w:p w14:paraId="13A247F2" w14:textId="77777777" w:rsidR="00D03BAA" w:rsidRPr="00D03BAA" w:rsidRDefault="00D03BAA" w:rsidP="00D03BAA">
            <w:pPr>
              <w:jc w:val="center"/>
              <w:rPr>
                <w:szCs w:val="22"/>
                <w:lang w:val="en-US" w:eastAsia="en-US"/>
              </w:rPr>
            </w:pPr>
            <w:r w:rsidRPr="00D03BAA">
              <w:rPr>
                <w:szCs w:val="22"/>
                <w:lang w:val="en-US" w:eastAsia="en-US"/>
              </w:rPr>
              <w:t>85</w:t>
            </w:r>
          </w:p>
          <w:p w14:paraId="53AECEC1" w14:textId="77777777" w:rsidR="00D03BAA" w:rsidRPr="00D03BAA" w:rsidRDefault="00D03BAA" w:rsidP="00D03BAA">
            <w:pPr>
              <w:jc w:val="center"/>
              <w:rPr>
                <w:szCs w:val="22"/>
                <w:lang w:val="en-US" w:eastAsia="en-US"/>
              </w:rPr>
            </w:pPr>
          </w:p>
          <w:p w14:paraId="743E92A9" w14:textId="77777777" w:rsidR="00D03BAA" w:rsidRPr="00D03BAA" w:rsidRDefault="00D03BAA" w:rsidP="00D03BAA">
            <w:pPr>
              <w:jc w:val="center"/>
              <w:rPr>
                <w:szCs w:val="22"/>
                <w:lang w:val="en-US" w:eastAsia="en-US"/>
              </w:rPr>
            </w:pPr>
            <w:r w:rsidRPr="00D03BAA">
              <w:rPr>
                <w:szCs w:val="22"/>
                <w:lang w:val="en-US" w:eastAsia="en-US"/>
              </w:rPr>
              <w:t>[63/74]</w:t>
            </w:r>
          </w:p>
        </w:tc>
        <w:tc>
          <w:tcPr>
            <w:tcW w:w="1004" w:type="pct"/>
            <w:tcMar>
              <w:top w:w="28" w:type="dxa"/>
              <w:left w:w="28" w:type="dxa"/>
              <w:bottom w:w="28" w:type="dxa"/>
              <w:right w:w="28" w:type="dxa"/>
            </w:tcMar>
          </w:tcPr>
          <w:p w14:paraId="1F8D415A" w14:textId="77777777" w:rsidR="00D03BAA" w:rsidRPr="00D03BAA" w:rsidRDefault="00D03BAA" w:rsidP="00D03BAA">
            <w:pPr>
              <w:jc w:val="center"/>
              <w:rPr>
                <w:szCs w:val="22"/>
                <w:lang w:val="en-US" w:eastAsia="en-US"/>
              </w:rPr>
            </w:pPr>
            <w:r w:rsidRPr="00D03BAA">
              <w:rPr>
                <w:szCs w:val="22"/>
                <w:lang w:val="en-US" w:eastAsia="en-US"/>
              </w:rPr>
              <w:t>90</w:t>
            </w:r>
          </w:p>
          <w:p w14:paraId="0910D92A" w14:textId="77777777" w:rsidR="00D03BAA" w:rsidRPr="00D03BAA" w:rsidRDefault="00D03BAA" w:rsidP="00D03BAA">
            <w:pPr>
              <w:jc w:val="center"/>
              <w:rPr>
                <w:szCs w:val="22"/>
                <w:lang w:val="en-US" w:eastAsia="en-US"/>
              </w:rPr>
            </w:pPr>
          </w:p>
          <w:p w14:paraId="6667CDF6" w14:textId="77777777" w:rsidR="00D03BAA" w:rsidRPr="00D03BAA" w:rsidRDefault="00D03BAA" w:rsidP="00D03BAA">
            <w:pPr>
              <w:jc w:val="center"/>
              <w:rPr>
                <w:szCs w:val="22"/>
                <w:lang w:val="en-US" w:eastAsia="en-US"/>
              </w:rPr>
            </w:pPr>
            <w:r w:rsidRPr="00D03BAA">
              <w:rPr>
                <w:szCs w:val="22"/>
                <w:lang w:val="en-US" w:eastAsia="en-US"/>
              </w:rPr>
              <w:t>[63/70]</w:t>
            </w:r>
          </w:p>
        </w:tc>
        <w:tc>
          <w:tcPr>
            <w:tcW w:w="1005" w:type="pct"/>
            <w:tcMar>
              <w:top w:w="28" w:type="dxa"/>
              <w:left w:w="28" w:type="dxa"/>
              <w:bottom w:w="28" w:type="dxa"/>
              <w:right w:w="28" w:type="dxa"/>
            </w:tcMar>
          </w:tcPr>
          <w:p w14:paraId="37554EED" w14:textId="77777777" w:rsidR="00D03BAA" w:rsidRPr="00D03BAA" w:rsidRDefault="00D03BAA" w:rsidP="00D03BAA">
            <w:pPr>
              <w:jc w:val="center"/>
              <w:rPr>
                <w:szCs w:val="22"/>
                <w:lang w:val="en-US" w:eastAsia="en-US"/>
              </w:rPr>
            </w:pPr>
            <w:r w:rsidRPr="00D03BAA">
              <w:rPr>
                <w:szCs w:val="22"/>
                <w:lang w:val="en-US" w:eastAsia="en-US"/>
              </w:rPr>
              <w:t>92</w:t>
            </w:r>
          </w:p>
          <w:p w14:paraId="5EC1BDE7" w14:textId="77777777" w:rsidR="00D03BAA" w:rsidRPr="00D03BAA" w:rsidRDefault="00D03BAA" w:rsidP="00D03BAA">
            <w:pPr>
              <w:jc w:val="center"/>
              <w:rPr>
                <w:szCs w:val="22"/>
                <w:lang w:val="en-US" w:eastAsia="en-US"/>
              </w:rPr>
            </w:pPr>
          </w:p>
          <w:p w14:paraId="499F1EA9" w14:textId="77777777" w:rsidR="00D03BAA" w:rsidRPr="00D03BAA" w:rsidRDefault="00D03BAA" w:rsidP="00D03BAA">
            <w:pPr>
              <w:jc w:val="center"/>
              <w:rPr>
                <w:szCs w:val="22"/>
                <w:lang w:val="en-US" w:eastAsia="en-US"/>
              </w:rPr>
            </w:pPr>
            <w:r w:rsidRPr="00D03BAA">
              <w:rPr>
                <w:szCs w:val="22"/>
                <w:lang w:val="en-US" w:eastAsia="en-US"/>
              </w:rPr>
              <w:t>[36/39]</w:t>
            </w:r>
          </w:p>
        </w:tc>
      </w:tr>
    </w:tbl>
    <w:p w14:paraId="49FEEA41" w14:textId="77777777" w:rsidR="00D03BAA" w:rsidRPr="00D03BAA" w:rsidRDefault="00D03BAA" w:rsidP="00D03BAA">
      <w:pPr>
        <w:tabs>
          <w:tab w:val="left" w:pos="567"/>
        </w:tabs>
        <w:ind w:left="142" w:hanging="142"/>
        <w:rPr>
          <w:sz w:val="20"/>
          <w:lang w:eastAsia="en-US"/>
        </w:rPr>
      </w:pPr>
      <w:r w:rsidRPr="00D03BAA">
        <w:rPr>
          <w:sz w:val="20"/>
          <w:vertAlign w:val="superscript"/>
          <w:lang w:eastAsia="en-US"/>
        </w:rPr>
        <w:t>a</w:t>
      </w:r>
      <w:r w:rsidRPr="00D03BAA">
        <w:rPr>
          <w:sz w:val="20"/>
          <w:lang w:eastAsia="en-US"/>
        </w:rPr>
        <w:t xml:space="preserve"> Histologijos analizė buvo atliekama pacientams, kurių kepenų biopsijos duomenys buvo gauti (nebuvo = neįtraukti) iki 240-osios savaitės. Atsakas pridėjus emtricitabiną nebuvo įtrauktas (per abu tyrimus iš viso 17 tiriamųjų).</w:t>
      </w:r>
    </w:p>
    <w:p w14:paraId="536DA9C9" w14:textId="77777777" w:rsidR="00D03BAA" w:rsidRPr="00D03BAA" w:rsidRDefault="00D03BAA" w:rsidP="00D03BAA">
      <w:pPr>
        <w:tabs>
          <w:tab w:val="left" w:pos="567"/>
        </w:tabs>
        <w:ind w:left="142" w:hanging="142"/>
        <w:rPr>
          <w:sz w:val="20"/>
          <w:lang w:eastAsia="en-US"/>
        </w:rPr>
      </w:pPr>
      <w:r w:rsidRPr="00D03BAA">
        <w:rPr>
          <w:sz w:val="20"/>
          <w:vertAlign w:val="superscript"/>
          <w:lang w:eastAsia="en-US"/>
        </w:rPr>
        <w:t>b</w:t>
      </w:r>
      <w:r w:rsidRPr="00D03BAA">
        <w:rPr>
          <w:sz w:val="20"/>
          <w:lang w:eastAsia="en-US"/>
        </w:rPr>
        <w:t xml:space="preserve"> Bent dviem taškais padidėjęs </w:t>
      </w:r>
      <w:r w:rsidRPr="00CA49A8">
        <w:rPr>
          <w:i/>
          <w:sz w:val="20"/>
          <w:lang w:eastAsia="en-US"/>
        </w:rPr>
        <w:t>Knodell</w:t>
      </w:r>
      <w:r w:rsidRPr="00D03BAA">
        <w:rPr>
          <w:sz w:val="20"/>
          <w:lang w:eastAsia="en-US"/>
        </w:rPr>
        <w:t xml:space="preserve"> nekrozinio uždegimo balas, nesant </w:t>
      </w:r>
      <w:r w:rsidRPr="00CA49A8">
        <w:rPr>
          <w:i/>
          <w:sz w:val="20"/>
          <w:lang w:eastAsia="en-US"/>
        </w:rPr>
        <w:t>Knodell</w:t>
      </w:r>
      <w:r w:rsidRPr="00D03BAA">
        <w:rPr>
          <w:sz w:val="20"/>
          <w:lang w:eastAsia="en-US"/>
        </w:rPr>
        <w:t xml:space="preserve"> fibrozės pablogėjimo.</w:t>
      </w:r>
    </w:p>
    <w:p w14:paraId="31176C9F" w14:textId="5BDAAC83" w:rsidR="00D03BAA" w:rsidRPr="00D03BAA" w:rsidRDefault="00D03BAA" w:rsidP="00D03BAA">
      <w:pPr>
        <w:tabs>
          <w:tab w:val="left" w:pos="567"/>
        </w:tabs>
        <w:ind w:left="142" w:hanging="142"/>
        <w:rPr>
          <w:sz w:val="20"/>
          <w:lang w:eastAsia="en-US"/>
        </w:rPr>
      </w:pPr>
      <w:r w:rsidRPr="00D03BAA">
        <w:rPr>
          <w:sz w:val="20"/>
          <w:vertAlign w:val="superscript"/>
          <w:lang w:eastAsia="en-US"/>
        </w:rPr>
        <w:t>c</w:t>
      </w:r>
      <w:r w:rsidRPr="00D03BAA">
        <w:rPr>
          <w:sz w:val="20"/>
          <w:lang w:eastAsia="en-US"/>
        </w:rPr>
        <w:t xml:space="preserve"> 48 savaičių dvigubai koduotas gydymas </w:t>
      </w:r>
      <w:r w:rsidR="008A4C9B" w:rsidRPr="00D03BAA">
        <w:rPr>
          <w:sz w:val="20"/>
          <w:lang w:eastAsia="en-US"/>
        </w:rPr>
        <w:t>tenofovir</w:t>
      </w:r>
      <w:r w:rsidR="008A4C9B">
        <w:rPr>
          <w:sz w:val="20"/>
          <w:lang w:eastAsia="en-US"/>
        </w:rPr>
        <w:t>u</w:t>
      </w:r>
      <w:r w:rsidR="008A4C9B" w:rsidRPr="00D03BAA">
        <w:rPr>
          <w:sz w:val="20"/>
          <w:lang w:eastAsia="en-US"/>
        </w:rPr>
        <w:t xml:space="preserve"> </w:t>
      </w:r>
      <w:r w:rsidRPr="00D03BAA">
        <w:rPr>
          <w:sz w:val="20"/>
          <w:lang w:eastAsia="en-US"/>
        </w:rPr>
        <w:t>dizoproksili</w:t>
      </w:r>
      <w:r w:rsidR="00E15BE9">
        <w:rPr>
          <w:sz w:val="20"/>
          <w:lang w:eastAsia="en-US"/>
        </w:rPr>
        <w:t>u</w:t>
      </w:r>
      <w:r w:rsidRPr="00D03BAA">
        <w:rPr>
          <w:sz w:val="20"/>
          <w:lang w:eastAsia="en-US"/>
        </w:rPr>
        <w:t>, po kurio buvo vykdomas iki 192 savaičių atviras gydymas.</w:t>
      </w:r>
    </w:p>
    <w:p w14:paraId="6AAED91D" w14:textId="2E31CD9B" w:rsidR="00A47C6D" w:rsidRPr="00D03BAA" w:rsidRDefault="00D03BAA" w:rsidP="00D03BAA">
      <w:pPr>
        <w:tabs>
          <w:tab w:val="left" w:pos="567"/>
        </w:tabs>
        <w:ind w:left="142" w:hanging="142"/>
        <w:rPr>
          <w:sz w:val="20"/>
          <w:lang w:eastAsia="en-US"/>
        </w:rPr>
      </w:pPr>
      <w:r w:rsidRPr="00D03BAA">
        <w:rPr>
          <w:sz w:val="20"/>
          <w:vertAlign w:val="superscript"/>
          <w:lang w:eastAsia="en-US"/>
        </w:rPr>
        <w:t>d</w:t>
      </w:r>
      <w:r w:rsidRPr="00D03BAA">
        <w:rPr>
          <w:sz w:val="20"/>
          <w:lang w:eastAsia="en-US"/>
        </w:rPr>
        <w:t xml:space="preserve"> 48 savaičių dvigubai koduotas gydymas </w:t>
      </w:r>
      <w:r w:rsidR="008A4C9B" w:rsidRPr="00D03BAA">
        <w:rPr>
          <w:sz w:val="20"/>
          <w:lang w:eastAsia="en-US"/>
        </w:rPr>
        <w:t>adefovir</w:t>
      </w:r>
      <w:r w:rsidR="008A4C9B">
        <w:rPr>
          <w:sz w:val="20"/>
          <w:lang w:eastAsia="en-US"/>
        </w:rPr>
        <w:t>u</w:t>
      </w:r>
      <w:r w:rsidR="008A4C9B" w:rsidRPr="00D03BAA">
        <w:rPr>
          <w:sz w:val="20"/>
          <w:lang w:eastAsia="en-US"/>
        </w:rPr>
        <w:t xml:space="preserve"> </w:t>
      </w:r>
      <w:r w:rsidRPr="00D03BAA">
        <w:rPr>
          <w:sz w:val="20"/>
          <w:lang w:eastAsia="en-US"/>
        </w:rPr>
        <w:t xml:space="preserve">dipivoksiliu, po kurio buvo vykdomas iki 192 savaičių atviras gydymas </w:t>
      </w:r>
      <w:r w:rsidR="008A4C9B" w:rsidRPr="00D03BAA">
        <w:rPr>
          <w:sz w:val="20"/>
          <w:lang w:eastAsia="en-US"/>
        </w:rPr>
        <w:t>tenofovir</w:t>
      </w:r>
      <w:r w:rsidR="008A4C9B">
        <w:rPr>
          <w:sz w:val="20"/>
          <w:lang w:eastAsia="en-US"/>
        </w:rPr>
        <w:t>u</w:t>
      </w:r>
      <w:r w:rsidR="008A4C9B" w:rsidRPr="00D03BAA">
        <w:rPr>
          <w:sz w:val="20"/>
          <w:lang w:eastAsia="en-US"/>
        </w:rPr>
        <w:t xml:space="preserve"> </w:t>
      </w:r>
      <w:r w:rsidRPr="00D03BAA">
        <w:rPr>
          <w:sz w:val="20"/>
          <w:lang w:eastAsia="en-US"/>
        </w:rPr>
        <w:t>dizoproksili</w:t>
      </w:r>
      <w:r w:rsidR="00E15BE9">
        <w:rPr>
          <w:sz w:val="20"/>
          <w:lang w:eastAsia="en-US"/>
        </w:rPr>
        <w:t>u</w:t>
      </w:r>
      <w:r w:rsidRPr="00D03BAA">
        <w:rPr>
          <w:sz w:val="20"/>
          <w:lang w:eastAsia="en-US"/>
        </w:rPr>
        <w:t>.</w:t>
      </w:r>
    </w:p>
    <w:p w14:paraId="50CC2711" w14:textId="77777777" w:rsidR="00A47C6D" w:rsidRPr="00D03BAA" w:rsidRDefault="00A47C6D" w:rsidP="00C83DF1">
      <w:pPr>
        <w:tabs>
          <w:tab w:val="left" w:pos="567"/>
        </w:tabs>
        <w:rPr>
          <w:sz w:val="20"/>
          <w:lang w:eastAsia="en-US"/>
        </w:rPr>
      </w:pPr>
    </w:p>
    <w:p w14:paraId="4303A8D8" w14:textId="77777777" w:rsidR="00D03BAA" w:rsidRPr="00D03BAA" w:rsidRDefault="00D03BAA" w:rsidP="00D03BAA">
      <w:pPr>
        <w:tabs>
          <w:tab w:val="left" w:pos="567"/>
        </w:tabs>
        <w:rPr>
          <w:i/>
          <w:szCs w:val="22"/>
          <w:lang w:eastAsia="en-US"/>
        </w:rPr>
      </w:pPr>
      <w:r w:rsidRPr="00D03BAA">
        <w:rPr>
          <w:i/>
          <w:szCs w:val="22"/>
          <w:lang w:eastAsia="en-US"/>
        </w:rPr>
        <w:t>Patirtis su ŽIV ir kartu kita liga infekuotais pacientais bei ankstesnio gydymo lamivudinu patirtis</w:t>
      </w:r>
    </w:p>
    <w:p w14:paraId="7E712EFF" w14:textId="67DF99F9" w:rsidR="00D03BAA" w:rsidRPr="00D03BAA" w:rsidRDefault="00D03BAA" w:rsidP="00D03BAA">
      <w:pPr>
        <w:tabs>
          <w:tab w:val="left" w:pos="567"/>
        </w:tabs>
        <w:rPr>
          <w:szCs w:val="22"/>
          <w:lang w:eastAsia="en-US"/>
        </w:rPr>
      </w:pPr>
      <w:r w:rsidRPr="00D03BAA">
        <w:rPr>
          <w:szCs w:val="22"/>
          <w:lang w:eastAsia="en-US"/>
        </w:rPr>
        <w:lastRenderedPageBreak/>
        <w:t>Atsitiktinių imčių, 48 savaičių trukmės, dvigubai koduoto, kontroliuoto klinikinio tyrimo duomenimis, ŽIV ir kartu lėtiniu hepatitu B infekuotų suaugusių pacientų, kurie gydyti 245</w:t>
      </w:r>
      <w:r w:rsidR="00640D92">
        <w:rPr>
          <w:szCs w:val="22"/>
          <w:lang w:eastAsia="en-US"/>
        </w:rPr>
        <w:t> </w:t>
      </w:r>
      <w:r w:rsidRPr="00D03BAA">
        <w:rPr>
          <w:szCs w:val="22"/>
          <w:lang w:eastAsia="en-US"/>
        </w:rPr>
        <w:t xml:space="preserve">mg tenofoviro dizoproksilio doze ir prieš tai ACTG 5127 tyrime gydyti lamivudinu, vidutinis </w:t>
      </w:r>
      <w:r w:rsidR="00E15BE9">
        <w:rPr>
          <w:szCs w:val="22"/>
          <w:lang w:eastAsia="en-US"/>
        </w:rPr>
        <w:t xml:space="preserve">kraujo </w:t>
      </w:r>
      <w:r w:rsidRPr="00D03BAA">
        <w:rPr>
          <w:szCs w:val="22"/>
          <w:lang w:eastAsia="en-US"/>
        </w:rPr>
        <w:t>serume esančios HBV DNR kiekis prieš pradedant tyrimą tenofoviro pogrupyje buvo 9,45 log</w:t>
      </w:r>
      <w:r w:rsidRPr="00D03BAA">
        <w:rPr>
          <w:szCs w:val="22"/>
          <w:vertAlign w:val="subscript"/>
          <w:lang w:eastAsia="en-US"/>
        </w:rPr>
        <w:t>10</w:t>
      </w:r>
      <w:r w:rsidRPr="00D03BAA">
        <w:rPr>
          <w:szCs w:val="22"/>
          <w:lang w:eastAsia="en-US"/>
        </w:rPr>
        <w:t xml:space="preserve"> kopijų/ml (n = 27). Gydant 245</w:t>
      </w:r>
      <w:r w:rsidR="00640D92">
        <w:rPr>
          <w:szCs w:val="22"/>
          <w:lang w:eastAsia="en-US"/>
        </w:rPr>
        <w:t> </w:t>
      </w:r>
      <w:r w:rsidRPr="00D03BAA">
        <w:rPr>
          <w:szCs w:val="22"/>
          <w:lang w:eastAsia="en-US"/>
        </w:rPr>
        <w:t xml:space="preserve">mg tenofoviro dizoproksilio doze, vidutinis pacientų </w:t>
      </w:r>
      <w:r w:rsidR="00E15BE9">
        <w:rPr>
          <w:szCs w:val="22"/>
          <w:lang w:eastAsia="en-US"/>
        </w:rPr>
        <w:t xml:space="preserve">kraujo </w:t>
      </w:r>
      <w:r w:rsidRPr="00D03BAA">
        <w:rPr>
          <w:szCs w:val="22"/>
          <w:lang w:eastAsia="en-US"/>
        </w:rPr>
        <w:t xml:space="preserve">serume esančios HBV DNR pokytis nuo pradinio buvo lygus -5,74 </w:t>
      </w:r>
      <w:r w:rsidRPr="008C4E78">
        <w:rPr>
          <w:szCs w:val="22"/>
          <w:lang w:eastAsia="en-US"/>
        </w:rPr>
        <w:t>log</w:t>
      </w:r>
      <w:r w:rsidRPr="008C4E78">
        <w:rPr>
          <w:szCs w:val="22"/>
          <w:vertAlign w:val="subscript"/>
          <w:lang w:eastAsia="en-US"/>
        </w:rPr>
        <w:t>10</w:t>
      </w:r>
      <w:r w:rsidRPr="00D03BAA">
        <w:rPr>
          <w:szCs w:val="22"/>
          <w:lang w:eastAsia="en-US"/>
        </w:rPr>
        <w:t xml:space="preserve"> kopijų/ml (n = 18). Be to, 48-ąją savaitę 61</w:t>
      </w:r>
      <w:r w:rsidR="00640D92">
        <w:rPr>
          <w:szCs w:val="22"/>
          <w:lang w:eastAsia="en-US"/>
        </w:rPr>
        <w:t> </w:t>
      </w:r>
      <w:r w:rsidRPr="00D03BAA">
        <w:rPr>
          <w:szCs w:val="22"/>
          <w:lang w:eastAsia="en-US"/>
        </w:rPr>
        <w:t xml:space="preserve">% pacientų ALT </w:t>
      </w:r>
      <w:r w:rsidR="008C4E78">
        <w:rPr>
          <w:szCs w:val="22"/>
          <w:lang w:eastAsia="en-US"/>
        </w:rPr>
        <w:t xml:space="preserve">aktyvumas </w:t>
      </w:r>
      <w:r w:rsidRPr="00D03BAA">
        <w:rPr>
          <w:szCs w:val="22"/>
          <w:lang w:eastAsia="en-US"/>
        </w:rPr>
        <w:t>buvo normalus.</w:t>
      </w:r>
    </w:p>
    <w:p w14:paraId="5724E63F" w14:textId="77777777" w:rsidR="008C4E78" w:rsidRDefault="008C4E78" w:rsidP="00D03BAA">
      <w:pPr>
        <w:tabs>
          <w:tab w:val="left" w:pos="567"/>
        </w:tabs>
        <w:rPr>
          <w:szCs w:val="22"/>
          <w:lang w:eastAsia="en-US"/>
        </w:rPr>
      </w:pPr>
    </w:p>
    <w:p w14:paraId="3DA1D13C" w14:textId="77777777" w:rsidR="00D03BAA" w:rsidRPr="008C4E78" w:rsidRDefault="00D03BAA" w:rsidP="00D03BAA">
      <w:pPr>
        <w:tabs>
          <w:tab w:val="left" w:pos="567"/>
        </w:tabs>
        <w:rPr>
          <w:i/>
          <w:szCs w:val="22"/>
          <w:lang w:eastAsia="en-US"/>
        </w:rPr>
      </w:pPr>
      <w:r w:rsidRPr="008C4E78">
        <w:rPr>
          <w:i/>
          <w:szCs w:val="22"/>
          <w:lang w:eastAsia="en-US"/>
        </w:rPr>
        <w:t xml:space="preserve">Patirtis </w:t>
      </w:r>
      <w:r w:rsidR="008C4E78">
        <w:rPr>
          <w:i/>
          <w:szCs w:val="22"/>
          <w:lang w:eastAsia="en-US"/>
        </w:rPr>
        <w:t xml:space="preserve">pacientams, kuriems yra </w:t>
      </w:r>
      <w:r w:rsidRPr="008C4E78">
        <w:rPr>
          <w:i/>
          <w:szCs w:val="22"/>
          <w:lang w:eastAsia="en-US"/>
        </w:rPr>
        <w:t>persistuojan</w:t>
      </w:r>
      <w:r w:rsidR="008C4E78">
        <w:rPr>
          <w:i/>
          <w:szCs w:val="22"/>
          <w:lang w:eastAsia="en-US"/>
        </w:rPr>
        <w:t xml:space="preserve">ti </w:t>
      </w:r>
      <w:r w:rsidRPr="008C4E78">
        <w:rPr>
          <w:i/>
          <w:szCs w:val="22"/>
          <w:lang w:eastAsia="en-US"/>
        </w:rPr>
        <w:t>viruso replikacij</w:t>
      </w:r>
      <w:r w:rsidR="008C4E78">
        <w:rPr>
          <w:i/>
          <w:szCs w:val="22"/>
          <w:lang w:eastAsia="en-US"/>
        </w:rPr>
        <w:t>a</w:t>
      </w:r>
      <w:r w:rsidRPr="008C4E78">
        <w:rPr>
          <w:i/>
          <w:szCs w:val="22"/>
          <w:lang w:eastAsia="en-US"/>
        </w:rPr>
        <w:t xml:space="preserve"> (GS-US-174-0106 tyrimas)</w:t>
      </w:r>
    </w:p>
    <w:p w14:paraId="03E4B62E" w14:textId="13AD8C82" w:rsidR="008C4E78" w:rsidRPr="008C4E78" w:rsidRDefault="00D03BAA" w:rsidP="008C4E78">
      <w:pPr>
        <w:tabs>
          <w:tab w:val="left" w:pos="567"/>
        </w:tabs>
        <w:rPr>
          <w:szCs w:val="22"/>
          <w:lang w:eastAsia="en-US"/>
        </w:rPr>
      </w:pPr>
      <w:r w:rsidRPr="00D03BAA">
        <w:rPr>
          <w:szCs w:val="22"/>
          <w:lang w:eastAsia="en-US"/>
        </w:rPr>
        <w:t>245</w:t>
      </w:r>
      <w:r w:rsidR="00640D92">
        <w:rPr>
          <w:szCs w:val="22"/>
          <w:lang w:eastAsia="en-US"/>
        </w:rPr>
        <w:t> </w:t>
      </w:r>
      <w:r w:rsidRPr="00D03BAA">
        <w:rPr>
          <w:szCs w:val="22"/>
          <w:lang w:eastAsia="en-US"/>
        </w:rPr>
        <w:t>mg tenofoviro dizoproksilio dozės ar 245</w:t>
      </w:r>
      <w:r w:rsidR="00640D92">
        <w:rPr>
          <w:szCs w:val="22"/>
          <w:lang w:eastAsia="en-US"/>
        </w:rPr>
        <w:t> </w:t>
      </w:r>
      <w:r w:rsidRPr="00D03BAA">
        <w:rPr>
          <w:szCs w:val="22"/>
          <w:lang w:eastAsia="en-US"/>
        </w:rPr>
        <w:t>mg tenofoviro dizoproksilio vartojamo kartu su 200</w:t>
      </w:r>
      <w:r w:rsidR="00640D92">
        <w:rPr>
          <w:szCs w:val="22"/>
          <w:lang w:eastAsia="en-US"/>
        </w:rPr>
        <w:t> </w:t>
      </w:r>
      <w:r w:rsidRPr="00D03BAA">
        <w:rPr>
          <w:szCs w:val="22"/>
          <w:lang w:eastAsia="en-US"/>
        </w:rPr>
        <w:t>mg emtricitabino doze, veiksmingumas ir saugumas buvo vertinamas atsitiktinių imčių, dvigubai koduotame GS-US-174-0106 tyrime</w:t>
      </w:r>
      <w:r w:rsidR="008C4E78">
        <w:rPr>
          <w:szCs w:val="22"/>
          <w:lang w:eastAsia="en-US"/>
        </w:rPr>
        <w:t>. Jo</w:t>
      </w:r>
      <w:r w:rsidRPr="00D03BAA">
        <w:rPr>
          <w:szCs w:val="22"/>
          <w:lang w:eastAsia="en-US"/>
        </w:rPr>
        <w:t xml:space="preserve"> metu tirti HBeAg teigiami ir HBeAg neigiami suaugę pacientai, kuriems ilgiau nei 24 savaites vartojant 10</w:t>
      </w:r>
      <w:r w:rsidR="00640D92">
        <w:rPr>
          <w:szCs w:val="22"/>
          <w:lang w:eastAsia="en-US"/>
        </w:rPr>
        <w:t> </w:t>
      </w:r>
      <w:r w:rsidRPr="00D03BAA">
        <w:rPr>
          <w:szCs w:val="22"/>
          <w:lang w:eastAsia="en-US"/>
        </w:rPr>
        <w:t>mg adefoviro dipivoksilio dozę išliko viremija (HBV DNR ≥</w:t>
      </w:r>
      <w:r w:rsidR="00640D92">
        <w:rPr>
          <w:szCs w:val="22"/>
          <w:lang w:eastAsia="en-US"/>
        </w:rPr>
        <w:t> </w:t>
      </w:r>
      <w:r w:rsidRPr="00D03BAA">
        <w:rPr>
          <w:szCs w:val="22"/>
          <w:lang w:eastAsia="en-US"/>
        </w:rPr>
        <w:t>1000</w:t>
      </w:r>
      <w:r w:rsidR="00640D92">
        <w:rPr>
          <w:szCs w:val="22"/>
          <w:lang w:eastAsia="en-US"/>
        </w:rPr>
        <w:t> </w:t>
      </w:r>
      <w:r w:rsidRPr="00D03BAA">
        <w:rPr>
          <w:szCs w:val="22"/>
          <w:lang w:eastAsia="en-US"/>
        </w:rPr>
        <w:t>kopijos/ml). Prieš pradedant tyrimą 57</w:t>
      </w:r>
      <w:r w:rsidR="00640D92">
        <w:rPr>
          <w:szCs w:val="22"/>
          <w:lang w:eastAsia="en-US"/>
        </w:rPr>
        <w:t> </w:t>
      </w:r>
      <w:r w:rsidRPr="00D03BAA">
        <w:rPr>
          <w:szCs w:val="22"/>
          <w:lang w:eastAsia="en-US"/>
        </w:rPr>
        <w:t>% pacientų atsitiktinai atrinkti tenofoviro dizoproksilio, palyginus su 60</w:t>
      </w:r>
      <w:r w:rsidR="00640D92">
        <w:rPr>
          <w:szCs w:val="22"/>
          <w:lang w:eastAsia="en-US"/>
        </w:rPr>
        <w:t> </w:t>
      </w:r>
      <w:r w:rsidRPr="00D03BAA">
        <w:rPr>
          <w:szCs w:val="22"/>
          <w:lang w:eastAsia="en-US"/>
        </w:rPr>
        <w:t xml:space="preserve">% pacientų, anksčiau gydytų lamivudinu, atsitiktinai atrinktų į gydymo emtricitabinu kartu su </w:t>
      </w:r>
      <w:r w:rsidR="00653D08">
        <w:rPr>
          <w:szCs w:val="22"/>
          <w:lang w:eastAsia="en-US"/>
        </w:rPr>
        <w:t xml:space="preserve">tenofoviro dizoproksilio </w:t>
      </w:r>
      <w:r w:rsidRPr="00D03BAA">
        <w:rPr>
          <w:szCs w:val="22"/>
          <w:lang w:eastAsia="en-US"/>
        </w:rPr>
        <w:t>grupę. Iš viso 24-ąją savaitę 66</w:t>
      </w:r>
      <w:r w:rsidR="00640D92">
        <w:rPr>
          <w:szCs w:val="22"/>
          <w:lang w:eastAsia="en-US"/>
        </w:rPr>
        <w:t> </w:t>
      </w:r>
      <w:r w:rsidRPr="00D03BAA">
        <w:rPr>
          <w:szCs w:val="22"/>
          <w:lang w:eastAsia="en-US"/>
        </w:rPr>
        <w:t>% (35 iš 53) tenofoviru dizoproksilio gydytų pacientų HBV DNR buvo &lt;</w:t>
      </w:r>
      <w:r w:rsidR="00640D92">
        <w:rPr>
          <w:szCs w:val="22"/>
          <w:lang w:eastAsia="en-US"/>
        </w:rPr>
        <w:t> </w:t>
      </w:r>
      <w:r w:rsidRPr="00D03BAA">
        <w:rPr>
          <w:szCs w:val="22"/>
          <w:lang w:eastAsia="en-US"/>
        </w:rPr>
        <w:t>400</w:t>
      </w:r>
      <w:r w:rsidR="00640D92">
        <w:rPr>
          <w:szCs w:val="22"/>
          <w:lang w:eastAsia="en-US"/>
        </w:rPr>
        <w:t> </w:t>
      </w:r>
      <w:r w:rsidRPr="00D03BAA">
        <w:rPr>
          <w:szCs w:val="22"/>
          <w:lang w:eastAsia="en-US"/>
        </w:rPr>
        <w:t>kopijų/ml (&lt;</w:t>
      </w:r>
      <w:r w:rsidR="00640D92">
        <w:rPr>
          <w:szCs w:val="22"/>
          <w:lang w:eastAsia="en-US"/>
        </w:rPr>
        <w:t> </w:t>
      </w:r>
      <w:r w:rsidRPr="00D03BAA">
        <w:rPr>
          <w:szCs w:val="22"/>
          <w:lang w:eastAsia="en-US"/>
        </w:rPr>
        <w:t>69</w:t>
      </w:r>
      <w:r w:rsidR="00640D92">
        <w:rPr>
          <w:szCs w:val="22"/>
          <w:lang w:eastAsia="en-US"/>
        </w:rPr>
        <w:t> </w:t>
      </w:r>
      <w:r w:rsidRPr="00D03BAA">
        <w:rPr>
          <w:szCs w:val="22"/>
          <w:lang w:eastAsia="en-US"/>
        </w:rPr>
        <w:t>TV/ml), palyginus su 69</w:t>
      </w:r>
      <w:r w:rsidR="00640D92">
        <w:rPr>
          <w:szCs w:val="22"/>
          <w:lang w:eastAsia="en-US"/>
        </w:rPr>
        <w:t> </w:t>
      </w:r>
      <w:r w:rsidRPr="00D03BAA">
        <w:rPr>
          <w:szCs w:val="22"/>
          <w:lang w:eastAsia="en-US"/>
        </w:rPr>
        <w:t xml:space="preserve">% (36 iš 52) emtricitabinu kartu su </w:t>
      </w:r>
      <w:r w:rsidR="00191FEA">
        <w:rPr>
          <w:szCs w:val="22"/>
          <w:lang w:eastAsia="en-US"/>
        </w:rPr>
        <w:t xml:space="preserve">tenofoviru dizoproksiliu </w:t>
      </w:r>
      <w:r w:rsidRPr="00D03BAA">
        <w:rPr>
          <w:szCs w:val="22"/>
          <w:lang w:eastAsia="en-US"/>
        </w:rPr>
        <w:t>(p = 0,672) gydytų pacientų. Be to, 55</w:t>
      </w:r>
      <w:r w:rsidR="00640D92">
        <w:rPr>
          <w:szCs w:val="22"/>
          <w:lang w:eastAsia="en-US"/>
        </w:rPr>
        <w:t> </w:t>
      </w:r>
      <w:r w:rsidRPr="00D03BAA">
        <w:rPr>
          <w:szCs w:val="22"/>
          <w:lang w:eastAsia="en-US"/>
        </w:rPr>
        <w:t xml:space="preserve">% (29 iš 53) </w:t>
      </w:r>
      <w:r w:rsidR="00653D08">
        <w:rPr>
          <w:szCs w:val="22"/>
          <w:lang w:eastAsia="en-US"/>
        </w:rPr>
        <w:t xml:space="preserve">tenofoviro dizoproksilio </w:t>
      </w:r>
      <w:r w:rsidRPr="00D03BAA">
        <w:rPr>
          <w:szCs w:val="22"/>
          <w:lang w:eastAsia="en-US"/>
        </w:rPr>
        <w:t>gydytų pacientų buvo nenustatoma HBV DNR (&lt;</w:t>
      </w:r>
      <w:r w:rsidR="00640D92">
        <w:rPr>
          <w:szCs w:val="22"/>
          <w:lang w:eastAsia="en-US"/>
        </w:rPr>
        <w:t> </w:t>
      </w:r>
      <w:r w:rsidRPr="00D03BAA">
        <w:rPr>
          <w:szCs w:val="22"/>
          <w:lang w:eastAsia="en-US"/>
        </w:rPr>
        <w:t>169</w:t>
      </w:r>
      <w:r w:rsidR="00640D92">
        <w:rPr>
          <w:szCs w:val="22"/>
          <w:lang w:eastAsia="en-US"/>
        </w:rPr>
        <w:t> </w:t>
      </w:r>
      <w:r w:rsidRPr="00D03BAA">
        <w:rPr>
          <w:szCs w:val="22"/>
          <w:lang w:eastAsia="en-US"/>
        </w:rPr>
        <w:t>kopijos/ml</w:t>
      </w:r>
      <w:r w:rsidR="008C4E78">
        <w:rPr>
          <w:szCs w:val="22"/>
          <w:lang w:eastAsia="en-US"/>
        </w:rPr>
        <w:t xml:space="preserve"> [</w:t>
      </w:r>
      <w:r w:rsidR="008C4E78" w:rsidRPr="008C4E78">
        <w:rPr>
          <w:szCs w:val="22"/>
          <w:lang w:eastAsia="en-US"/>
        </w:rPr>
        <w:t>&lt;</w:t>
      </w:r>
      <w:r w:rsidR="00640D92">
        <w:rPr>
          <w:szCs w:val="22"/>
          <w:lang w:eastAsia="en-US"/>
        </w:rPr>
        <w:t> </w:t>
      </w:r>
      <w:r w:rsidR="008C4E78" w:rsidRPr="008C4E78">
        <w:rPr>
          <w:szCs w:val="22"/>
          <w:lang w:eastAsia="en-US"/>
        </w:rPr>
        <w:t>29</w:t>
      </w:r>
      <w:r w:rsidR="00640D92">
        <w:rPr>
          <w:szCs w:val="22"/>
          <w:lang w:eastAsia="en-US"/>
        </w:rPr>
        <w:t> </w:t>
      </w:r>
      <w:r w:rsidR="008C4E78" w:rsidRPr="008C4E78">
        <w:rPr>
          <w:szCs w:val="22"/>
          <w:lang w:eastAsia="en-US"/>
        </w:rPr>
        <w:t>TV/ml</w:t>
      </w:r>
      <w:r w:rsidR="008C4E78">
        <w:rPr>
          <w:szCs w:val="22"/>
          <w:lang w:eastAsia="en-US"/>
        </w:rPr>
        <w:t>]</w:t>
      </w:r>
      <w:r w:rsidR="008C4E78" w:rsidRPr="008C4E78">
        <w:rPr>
          <w:szCs w:val="22"/>
          <w:lang w:eastAsia="en-US"/>
        </w:rPr>
        <w:t xml:space="preserve">; </w:t>
      </w:r>
      <w:r w:rsidR="008C4E78" w:rsidRPr="00CA49A8">
        <w:rPr>
          <w:i/>
          <w:szCs w:val="22"/>
          <w:lang w:eastAsia="en-US"/>
        </w:rPr>
        <w:t>Roche Cobas Togman</w:t>
      </w:r>
      <w:r w:rsidR="008C4E78" w:rsidRPr="008C4E78">
        <w:rPr>
          <w:szCs w:val="22"/>
          <w:lang w:eastAsia="en-US"/>
        </w:rPr>
        <w:t xml:space="preserve"> HBV tyrimų kiekybinio įvertinimo riba), palyginus su 60</w:t>
      </w:r>
      <w:r w:rsidR="00640D92">
        <w:rPr>
          <w:szCs w:val="22"/>
          <w:lang w:eastAsia="en-US"/>
        </w:rPr>
        <w:t> </w:t>
      </w:r>
      <w:r w:rsidR="008C4E78" w:rsidRPr="008C4E78">
        <w:rPr>
          <w:szCs w:val="22"/>
          <w:lang w:eastAsia="en-US"/>
        </w:rPr>
        <w:t xml:space="preserve">% (31 iš 52) emtricitabinu kartu su </w:t>
      </w:r>
      <w:r w:rsidR="00191FEA">
        <w:rPr>
          <w:szCs w:val="22"/>
          <w:lang w:eastAsia="en-US"/>
        </w:rPr>
        <w:t xml:space="preserve">tenofoviru </w:t>
      </w:r>
      <w:r w:rsidR="00653D08">
        <w:rPr>
          <w:szCs w:val="22"/>
          <w:lang w:eastAsia="en-US"/>
        </w:rPr>
        <w:t>dizoproksili</w:t>
      </w:r>
      <w:r w:rsidR="00191FEA">
        <w:rPr>
          <w:szCs w:val="22"/>
          <w:lang w:eastAsia="en-US"/>
        </w:rPr>
        <w:t>u</w:t>
      </w:r>
      <w:r w:rsidR="00E15BE9">
        <w:rPr>
          <w:szCs w:val="22"/>
          <w:lang w:eastAsia="en-US"/>
        </w:rPr>
        <w:t xml:space="preserve"> </w:t>
      </w:r>
      <w:r w:rsidR="008C4E78" w:rsidRPr="008C4E78">
        <w:rPr>
          <w:szCs w:val="22"/>
          <w:lang w:eastAsia="en-US"/>
        </w:rPr>
        <w:t xml:space="preserve">gydytų pacientų (p = 0,504). Palyginimus tarp gydymo grupių virš 24 savaičių sunku interpretuoti, nes tyrėjai laikėsi nuomonės sustiprinti atvirą gydymą emtricitabinu kartu su </w:t>
      </w:r>
      <w:r w:rsidR="00191FEA" w:rsidRPr="008C4E78">
        <w:rPr>
          <w:szCs w:val="22"/>
          <w:lang w:eastAsia="en-US"/>
        </w:rPr>
        <w:t>tenofovir</w:t>
      </w:r>
      <w:r w:rsidR="00191FEA">
        <w:rPr>
          <w:szCs w:val="22"/>
          <w:lang w:eastAsia="en-US"/>
        </w:rPr>
        <w:t>u</w:t>
      </w:r>
      <w:r w:rsidR="00191FEA" w:rsidRPr="008C4E78">
        <w:rPr>
          <w:szCs w:val="22"/>
          <w:lang w:eastAsia="en-US"/>
        </w:rPr>
        <w:t xml:space="preserve"> </w:t>
      </w:r>
      <w:r w:rsidR="008C4E78" w:rsidRPr="008C4E78">
        <w:rPr>
          <w:szCs w:val="22"/>
          <w:lang w:eastAsia="en-US"/>
        </w:rPr>
        <w:t xml:space="preserve">dizoproksiliu. Ilgalaikiai tyrimai, siekiantys įvertinti gydymo dviem vaistiniais preparatais – emtricitabinu kartu su </w:t>
      </w:r>
      <w:r w:rsidR="00191FEA">
        <w:rPr>
          <w:szCs w:val="22"/>
          <w:lang w:eastAsia="en-US"/>
        </w:rPr>
        <w:t xml:space="preserve">tenofoviru </w:t>
      </w:r>
      <w:r w:rsidR="00653D08">
        <w:rPr>
          <w:szCs w:val="22"/>
          <w:lang w:eastAsia="en-US"/>
        </w:rPr>
        <w:t>dizoproksili</w:t>
      </w:r>
      <w:r w:rsidR="00191FEA">
        <w:rPr>
          <w:szCs w:val="22"/>
          <w:lang w:eastAsia="en-US"/>
        </w:rPr>
        <w:t>u</w:t>
      </w:r>
      <w:r w:rsidR="00653D08">
        <w:rPr>
          <w:szCs w:val="22"/>
          <w:lang w:eastAsia="en-US"/>
        </w:rPr>
        <w:t xml:space="preserve"> </w:t>
      </w:r>
      <w:r w:rsidR="008C4E78" w:rsidRPr="008C4E78">
        <w:rPr>
          <w:szCs w:val="22"/>
          <w:lang w:eastAsia="en-US"/>
        </w:rPr>
        <w:t>– naudos ir rizikos santykį tik HBV infekuotiems pacientams, tebevykdomi.</w:t>
      </w:r>
    </w:p>
    <w:p w14:paraId="782DABD8" w14:textId="77777777" w:rsidR="008C4E78" w:rsidRDefault="008C4E78" w:rsidP="008C4E78">
      <w:pPr>
        <w:tabs>
          <w:tab w:val="left" w:pos="567"/>
        </w:tabs>
        <w:rPr>
          <w:szCs w:val="22"/>
          <w:lang w:eastAsia="en-US"/>
        </w:rPr>
      </w:pPr>
    </w:p>
    <w:p w14:paraId="0B2672F6" w14:textId="77777777" w:rsidR="008C4E78" w:rsidRPr="008C4E78" w:rsidRDefault="008C4E78" w:rsidP="008C4E78">
      <w:pPr>
        <w:tabs>
          <w:tab w:val="left" w:pos="567"/>
        </w:tabs>
        <w:rPr>
          <w:i/>
          <w:szCs w:val="22"/>
          <w:lang w:eastAsia="en-US"/>
        </w:rPr>
      </w:pPr>
      <w:r w:rsidRPr="008C4E78">
        <w:rPr>
          <w:i/>
          <w:szCs w:val="22"/>
          <w:lang w:eastAsia="en-US"/>
        </w:rPr>
        <w:t>Patirtis pacientams, kuriems yra dekompensuota kepenų liga, 48 savaitę (GS-US-174-0108 tyrimas)</w:t>
      </w:r>
    </w:p>
    <w:p w14:paraId="5D14F3A6" w14:textId="05A45BF3" w:rsidR="008C4E78" w:rsidRPr="008C4E78" w:rsidRDefault="008C4E78" w:rsidP="008C4E78">
      <w:pPr>
        <w:tabs>
          <w:tab w:val="left" w:pos="567"/>
        </w:tabs>
        <w:rPr>
          <w:szCs w:val="22"/>
          <w:lang w:eastAsia="en-US"/>
        </w:rPr>
      </w:pPr>
      <w:r w:rsidRPr="008C4E78">
        <w:rPr>
          <w:szCs w:val="22"/>
          <w:lang w:eastAsia="en-US"/>
        </w:rPr>
        <w:t xml:space="preserve">Tyrimas GS-US-174-0108 – tai atsitiktinių imčių, dvigubai koduotas, aktyviai kontroliuojamas tyrimas, kurio metu vertinamas </w:t>
      </w:r>
      <w:r w:rsidR="00640D92">
        <w:rPr>
          <w:szCs w:val="22"/>
          <w:lang w:eastAsia="en-US"/>
        </w:rPr>
        <w:t>t</w:t>
      </w:r>
      <w:r w:rsidR="00653D08">
        <w:rPr>
          <w:szCs w:val="22"/>
          <w:lang w:eastAsia="en-US"/>
        </w:rPr>
        <w:t xml:space="preserve">enofoviro </w:t>
      </w:r>
      <w:r w:rsidR="00191FEA">
        <w:rPr>
          <w:szCs w:val="22"/>
          <w:lang w:eastAsia="en-US"/>
        </w:rPr>
        <w:t xml:space="preserve">dizoproksilio </w:t>
      </w:r>
      <w:r w:rsidRPr="008C4E78">
        <w:rPr>
          <w:szCs w:val="22"/>
          <w:lang w:eastAsia="en-US"/>
        </w:rPr>
        <w:t xml:space="preserve">(n = 45), emtricitabino </w:t>
      </w:r>
      <w:r w:rsidR="00191FEA">
        <w:rPr>
          <w:szCs w:val="22"/>
          <w:lang w:eastAsia="en-US"/>
        </w:rPr>
        <w:t xml:space="preserve"> ir</w:t>
      </w:r>
      <w:r w:rsidRPr="008C4E78">
        <w:rPr>
          <w:szCs w:val="22"/>
          <w:lang w:eastAsia="en-US"/>
        </w:rPr>
        <w:t xml:space="preserve"> </w:t>
      </w:r>
      <w:r w:rsidR="00640D92">
        <w:rPr>
          <w:szCs w:val="22"/>
          <w:lang w:eastAsia="en-US"/>
        </w:rPr>
        <w:t>t</w:t>
      </w:r>
      <w:r w:rsidR="00653D08">
        <w:rPr>
          <w:szCs w:val="22"/>
          <w:lang w:eastAsia="en-US"/>
        </w:rPr>
        <w:t>enofoviro dizoproksilio</w:t>
      </w:r>
      <w:r w:rsidR="00E15BE9">
        <w:rPr>
          <w:szCs w:val="22"/>
          <w:lang w:eastAsia="en-US"/>
        </w:rPr>
        <w:t xml:space="preserve"> </w:t>
      </w:r>
      <w:r w:rsidR="00191FEA">
        <w:rPr>
          <w:szCs w:val="22"/>
          <w:lang w:eastAsia="en-US"/>
        </w:rPr>
        <w:t xml:space="preserve">derinio </w:t>
      </w:r>
      <w:r w:rsidRPr="008C4E78">
        <w:rPr>
          <w:szCs w:val="22"/>
          <w:lang w:eastAsia="en-US"/>
        </w:rPr>
        <w:t xml:space="preserve">(n = 45) bei entekaviro (n = 22) saugumas ir veiksmingumas pacientams, </w:t>
      </w:r>
      <w:r>
        <w:rPr>
          <w:szCs w:val="22"/>
          <w:lang w:eastAsia="en-US"/>
        </w:rPr>
        <w:t>kuriems yra</w:t>
      </w:r>
      <w:r w:rsidRPr="008C4E78">
        <w:rPr>
          <w:szCs w:val="22"/>
          <w:lang w:eastAsia="en-US"/>
        </w:rPr>
        <w:t xml:space="preserve"> dekompensuota kepenų liga. </w:t>
      </w:r>
      <w:r w:rsidR="00653D08">
        <w:rPr>
          <w:szCs w:val="22"/>
          <w:lang w:eastAsia="en-US"/>
        </w:rPr>
        <w:t xml:space="preserve">Tenofoviro dizoproksilio </w:t>
      </w:r>
      <w:r w:rsidRPr="008C4E78">
        <w:rPr>
          <w:szCs w:val="22"/>
          <w:lang w:eastAsia="en-US"/>
        </w:rPr>
        <w:t>grupėje pacientų pradinis CPT balų vidurkis buvo 7,2, HBV DNR vidurkis – 5,8 log</w:t>
      </w:r>
      <w:r w:rsidRPr="008C4E78">
        <w:rPr>
          <w:szCs w:val="22"/>
          <w:vertAlign w:val="subscript"/>
          <w:lang w:eastAsia="en-US"/>
        </w:rPr>
        <w:t>10</w:t>
      </w:r>
      <w:r w:rsidRPr="008C4E78">
        <w:rPr>
          <w:szCs w:val="22"/>
          <w:lang w:eastAsia="en-US"/>
        </w:rPr>
        <w:t xml:space="preserve"> kopijų/ml ir serumo ALT </w:t>
      </w:r>
      <w:r>
        <w:rPr>
          <w:szCs w:val="22"/>
          <w:lang w:eastAsia="en-US"/>
        </w:rPr>
        <w:t xml:space="preserve">aktyvumo </w:t>
      </w:r>
      <w:r w:rsidRPr="008C4E78">
        <w:rPr>
          <w:szCs w:val="22"/>
          <w:lang w:eastAsia="en-US"/>
        </w:rPr>
        <w:t>vidurkis – 61</w:t>
      </w:r>
      <w:r w:rsidR="00640D92">
        <w:rPr>
          <w:szCs w:val="22"/>
          <w:lang w:eastAsia="en-US"/>
        </w:rPr>
        <w:t> </w:t>
      </w:r>
      <w:r w:rsidRPr="008C4E78">
        <w:rPr>
          <w:szCs w:val="22"/>
          <w:lang w:eastAsia="en-US"/>
        </w:rPr>
        <w:t>V/l. Keturiasdešimt du procentai (19/45) pacientų mažiausiai 6 mėnesius prieš tai buvo gydyti lamivudinu, 20</w:t>
      </w:r>
      <w:r w:rsidR="00640D92">
        <w:rPr>
          <w:szCs w:val="22"/>
          <w:lang w:eastAsia="en-US"/>
        </w:rPr>
        <w:t> </w:t>
      </w:r>
      <w:r w:rsidRPr="008C4E78">
        <w:rPr>
          <w:szCs w:val="22"/>
          <w:lang w:eastAsia="en-US"/>
        </w:rPr>
        <w:t xml:space="preserve">% (9/45) pacientų prieš tai buvo gydyti </w:t>
      </w:r>
      <w:r w:rsidR="00191FEA" w:rsidRPr="008C4E78">
        <w:rPr>
          <w:szCs w:val="22"/>
          <w:lang w:eastAsia="en-US"/>
        </w:rPr>
        <w:t>adefovir</w:t>
      </w:r>
      <w:r w:rsidR="00191FEA">
        <w:rPr>
          <w:szCs w:val="22"/>
          <w:lang w:eastAsia="en-US"/>
        </w:rPr>
        <w:t>u</w:t>
      </w:r>
      <w:r w:rsidR="00191FEA" w:rsidRPr="008C4E78">
        <w:rPr>
          <w:szCs w:val="22"/>
          <w:lang w:eastAsia="en-US"/>
        </w:rPr>
        <w:t xml:space="preserve"> </w:t>
      </w:r>
      <w:r w:rsidRPr="008C4E78">
        <w:rPr>
          <w:szCs w:val="22"/>
          <w:lang w:eastAsia="en-US"/>
        </w:rPr>
        <w:t>dipivoksiliu ir 9 iš 45 pacientų (20</w:t>
      </w:r>
      <w:r w:rsidR="00640D92">
        <w:rPr>
          <w:szCs w:val="22"/>
          <w:lang w:eastAsia="en-US"/>
        </w:rPr>
        <w:t> </w:t>
      </w:r>
      <w:r w:rsidRPr="008C4E78">
        <w:rPr>
          <w:szCs w:val="22"/>
          <w:lang w:eastAsia="en-US"/>
        </w:rPr>
        <w:t xml:space="preserve">%) </w:t>
      </w:r>
      <w:r w:rsidR="001364E4">
        <w:rPr>
          <w:szCs w:val="22"/>
          <w:lang w:eastAsia="en-US"/>
        </w:rPr>
        <w:t>tyrimo pradžioje buvo</w:t>
      </w:r>
      <w:r w:rsidRPr="008C4E78">
        <w:rPr>
          <w:szCs w:val="22"/>
          <w:lang w:eastAsia="en-US"/>
        </w:rPr>
        <w:t xml:space="preserve"> </w:t>
      </w:r>
      <w:r w:rsidR="001364E4">
        <w:rPr>
          <w:szCs w:val="22"/>
          <w:lang w:eastAsia="en-US"/>
        </w:rPr>
        <w:t>atsparumo</w:t>
      </w:r>
      <w:r w:rsidRPr="008C4E78">
        <w:rPr>
          <w:szCs w:val="22"/>
          <w:lang w:eastAsia="en-US"/>
        </w:rPr>
        <w:t xml:space="preserve"> lamivudinui ir (arba) </w:t>
      </w:r>
      <w:r w:rsidR="00191FEA" w:rsidRPr="008C4E78">
        <w:rPr>
          <w:szCs w:val="22"/>
          <w:lang w:eastAsia="en-US"/>
        </w:rPr>
        <w:t>adefovir</w:t>
      </w:r>
      <w:r w:rsidR="00191FEA">
        <w:rPr>
          <w:szCs w:val="22"/>
          <w:lang w:eastAsia="en-US"/>
        </w:rPr>
        <w:t>ui</w:t>
      </w:r>
      <w:r w:rsidR="00191FEA" w:rsidRPr="008C4E78">
        <w:rPr>
          <w:szCs w:val="22"/>
          <w:lang w:eastAsia="en-US"/>
        </w:rPr>
        <w:t xml:space="preserve"> </w:t>
      </w:r>
      <w:r w:rsidRPr="008C4E78">
        <w:rPr>
          <w:szCs w:val="22"/>
          <w:lang w:eastAsia="en-US"/>
        </w:rPr>
        <w:t>dipivoksiliui</w:t>
      </w:r>
      <w:r w:rsidR="001364E4">
        <w:rPr>
          <w:szCs w:val="22"/>
          <w:lang w:eastAsia="en-US"/>
        </w:rPr>
        <w:t xml:space="preserve"> mutacijų</w:t>
      </w:r>
      <w:r w:rsidRPr="008C4E78">
        <w:rPr>
          <w:szCs w:val="22"/>
          <w:lang w:eastAsia="en-US"/>
        </w:rPr>
        <w:t xml:space="preserve">. Be pagrindinės, papildomos saugumo vertinamosios baigtys buvo gydymo nutraukimas dėl nepageidaujamų reiškinių ir patvirtintas kreatinino kiekio </w:t>
      </w:r>
      <w:r w:rsidR="00E15BE9">
        <w:rPr>
          <w:szCs w:val="22"/>
          <w:lang w:eastAsia="en-US"/>
        </w:rPr>
        <w:t xml:space="preserve">kraujo </w:t>
      </w:r>
      <w:r w:rsidRPr="008C4E78">
        <w:rPr>
          <w:szCs w:val="22"/>
          <w:lang w:eastAsia="en-US"/>
        </w:rPr>
        <w:t>serume padidėjimas ≥</w:t>
      </w:r>
      <w:r w:rsidR="00640D92">
        <w:rPr>
          <w:szCs w:val="22"/>
          <w:lang w:eastAsia="en-US"/>
        </w:rPr>
        <w:t> </w:t>
      </w:r>
      <w:r w:rsidRPr="008C4E78">
        <w:rPr>
          <w:szCs w:val="22"/>
          <w:lang w:eastAsia="en-US"/>
        </w:rPr>
        <w:t>0,5</w:t>
      </w:r>
      <w:r w:rsidR="00640D92">
        <w:rPr>
          <w:szCs w:val="22"/>
          <w:lang w:eastAsia="en-US"/>
        </w:rPr>
        <w:t> </w:t>
      </w:r>
      <w:r w:rsidRPr="008C4E78">
        <w:rPr>
          <w:szCs w:val="22"/>
          <w:lang w:eastAsia="en-US"/>
        </w:rPr>
        <w:t xml:space="preserve">mg/dl arba patvirtintas fosfatų kiekis </w:t>
      </w:r>
      <w:r w:rsidR="00E15BE9">
        <w:rPr>
          <w:szCs w:val="22"/>
          <w:lang w:eastAsia="en-US"/>
        </w:rPr>
        <w:t xml:space="preserve">kraujo </w:t>
      </w:r>
      <w:r w:rsidRPr="008C4E78">
        <w:rPr>
          <w:szCs w:val="22"/>
          <w:lang w:eastAsia="en-US"/>
        </w:rPr>
        <w:t>serume &lt;</w:t>
      </w:r>
      <w:r w:rsidR="00640D92">
        <w:rPr>
          <w:szCs w:val="22"/>
          <w:lang w:eastAsia="en-US"/>
        </w:rPr>
        <w:t> </w:t>
      </w:r>
      <w:r w:rsidRPr="008C4E78">
        <w:rPr>
          <w:szCs w:val="22"/>
          <w:lang w:eastAsia="en-US"/>
        </w:rPr>
        <w:t>2</w:t>
      </w:r>
      <w:r w:rsidR="00640D92">
        <w:rPr>
          <w:szCs w:val="22"/>
          <w:lang w:eastAsia="en-US"/>
        </w:rPr>
        <w:t> </w:t>
      </w:r>
      <w:r w:rsidRPr="008C4E78">
        <w:rPr>
          <w:szCs w:val="22"/>
          <w:lang w:eastAsia="en-US"/>
        </w:rPr>
        <w:t>mg/dl.</w:t>
      </w:r>
    </w:p>
    <w:p w14:paraId="07D40E8F" w14:textId="77777777" w:rsidR="001364E4" w:rsidRDefault="001364E4" w:rsidP="008C4E78">
      <w:pPr>
        <w:tabs>
          <w:tab w:val="left" w:pos="567"/>
        </w:tabs>
        <w:rPr>
          <w:szCs w:val="22"/>
          <w:lang w:eastAsia="en-US"/>
        </w:rPr>
      </w:pPr>
    </w:p>
    <w:p w14:paraId="6D3F42F6" w14:textId="11892F7B" w:rsidR="008C4E78" w:rsidRPr="008C4E78" w:rsidRDefault="00653D08" w:rsidP="008C4E78">
      <w:pPr>
        <w:tabs>
          <w:tab w:val="left" w:pos="567"/>
        </w:tabs>
        <w:rPr>
          <w:szCs w:val="22"/>
          <w:lang w:eastAsia="en-US"/>
        </w:rPr>
      </w:pPr>
      <w:r>
        <w:rPr>
          <w:szCs w:val="22"/>
          <w:lang w:eastAsia="en-US"/>
        </w:rPr>
        <w:t xml:space="preserve">Tenofoviro dizoproksilio </w:t>
      </w:r>
      <w:r w:rsidR="008C4E78" w:rsidRPr="008C4E78">
        <w:rPr>
          <w:szCs w:val="22"/>
          <w:lang w:eastAsia="en-US"/>
        </w:rPr>
        <w:t xml:space="preserve">bei emtricitabino ir </w:t>
      </w:r>
      <w:r w:rsidR="00640D92">
        <w:rPr>
          <w:szCs w:val="22"/>
          <w:lang w:eastAsia="en-US"/>
        </w:rPr>
        <w:t>t</w:t>
      </w:r>
      <w:r>
        <w:rPr>
          <w:szCs w:val="22"/>
          <w:lang w:eastAsia="en-US"/>
        </w:rPr>
        <w:t xml:space="preserve">enofoviro dizoproksilio </w:t>
      </w:r>
      <w:r w:rsidR="00191FEA">
        <w:rPr>
          <w:szCs w:val="22"/>
          <w:lang w:eastAsia="en-US"/>
        </w:rPr>
        <w:t xml:space="preserve"> derinio </w:t>
      </w:r>
      <w:r w:rsidR="008C4E78" w:rsidRPr="008C4E78">
        <w:rPr>
          <w:szCs w:val="22"/>
          <w:lang w:eastAsia="en-US"/>
        </w:rPr>
        <w:t>gydymo grupėse atitinkamai 74</w:t>
      </w:r>
      <w:r w:rsidR="00640D92">
        <w:rPr>
          <w:szCs w:val="22"/>
          <w:lang w:eastAsia="en-US"/>
        </w:rPr>
        <w:t> </w:t>
      </w:r>
      <w:r w:rsidR="008C4E78" w:rsidRPr="008C4E78">
        <w:rPr>
          <w:szCs w:val="22"/>
          <w:lang w:eastAsia="en-US"/>
        </w:rPr>
        <w:t>% (29/39) ir 94</w:t>
      </w:r>
      <w:r w:rsidR="00640D92">
        <w:rPr>
          <w:szCs w:val="22"/>
          <w:lang w:eastAsia="en-US"/>
        </w:rPr>
        <w:t> </w:t>
      </w:r>
      <w:r w:rsidR="008C4E78" w:rsidRPr="008C4E78">
        <w:rPr>
          <w:szCs w:val="22"/>
          <w:lang w:eastAsia="en-US"/>
        </w:rPr>
        <w:t>% (33/35) pacientų, kurių CPT balas ≤ 9, po 48 gydymo savaičių buvo pasiekta &lt;</w:t>
      </w:r>
      <w:r w:rsidR="00640D92">
        <w:rPr>
          <w:szCs w:val="22"/>
          <w:lang w:eastAsia="en-US"/>
        </w:rPr>
        <w:t> </w:t>
      </w:r>
      <w:r w:rsidR="008C4E78" w:rsidRPr="008C4E78">
        <w:rPr>
          <w:szCs w:val="22"/>
          <w:lang w:eastAsia="en-US"/>
        </w:rPr>
        <w:t>400 HBV DNR kopijų/ml.</w:t>
      </w:r>
    </w:p>
    <w:p w14:paraId="2EF8CE5B" w14:textId="77777777" w:rsidR="001364E4" w:rsidRDefault="001364E4" w:rsidP="008C4E78">
      <w:pPr>
        <w:tabs>
          <w:tab w:val="left" w:pos="567"/>
        </w:tabs>
        <w:rPr>
          <w:szCs w:val="22"/>
          <w:lang w:eastAsia="en-US"/>
        </w:rPr>
      </w:pPr>
    </w:p>
    <w:p w14:paraId="1A113D9F" w14:textId="31E0DAD4" w:rsidR="00A47C6D" w:rsidRDefault="008C4E78" w:rsidP="008C4E78">
      <w:pPr>
        <w:tabs>
          <w:tab w:val="left" w:pos="567"/>
        </w:tabs>
        <w:rPr>
          <w:szCs w:val="22"/>
          <w:lang w:eastAsia="en-US"/>
        </w:rPr>
      </w:pPr>
      <w:r w:rsidRPr="008C4E78">
        <w:rPr>
          <w:szCs w:val="22"/>
          <w:lang w:eastAsia="en-US"/>
        </w:rPr>
        <w:t xml:space="preserve">Apibendrinant, duomenys, gauti šio tyrimo metu, yra pernelyg riboti, kad galima būtų daryti kokias nors galutines gydymo emtricitabinu ir </w:t>
      </w:r>
      <w:r w:rsidR="00191FEA">
        <w:rPr>
          <w:szCs w:val="22"/>
          <w:lang w:eastAsia="en-US"/>
        </w:rPr>
        <w:t xml:space="preserve">tenofoviru </w:t>
      </w:r>
      <w:r w:rsidR="00653D08">
        <w:rPr>
          <w:szCs w:val="22"/>
          <w:lang w:eastAsia="en-US"/>
        </w:rPr>
        <w:t>dizoproksili</w:t>
      </w:r>
      <w:r w:rsidR="00191FEA">
        <w:rPr>
          <w:szCs w:val="22"/>
          <w:lang w:eastAsia="en-US"/>
        </w:rPr>
        <w:t>u</w:t>
      </w:r>
      <w:r w:rsidR="00E15BE9">
        <w:rPr>
          <w:szCs w:val="22"/>
          <w:lang w:eastAsia="en-US"/>
        </w:rPr>
        <w:t xml:space="preserve"> </w:t>
      </w:r>
      <w:r w:rsidRPr="008C4E78">
        <w:rPr>
          <w:szCs w:val="22"/>
          <w:lang w:eastAsia="en-US"/>
        </w:rPr>
        <w:t xml:space="preserve">bei vien </w:t>
      </w:r>
      <w:r w:rsidR="00191FEA">
        <w:rPr>
          <w:szCs w:val="22"/>
          <w:lang w:eastAsia="en-US"/>
        </w:rPr>
        <w:t xml:space="preserve">tenofoviru dizoproksiliu </w:t>
      </w:r>
      <w:r w:rsidRPr="008C4E78">
        <w:rPr>
          <w:szCs w:val="22"/>
          <w:lang w:eastAsia="en-US"/>
        </w:rPr>
        <w:t>palyginimo išvadas (žr. žemiau esančią 7 lentelę).</w:t>
      </w:r>
    </w:p>
    <w:p w14:paraId="2275B7F5" w14:textId="77777777" w:rsidR="00A47C6D" w:rsidRDefault="00A47C6D" w:rsidP="00C83DF1">
      <w:pPr>
        <w:tabs>
          <w:tab w:val="left" w:pos="567"/>
        </w:tabs>
        <w:rPr>
          <w:szCs w:val="22"/>
          <w:lang w:eastAsia="en-US"/>
        </w:rPr>
      </w:pPr>
    </w:p>
    <w:p w14:paraId="191EF884" w14:textId="77777777" w:rsidR="00A47C6D" w:rsidRPr="001364E4" w:rsidRDefault="001364E4" w:rsidP="00C83DF1">
      <w:pPr>
        <w:tabs>
          <w:tab w:val="left" w:pos="567"/>
        </w:tabs>
        <w:rPr>
          <w:b/>
          <w:szCs w:val="22"/>
          <w:lang w:eastAsia="en-US"/>
        </w:rPr>
      </w:pPr>
      <w:r w:rsidRPr="001364E4">
        <w:rPr>
          <w:b/>
          <w:szCs w:val="22"/>
          <w:lang w:eastAsia="en-US"/>
        </w:rPr>
        <w:t>7 lentelė. Saugumo ir veiksmingumo parametrai dekompensuotiems pacientams 48 savaitę</w:t>
      </w:r>
    </w:p>
    <w:p w14:paraId="54309081" w14:textId="77777777" w:rsidR="001364E4" w:rsidRDefault="001364E4" w:rsidP="00C83DF1">
      <w:pPr>
        <w:tabs>
          <w:tab w:val="left" w:pos="567"/>
        </w:tabs>
        <w:rPr>
          <w:szCs w:val="22"/>
          <w:lang w:eastAsia="en-US"/>
        </w:rPr>
      </w:pPr>
    </w:p>
    <w:tbl>
      <w:tblPr>
        <w:tblW w:w="90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21"/>
        <w:gridCol w:w="2239"/>
        <w:gridCol w:w="2239"/>
        <w:gridCol w:w="2240"/>
      </w:tblGrid>
      <w:tr w:rsidR="001364E4" w:rsidRPr="001364E4" w14:paraId="1957D4D8" w14:textId="77777777" w:rsidTr="00795B2C">
        <w:trPr>
          <w:trHeight w:val="20"/>
        </w:trPr>
        <w:tc>
          <w:tcPr>
            <w:tcW w:w="2321" w:type="dxa"/>
            <w:tcMar>
              <w:top w:w="28" w:type="dxa"/>
              <w:left w:w="28" w:type="dxa"/>
              <w:bottom w:w="28" w:type="dxa"/>
              <w:right w:w="28" w:type="dxa"/>
            </w:tcMar>
          </w:tcPr>
          <w:p w14:paraId="662499AD" w14:textId="77777777" w:rsidR="001364E4" w:rsidRPr="00CA49A8" w:rsidRDefault="001364E4" w:rsidP="001364E4">
            <w:pPr>
              <w:rPr>
                <w:lang w:val="es-ES"/>
              </w:rPr>
            </w:pPr>
          </w:p>
        </w:tc>
        <w:tc>
          <w:tcPr>
            <w:tcW w:w="6718" w:type="dxa"/>
            <w:gridSpan w:val="3"/>
            <w:tcMar>
              <w:top w:w="28" w:type="dxa"/>
              <w:left w:w="28" w:type="dxa"/>
              <w:bottom w:w="28" w:type="dxa"/>
              <w:right w:w="28" w:type="dxa"/>
            </w:tcMar>
          </w:tcPr>
          <w:p w14:paraId="25286282" w14:textId="77777777" w:rsidR="001364E4" w:rsidRPr="001364E4" w:rsidRDefault="001364E4" w:rsidP="001364E4">
            <w:pPr>
              <w:jc w:val="center"/>
              <w:rPr>
                <w:szCs w:val="22"/>
                <w:lang w:val="en-US" w:eastAsia="en-US"/>
              </w:rPr>
            </w:pPr>
            <w:r w:rsidRPr="001364E4">
              <w:rPr>
                <w:b/>
                <w:bCs/>
                <w:szCs w:val="22"/>
                <w:lang w:val="en-US" w:eastAsia="en-US"/>
              </w:rPr>
              <w:t>Tyrimas 174-0108</w:t>
            </w:r>
          </w:p>
        </w:tc>
      </w:tr>
      <w:tr w:rsidR="001364E4" w:rsidRPr="006E43FB" w14:paraId="32FE9DB7" w14:textId="77777777" w:rsidTr="00795B2C">
        <w:trPr>
          <w:trHeight w:val="20"/>
        </w:trPr>
        <w:tc>
          <w:tcPr>
            <w:tcW w:w="2321" w:type="dxa"/>
            <w:tcMar>
              <w:top w:w="28" w:type="dxa"/>
              <w:left w:w="28" w:type="dxa"/>
              <w:bottom w:w="28" w:type="dxa"/>
              <w:right w:w="28" w:type="dxa"/>
            </w:tcMar>
          </w:tcPr>
          <w:p w14:paraId="598D1E1C" w14:textId="77777777" w:rsidR="001364E4" w:rsidRPr="001364E4" w:rsidRDefault="001364E4" w:rsidP="001364E4">
            <w:pPr>
              <w:rPr>
                <w:szCs w:val="22"/>
                <w:lang w:val="en-US" w:eastAsia="en-US"/>
              </w:rPr>
            </w:pPr>
            <w:r w:rsidRPr="001364E4">
              <w:rPr>
                <w:szCs w:val="22"/>
                <w:lang w:val="en-US" w:eastAsia="en-US"/>
              </w:rPr>
              <w:t>Paramet</w:t>
            </w:r>
            <w:r>
              <w:rPr>
                <w:szCs w:val="22"/>
                <w:lang w:val="en-US" w:eastAsia="en-US"/>
              </w:rPr>
              <w:t>ras</w:t>
            </w:r>
          </w:p>
        </w:tc>
        <w:tc>
          <w:tcPr>
            <w:tcW w:w="2239" w:type="dxa"/>
            <w:tcMar>
              <w:top w:w="28" w:type="dxa"/>
              <w:left w:w="28" w:type="dxa"/>
              <w:bottom w:w="28" w:type="dxa"/>
              <w:right w:w="28" w:type="dxa"/>
            </w:tcMar>
          </w:tcPr>
          <w:p w14:paraId="15C9087E" w14:textId="1A37B6C8" w:rsidR="001364E4" w:rsidRPr="001364E4" w:rsidRDefault="00191FEA" w:rsidP="00191FEA">
            <w:pPr>
              <w:jc w:val="center"/>
              <w:rPr>
                <w:szCs w:val="22"/>
                <w:lang w:val="fr-FR" w:eastAsia="en-US"/>
              </w:rPr>
            </w:pPr>
            <w:r w:rsidRPr="001364E4">
              <w:rPr>
                <w:szCs w:val="22"/>
                <w:lang w:val="fr-FR" w:eastAsia="en-US"/>
              </w:rPr>
              <w:t>Tenofovir</w:t>
            </w:r>
            <w:r>
              <w:rPr>
                <w:szCs w:val="22"/>
                <w:lang w:val="fr-FR" w:eastAsia="en-US"/>
              </w:rPr>
              <w:t>as</w:t>
            </w:r>
            <w:r w:rsidRPr="001364E4">
              <w:rPr>
                <w:szCs w:val="22"/>
                <w:lang w:val="fr-FR" w:eastAsia="en-US"/>
              </w:rPr>
              <w:t xml:space="preserve"> </w:t>
            </w:r>
            <w:r w:rsidR="001364E4" w:rsidRPr="001364E4">
              <w:rPr>
                <w:szCs w:val="22"/>
                <w:lang w:val="fr-FR" w:eastAsia="en-US"/>
              </w:rPr>
              <w:t>dizoproksilis 245</w:t>
            </w:r>
            <w:r w:rsidR="00640D92">
              <w:rPr>
                <w:szCs w:val="22"/>
                <w:lang w:val="fr-FR" w:eastAsia="en-US"/>
              </w:rPr>
              <w:t> </w:t>
            </w:r>
            <w:r w:rsidR="001364E4" w:rsidRPr="001364E4">
              <w:rPr>
                <w:szCs w:val="22"/>
                <w:lang w:val="fr-FR" w:eastAsia="en-US"/>
              </w:rPr>
              <w:t>mg (n = 45)</w:t>
            </w:r>
          </w:p>
        </w:tc>
        <w:tc>
          <w:tcPr>
            <w:tcW w:w="2239" w:type="dxa"/>
            <w:tcMar>
              <w:top w:w="28" w:type="dxa"/>
              <w:left w:w="28" w:type="dxa"/>
              <w:bottom w:w="28" w:type="dxa"/>
              <w:right w:w="28" w:type="dxa"/>
            </w:tcMar>
          </w:tcPr>
          <w:p w14:paraId="5C5787F6" w14:textId="61336150" w:rsidR="001364E4" w:rsidRPr="001364E4" w:rsidRDefault="001364E4">
            <w:pPr>
              <w:jc w:val="center"/>
              <w:rPr>
                <w:szCs w:val="22"/>
                <w:lang w:val="fr-FR" w:eastAsia="en-US"/>
              </w:rPr>
            </w:pPr>
            <w:r w:rsidRPr="001364E4">
              <w:rPr>
                <w:szCs w:val="22"/>
                <w:lang w:val="fr-FR" w:eastAsia="en-US"/>
              </w:rPr>
              <w:t>Emtricitabinas 200</w:t>
            </w:r>
            <w:r w:rsidR="00640D92">
              <w:rPr>
                <w:szCs w:val="22"/>
                <w:lang w:val="fr-FR" w:eastAsia="en-US"/>
              </w:rPr>
              <w:t> </w:t>
            </w:r>
            <w:r w:rsidRPr="001364E4">
              <w:rPr>
                <w:szCs w:val="22"/>
                <w:lang w:val="fr-FR" w:eastAsia="en-US"/>
              </w:rPr>
              <w:t xml:space="preserve">mg/ </w:t>
            </w:r>
            <w:r w:rsidR="00191FEA" w:rsidRPr="001364E4">
              <w:rPr>
                <w:szCs w:val="22"/>
                <w:lang w:val="fr-FR" w:eastAsia="en-US"/>
              </w:rPr>
              <w:t>tenofovir</w:t>
            </w:r>
            <w:r w:rsidR="00191FEA">
              <w:rPr>
                <w:szCs w:val="22"/>
                <w:lang w:val="fr-FR" w:eastAsia="en-US"/>
              </w:rPr>
              <w:t>as</w:t>
            </w:r>
            <w:r w:rsidR="00191FEA" w:rsidRPr="001364E4">
              <w:rPr>
                <w:szCs w:val="22"/>
                <w:lang w:val="fr-FR" w:eastAsia="en-US"/>
              </w:rPr>
              <w:t xml:space="preserve"> </w:t>
            </w:r>
            <w:r w:rsidRPr="001364E4">
              <w:rPr>
                <w:szCs w:val="22"/>
                <w:lang w:val="fr-FR" w:eastAsia="en-US"/>
              </w:rPr>
              <w:t xml:space="preserve">dizoproksilis </w:t>
            </w:r>
            <w:r w:rsidR="00E15BE9">
              <w:rPr>
                <w:szCs w:val="22"/>
                <w:lang w:val="fr-FR" w:eastAsia="en-US"/>
              </w:rPr>
              <w:t xml:space="preserve"> </w:t>
            </w:r>
            <w:r w:rsidRPr="001364E4">
              <w:rPr>
                <w:szCs w:val="22"/>
                <w:lang w:val="fr-FR" w:eastAsia="en-US"/>
              </w:rPr>
              <w:t>245</w:t>
            </w:r>
            <w:r w:rsidR="00640D92">
              <w:rPr>
                <w:szCs w:val="22"/>
                <w:lang w:val="fr-FR" w:eastAsia="en-US"/>
              </w:rPr>
              <w:t> </w:t>
            </w:r>
            <w:r w:rsidRPr="001364E4">
              <w:rPr>
                <w:szCs w:val="22"/>
                <w:lang w:val="fr-FR" w:eastAsia="en-US"/>
              </w:rPr>
              <w:t>mg (n = 45)</w:t>
            </w:r>
          </w:p>
        </w:tc>
        <w:tc>
          <w:tcPr>
            <w:tcW w:w="2240" w:type="dxa"/>
            <w:tcMar>
              <w:top w:w="28" w:type="dxa"/>
              <w:left w:w="28" w:type="dxa"/>
              <w:bottom w:w="28" w:type="dxa"/>
              <w:right w:w="28" w:type="dxa"/>
            </w:tcMar>
          </w:tcPr>
          <w:p w14:paraId="2507DF6E" w14:textId="77777777" w:rsidR="001364E4" w:rsidRPr="006E43FB" w:rsidRDefault="001364E4" w:rsidP="001364E4">
            <w:pPr>
              <w:jc w:val="center"/>
              <w:rPr>
                <w:szCs w:val="22"/>
                <w:lang w:val="es-ES" w:eastAsia="en-US"/>
              </w:rPr>
            </w:pPr>
            <w:r w:rsidRPr="006E43FB">
              <w:rPr>
                <w:szCs w:val="22"/>
                <w:lang w:val="es-ES" w:eastAsia="en-US"/>
              </w:rPr>
              <w:t>Entekaviras</w:t>
            </w:r>
          </w:p>
          <w:p w14:paraId="3A134A7D" w14:textId="77777777" w:rsidR="001364E4" w:rsidRPr="006E43FB" w:rsidRDefault="001364E4" w:rsidP="001364E4">
            <w:pPr>
              <w:jc w:val="center"/>
              <w:rPr>
                <w:szCs w:val="22"/>
                <w:lang w:val="es-ES" w:eastAsia="en-US"/>
              </w:rPr>
            </w:pPr>
            <w:r w:rsidRPr="006E43FB">
              <w:rPr>
                <w:szCs w:val="22"/>
                <w:lang w:val="es-ES" w:eastAsia="en-US"/>
              </w:rPr>
              <w:t>(0</w:t>
            </w:r>
            <w:r w:rsidR="00640D92" w:rsidRPr="006E43FB">
              <w:rPr>
                <w:szCs w:val="22"/>
                <w:lang w:val="es-ES" w:eastAsia="en-US"/>
              </w:rPr>
              <w:t>,</w:t>
            </w:r>
            <w:r w:rsidRPr="006E43FB">
              <w:rPr>
                <w:szCs w:val="22"/>
                <w:lang w:val="es-ES" w:eastAsia="en-US"/>
              </w:rPr>
              <w:t>5</w:t>
            </w:r>
            <w:r w:rsidR="00640D92" w:rsidRPr="006E43FB">
              <w:rPr>
                <w:szCs w:val="22"/>
                <w:lang w:val="es-ES" w:eastAsia="en-US"/>
              </w:rPr>
              <w:t> </w:t>
            </w:r>
            <w:r w:rsidRPr="006E43FB">
              <w:rPr>
                <w:szCs w:val="22"/>
                <w:lang w:val="es-ES" w:eastAsia="en-US"/>
              </w:rPr>
              <w:t>mg arba 1</w:t>
            </w:r>
            <w:r w:rsidR="00640D92" w:rsidRPr="006E43FB">
              <w:rPr>
                <w:szCs w:val="22"/>
                <w:lang w:val="es-ES" w:eastAsia="en-US"/>
              </w:rPr>
              <w:t> </w:t>
            </w:r>
            <w:r w:rsidRPr="006E43FB">
              <w:rPr>
                <w:szCs w:val="22"/>
                <w:lang w:val="es-ES" w:eastAsia="en-US"/>
              </w:rPr>
              <w:t>mg)</w:t>
            </w:r>
          </w:p>
          <w:p w14:paraId="111D7AD9" w14:textId="77777777" w:rsidR="001364E4" w:rsidRPr="006E43FB" w:rsidRDefault="001364E4" w:rsidP="001364E4">
            <w:pPr>
              <w:jc w:val="center"/>
              <w:rPr>
                <w:szCs w:val="22"/>
                <w:lang w:val="es-ES" w:eastAsia="en-US"/>
              </w:rPr>
            </w:pPr>
            <w:r w:rsidRPr="006E43FB">
              <w:rPr>
                <w:szCs w:val="22"/>
                <w:lang w:val="es-ES" w:eastAsia="en-US"/>
              </w:rPr>
              <w:t>n = 22</w:t>
            </w:r>
          </w:p>
        </w:tc>
      </w:tr>
      <w:tr w:rsidR="001364E4" w:rsidRPr="001364E4" w14:paraId="4C1821F7" w14:textId="77777777" w:rsidTr="00795B2C">
        <w:trPr>
          <w:trHeight w:val="20"/>
        </w:trPr>
        <w:tc>
          <w:tcPr>
            <w:tcW w:w="2321" w:type="dxa"/>
            <w:tcMar>
              <w:top w:w="28" w:type="dxa"/>
              <w:left w:w="28" w:type="dxa"/>
              <w:bottom w:w="28" w:type="dxa"/>
              <w:right w:w="28" w:type="dxa"/>
            </w:tcMar>
          </w:tcPr>
          <w:p w14:paraId="6CF548E0" w14:textId="77777777" w:rsidR="001364E4" w:rsidRPr="00CA49A8" w:rsidRDefault="001364E4" w:rsidP="001364E4">
            <w:pPr>
              <w:rPr>
                <w:b/>
                <w:lang w:val="es-ES"/>
              </w:rPr>
            </w:pPr>
            <w:r w:rsidRPr="00CA49A8">
              <w:rPr>
                <w:b/>
                <w:lang w:val="es-ES"/>
              </w:rPr>
              <w:t xml:space="preserve">Netoleravimas (galutinis tiriamojo vaistinio preparato </w:t>
            </w:r>
            <w:r w:rsidRPr="00CA49A8">
              <w:rPr>
                <w:b/>
                <w:lang w:val="es-ES"/>
              </w:rPr>
              <w:lastRenderedPageBreak/>
              <w:t>vartojimo nutraukimas dėl gydymo metu pasireiškusių nepageidaujamų reiškinių)</w:t>
            </w:r>
          </w:p>
          <w:p w14:paraId="18F99996" w14:textId="77777777" w:rsidR="001364E4" w:rsidRPr="001364E4" w:rsidRDefault="001364E4" w:rsidP="001364E4">
            <w:pPr>
              <w:rPr>
                <w:szCs w:val="22"/>
                <w:lang w:val="en-US" w:eastAsia="en-US"/>
              </w:rPr>
            </w:pPr>
            <w:r w:rsidRPr="001364E4">
              <w:rPr>
                <w:bCs/>
                <w:szCs w:val="22"/>
                <w:lang w:val="en-US" w:eastAsia="en-US"/>
              </w:rPr>
              <w:t>n (%)a</w:t>
            </w:r>
            <w:r w:rsidRPr="001364E4">
              <w:rPr>
                <w:szCs w:val="22"/>
                <w:vertAlign w:val="superscript"/>
                <w:lang w:val="en-US" w:eastAsia="en-US"/>
              </w:rPr>
              <w:t>a</w:t>
            </w:r>
          </w:p>
        </w:tc>
        <w:tc>
          <w:tcPr>
            <w:tcW w:w="2239" w:type="dxa"/>
            <w:tcMar>
              <w:top w:w="28" w:type="dxa"/>
              <w:left w:w="28" w:type="dxa"/>
              <w:bottom w:w="28" w:type="dxa"/>
              <w:right w:w="28" w:type="dxa"/>
            </w:tcMar>
          </w:tcPr>
          <w:p w14:paraId="3A85CBA9" w14:textId="77777777" w:rsidR="001364E4" w:rsidRPr="001364E4" w:rsidRDefault="001364E4" w:rsidP="001364E4">
            <w:pPr>
              <w:jc w:val="center"/>
              <w:rPr>
                <w:szCs w:val="22"/>
                <w:lang w:val="en-US" w:eastAsia="en-US"/>
              </w:rPr>
            </w:pPr>
            <w:r w:rsidRPr="001364E4">
              <w:rPr>
                <w:szCs w:val="22"/>
                <w:lang w:val="en-US" w:eastAsia="en-US"/>
              </w:rPr>
              <w:lastRenderedPageBreak/>
              <w:t>3 (7</w:t>
            </w:r>
            <w:r w:rsidR="00640D92">
              <w:rPr>
                <w:szCs w:val="22"/>
                <w:lang w:val="en-US" w:eastAsia="en-US"/>
              </w:rPr>
              <w:t> </w:t>
            </w:r>
            <w:r w:rsidRPr="001364E4">
              <w:rPr>
                <w:szCs w:val="22"/>
                <w:lang w:val="en-US" w:eastAsia="en-US"/>
              </w:rPr>
              <w:t>%)</w:t>
            </w:r>
          </w:p>
        </w:tc>
        <w:tc>
          <w:tcPr>
            <w:tcW w:w="2239" w:type="dxa"/>
            <w:tcMar>
              <w:top w:w="28" w:type="dxa"/>
              <w:left w:w="28" w:type="dxa"/>
              <w:bottom w:w="28" w:type="dxa"/>
              <w:right w:w="28" w:type="dxa"/>
            </w:tcMar>
          </w:tcPr>
          <w:p w14:paraId="39E2E6C4" w14:textId="77777777" w:rsidR="001364E4" w:rsidRPr="001364E4" w:rsidRDefault="001364E4" w:rsidP="001364E4">
            <w:pPr>
              <w:jc w:val="center"/>
              <w:rPr>
                <w:szCs w:val="22"/>
                <w:lang w:val="en-US" w:eastAsia="en-US"/>
              </w:rPr>
            </w:pPr>
            <w:r w:rsidRPr="001364E4">
              <w:rPr>
                <w:szCs w:val="22"/>
                <w:lang w:val="en-US" w:eastAsia="en-US"/>
              </w:rPr>
              <w:t>2 (4</w:t>
            </w:r>
            <w:r w:rsidR="00640D92">
              <w:rPr>
                <w:szCs w:val="22"/>
                <w:lang w:val="en-US" w:eastAsia="en-US"/>
              </w:rPr>
              <w:t> </w:t>
            </w:r>
            <w:r w:rsidRPr="001364E4">
              <w:rPr>
                <w:szCs w:val="22"/>
                <w:lang w:val="en-US" w:eastAsia="en-US"/>
              </w:rPr>
              <w:t>%)</w:t>
            </w:r>
          </w:p>
        </w:tc>
        <w:tc>
          <w:tcPr>
            <w:tcW w:w="2240" w:type="dxa"/>
            <w:tcMar>
              <w:top w:w="28" w:type="dxa"/>
              <w:left w:w="28" w:type="dxa"/>
              <w:bottom w:w="28" w:type="dxa"/>
              <w:right w:w="28" w:type="dxa"/>
            </w:tcMar>
          </w:tcPr>
          <w:p w14:paraId="50BBB4E9" w14:textId="77777777" w:rsidR="001364E4" w:rsidRPr="001364E4" w:rsidRDefault="001364E4" w:rsidP="001364E4">
            <w:pPr>
              <w:jc w:val="center"/>
              <w:rPr>
                <w:szCs w:val="22"/>
                <w:lang w:val="en-US" w:eastAsia="en-US"/>
              </w:rPr>
            </w:pPr>
            <w:r w:rsidRPr="001364E4">
              <w:rPr>
                <w:szCs w:val="22"/>
                <w:lang w:val="en-US" w:eastAsia="en-US"/>
              </w:rPr>
              <w:t>2 (9</w:t>
            </w:r>
            <w:r w:rsidR="00640D92">
              <w:rPr>
                <w:szCs w:val="22"/>
                <w:lang w:val="en-US" w:eastAsia="en-US"/>
              </w:rPr>
              <w:t> </w:t>
            </w:r>
            <w:r w:rsidRPr="001364E4">
              <w:rPr>
                <w:szCs w:val="22"/>
                <w:lang w:val="en-US" w:eastAsia="en-US"/>
              </w:rPr>
              <w:t>%)</w:t>
            </w:r>
          </w:p>
        </w:tc>
      </w:tr>
      <w:tr w:rsidR="001364E4" w:rsidRPr="001364E4" w14:paraId="3F726EEB" w14:textId="77777777" w:rsidTr="00795B2C">
        <w:trPr>
          <w:trHeight w:val="20"/>
        </w:trPr>
        <w:tc>
          <w:tcPr>
            <w:tcW w:w="2321" w:type="dxa"/>
            <w:tcMar>
              <w:top w:w="28" w:type="dxa"/>
              <w:left w:w="28" w:type="dxa"/>
              <w:bottom w:w="28" w:type="dxa"/>
              <w:right w:w="28" w:type="dxa"/>
            </w:tcMar>
          </w:tcPr>
          <w:p w14:paraId="54DBD9F8" w14:textId="77777777" w:rsidR="001364E4" w:rsidRPr="00F55241" w:rsidRDefault="001364E4" w:rsidP="001364E4">
            <w:pPr>
              <w:rPr>
                <w:szCs w:val="22"/>
                <w:lang w:eastAsia="en-US"/>
              </w:rPr>
            </w:pPr>
            <w:r w:rsidRPr="00F55241">
              <w:rPr>
                <w:b/>
                <w:bCs/>
                <w:szCs w:val="22"/>
                <w:lang w:eastAsia="en-US"/>
              </w:rPr>
              <w:t xml:space="preserve">Patvirtintas kreatinino kiekio </w:t>
            </w:r>
            <w:r w:rsidR="0009646C" w:rsidRPr="00F55241">
              <w:rPr>
                <w:b/>
                <w:bCs/>
                <w:szCs w:val="22"/>
                <w:lang w:eastAsia="en-US"/>
              </w:rPr>
              <w:t xml:space="preserve">kraujo </w:t>
            </w:r>
            <w:r w:rsidRPr="00F55241">
              <w:rPr>
                <w:b/>
                <w:bCs/>
                <w:szCs w:val="22"/>
                <w:lang w:eastAsia="en-US"/>
              </w:rPr>
              <w:t>serume padidėjimas ≥</w:t>
            </w:r>
            <w:r w:rsidR="00640D92" w:rsidRPr="00F55241">
              <w:rPr>
                <w:b/>
                <w:bCs/>
                <w:szCs w:val="22"/>
                <w:lang w:eastAsia="en-US"/>
              </w:rPr>
              <w:t> </w:t>
            </w:r>
            <w:r w:rsidRPr="00F55241">
              <w:rPr>
                <w:b/>
                <w:bCs/>
                <w:szCs w:val="22"/>
                <w:lang w:eastAsia="en-US"/>
              </w:rPr>
              <w:t>0,5</w:t>
            </w:r>
            <w:r w:rsidR="00640D92" w:rsidRPr="00F55241">
              <w:rPr>
                <w:b/>
                <w:bCs/>
                <w:szCs w:val="22"/>
                <w:lang w:eastAsia="en-US"/>
              </w:rPr>
              <w:t> </w:t>
            </w:r>
            <w:r w:rsidRPr="00F55241">
              <w:rPr>
                <w:b/>
                <w:bCs/>
                <w:szCs w:val="22"/>
                <w:lang w:eastAsia="en-US"/>
              </w:rPr>
              <w:t xml:space="preserve">mg/dl nuo pradinio arba patvirtintas fosfatų kiekis </w:t>
            </w:r>
            <w:r w:rsidR="0009646C" w:rsidRPr="00F55241">
              <w:rPr>
                <w:b/>
                <w:bCs/>
                <w:szCs w:val="22"/>
                <w:lang w:eastAsia="en-US"/>
              </w:rPr>
              <w:t xml:space="preserve">kraujo </w:t>
            </w:r>
            <w:r w:rsidRPr="00F55241">
              <w:rPr>
                <w:b/>
                <w:bCs/>
                <w:szCs w:val="22"/>
                <w:lang w:eastAsia="en-US"/>
              </w:rPr>
              <w:t>serume &lt;</w:t>
            </w:r>
            <w:r w:rsidR="00640D92" w:rsidRPr="00F55241">
              <w:rPr>
                <w:b/>
                <w:bCs/>
                <w:szCs w:val="22"/>
                <w:lang w:eastAsia="en-US"/>
              </w:rPr>
              <w:t> </w:t>
            </w:r>
            <w:r w:rsidRPr="00F55241">
              <w:rPr>
                <w:b/>
                <w:bCs/>
                <w:szCs w:val="22"/>
                <w:lang w:eastAsia="en-US"/>
              </w:rPr>
              <w:t>2</w:t>
            </w:r>
            <w:r w:rsidR="00640D92" w:rsidRPr="00F55241">
              <w:rPr>
                <w:b/>
                <w:bCs/>
                <w:szCs w:val="22"/>
                <w:lang w:eastAsia="en-US"/>
              </w:rPr>
              <w:t> </w:t>
            </w:r>
            <w:r w:rsidRPr="00F55241">
              <w:rPr>
                <w:b/>
                <w:bCs/>
                <w:szCs w:val="22"/>
                <w:lang w:eastAsia="en-US"/>
              </w:rPr>
              <w:t>mg/dl</w:t>
            </w:r>
          </w:p>
          <w:p w14:paraId="1145E5C0" w14:textId="77777777" w:rsidR="001364E4" w:rsidRPr="001364E4" w:rsidRDefault="001364E4" w:rsidP="001364E4">
            <w:pPr>
              <w:rPr>
                <w:szCs w:val="22"/>
                <w:lang w:val="en-US" w:eastAsia="en-US"/>
              </w:rPr>
            </w:pPr>
            <w:r w:rsidRPr="001364E4">
              <w:rPr>
                <w:szCs w:val="22"/>
                <w:lang w:val="en-US" w:eastAsia="en-US"/>
              </w:rPr>
              <w:t>n (%)</w:t>
            </w:r>
            <w:r w:rsidRPr="001364E4">
              <w:rPr>
                <w:szCs w:val="22"/>
                <w:vertAlign w:val="superscript"/>
                <w:lang w:val="en-US" w:eastAsia="en-US"/>
              </w:rPr>
              <w:t>b</w:t>
            </w:r>
          </w:p>
        </w:tc>
        <w:tc>
          <w:tcPr>
            <w:tcW w:w="2239" w:type="dxa"/>
            <w:tcMar>
              <w:top w:w="28" w:type="dxa"/>
              <w:left w:w="28" w:type="dxa"/>
              <w:bottom w:w="28" w:type="dxa"/>
              <w:right w:w="28" w:type="dxa"/>
            </w:tcMar>
          </w:tcPr>
          <w:p w14:paraId="418BA462" w14:textId="77777777" w:rsidR="001364E4" w:rsidRPr="001364E4" w:rsidRDefault="001364E4" w:rsidP="001364E4">
            <w:pPr>
              <w:jc w:val="center"/>
              <w:rPr>
                <w:szCs w:val="22"/>
                <w:lang w:val="en-US" w:eastAsia="en-US"/>
              </w:rPr>
            </w:pPr>
            <w:r w:rsidRPr="001364E4">
              <w:rPr>
                <w:szCs w:val="22"/>
                <w:lang w:val="en-US" w:eastAsia="en-US"/>
              </w:rPr>
              <w:t>4 (9</w:t>
            </w:r>
            <w:r w:rsidR="00640D92">
              <w:rPr>
                <w:szCs w:val="22"/>
                <w:lang w:val="en-US" w:eastAsia="en-US"/>
              </w:rPr>
              <w:t> </w:t>
            </w:r>
            <w:r w:rsidRPr="001364E4">
              <w:rPr>
                <w:szCs w:val="22"/>
                <w:lang w:val="en-US" w:eastAsia="en-US"/>
              </w:rPr>
              <w:t>%)</w:t>
            </w:r>
          </w:p>
        </w:tc>
        <w:tc>
          <w:tcPr>
            <w:tcW w:w="2239" w:type="dxa"/>
            <w:tcMar>
              <w:top w:w="28" w:type="dxa"/>
              <w:left w:w="28" w:type="dxa"/>
              <w:bottom w:w="28" w:type="dxa"/>
              <w:right w:w="28" w:type="dxa"/>
            </w:tcMar>
          </w:tcPr>
          <w:p w14:paraId="252E0ED5" w14:textId="77777777" w:rsidR="001364E4" w:rsidRPr="001364E4" w:rsidRDefault="001364E4" w:rsidP="001364E4">
            <w:pPr>
              <w:jc w:val="center"/>
              <w:rPr>
                <w:szCs w:val="22"/>
                <w:lang w:val="en-US" w:eastAsia="en-US"/>
              </w:rPr>
            </w:pPr>
            <w:r w:rsidRPr="001364E4">
              <w:rPr>
                <w:szCs w:val="22"/>
                <w:lang w:val="en-US" w:eastAsia="en-US"/>
              </w:rPr>
              <w:t>3 (7</w:t>
            </w:r>
            <w:r w:rsidR="00640D92">
              <w:rPr>
                <w:szCs w:val="22"/>
                <w:lang w:val="en-US" w:eastAsia="en-US"/>
              </w:rPr>
              <w:t> </w:t>
            </w:r>
            <w:r w:rsidRPr="001364E4">
              <w:rPr>
                <w:szCs w:val="22"/>
                <w:lang w:val="en-US" w:eastAsia="en-US"/>
              </w:rPr>
              <w:t>%)</w:t>
            </w:r>
          </w:p>
        </w:tc>
        <w:tc>
          <w:tcPr>
            <w:tcW w:w="2240" w:type="dxa"/>
            <w:tcMar>
              <w:top w:w="28" w:type="dxa"/>
              <w:left w:w="28" w:type="dxa"/>
              <w:bottom w:w="28" w:type="dxa"/>
              <w:right w:w="28" w:type="dxa"/>
            </w:tcMar>
          </w:tcPr>
          <w:p w14:paraId="72FBC2F0" w14:textId="77777777" w:rsidR="001364E4" w:rsidRPr="001364E4" w:rsidRDefault="001364E4" w:rsidP="001364E4">
            <w:pPr>
              <w:jc w:val="center"/>
              <w:rPr>
                <w:szCs w:val="22"/>
                <w:lang w:val="en-US" w:eastAsia="en-US"/>
              </w:rPr>
            </w:pPr>
            <w:r w:rsidRPr="001364E4">
              <w:rPr>
                <w:szCs w:val="22"/>
                <w:lang w:val="en-US" w:eastAsia="en-US"/>
              </w:rPr>
              <w:t>1 (5</w:t>
            </w:r>
            <w:r w:rsidR="00640D92">
              <w:rPr>
                <w:szCs w:val="22"/>
                <w:lang w:val="en-US" w:eastAsia="en-US"/>
              </w:rPr>
              <w:t> </w:t>
            </w:r>
            <w:r w:rsidRPr="001364E4">
              <w:rPr>
                <w:szCs w:val="22"/>
                <w:lang w:val="en-US" w:eastAsia="en-US"/>
              </w:rPr>
              <w:t>%)</w:t>
            </w:r>
          </w:p>
        </w:tc>
      </w:tr>
      <w:tr w:rsidR="001364E4" w:rsidRPr="001364E4" w14:paraId="61C1DCA8" w14:textId="77777777" w:rsidTr="00795B2C">
        <w:trPr>
          <w:trHeight w:val="20"/>
        </w:trPr>
        <w:tc>
          <w:tcPr>
            <w:tcW w:w="2321" w:type="dxa"/>
            <w:tcMar>
              <w:top w:w="28" w:type="dxa"/>
              <w:left w:w="28" w:type="dxa"/>
              <w:bottom w:w="28" w:type="dxa"/>
              <w:right w:w="28" w:type="dxa"/>
            </w:tcMar>
          </w:tcPr>
          <w:p w14:paraId="2415FF6B" w14:textId="77777777" w:rsidR="001364E4" w:rsidRPr="00EC331C" w:rsidRDefault="001364E4" w:rsidP="001364E4">
            <w:pPr>
              <w:rPr>
                <w:b/>
              </w:rPr>
            </w:pPr>
            <w:r w:rsidRPr="00EC331C">
              <w:rPr>
                <w:b/>
              </w:rPr>
              <w:t>HBV DNR n (%)</w:t>
            </w:r>
          </w:p>
          <w:p w14:paraId="7AF481BC" w14:textId="77777777" w:rsidR="001364E4" w:rsidRPr="00EC331C" w:rsidRDefault="001364E4" w:rsidP="001364E4">
            <w:r w:rsidRPr="00EC331C">
              <w:t>&lt;</w:t>
            </w:r>
            <w:r w:rsidR="00640D92" w:rsidRPr="00EC331C">
              <w:t> </w:t>
            </w:r>
            <w:r w:rsidRPr="00EC331C">
              <w:t>400</w:t>
            </w:r>
            <w:r w:rsidR="00640D92" w:rsidRPr="00EC331C">
              <w:t> </w:t>
            </w:r>
            <w:r w:rsidR="00EF4C22" w:rsidRPr="00EC331C">
              <w:t>k</w:t>
            </w:r>
            <w:r w:rsidRPr="00EC331C">
              <w:t>opijų/ml</w:t>
            </w:r>
          </w:p>
          <w:p w14:paraId="11220FA6" w14:textId="77777777" w:rsidR="001364E4" w:rsidRPr="00EC331C" w:rsidRDefault="001364E4" w:rsidP="001364E4">
            <w:r w:rsidRPr="00EC331C">
              <w:t>n (%)</w:t>
            </w:r>
          </w:p>
        </w:tc>
        <w:tc>
          <w:tcPr>
            <w:tcW w:w="2239" w:type="dxa"/>
            <w:tcMar>
              <w:top w:w="28" w:type="dxa"/>
              <w:left w:w="28" w:type="dxa"/>
              <w:bottom w:w="28" w:type="dxa"/>
              <w:right w:w="28" w:type="dxa"/>
            </w:tcMar>
          </w:tcPr>
          <w:p w14:paraId="62BEFAA4" w14:textId="77777777" w:rsidR="001364E4" w:rsidRPr="001364E4" w:rsidRDefault="001364E4" w:rsidP="001364E4">
            <w:pPr>
              <w:jc w:val="center"/>
              <w:rPr>
                <w:szCs w:val="22"/>
                <w:lang w:val="en-US" w:eastAsia="en-US"/>
              </w:rPr>
            </w:pPr>
            <w:r w:rsidRPr="001364E4">
              <w:rPr>
                <w:szCs w:val="22"/>
                <w:lang w:val="en-US" w:eastAsia="en-US"/>
              </w:rPr>
              <w:t>31/44 (70</w:t>
            </w:r>
            <w:r w:rsidR="00640D92">
              <w:rPr>
                <w:szCs w:val="22"/>
                <w:lang w:val="en-US" w:eastAsia="en-US"/>
              </w:rPr>
              <w:t> </w:t>
            </w:r>
            <w:r w:rsidRPr="001364E4">
              <w:rPr>
                <w:szCs w:val="22"/>
                <w:lang w:val="en-US" w:eastAsia="en-US"/>
              </w:rPr>
              <w:t>%)</w:t>
            </w:r>
          </w:p>
        </w:tc>
        <w:tc>
          <w:tcPr>
            <w:tcW w:w="2239" w:type="dxa"/>
            <w:tcMar>
              <w:top w:w="28" w:type="dxa"/>
              <w:left w:w="28" w:type="dxa"/>
              <w:bottom w:w="28" w:type="dxa"/>
              <w:right w:w="28" w:type="dxa"/>
            </w:tcMar>
          </w:tcPr>
          <w:p w14:paraId="53A24D47" w14:textId="77777777" w:rsidR="001364E4" w:rsidRPr="001364E4" w:rsidRDefault="001364E4" w:rsidP="001364E4">
            <w:pPr>
              <w:jc w:val="center"/>
              <w:rPr>
                <w:szCs w:val="22"/>
                <w:lang w:val="en-US" w:eastAsia="en-US"/>
              </w:rPr>
            </w:pPr>
            <w:r w:rsidRPr="001364E4">
              <w:rPr>
                <w:szCs w:val="22"/>
                <w:lang w:val="en-US" w:eastAsia="en-US"/>
              </w:rPr>
              <w:t>36/41 (88</w:t>
            </w:r>
            <w:r w:rsidR="00640D92">
              <w:rPr>
                <w:szCs w:val="22"/>
                <w:lang w:val="en-US" w:eastAsia="en-US"/>
              </w:rPr>
              <w:t> </w:t>
            </w:r>
            <w:r w:rsidRPr="001364E4">
              <w:rPr>
                <w:szCs w:val="22"/>
                <w:lang w:val="en-US" w:eastAsia="en-US"/>
              </w:rPr>
              <w:t>%)</w:t>
            </w:r>
          </w:p>
        </w:tc>
        <w:tc>
          <w:tcPr>
            <w:tcW w:w="2240" w:type="dxa"/>
            <w:tcMar>
              <w:top w:w="28" w:type="dxa"/>
              <w:left w:w="28" w:type="dxa"/>
              <w:bottom w:w="28" w:type="dxa"/>
              <w:right w:w="28" w:type="dxa"/>
            </w:tcMar>
          </w:tcPr>
          <w:p w14:paraId="147B859F" w14:textId="77777777" w:rsidR="001364E4" w:rsidRPr="001364E4" w:rsidRDefault="001364E4" w:rsidP="001364E4">
            <w:pPr>
              <w:jc w:val="center"/>
              <w:rPr>
                <w:szCs w:val="22"/>
                <w:lang w:val="en-US" w:eastAsia="en-US"/>
              </w:rPr>
            </w:pPr>
            <w:r w:rsidRPr="001364E4">
              <w:rPr>
                <w:szCs w:val="22"/>
                <w:lang w:val="en-US" w:eastAsia="en-US"/>
              </w:rPr>
              <w:t>16/22 (73</w:t>
            </w:r>
            <w:r w:rsidR="00640D92">
              <w:rPr>
                <w:szCs w:val="22"/>
                <w:lang w:val="en-US" w:eastAsia="en-US"/>
              </w:rPr>
              <w:t> </w:t>
            </w:r>
            <w:r w:rsidRPr="001364E4">
              <w:rPr>
                <w:szCs w:val="22"/>
                <w:lang w:val="en-US" w:eastAsia="en-US"/>
              </w:rPr>
              <w:t>%)</w:t>
            </w:r>
          </w:p>
        </w:tc>
      </w:tr>
      <w:tr w:rsidR="001364E4" w:rsidRPr="001364E4" w14:paraId="60AE97DF" w14:textId="77777777" w:rsidTr="00795B2C">
        <w:trPr>
          <w:trHeight w:val="20"/>
        </w:trPr>
        <w:tc>
          <w:tcPr>
            <w:tcW w:w="2321" w:type="dxa"/>
            <w:tcMar>
              <w:top w:w="28" w:type="dxa"/>
              <w:left w:w="28" w:type="dxa"/>
              <w:bottom w:w="28" w:type="dxa"/>
              <w:right w:w="28" w:type="dxa"/>
            </w:tcMar>
          </w:tcPr>
          <w:p w14:paraId="653B0633" w14:textId="77777777" w:rsidR="001364E4" w:rsidRPr="001364E4" w:rsidRDefault="001364E4" w:rsidP="001364E4">
            <w:pPr>
              <w:rPr>
                <w:szCs w:val="22"/>
                <w:lang w:val="en-US" w:eastAsia="en-US"/>
              </w:rPr>
            </w:pPr>
            <w:r w:rsidRPr="001364E4">
              <w:rPr>
                <w:b/>
                <w:bCs/>
                <w:szCs w:val="22"/>
                <w:lang w:val="en-US" w:eastAsia="en-US"/>
              </w:rPr>
              <w:t>ALT n (%)</w:t>
            </w:r>
          </w:p>
          <w:p w14:paraId="2469C552" w14:textId="77777777" w:rsidR="001364E4" w:rsidRPr="001364E4" w:rsidRDefault="001364E4" w:rsidP="001364E4">
            <w:pPr>
              <w:rPr>
                <w:szCs w:val="22"/>
                <w:lang w:val="en-US" w:eastAsia="en-US"/>
              </w:rPr>
            </w:pPr>
          </w:p>
          <w:p w14:paraId="08C398C2" w14:textId="77777777" w:rsidR="001364E4" w:rsidRPr="001364E4" w:rsidRDefault="001364E4" w:rsidP="001364E4">
            <w:pPr>
              <w:rPr>
                <w:szCs w:val="22"/>
                <w:lang w:val="en-US" w:eastAsia="en-US"/>
              </w:rPr>
            </w:pPr>
            <w:r w:rsidRPr="001364E4">
              <w:rPr>
                <w:szCs w:val="22"/>
                <w:lang w:val="en-US" w:eastAsia="en-US"/>
              </w:rPr>
              <w:t>Normal</w:t>
            </w:r>
            <w:r>
              <w:rPr>
                <w:szCs w:val="22"/>
                <w:lang w:val="en-US" w:eastAsia="en-US"/>
              </w:rPr>
              <w:t>us</w:t>
            </w:r>
            <w:r w:rsidRPr="001364E4">
              <w:rPr>
                <w:szCs w:val="22"/>
                <w:lang w:val="en-US" w:eastAsia="en-US"/>
              </w:rPr>
              <w:t xml:space="preserve"> ALT</w:t>
            </w:r>
          </w:p>
        </w:tc>
        <w:tc>
          <w:tcPr>
            <w:tcW w:w="2239" w:type="dxa"/>
            <w:tcMar>
              <w:top w:w="28" w:type="dxa"/>
              <w:left w:w="28" w:type="dxa"/>
              <w:bottom w:w="28" w:type="dxa"/>
              <w:right w:w="28" w:type="dxa"/>
            </w:tcMar>
          </w:tcPr>
          <w:p w14:paraId="52C80645" w14:textId="77777777" w:rsidR="001364E4" w:rsidRPr="001364E4" w:rsidRDefault="001364E4" w:rsidP="001364E4">
            <w:pPr>
              <w:jc w:val="center"/>
              <w:rPr>
                <w:szCs w:val="22"/>
                <w:lang w:val="en-US" w:eastAsia="en-US"/>
              </w:rPr>
            </w:pPr>
            <w:r w:rsidRPr="001364E4">
              <w:rPr>
                <w:szCs w:val="22"/>
                <w:lang w:val="en-US" w:eastAsia="en-US"/>
              </w:rPr>
              <w:t>25/44 (57</w:t>
            </w:r>
            <w:r w:rsidR="00640D92">
              <w:rPr>
                <w:szCs w:val="22"/>
                <w:lang w:val="en-US" w:eastAsia="en-US"/>
              </w:rPr>
              <w:t> </w:t>
            </w:r>
            <w:r w:rsidRPr="001364E4">
              <w:rPr>
                <w:szCs w:val="22"/>
                <w:lang w:val="en-US" w:eastAsia="en-US"/>
              </w:rPr>
              <w:t>%)</w:t>
            </w:r>
          </w:p>
        </w:tc>
        <w:tc>
          <w:tcPr>
            <w:tcW w:w="2239" w:type="dxa"/>
            <w:tcMar>
              <w:top w:w="28" w:type="dxa"/>
              <w:left w:w="28" w:type="dxa"/>
              <w:bottom w:w="28" w:type="dxa"/>
              <w:right w:w="28" w:type="dxa"/>
            </w:tcMar>
          </w:tcPr>
          <w:p w14:paraId="5EA55CF5" w14:textId="77777777" w:rsidR="001364E4" w:rsidRPr="001364E4" w:rsidRDefault="001364E4" w:rsidP="001364E4">
            <w:pPr>
              <w:jc w:val="center"/>
              <w:rPr>
                <w:szCs w:val="22"/>
                <w:lang w:val="en-US" w:eastAsia="en-US"/>
              </w:rPr>
            </w:pPr>
            <w:r w:rsidRPr="001364E4">
              <w:rPr>
                <w:szCs w:val="22"/>
                <w:lang w:val="en-US" w:eastAsia="en-US"/>
              </w:rPr>
              <w:t>31/41 (76</w:t>
            </w:r>
            <w:r w:rsidR="00640D92">
              <w:rPr>
                <w:szCs w:val="22"/>
                <w:lang w:val="en-US" w:eastAsia="en-US"/>
              </w:rPr>
              <w:t> </w:t>
            </w:r>
            <w:r w:rsidRPr="001364E4">
              <w:rPr>
                <w:szCs w:val="22"/>
                <w:lang w:val="en-US" w:eastAsia="en-US"/>
              </w:rPr>
              <w:t>%)</w:t>
            </w:r>
          </w:p>
        </w:tc>
        <w:tc>
          <w:tcPr>
            <w:tcW w:w="2240" w:type="dxa"/>
            <w:tcMar>
              <w:top w:w="28" w:type="dxa"/>
              <w:left w:w="28" w:type="dxa"/>
              <w:bottom w:w="28" w:type="dxa"/>
              <w:right w:w="28" w:type="dxa"/>
            </w:tcMar>
          </w:tcPr>
          <w:p w14:paraId="08EBFF52" w14:textId="77777777" w:rsidR="001364E4" w:rsidRPr="001364E4" w:rsidRDefault="001364E4" w:rsidP="001364E4">
            <w:pPr>
              <w:jc w:val="center"/>
              <w:rPr>
                <w:szCs w:val="22"/>
                <w:lang w:val="en-US" w:eastAsia="en-US"/>
              </w:rPr>
            </w:pPr>
            <w:r w:rsidRPr="001364E4">
              <w:rPr>
                <w:szCs w:val="22"/>
                <w:lang w:val="en-US" w:eastAsia="en-US"/>
              </w:rPr>
              <w:t>12/22 (55</w:t>
            </w:r>
            <w:r w:rsidR="00640D92">
              <w:rPr>
                <w:szCs w:val="22"/>
                <w:lang w:val="en-US" w:eastAsia="en-US"/>
              </w:rPr>
              <w:t> </w:t>
            </w:r>
            <w:r w:rsidRPr="001364E4">
              <w:rPr>
                <w:szCs w:val="22"/>
                <w:lang w:val="en-US" w:eastAsia="en-US"/>
              </w:rPr>
              <w:t>%)</w:t>
            </w:r>
          </w:p>
        </w:tc>
      </w:tr>
      <w:tr w:rsidR="001364E4" w:rsidRPr="001364E4" w14:paraId="195ABD89" w14:textId="77777777" w:rsidTr="00795B2C">
        <w:trPr>
          <w:trHeight w:val="20"/>
        </w:trPr>
        <w:tc>
          <w:tcPr>
            <w:tcW w:w="2321" w:type="dxa"/>
            <w:tcMar>
              <w:top w:w="28" w:type="dxa"/>
              <w:left w:w="28" w:type="dxa"/>
              <w:bottom w:w="28" w:type="dxa"/>
              <w:right w:w="28" w:type="dxa"/>
            </w:tcMar>
          </w:tcPr>
          <w:p w14:paraId="250530DD" w14:textId="77777777" w:rsidR="001364E4" w:rsidRPr="00EC331C" w:rsidRDefault="001364E4" w:rsidP="001364E4">
            <w:pPr>
              <w:rPr>
                <w:szCs w:val="22"/>
                <w:lang w:val="it-IT" w:eastAsia="en-US"/>
              </w:rPr>
            </w:pPr>
            <w:r w:rsidRPr="00EC331C">
              <w:rPr>
                <w:b/>
                <w:bCs/>
                <w:szCs w:val="22"/>
                <w:lang w:val="it-IT" w:eastAsia="en-US"/>
              </w:rPr>
              <w:t>CPT ≥ 2 balų sumažėjimas nuo pradinio</w:t>
            </w:r>
          </w:p>
          <w:p w14:paraId="53304282" w14:textId="77777777" w:rsidR="001364E4" w:rsidRPr="00EC331C" w:rsidRDefault="001364E4" w:rsidP="001364E4">
            <w:pPr>
              <w:rPr>
                <w:szCs w:val="22"/>
                <w:lang w:val="it-IT" w:eastAsia="en-US"/>
              </w:rPr>
            </w:pPr>
            <w:r w:rsidRPr="00EC331C">
              <w:rPr>
                <w:szCs w:val="22"/>
                <w:lang w:val="it-IT" w:eastAsia="en-US"/>
              </w:rPr>
              <w:t>n (%)</w:t>
            </w:r>
          </w:p>
        </w:tc>
        <w:tc>
          <w:tcPr>
            <w:tcW w:w="2239" w:type="dxa"/>
            <w:tcMar>
              <w:top w:w="28" w:type="dxa"/>
              <w:left w:w="28" w:type="dxa"/>
              <w:bottom w:w="28" w:type="dxa"/>
              <w:right w:w="28" w:type="dxa"/>
            </w:tcMar>
          </w:tcPr>
          <w:p w14:paraId="7D746637" w14:textId="77777777" w:rsidR="001364E4" w:rsidRPr="001364E4" w:rsidRDefault="001364E4" w:rsidP="001364E4">
            <w:pPr>
              <w:jc w:val="center"/>
              <w:rPr>
                <w:szCs w:val="22"/>
                <w:lang w:val="en-US" w:eastAsia="en-US"/>
              </w:rPr>
            </w:pPr>
            <w:r w:rsidRPr="001364E4">
              <w:rPr>
                <w:szCs w:val="22"/>
                <w:lang w:val="en-US" w:eastAsia="en-US"/>
              </w:rPr>
              <w:t>7/27 (26</w:t>
            </w:r>
            <w:r w:rsidR="00640D92">
              <w:rPr>
                <w:szCs w:val="22"/>
                <w:lang w:val="en-US" w:eastAsia="en-US"/>
              </w:rPr>
              <w:t> </w:t>
            </w:r>
            <w:r w:rsidRPr="001364E4">
              <w:rPr>
                <w:szCs w:val="22"/>
                <w:lang w:val="en-US" w:eastAsia="en-US"/>
              </w:rPr>
              <w:t>%)</w:t>
            </w:r>
          </w:p>
        </w:tc>
        <w:tc>
          <w:tcPr>
            <w:tcW w:w="2239" w:type="dxa"/>
            <w:tcMar>
              <w:top w:w="28" w:type="dxa"/>
              <w:left w:w="28" w:type="dxa"/>
              <w:bottom w:w="28" w:type="dxa"/>
              <w:right w:w="28" w:type="dxa"/>
            </w:tcMar>
          </w:tcPr>
          <w:p w14:paraId="758248E2" w14:textId="77777777" w:rsidR="001364E4" w:rsidRPr="001364E4" w:rsidRDefault="001364E4" w:rsidP="001364E4">
            <w:pPr>
              <w:jc w:val="center"/>
              <w:rPr>
                <w:szCs w:val="22"/>
                <w:lang w:val="en-US" w:eastAsia="en-US"/>
              </w:rPr>
            </w:pPr>
            <w:r w:rsidRPr="001364E4">
              <w:rPr>
                <w:szCs w:val="22"/>
                <w:lang w:val="en-US" w:eastAsia="en-US"/>
              </w:rPr>
              <w:t>12/25 (48</w:t>
            </w:r>
            <w:r w:rsidR="00640D92">
              <w:rPr>
                <w:szCs w:val="22"/>
                <w:lang w:val="en-US" w:eastAsia="en-US"/>
              </w:rPr>
              <w:t> </w:t>
            </w:r>
            <w:r w:rsidRPr="001364E4">
              <w:rPr>
                <w:szCs w:val="22"/>
                <w:lang w:val="en-US" w:eastAsia="en-US"/>
              </w:rPr>
              <w:t>%)</w:t>
            </w:r>
          </w:p>
        </w:tc>
        <w:tc>
          <w:tcPr>
            <w:tcW w:w="2240" w:type="dxa"/>
            <w:tcMar>
              <w:top w:w="28" w:type="dxa"/>
              <w:left w:w="28" w:type="dxa"/>
              <w:bottom w:w="28" w:type="dxa"/>
              <w:right w:w="28" w:type="dxa"/>
            </w:tcMar>
          </w:tcPr>
          <w:p w14:paraId="2232FE83" w14:textId="77777777" w:rsidR="001364E4" w:rsidRPr="001364E4" w:rsidRDefault="001364E4" w:rsidP="001364E4">
            <w:pPr>
              <w:jc w:val="center"/>
              <w:rPr>
                <w:szCs w:val="22"/>
                <w:lang w:val="en-US" w:eastAsia="en-US"/>
              </w:rPr>
            </w:pPr>
            <w:r w:rsidRPr="001364E4">
              <w:rPr>
                <w:szCs w:val="22"/>
                <w:lang w:val="en-US" w:eastAsia="en-US"/>
              </w:rPr>
              <w:t>5/12 (42</w:t>
            </w:r>
            <w:r w:rsidR="00640D92">
              <w:rPr>
                <w:szCs w:val="22"/>
                <w:lang w:val="en-US" w:eastAsia="en-US"/>
              </w:rPr>
              <w:t> </w:t>
            </w:r>
            <w:r w:rsidRPr="001364E4">
              <w:rPr>
                <w:szCs w:val="22"/>
                <w:lang w:val="en-US" w:eastAsia="en-US"/>
              </w:rPr>
              <w:t>%)</w:t>
            </w:r>
          </w:p>
        </w:tc>
      </w:tr>
      <w:tr w:rsidR="001364E4" w:rsidRPr="001364E4" w14:paraId="2E6C38B5" w14:textId="77777777" w:rsidTr="00795B2C">
        <w:trPr>
          <w:trHeight w:val="20"/>
        </w:trPr>
        <w:tc>
          <w:tcPr>
            <w:tcW w:w="2321" w:type="dxa"/>
            <w:tcMar>
              <w:top w:w="28" w:type="dxa"/>
              <w:left w:w="28" w:type="dxa"/>
              <w:bottom w:w="28" w:type="dxa"/>
              <w:right w:w="28" w:type="dxa"/>
            </w:tcMar>
          </w:tcPr>
          <w:p w14:paraId="4925F15C" w14:textId="77777777" w:rsidR="001364E4" w:rsidRPr="00EC331C" w:rsidRDefault="001364E4" w:rsidP="001364E4">
            <w:pPr>
              <w:rPr>
                <w:szCs w:val="22"/>
                <w:lang w:eastAsia="en-US"/>
              </w:rPr>
            </w:pPr>
            <w:r w:rsidRPr="00EC331C">
              <w:rPr>
                <w:b/>
                <w:bCs/>
                <w:szCs w:val="22"/>
                <w:lang w:eastAsia="en-US"/>
              </w:rPr>
              <w:t>CPT balų pokyčio nuo pradinės vertės vidurkis</w:t>
            </w:r>
          </w:p>
        </w:tc>
        <w:tc>
          <w:tcPr>
            <w:tcW w:w="2239" w:type="dxa"/>
            <w:tcMar>
              <w:top w:w="28" w:type="dxa"/>
              <w:left w:w="28" w:type="dxa"/>
              <w:bottom w:w="28" w:type="dxa"/>
              <w:right w:w="28" w:type="dxa"/>
            </w:tcMar>
          </w:tcPr>
          <w:p w14:paraId="4FA91FED" w14:textId="77777777" w:rsidR="001364E4" w:rsidRPr="001364E4" w:rsidRDefault="001364E4" w:rsidP="00640D92">
            <w:pPr>
              <w:jc w:val="center"/>
              <w:rPr>
                <w:szCs w:val="22"/>
                <w:lang w:val="en-US" w:eastAsia="en-US"/>
              </w:rPr>
            </w:pPr>
            <w:r w:rsidRPr="001364E4">
              <w:rPr>
                <w:szCs w:val="22"/>
                <w:lang w:val="en-US" w:eastAsia="en-US"/>
              </w:rPr>
              <w:t>-0</w:t>
            </w:r>
            <w:r w:rsidR="00640D92">
              <w:rPr>
                <w:szCs w:val="22"/>
                <w:lang w:val="en-US" w:eastAsia="en-US"/>
              </w:rPr>
              <w:t>,</w:t>
            </w:r>
            <w:r w:rsidRPr="001364E4">
              <w:rPr>
                <w:szCs w:val="22"/>
                <w:lang w:val="en-US" w:eastAsia="en-US"/>
              </w:rPr>
              <w:t>8</w:t>
            </w:r>
          </w:p>
        </w:tc>
        <w:tc>
          <w:tcPr>
            <w:tcW w:w="2239" w:type="dxa"/>
            <w:tcMar>
              <w:top w:w="28" w:type="dxa"/>
              <w:left w:w="28" w:type="dxa"/>
              <w:bottom w:w="28" w:type="dxa"/>
              <w:right w:w="28" w:type="dxa"/>
            </w:tcMar>
          </w:tcPr>
          <w:p w14:paraId="263AA835" w14:textId="77777777" w:rsidR="001364E4" w:rsidRPr="001364E4" w:rsidRDefault="001364E4" w:rsidP="00640D92">
            <w:pPr>
              <w:jc w:val="center"/>
              <w:rPr>
                <w:szCs w:val="22"/>
                <w:lang w:val="en-US" w:eastAsia="en-US"/>
              </w:rPr>
            </w:pPr>
            <w:r w:rsidRPr="001364E4">
              <w:rPr>
                <w:szCs w:val="22"/>
                <w:lang w:val="en-US" w:eastAsia="en-US"/>
              </w:rPr>
              <w:t>-0</w:t>
            </w:r>
            <w:r w:rsidR="00640D92">
              <w:rPr>
                <w:szCs w:val="22"/>
                <w:lang w:val="en-US" w:eastAsia="en-US"/>
              </w:rPr>
              <w:t>,</w:t>
            </w:r>
            <w:r w:rsidRPr="001364E4">
              <w:rPr>
                <w:szCs w:val="22"/>
                <w:lang w:val="en-US" w:eastAsia="en-US"/>
              </w:rPr>
              <w:t>9</w:t>
            </w:r>
          </w:p>
        </w:tc>
        <w:tc>
          <w:tcPr>
            <w:tcW w:w="2240" w:type="dxa"/>
            <w:tcMar>
              <w:top w:w="28" w:type="dxa"/>
              <w:left w:w="28" w:type="dxa"/>
              <w:bottom w:w="28" w:type="dxa"/>
              <w:right w:w="28" w:type="dxa"/>
            </w:tcMar>
          </w:tcPr>
          <w:p w14:paraId="3353BC51" w14:textId="77777777" w:rsidR="001364E4" w:rsidRPr="001364E4" w:rsidRDefault="001364E4" w:rsidP="00640D92">
            <w:pPr>
              <w:jc w:val="center"/>
              <w:rPr>
                <w:szCs w:val="22"/>
                <w:lang w:val="en-US" w:eastAsia="en-US"/>
              </w:rPr>
            </w:pPr>
            <w:r w:rsidRPr="001364E4">
              <w:rPr>
                <w:szCs w:val="22"/>
                <w:lang w:val="en-US" w:eastAsia="en-US"/>
              </w:rPr>
              <w:t>-1</w:t>
            </w:r>
            <w:r w:rsidR="00640D92">
              <w:rPr>
                <w:szCs w:val="22"/>
                <w:lang w:val="en-US" w:eastAsia="en-US"/>
              </w:rPr>
              <w:t>,</w:t>
            </w:r>
            <w:r w:rsidRPr="001364E4">
              <w:rPr>
                <w:szCs w:val="22"/>
                <w:lang w:val="en-US" w:eastAsia="en-US"/>
              </w:rPr>
              <w:t>3</w:t>
            </w:r>
          </w:p>
        </w:tc>
      </w:tr>
      <w:tr w:rsidR="001364E4" w:rsidRPr="001364E4" w14:paraId="6D59F6A2" w14:textId="77777777" w:rsidTr="00795B2C">
        <w:trPr>
          <w:trHeight w:val="20"/>
        </w:trPr>
        <w:tc>
          <w:tcPr>
            <w:tcW w:w="2321" w:type="dxa"/>
            <w:tcMar>
              <w:top w:w="28" w:type="dxa"/>
              <w:left w:w="28" w:type="dxa"/>
              <w:bottom w:w="28" w:type="dxa"/>
              <w:right w:w="28" w:type="dxa"/>
            </w:tcMar>
          </w:tcPr>
          <w:p w14:paraId="08C843F6" w14:textId="77777777" w:rsidR="001364E4" w:rsidRPr="00EC331C" w:rsidRDefault="001364E4" w:rsidP="001364E4">
            <w:pPr>
              <w:rPr>
                <w:szCs w:val="22"/>
                <w:lang w:eastAsia="en-US"/>
              </w:rPr>
            </w:pPr>
            <w:r w:rsidRPr="00EC331C">
              <w:rPr>
                <w:b/>
                <w:bCs/>
                <w:szCs w:val="22"/>
                <w:lang w:eastAsia="en-US"/>
              </w:rPr>
              <w:t>MELD (galutinės stadijos kepenų ligos įvertinimo modelis) balo pokyčio nuo pradinės vertės vidurkis</w:t>
            </w:r>
          </w:p>
        </w:tc>
        <w:tc>
          <w:tcPr>
            <w:tcW w:w="2239" w:type="dxa"/>
            <w:tcMar>
              <w:top w:w="28" w:type="dxa"/>
              <w:left w:w="28" w:type="dxa"/>
              <w:bottom w:w="28" w:type="dxa"/>
              <w:right w:w="28" w:type="dxa"/>
            </w:tcMar>
          </w:tcPr>
          <w:p w14:paraId="05E3DD6F" w14:textId="77777777" w:rsidR="001364E4" w:rsidRPr="001364E4" w:rsidRDefault="001364E4" w:rsidP="00640D92">
            <w:pPr>
              <w:jc w:val="center"/>
              <w:rPr>
                <w:szCs w:val="22"/>
                <w:lang w:val="en-US" w:eastAsia="en-US"/>
              </w:rPr>
            </w:pPr>
            <w:r w:rsidRPr="001364E4">
              <w:rPr>
                <w:szCs w:val="22"/>
                <w:lang w:val="en-US" w:eastAsia="en-US"/>
              </w:rPr>
              <w:t>-1</w:t>
            </w:r>
            <w:r w:rsidR="00640D92">
              <w:rPr>
                <w:szCs w:val="22"/>
                <w:lang w:val="en-US" w:eastAsia="en-US"/>
              </w:rPr>
              <w:t>,</w:t>
            </w:r>
            <w:r w:rsidRPr="001364E4">
              <w:rPr>
                <w:szCs w:val="22"/>
                <w:lang w:val="en-US" w:eastAsia="en-US"/>
              </w:rPr>
              <w:t>8</w:t>
            </w:r>
          </w:p>
        </w:tc>
        <w:tc>
          <w:tcPr>
            <w:tcW w:w="2239" w:type="dxa"/>
            <w:tcMar>
              <w:top w:w="28" w:type="dxa"/>
              <w:left w:w="28" w:type="dxa"/>
              <w:bottom w:w="28" w:type="dxa"/>
              <w:right w:w="28" w:type="dxa"/>
            </w:tcMar>
          </w:tcPr>
          <w:p w14:paraId="11B28D1F" w14:textId="77777777" w:rsidR="001364E4" w:rsidRPr="001364E4" w:rsidRDefault="001364E4" w:rsidP="00640D92">
            <w:pPr>
              <w:jc w:val="center"/>
              <w:rPr>
                <w:szCs w:val="22"/>
                <w:lang w:val="en-US" w:eastAsia="en-US"/>
              </w:rPr>
            </w:pPr>
            <w:r w:rsidRPr="001364E4">
              <w:rPr>
                <w:szCs w:val="22"/>
                <w:lang w:val="en-US" w:eastAsia="en-US"/>
              </w:rPr>
              <w:t>-2</w:t>
            </w:r>
            <w:r w:rsidR="00640D92">
              <w:rPr>
                <w:szCs w:val="22"/>
                <w:lang w:val="en-US" w:eastAsia="en-US"/>
              </w:rPr>
              <w:t>,</w:t>
            </w:r>
            <w:r w:rsidRPr="001364E4">
              <w:rPr>
                <w:szCs w:val="22"/>
                <w:lang w:val="en-US" w:eastAsia="en-US"/>
              </w:rPr>
              <w:t>3</w:t>
            </w:r>
          </w:p>
        </w:tc>
        <w:tc>
          <w:tcPr>
            <w:tcW w:w="2240" w:type="dxa"/>
            <w:tcMar>
              <w:top w:w="28" w:type="dxa"/>
              <w:left w:w="28" w:type="dxa"/>
              <w:bottom w:w="28" w:type="dxa"/>
              <w:right w:w="28" w:type="dxa"/>
            </w:tcMar>
          </w:tcPr>
          <w:p w14:paraId="09DC8EAB" w14:textId="77777777" w:rsidR="001364E4" w:rsidRPr="001364E4" w:rsidRDefault="001364E4" w:rsidP="00640D92">
            <w:pPr>
              <w:jc w:val="center"/>
              <w:rPr>
                <w:szCs w:val="22"/>
                <w:lang w:val="en-US" w:eastAsia="en-US"/>
              </w:rPr>
            </w:pPr>
            <w:r w:rsidRPr="001364E4">
              <w:rPr>
                <w:szCs w:val="22"/>
                <w:lang w:val="en-US" w:eastAsia="en-US"/>
              </w:rPr>
              <w:t>-2</w:t>
            </w:r>
            <w:r w:rsidR="00640D92">
              <w:rPr>
                <w:szCs w:val="22"/>
                <w:lang w:val="en-US" w:eastAsia="en-US"/>
              </w:rPr>
              <w:t>,</w:t>
            </w:r>
            <w:r w:rsidRPr="001364E4">
              <w:rPr>
                <w:szCs w:val="22"/>
                <w:lang w:val="en-US" w:eastAsia="en-US"/>
              </w:rPr>
              <w:t>6</w:t>
            </w:r>
          </w:p>
        </w:tc>
      </w:tr>
    </w:tbl>
    <w:p w14:paraId="2F578DC1" w14:textId="77777777" w:rsidR="001364E4" w:rsidRPr="001364E4" w:rsidRDefault="001364E4" w:rsidP="001364E4">
      <w:pPr>
        <w:tabs>
          <w:tab w:val="left" w:pos="567"/>
        </w:tabs>
        <w:rPr>
          <w:sz w:val="20"/>
          <w:lang w:eastAsia="en-US"/>
        </w:rPr>
      </w:pPr>
      <w:r w:rsidRPr="001364E4">
        <w:rPr>
          <w:sz w:val="20"/>
          <w:vertAlign w:val="superscript"/>
          <w:lang w:eastAsia="en-US"/>
        </w:rPr>
        <w:t>a</w:t>
      </w:r>
      <w:r w:rsidRPr="001364E4">
        <w:rPr>
          <w:sz w:val="20"/>
          <w:lang w:eastAsia="en-US"/>
        </w:rPr>
        <w:t xml:space="preserve"> p= 0,622 lyginant kombinuoto gydymo su tenofoviru grupes ir entekaviro grupę</w:t>
      </w:r>
      <w:r>
        <w:rPr>
          <w:sz w:val="20"/>
          <w:lang w:eastAsia="en-US"/>
        </w:rPr>
        <w:t>.</w:t>
      </w:r>
    </w:p>
    <w:p w14:paraId="4CE5E3FA" w14:textId="77777777" w:rsidR="001364E4" w:rsidRPr="001364E4" w:rsidRDefault="001364E4" w:rsidP="001364E4">
      <w:pPr>
        <w:tabs>
          <w:tab w:val="left" w:pos="567"/>
        </w:tabs>
        <w:rPr>
          <w:sz w:val="20"/>
          <w:lang w:eastAsia="en-US"/>
        </w:rPr>
      </w:pPr>
      <w:r w:rsidRPr="001364E4">
        <w:rPr>
          <w:sz w:val="20"/>
          <w:vertAlign w:val="superscript"/>
          <w:lang w:eastAsia="en-US"/>
        </w:rPr>
        <w:t>b</w:t>
      </w:r>
      <w:r w:rsidRPr="001364E4">
        <w:rPr>
          <w:sz w:val="20"/>
          <w:lang w:eastAsia="en-US"/>
        </w:rPr>
        <w:t xml:space="preserve"> p= 1</w:t>
      </w:r>
      <w:r w:rsidR="00F073C7">
        <w:rPr>
          <w:sz w:val="20"/>
          <w:lang w:eastAsia="en-US"/>
        </w:rPr>
        <w:t>,</w:t>
      </w:r>
      <w:r w:rsidRPr="001364E4">
        <w:rPr>
          <w:sz w:val="20"/>
          <w:lang w:eastAsia="en-US"/>
        </w:rPr>
        <w:t>000 lyginant kombinuoto gydymo su tenofoviru grupes ir entekaviro grupę.</w:t>
      </w:r>
    </w:p>
    <w:p w14:paraId="2A67D6DF" w14:textId="77777777" w:rsidR="001364E4" w:rsidRDefault="001364E4" w:rsidP="00C83DF1">
      <w:pPr>
        <w:tabs>
          <w:tab w:val="left" w:pos="567"/>
        </w:tabs>
        <w:rPr>
          <w:szCs w:val="22"/>
          <w:lang w:eastAsia="en-US"/>
        </w:rPr>
      </w:pPr>
    </w:p>
    <w:p w14:paraId="6CAAF5D0" w14:textId="77777777" w:rsidR="00F073C7" w:rsidRPr="00F073C7" w:rsidRDefault="00F073C7" w:rsidP="00F073C7">
      <w:pPr>
        <w:tabs>
          <w:tab w:val="left" w:pos="567"/>
        </w:tabs>
        <w:rPr>
          <w:i/>
          <w:szCs w:val="22"/>
          <w:lang w:eastAsia="en-US"/>
        </w:rPr>
      </w:pPr>
      <w:r w:rsidRPr="00F073C7">
        <w:rPr>
          <w:i/>
          <w:szCs w:val="22"/>
          <w:lang w:eastAsia="en-US"/>
        </w:rPr>
        <w:t>Patirtis virš 48 savaičių GS-US-174-0108 tyrimo metu</w:t>
      </w:r>
    </w:p>
    <w:p w14:paraId="75A50D5E" w14:textId="4540304F" w:rsidR="00F073C7" w:rsidRPr="00F073C7" w:rsidRDefault="00F073C7" w:rsidP="00F073C7">
      <w:pPr>
        <w:tabs>
          <w:tab w:val="left" w:pos="567"/>
        </w:tabs>
        <w:rPr>
          <w:szCs w:val="22"/>
          <w:lang w:eastAsia="en-US"/>
        </w:rPr>
      </w:pPr>
      <w:r>
        <w:rPr>
          <w:szCs w:val="22"/>
          <w:lang w:eastAsia="en-US"/>
        </w:rPr>
        <w:t>Taikant</w:t>
      </w:r>
      <w:r w:rsidRPr="00F073C7">
        <w:rPr>
          <w:szCs w:val="22"/>
          <w:lang w:eastAsia="en-US"/>
        </w:rPr>
        <w:t xml:space="preserve"> </w:t>
      </w:r>
      <w:r>
        <w:rPr>
          <w:szCs w:val="22"/>
          <w:lang w:eastAsia="en-US"/>
        </w:rPr>
        <w:t>„</w:t>
      </w:r>
      <w:r w:rsidRPr="00F073C7">
        <w:rPr>
          <w:szCs w:val="22"/>
          <w:lang w:eastAsia="en-US"/>
        </w:rPr>
        <w:t>gydymo nebaigim</w:t>
      </w:r>
      <w:r>
        <w:rPr>
          <w:szCs w:val="22"/>
          <w:lang w:eastAsia="en-US"/>
        </w:rPr>
        <w:t>as</w:t>
      </w:r>
      <w:r w:rsidRPr="00F073C7">
        <w:rPr>
          <w:szCs w:val="22"/>
          <w:lang w:eastAsia="en-US"/>
        </w:rPr>
        <w:t>/keitim</w:t>
      </w:r>
      <w:r>
        <w:rPr>
          <w:szCs w:val="22"/>
          <w:lang w:eastAsia="en-US"/>
        </w:rPr>
        <w:t>as</w:t>
      </w:r>
      <w:r w:rsidRPr="00F073C7">
        <w:rPr>
          <w:szCs w:val="22"/>
          <w:lang w:eastAsia="en-US"/>
        </w:rPr>
        <w:t xml:space="preserve"> = ne</w:t>
      </w:r>
      <w:r>
        <w:rPr>
          <w:szCs w:val="22"/>
          <w:lang w:eastAsia="en-US"/>
        </w:rPr>
        <w:t>veiksmingumas“</w:t>
      </w:r>
      <w:r w:rsidRPr="00F073C7">
        <w:rPr>
          <w:szCs w:val="22"/>
          <w:lang w:eastAsia="en-US"/>
        </w:rPr>
        <w:t xml:space="preserve"> analizę, 168 savaitę 50</w:t>
      </w:r>
      <w:r w:rsidR="000A75C5">
        <w:rPr>
          <w:szCs w:val="22"/>
          <w:lang w:eastAsia="en-US"/>
        </w:rPr>
        <w:t> </w:t>
      </w:r>
      <w:r w:rsidRPr="00F073C7">
        <w:rPr>
          <w:szCs w:val="22"/>
          <w:lang w:eastAsia="en-US"/>
        </w:rPr>
        <w:t>% (21 iš 42) tiriamųjų, vartojusių tenofoviro dizoproksilio, 76</w:t>
      </w:r>
      <w:r w:rsidR="000A75C5">
        <w:rPr>
          <w:szCs w:val="22"/>
          <w:lang w:eastAsia="en-US"/>
        </w:rPr>
        <w:t> </w:t>
      </w:r>
      <w:r w:rsidRPr="00F073C7">
        <w:rPr>
          <w:szCs w:val="22"/>
          <w:lang w:eastAsia="en-US"/>
        </w:rPr>
        <w:t>% (28 iš 37) tiriamųjų, vartojusių emtricitabin</w:t>
      </w:r>
      <w:r>
        <w:rPr>
          <w:szCs w:val="22"/>
          <w:lang w:eastAsia="en-US"/>
        </w:rPr>
        <w:t>o</w:t>
      </w:r>
      <w:r w:rsidRPr="00F073C7">
        <w:rPr>
          <w:szCs w:val="22"/>
          <w:lang w:eastAsia="en-US"/>
        </w:rPr>
        <w:t xml:space="preserve"> ir tenofoviro dizoproksilio</w:t>
      </w:r>
      <w:r w:rsidR="00191FEA">
        <w:rPr>
          <w:szCs w:val="22"/>
          <w:lang w:eastAsia="en-US"/>
        </w:rPr>
        <w:t xml:space="preserve"> derinio</w:t>
      </w:r>
      <w:r w:rsidRPr="00F073C7">
        <w:rPr>
          <w:szCs w:val="22"/>
          <w:lang w:eastAsia="en-US"/>
        </w:rPr>
        <w:t>, bei 52</w:t>
      </w:r>
      <w:r w:rsidR="000A75C5">
        <w:rPr>
          <w:szCs w:val="22"/>
          <w:lang w:eastAsia="en-US"/>
        </w:rPr>
        <w:t> </w:t>
      </w:r>
      <w:r w:rsidRPr="00F073C7">
        <w:rPr>
          <w:szCs w:val="22"/>
          <w:lang w:eastAsia="en-US"/>
        </w:rPr>
        <w:t>% (11 iš 21) tiriamųjų, vartojusių entekavir</w:t>
      </w:r>
      <w:r>
        <w:rPr>
          <w:szCs w:val="22"/>
          <w:lang w:eastAsia="en-US"/>
        </w:rPr>
        <w:t>o</w:t>
      </w:r>
      <w:r w:rsidRPr="00F073C7">
        <w:rPr>
          <w:szCs w:val="22"/>
          <w:lang w:eastAsia="en-US"/>
        </w:rPr>
        <w:t>, buvo pasiekta HBV DNR &lt;</w:t>
      </w:r>
      <w:r w:rsidR="000A75C5">
        <w:rPr>
          <w:szCs w:val="22"/>
          <w:lang w:eastAsia="en-US"/>
        </w:rPr>
        <w:t> </w:t>
      </w:r>
      <w:r w:rsidRPr="00F073C7">
        <w:rPr>
          <w:szCs w:val="22"/>
          <w:lang w:eastAsia="en-US"/>
        </w:rPr>
        <w:t>400</w:t>
      </w:r>
      <w:r w:rsidR="000A75C5">
        <w:rPr>
          <w:szCs w:val="22"/>
          <w:lang w:eastAsia="en-US"/>
        </w:rPr>
        <w:t> </w:t>
      </w:r>
      <w:r w:rsidRPr="00F073C7">
        <w:rPr>
          <w:szCs w:val="22"/>
          <w:lang w:eastAsia="en-US"/>
        </w:rPr>
        <w:t>kopijų/ml.</w:t>
      </w:r>
    </w:p>
    <w:p w14:paraId="57FEC310" w14:textId="77777777" w:rsidR="00F073C7" w:rsidRDefault="00F073C7" w:rsidP="00F073C7">
      <w:pPr>
        <w:tabs>
          <w:tab w:val="left" w:pos="567"/>
        </w:tabs>
        <w:rPr>
          <w:szCs w:val="22"/>
          <w:lang w:eastAsia="en-US"/>
        </w:rPr>
      </w:pPr>
    </w:p>
    <w:p w14:paraId="638E16A6" w14:textId="77777777" w:rsidR="00F073C7" w:rsidRPr="00F073C7" w:rsidRDefault="00F073C7" w:rsidP="00F073C7">
      <w:pPr>
        <w:tabs>
          <w:tab w:val="left" w:pos="567"/>
        </w:tabs>
        <w:rPr>
          <w:i/>
          <w:szCs w:val="22"/>
          <w:lang w:eastAsia="en-US"/>
        </w:rPr>
      </w:pPr>
      <w:r w:rsidRPr="00F073C7">
        <w:rPr>
          <w:i/>
          <w:szCs w:val="22"/>
          <w:lang w:eastAsia="en-US"/>
        </w:rPr>
        <w:t xml:space="preserve">Patirtis </w:t>
      </w:r>
      <w:r>
        <w:rPr>
          <w:i/>
          <w:szCs w:val="22"/>
          <w:lang w:eastAsia="en-US"/>
        </w:rPr>
        <w:t xml:space="preserve">pacientams, kuriems yra </w:t>
      </w:r>
      <w:r w:rsidRPr="00F073C7">
        <w:rPr>
          <w:i/>
          <w:szCs w:val="22"/>
          <w:lang w:eastAsia="en-US"/>
        </w:rPr>
        <w:t>lamivudinui atspar</w:t>
      </w:r>
      <w:r>
        <w:rPr>
          <w:i/>
          <w:szCs w:val="22"/>
          <w:lang w:eastAsia="en-US"/>
        </w:rPr>
        <w:t>us</w:t>
      </w:r>
      <w:r w:rsidRPr="00F073C7">
        <w:rPr>
          <w:i/>
          <w:szCs w:val="22"/>
          <w:lang w:eastAsia="en-US"/>
        </w:rPr>
        <w:t xml:space="preserve"> HBV</w:t>
      </w:r>
      <w:r>
        <w:rPr>
          <w:i/>
          <w:szCs w:val="22"/>
          <w:lang w:eastAsia="en-US"/>
        </w:rPr>
        <w:t>,</w:t>
      </w:r>
      <w:r w:rsidRPr="00F073C7">
        <w:rPr>
          <w:i/>
          <w:szCs w:val="22"/>
          <w:lang w:eastAsia="en-US"/>
        </w:rPr>
        <w:t xml:space="preserve"> 240 savaitę (GS-US-174-0121 tyrimas)</w:t>
      </w:r>
    </w:p>
    <w:p w14:paraId="5D07D657" w14:textId="06388484" w:rsidR="00F073C7" w:rsidRPr="00F073C7" w:rsidRDefault="00F073C7" w:rsidP="00F073C7">
      <w:pPr>
        <w:tabs>
          <w:tab w:val="left" w:pos="567"/>
        </w:tabs>
        <w:rPr>
          <w:szCs w:val="22"/>
          <w:lang w:eastAsia="en-US"/>
        </w:rPr>
      </w:pPr>
      <w:r w:rsidRPr="00F073C7">
        <w:rPr>
          <w:szCs w:val="22"/>
          <w:lang w:eastAsia="en-US"/>
        </w:rPr>
        <w:t>245</w:t>
      </w:r>
      <w:r w:rsidR="000A75C5">
        <w:rPr>
          <w:szCs w:val="22"/>
          <w:lang w:eastAsia="en-US"/>
        </w:rPr>
        <w:t> </w:t>
      </w:r>
      <w:r w:rsidRPr="00F073C7">
        <w:rPr>
          <w:szCs w:val="22"/>
          <w:lang w:eastAsia="en-US"/>
        </w:rPr>
        <w:t xml:space="preserve">mg tenofoviro dizoproksilio dozės veiksmingumas ir saugumas buvo vertinamas atliekant atsitiktinių imčių, dvigubai koduotą tyrimą (GS-US-174-0121), kuriame dalyvavo HBeAg teigiami ir HBeAg neigiami pacientai (n = 280), </w:t>
      </w:r>
      <w:r>
        <w:rPr>
          <w:szCs w:val="22"/>
          <w:lang w:eastAsia="en-US"/>
        </w:rPr>
        <w:t>sergantys</w:t>
      </w:r>
      <w:r w:rsidRPr="00F073C7">
        <w:rPr>
          <w:szCs w:val="22"/>
          <w:lang w:eastAsia="en-US"/>
        </w:rPr>
        <w:t xml:space="preserve"> kompensuota kepenų liga, kuriems pasireiškė viremija (HBV DNR ≥</w:t>
      </w:r>
      <w:r w:rsidR="000A75C5">
        <w:rPr>
          <w:szCs w:val="22"/>
          <w:lang w:eastAsia="en-US"/>
        </w:rPr>
        <w:t> </w:t>
      </w:r>
      <w:r w:rsidRPr="00F073C7">
        <w:rPr>
          <w:szCs w:val="22"/>
          <w:lang w:eastAsia="en-US"/>
        </w:rPr>
        <w:t>1000</w:t>
      </w:r>
      <w:r w:rsidR="000A75C5">
        <w:rPr>
          <w:szCs w:val="22"/>
          <w:lang w:eastAsia="en-US"/>
        </w:rPr>
        <w:t> </w:t>
      </w:r>
      <w:r w:rsidRPr="00F073C7">
        <w:rPr>
          <w:szCs w:val="22"/>
          <w:lang w:eastAsia="en-US"/>
        </w:rPr>
        <w:t xml:space="preserve">TV/ml) bei genotipine analize buvo įrodytas </w:t>
      </w:r>
      <w:r>
        <w:rPr>
          <w:szCs w:val="22"/>
          <w:lang w:eastAsia="en-US"/>
        </w:rPr>
        <w:t xml:space="preserve">atsparumas </w:t>
      </w:r>
      <w:r w:rsidRPr="00F073C7">
        <w:rPr>
          <w:szCs w:val="22"/>
          <w:lang w:eastAsia="en-US"/>
        </w:rPr>
        <w:t>lamivudinui (rtM204I/V +/- rtL180M). Prieš pradedant tyrimą tik penk</w:t>
      </w:r>
      <w:r>
        <w:rPr>
          <w:szCs w:val="22"/>
          <w:lang w:eastAsia="en-US"/>
        </w:rPr>
        <w:t>iems</w:t>
      </w:r>
      <w:r w:rsidRPr="00F073C7">
        <w:rPr>
          <w:szCs w:val="22"/>
          <w:lang w:eastAsia="en-US"/>
        </w:rPr>
        <w:t xml:space="preserve"> pacienta</w:t>
      </w:r>
      <w:r>
        <w:rPr>
          <w:szCs w:val="22"/>
          <w:lang w:eastAsia="en-US"/>
        </w:rPr>
        <w:t>ms buvo</w:t>
      </w:r>
      <w:r w:rsidRPr="00F073C7">
        <w:rPr>
          <w:szCs w:val="22"/>
          <w:lang w:eastAsia="en-US"/>
        </w:rPr>
        <w:t xml:space="preserve"> su </w:t>
      </w:r>
      <w:r>
        <w:rPr>
          <w:szCs w:val="22"/>
          <w:lang w:eastAsia="en-US"/>
        </w:rPr>
        <w:t>atsparumu</w:t>
      </w:r>
      <w:r w:rsidRPr="00F073C7">
        <w:rPr>
          <w:szCs w:val="22"/>
          <w:lang w:eastAsia="en-US"/>
        </w:rPr>
        <w:t xml:space="preserve"> adefovirui susijusi</w:t>
      </w:r>
      <w:r>
        <w:rPr>
          <w:szCs w:val="22"/>
          <w:lang w:eastAsia="en-US"/>
        </w:rPr>
        <w:t>ų</w:t>
      </w:r>
      <w:r w:rsidRPr="00F073C7">
        <w:rPr>
          <w:szCs w:val="22"/>
          <w:lang w:eastAsia="en-US"/>
        </w:rPr>
        <w:t xml:space="preserve"> mutacij</w:t>
      </w:r>
      <w:r>
        <w:rPr>
          <w:szCs w:val="22"/>
          <w:lang w:eastAsia="en-US"/>
        </w:rPr>
        <w:t>ų</w:t>
      </w:r>
      <w:r w:rsidRPr="00F073C7">
        <w:rPr>
          <w:szCs w:val="22"/>
          <w:lang w:eastAsia="en-US"/>
        </w:rPr>
        <w:t xml:space="preserve">. Šimtas keturiasdešimt vienas ir 139 suaugę tiriamieji buvo atsitiktinai atrinkti atitinkamai į </w:t>
      </w:r>
      <w:r w:rsidR="00191FEA">
        <w:rPr>
          <w:szCs w:val="22"/>
          <w:lang w:eastAsia="en-US"/>
        </w:rPr>
        <w:t xml:space="preserve"> vien </w:t>
      </w:r>
      <w:r w:rsidR="000A75C5">
        <w:rPr>
          <w:szCs w:val="22"/>
          <w:lang w:eastAsia="en-US"/>
        </w:rPr>
        <w:t>t</w:t>
      </w:r>
      <w:r w:rsidR="00653D08">
        <w:rPr>
          <w:szCs w:val="22"/>
          <w:lang w:eastAsia="en-US"/>
        </w:rPr>
        <w:t>enofoviro dizoproksilio</w:t>
      </w:r>
      <w:r w:rsidR="00191FEA">
        <w:rPr>
          <w:szCs w:val="22"/>
          <w:lang w:eastAsia="en-US"/>
        </w:rPr>
        <w:t xml:space="preserve"> bei</w:t>
      </w:r>
      <w:r w:rsidRPr="00F073C7">
        <w:rPr>
          <w:szCs w:val="22"/>
          <w:lang w:eastAsia="en-US"/>
        </w:rPr>
        <w:t xml:space="preserve"> emtricitabino </w:t>
      </w:r>
      <w:r w:rsidR="00191FEA">
        <w:rPr>
          <w:szCs w:val="22"/>
          <w:lang w:eastAsia="en-US"/>
        </w:rPr>
        <w:t xml:space="preserve">ir </w:t>
      </w:r>
      <w:r w:rsidRPr="00F073C7">
        <w:rPr>
          <w:szCs w:val="22"/>
          <w:lang w:eastAsia="en-US"/>
        </w:rPr>
        <w:t xml:space="preserve"> </w:t>
      </w:r>
      <w:r w:rsidR="00653D08">
        <w:rPr>
          <w:szCs w:val="22"/>
          <w:lang w:eastAsia="en-US"/>
        </w:rPr>
        <w:t>tenofoviro dizoproksilio</w:t>
      </w:r>
      <w:r w:rsidR="0009646C">
        <w:rPr>
          <w:szCs w:val="22"/>
          <w:lang w:eastAsia="en-US"/>
        </w:rPr>
        <w:t xml:space="preserve"> </w:t>
      </w:r>
      <w:r w:rsidR="00191FEA">
        <w:rPr>
          <w:szCs w:val="22"/>
          <w:lang w:eastAsia="en-US"/>
        </w:rPr>
        <w:t xml:space="preserve">derinio </w:t>
      </w:r>
      <w:r w:rsidRPr="00F073C7">
        <w:rPr>
          <w:szCs w:val="22"/>
          <w:lang w:eastAsia="en-US"/>
        </w:rPr>
        <w:t>grupes. Prieš pradedant tyrimą demografiniai rodikliai šiose dvejose gydymo grupėse buvo panašūs: prieš pradedant tyrimą 52,5</w:t>
      </w:r>
      <w:r w:rsidR="000A75C5">
        <w:rPr>
          <w:szCs w:val="22"/>
          <w:lang w:eastAsia="en-US"/>
        </w:rPr>
        <w:t> </w:t>
      </w:r>
      <w:r w:rsidRPr="00F073C7">
        <w:rPr>
          <w:szCs w:val="22"/>
          <w:lang w:eastAsia="en-US"/>
        </w:rPr>
        <w:t>% tiriamųjų buvo HBeAg neigiami, 47,5</w:t>
      </w:r>
      <w:r w:rsidR="000A75C5">
        <w:rPr>
          <w:szCs w:val="22"/>
          <w:lang w:eastAsia="en-US"/>
        </w:rPr>
        <w:t> </w:t>
      </w:r>
      <w:r w:rsidRPr="00F073C7">
        <w:rPr>
          <w:szCs w:val="22"/>
          <w:lang w:eastAsia="en-US"/>
        </w:rPr>
        <w:t>% tiriamųjų buvo HBeAg teigiami, atitinkamai vidutinis HBV DNR kiekis buvo 6,5 log</w:t>
      </w:r>
      <w:r w:rsidRPr="00F073C7">
        <w:rPr>
          <w:szCs w:val="22"/>
          <w:vertAlign w:val="subscript"/>
          <w:lang w:eastAsia="en-US"/>
        </w:rPr>
        <w:t>10</w:t>
      </w:r>
      <w:r w:rsidRPr="00F073C7">
        <w:rPr>
          <w:szCs w:val="22"/>
          <w:lang w:eastAsia="en-US"/>
        </w:rPr>
        <w:t xml:space="preserve"> kopijų/ml, ALT </w:t>
      </w:r>
      <w:r>
        <w:rPr>
          <w:szCs w:val="22"/>
          <w:lang w:eastAsia="en-US"/>
        </w:rPr>
        <w:t xml:space="preserve">aktyvumo </w:t>
      </w:r>
      <w:r w:rsidRPr="00F073C7">
        <w:rPr>
          <w:szCs w:val="22"/>
          <w:lang w:eastAsia="en-US"/>
        </w:rPr>
        <w:t>vidurkis buvo 79</w:t>
      </w:r>
      <w:r w:rsidR="000A75C5">
        <w:rPr>
          <w:szCs w:val="22"/>
          <w:lang w:eastAsia="en-US"/>
        </w:rPr>
        <w:t> </w:t>
      </w:r>
      <w:r w:rsidRPr="00F073C7">
        <w:rPr>
          <w:szCs w:val="22"/>
          <w:lang w:eastAsia="en-US"/>
        </w:rPr>
        <w:t>V/l.</w:t>
      </w:r>
    </w:p>
    <w:p w14:paraId="10B6A100" w14:textId="77777777" w:rsidR="00F073C7" w:rsidRDefault="00F073C7" w:rsidP="00F073C7">
      <w:pPr>
        <w:tabs>
          <w:tab w:val="left" w:pos="567"/>
        </w:tabs>
        <w:rPr>
          <w:szCs w:val="22"/>
          <w:lang w:eastAsia="en-US"/>
        </w:rPr>
      </w:pPr>
    </w:p>
    <w:p w14:paraId="494B24DD" w14:textId="33E7A367" w:rsidR="00F073C7" w:rsidRDefault="00F073C7" w:rsidP="00F073C7">
      <w:pPr>
        <w:tabs>
          <w:tab w:val="left" w:pos="567"/>
        </w:tabs>
        <w:rPr>
          <w:szCs w:val="22"/>
          <w:lang w:eastAsia="en-US"/>
        </w:rPr>
      </w:pPr>
      <w:r w:rsidRPr="00F073C7">
        <w:rPr>
          <w:szCs w:val="22"/>
          <w:lang w:eastAsia="en-US"/>
        </w:rPr>
        <w:lastRenderedPageBreak/>
        <w:t>Pasibaigus 240 gydymo savaitei, 117 iš 141 tiriamojo (83</w:t>
      </w:r>
      <w:r w:rsidR="000A75C5">
        <w:rPr>
          <w:szCs w:val="22"/>
          <w:lang w:eastAsia="en-US"/>
        </w:rPr>
        <w:t> </w:t>
      </w:r>
      <w:r w:rsidRPr="00F073C7">
        <w:rPr>
          <w:szCs w:val="22"/>
          <w:lang w:eastAsia="en-US"/>
        </w:rPr>
        <w:t xml:space="preserve">%), kurie buvo atsitiktinai atrinkti į </w:t>
      </w:r>
      <w:r w:rsidR="000A75C5">
        <w:rPr>
          <w:szCs w:val="22"/>
          <w:lang w:eastAsia="en-US"/>
        </w:rPr>
        <w:t>t</w:t>
      </w:r>
      <w:r w:rsidR="00653D08">
        <w:rPr>
          <w:szCs w:val="22"/>
          <w:lang w:eastAsia="en-US"/>
        </w:rPr>
        <w:t xml:space="preserve">enofoviro dizoproksilio </w:t>
      </w:r>
      <w:r w:rsidRPr="00F073C7">
        <w:rPr>
          <w:szCs w:val="22"/>
          <w:lang w:eastAsia="en-US"/>
        </w:rPr>
        <w:t>grupę, buvo nustatyta HBV DNR &lt;</w:t>
      </w:r>
      <w:r w:rsidR="000A75C5" w:rsidRPr="00164838">
        <w:rPr>
          <w:szCs w:val="22"/>
          <w:lang w:eastAsia="en-US"/>
        </w:rPr>
        <w:t> </w:t>
      </w:r>
      <w:r w:rsidRPr="00F073C7">
        <w:rPr>
          <w:szCs w:val="22"/>
          <w:lang w:eastAsia="en-US"/>
        </w:rPr>
        <w:t>400</w:t>
      </w:r>
      <w:r w:rsidR="000A75C5">
        <w:rPr>
          <w:szCs w:val="22"/>
          <w:lang w:eastAsia="en-US"/>
        </w:rPr>
        <w:t> </w:t>
      </w:r>
      <w:r w:rsidRPr="00F073C7">
        <w:rPr>
          <w:szCs w:val="22"/>
          <w:lang w:eastAsia="en-US"/>
        </w:rPr>
        <w:t>kopijų/ml, o 51 iš 79 tiriamųjų (65</w:t>
      </w:r>
      <w:r w:rsidR="000A75C5">
        <w:rPr>
          <w:szCs w:val="22"/>
          <w:lang w:eastAsia="en-US"/>
        </w:rPr>
        <w:t> </w:t>
      </w:r>
      <w:r w:rsidRPr="00F073C7">
        <w:rPr>
          <w:szCs w:val="22"/>
          <w:lang w:eastAsia="en-US"/>
        </w:rPr>
        <w:t xml:space="preserve">%) – </w:t>
      </w:r>
      <w:r>
        <w:rPr>
          <w:szCs w:val="22"/>
          <w:lang w:eastAsia="en-US"/>
        </w:rPr>
        <w:t>sunormalėjęs</w:t>
      </w:r>
      <w:r w:rsidRPr="00F073C7">
        <w:rPr>
          <w:szCs w:val="22"/>
          <w:lang w:eastAsia="en-US"/>
        </w:rPr>
        <w:t xml:space="preserve"> ALT</w:t>
      </w:r>
      <w:r>
        <w:rPr>
          <w:szCs w:val="22"/>
          <w:lang w:eastAsia="en-US"/>
        </w:rPr>
        <w:t xml:space="preserve"> aktyvumas</w:t>
      </w:r>
      <w:r w:rsidRPr="00F073C7">
        <w:rPr>
          <w:szCs w:val="22"/>
          <w:lang w:eastAsia="en-US"/>
        </w:rPr>
        <w:t xml:space="preserve">. Pasibaigus 240 gydymo emtricitabinu kartu su </w:t>
      </w:r>
      <w:r w:rsidR="00152A0E">
        <w:rPr>
          <w:szCs w:val="22"/>
          <w:lang w:eastAsia="en-US"/>
        </w:rPr>
        <w:t xml:space="preserve">tenofoviru </w:t>
      </w:r>
      <w:r w:rsidR="00653D08">
        <w:rPr>
          <w:szCs w:val="22"/>
          <w:lang w:eastAsia="en-US"/>
        </w:rPr>
        <w:t>dizoproksili</w:t>
      </w:r>
      <w:r w:rsidR="00152A0E">
        <w:rPr>
          <w:szCs w:val="22"/>
          <w:lang w:eastAsia="en-US"/>
        </w:rPr>
        <w:t>u</w:t>
      </w:r>
      <w:r w:rsidR="00653D08">
        <w:rPr>
          <w:szCs w:val="22"/>
          <w:lang w:eastAsia="en-US"/>
        </w:rPr>
        <w:t xml:space="preserve"> </w:t>
      </w:r>
      <w:r w:rsidRPr="00F073C7">
        <w:rPr>
          <w:szCs w:val="22"/>
          <w:lang w:eastAsia="en-US"/>
        </w:rPr>
        <w:t>savaitei, 115 iš 139 tiriamųjų (83</w:t>
      </w:r>
      <w:r w:rsidR="000A75C5">
        <w:rPr>
          <w:szCs w:val="22"/>
          <w:lang w:eastAsia="en-US"/>
        </w:rPr>
        <w:t> </w:t>
      </w:r>
      <w:r w:rsidRPr="00F073C7">
        <w:rPr>
          <w:szCs w:val="22"/>
          <w:lang w:eastAsia="en-US"/>
        </w:rPr>
        <w:t>%) buvo nustatyta HBV DNR &lt;</w:t>
      </w:r>
      <w:r w:rsidR="000A75C5">
        <w:rPr>
          <w:szCs w:val="22"/>
          <w:lang w:eastAsia="en-US"/>
        </w:rPr>
        <w:t> </w:t>
      </w:r>
      <w:r w:rsidRPr="00F073C7">
        <w:rPr>
          <w:szCs w:val="22"/>
          <w:lang w:eastAsia="en-US"/>
        </w:rPr>
        <w:t>400</w:t>
      </w:r>
      <w:r w:rsidR="000A75C5">
        <w:rPr>
          <w:szCs w:val="22"/>
          <w:lang w:eastAsia="en-US"/>
        </w:rPr>
        <w:t> </w:t>
      </w:r>
      <w:r w:rsidRPr="00F073C7">
        <w:rPr>
          <w:szCs w:val="22"/>
          <w:lang w:eastAsia="en-US"/>
        </w:rPr>
        <w:t>kopijų/ml, o 59 iš 83 tiriamųjų (71</w:t>
      </w:r>
      <w:r w:rsidR="000A75C5">
        <w:rPr>
          <w:szCs w:val="22"/>
          <w:lang w:eastAsia="en-US"/>
        </w:rPr>
        <w:t> </w:t>
      </w:r>
      <w:r w:rsidRPr="00F073C7">
        <w:rPr>
          <w:szCs w:val="22"/>
          <w:lang w:eastAsia="en-US"/>
        </w:rPr>
        <w:t xml:space="preserve">%) – </w:t>
      </w:r>
      <w:r>
        <w:rPr>
          <w:szCs w:val="22"/>
          <w:lang w:eastAsia="en-US"/>
        </w:rPr>
        <w:t>sunormalėjęs</w:t>
      </w:r>
      <w:r w:rsidRPr="00F073C7">
        <w:rPr>
          <w:szCs w:val="22"/>
          <w:lang w:eastAsia="en-US"/>
        </w:rPr>
        <w:t xml:space="preserve"> ALT</w:t>
      </w:r>
      <w:r>
        <w:rPr>
          <w:szCs w:val="22"/>
          <w:lang w:eastAsia="en-US"/>
        </w:rPr>
        <w:t xml:space="preserve"> aktyvumas</w:t>
      </w:r>
      <w:r w:rsidRPr="00F073C7">
        <w:rPr>
          <w:szCs w:val="22"/>
          <w:lang w:eastAsia="en-US"/>
        </w:rPr>
        <w:t>. 16 iš 65 HBeAg teigiamų tiriamųjų (25</w:t>
      </w:r>
      <w:r w:rsidR="000A75C5">
        <w:rPr>
          <w:szCs w:val="22"/>
          <w:lang w:eastAsia="en-US"/>
        </w:rPr>
        <w:t> </w:t>
      </w:r>
      <w:r w:rsidRPr="00F073C7">
        <w:rPr>
          <w:szCs w:val="22"/>
          <w:lang w:eastAsia="en-US"/>
        </w:rPr>
        <w:t xml:space="preserve">%), kurie buvo atsitiktinai atrinkti į </w:t>
      </w:r>
      <w:r w:rsidR="000A75C5">
        <w:rPr>
          <w:szCs w:val="22"/>
          <w:lang w:eastAsia="en-US"/>
        </w:rPr>
        <w:t>t</w:t>
      </w:r>
      <w:r w:rsidR="00653D08">
        <w:rPr>
          <w:szCs w:val="22"/>
          <w:lang w:eastAsia="en-US"/>
        </w:rPr>
        <w:t xml:space="preserve">enofoviro dizoproksilio </w:t>
      </w:r>
      <w:r w:rsidRPr="00F073C7">
        <w:rPr>
          <w:szCs w:val="22"/>
          <w:lang w:eastAsia="en-US"/>
        </w:rPr>
        <w:t>grupę, iki</w:t>
      </w:r>
      <w:r>
        <w:rPr>
          <w:szCs w:val="22"/>
          <w:lang w:eastAsia="en-US"/>
        </w:rPr>
        <w:t xml:space="preserve"> </w:t>
      </w:r>
      <w:r w:rsidRPr="00F073C7">
        <w:rPr>
          <w:szCs w:val="22"/>
          <w:lang w:eastAsia="en-US"/>
        </w:rPr>
        <w:t>240 savaitės pasireiškė HBeAg netekimas, o 8 iš 65 tiriamųjų (12</w:t>
      </w:r>
      <w:r w:rsidR="000A75C5">
        <w:rPr>
          <w:szCs w:val="22"/>
          <w:lang w:eastAsia="en-US"/>
        </w:rPr>
        <w:t> </w:t>
      </w:r>
      <w:r w:rsidRPr="00F073C7">
        <w:rPr>
          <w:szCs w:val="22"/>
          <w:lang w:eastAsia="en-US"/>
        </w:rPr>
        <w:t>%) – anti-HBe serokonversija. 13 iš 68 (19</w:t>
      </w:r>
      <w:r w:rsidR="000A75C5">
        <w:rPr>
          <w:szCs w:val="22"/>
          <w:lang w:eastAsia="en-US"/>
        </w:rPr>
        <w:t> </w:t>
      </w:r>
      <w:r w:rsidRPr="00F073C7">
        <w:rPr>
          <w:szCs w:val="22"/>
          <w:lang w:eastAsia="en-US"/>
        </w:rPr>
        <w:t xml:space="preserve">%) HBeAg teigiamų tiriamųjų, kurie buvo atsitiktinai atrinkti į emtricitabino kartu su </w:t>
      </w:r>
      <w:r w:rsidR="00152A0E">
        <w:rPr>
          <w:szCs w:val="22"/>
          <w:lang w:eastAsia="en-US"/>
        </w:rPr>
        <w:t xml:space="preserve">tenofoviru </w:t>
      </w:r>
      <w:r w:rsidR="00653D08">
        <w:rPr>
          <w:szCs w:val="22"/>
          <w:lang w:eastAsia="en-US"/>
        </w:rPr>
        <w:t>dizoproksili</w:t>
      </w:r>
      <w:r w:rsidR="00152A0E">
        <w:rPr>
          <w:szCs w:val="22"/>
          <w:lang w:eastAsia="en-US"/>
        </w:rPr>
        <w:t>u</w:t>
      </w:r>
      <w:r w:rsidR="0009646C">
        <w:rPr>
          <w:szCs w:val="22"/>
          <w:lang w:eastAsia="en-US"/>
        </w:rPr>
        <w:t xml:space="preserve"> </w:t>
      </w:r>
      <w:r w:rsidRPr="00F073C7">
        <w:rPr>
          <w:szCs w:val="22"/>
          <w:lang w:eastAsia="en-US"/>
        </w:rPr>
        <w:t>grupę, iki 240 savaitės pasireiškė HBeAg netekimas, o 7 iš 68 tiriamųjų (10</w:t>
      </w:r>
      <w:r w:rsidR="000A75C5">
        <w:rPr>
          <w:szCs w:val="22"/>
          <w:lang w:eastAsia="en-US"/>
        </w:rPr>
        <w:t> </w:t>
      </w:r>
      <w:r w:rsidRPr="00F073C7">
        <w:rPr>
          <w:szCs w:val="22"/>
          <w:lang w:eastAsia="en-US"/>
        </w:rPr>
        <w:t xml:space="preserve">%) – anti-HBe serokonversija. Iki 240 savaitės HBsAg netekimas nustatytas dviem tiriamiesiems atsitiktinai atrinktų tiriamųjų </w:t>
      </w:r>
      <w:r w:rsidR="000A75C5">
        <w:rPr>
          <w:szCs w:val="22"/>
          <w:lang w:eastAsia="en-US"/>
        </w:rPr>
        <w:t>t</w:t>
      </w:r>
      <w:r w:rsidR="00653D08">
        <w:rPr>
          <w:szCs w:val="22"/>
          <w:lang w:eastAsia="en-US"/>
        </w:rPr>
        <w:t xml:space="preserve">enofoviro dizoproksilio </w:t>
      </w:r>
      <w:r w:rsidRPr="00F073C7">
        <w:rPr>
          <w:szCs w:val="22"/>
          <w:lang w:eastAsia="en-US"/>
        </w:rPr>
        <w:t xml:space="preserve">grupėje, anti-HBe serokonversijos nenustatyta. Penkiems tiriamiesiems, atsitiktinai atrinktiems į emtricitabino kartu su </w:t>
      </w:r>
      <w:r w:rsidR="00653D08">
        <w:rPr>
          <w:szCs w:val="22"/>
          <w:lang w:eastAsia="en-US"/>
        </w:rPr>
        <w:t>tenofovir</w:t>
      </w:r>
      <w:r w:rsidR="00152A0E">
        <w:rPr>
          <w:szCs w:val="22"/>
          <w:lang w:eastAsia="en-US"/>
        </w:rPr>
        <w:t>u</w:t>
      </w:r>
      <w:r w:rsidR="00653D08">
        <w:rPr>
          <w:szCs w:val="22"/>
          <w:lang w:eastAsia="en-US"/>
        </w:rPr>
        <w:t xml:space="preserve"> dizoproksili</w:t>
      </w:r>
      <w:r w:rsidR="00152A0E">
        <w:rPr>
          <w:szCs w:val="22"/>
          <w:lang w:eastAsia="en-US"/>
        </w:rPr>
        <w:t>u</w:t>
      </w:r>
      <w:r w:rsidR="00653D08">
        <w:rPr>
          <w:szCs w:val="22"/>
          <w:lang w:eastAsia="en-US"/>
        </w:rPr>
        <w:t xml:space="preserve"> </w:t>
      </w:r>
      <w:r w:rsidRPr="00F073C7">
        <w:rPr>
          <w:szCs w:val="22"/>
          <w:lang w:eastAsia="en-US"/>
        </w:rPr>
        <w:t>grupę, pasireiškė HBsAg netekimas, 2 iš šių 5 tiriamųjų pasireiškė anti-HBe serokonversija.</w:t>
      </w:r>
    </w:p>
    <w:p w14:paraId="62D1FE09" w14:textId="77777777" w:rsidR="000A263B" w:rsidRPr="00F073C7" w:rsidRDefault="000A263B" w:rsidP="00F073C7">
      <w:pPr>
        <w:tabs>
          <w:tab w:val="left" w:pos="567"/>
        </w:tabs>
        <w:rPr>
          <w:szCs w:val="22"/>
          <w:lang w:eastAsia="en-US"/>
        </w:rPr>
      </w:pPr>
    </w:p>
    <w:p w14:paraId="2D0B919D" w14:textId="77777777" w:rsidR="00F073C7" w:rsidRPr="000A263B" w:rsidRDefault="00F073C7" w:rsidP="00F073C7">
      <w:pPr>
        <w:tabs>
          <w:tab w:val="left" w:pos="567"/>
        </w:tabs>
        <w:rPr>
          <w:i/>
          <w:szCs w:val="22"/>
          <w:lang w:eastAsia="en-US"/>
        </w:rPr>
      </w:pPr>
      <w:r w:rsidRPr="000A263B">
        <w:rPr>
          <w:i/>
          <w:szCs w:val="22"/>
          <w:lang w:eastAsia="en-US"/>
        </w:rPr>
        <w:t>Klinikinis atsparumas</w:t>
      </w:r>
    </w:p>
    <w:p w14:paraId="2FDDEE8E" w14:textId="5BFFAD3D" w:rsidR="00F073C7" w:rsidRPr="00F073C7" w:rsidRDefault="00F073C7" w:rsidP="00F073C7">
      <w:pPr>
        <w:tabs>
          <w:tab w:val="left" w:pos="567"/>
        </w:tabs>
        <w:rPr>
          <w:szCs w:val="22"/>
          <w:lang w:eastAsia="en-US"/>
        </w:rPr>
      </w:pPr>
      <w:r w:rsidRPr="00F073C7">
        <w:rPr>
          <w:szCs w:val="22"/>
          <w:lang w:eastAsia="en-US"/>
        </w:rPr>
        <w:t xml:space="preserve">Norint nustatyti HBV polimerazės genotipo pokyčius nuo pradinių, buvo įvertinti keturi šimtai dvidešimt šeši HBeAg neigiami (GS-US-174-0102, n = 250) ir HBeAg teigiami (GS-US-174-0103, n = 176) pacientai, kurie iš pradžių buvo atsitiktinai atrinkti į dvigubai koduotą gydymą </w:t>
      </w:r>
      <w:r w:rsidR="00152A0E" w:rsidRPr="00F073C7">
        <w:rPr>
          <w:szCs w:val="22"/>
          <w:lang w:eastAsia="en-US"/>
        </w:rPr>
        <w:t>tenofovir</w:t>
      </w:r>
      <w:r w:rsidR="00152A0E">
        <w:rPr>
          <w:szCs w:val="22"/>
          <w:lang w:eastAsia="en-US"/>
        </w:rPr>
        <w:t>u</w:t>
      </w:r>
      <w:r w:rsidR="00152A0E" w:rsidRPr="00F073C7">
        <w:rPr>
          <w:szCs w:val="22"/>
          <w:lang w:eastAsia="en-US"/>
        </w:rPr>
        <w:t xml:space="preserve"> </w:t>
      </w:r>
      <w:r w:rsidRPr="00F073C7">
        <w:rPr>
          <w:szCs w:val="22"/>
          <w:lang w:eastAsia="en-US"/>
        </w:rPr>
        <w:t>dizoproksili</w:t>
      </w:r>
      <w:r w:rsidR="00B86982">
        <w:rPr>
          <w:szCs w:val="22"/>
          <w:lang w:eastAsia="en-US"/>
        </w:rPr>
        <w:t>u</w:t>
      </w:r>
      <w:r w:rsidRPr="00F073C7">
        <w:rPr>
          <w:szCs w:val="22"/>
          <w:lang w:eastAsia="en-US"/>
        </w:rPr>
        <w:t xml:space="preserve">, o po to perėjo prie atviro gydymo </w:t>
      </w:r>
      <w:r w:rsidR="00152A0E" w:rsidRPr="00F073C7">
        <w:rPr>
          <w:szCs w:val="22"/>
          <w:lang w:eastAsia="en-US"/>
        </w:rPr>
        <w:t>tenofovir</w:t>
      </w:r>
      <w:r w:rsidR="00152A0E">
        <w:rPr>
          <w:szCs w:val="22"/>
          <w:lang w:eastAsia="en-US"/>
        </w:rPr>
        <w:t>u</w:t>
      </w:r>
      <w:r w:rsidR="00152A0E" w:rsidRPr="00F073C7">
        <w:rPr>
          <w:szCs w:val="22"/>
          <w:lang w:eastAsia="en-US"/>
        </w:rPr>
        <w:t xml:space="preserve"> </w:t>
      </w:r>
      <w:r w:rsidR="00B86982">
        <w:rPr>
          <w:szCs w:val="22"/>
          <w:lang w:eastAsia="en-US"/>
        </w:rPr>
        <w:t>dizoproksiliu</w:t>
      </w:r>
      <w:r w:rsidRPr="00F073C7">
        <w:rPr>
          <w:szCs w:val="22"/>
          <w:lang w:eastAsia="en-US"/>
        </w:rPr>
        <w:t>. Taikant gydymą vien tenofovir</w:t>
      </w:r>
      <w:r w:rsidR="000C7C75">
        <w:rPr>
          <w:szCs w:val="22"/>
          <w:lang w:eastAsia="en-US"/>
        </w:rPr>
        <w:t>u</w:t>
      </w:r>
      <w:r w:rsidRPr="00F073C7">
        <w:rPr>
          <w:szCs w:val="22"/>
          <w:lang w:eastAsia="en-US"/>
        </w:rPr>
        <w:t xml:space="preserve"> dizoproksili</w:t>
      </w:r>
      <w:r w:rsidR="000C7C75">
        <w:rPr>
          <w:szCs w:val="22"/>
          <w:lang w:eastAsia="en-US"/>
        </w:rPr>
        <w:t>u</w:t>
      </w:r>
      <w:r w:rsidRPr="00F073C7">
        <w:rPr>
          <w:szCs w:val="22"/>
          <w:lang w:eastAsia="en-US"/>
        </w:rPr>
        <w:t xml:space="preserve">, 48-ąją (n = 39), 96-ąją (n = 24), 144-ąją (n = 6), 192-ąją (n = 5), 240-ąją (n = 4), 288-ąją (n = 6) ir 384-ąją (n = 2) savaitę genotipo įvertinimas visiems </w:t>
      </w:r>
      <w:r w:rsidR="000A263B">
        <w:rPr>
          <w:szCs w:val="22"/>
          <w:lang w:eastAsia="en-US"/>
        </w:rPr>
        <w:t xml:space="preserve"> pacientams, kuriems buvo </w:t>
      </w:r>
      <w:r w:rsidRPr="00F073C7">
        <w:rPr>
          <w:szCs w:val="22"/>
          <w:lang w:eastAsia="en-US"/>
        </w:rPr>
        <w:t>HBV DNR &gt;</w:t>
      </w:r>
      <w:r w:rsidR="000A75C5">
        <w:rPr>
          <w:szCs w:val="22"/>
          <w:lang w:eastAsia="en-US"/>
        </w:rPr>
        <w:t> </w:t>
      </w:r>
      <w:r w:rsidRPr="00F073C7">
        <w:rPr>
          <w:szCs w:val="22"/>
          <w:lang w:eastAsia="en-US"/>
        </w:rPr>
        <w:t>400</w:t>
      </w:r>
      <w:r w:rsidR="000A75C5">
        <w:rPr>
          <w:szCs w:val="22"/>
          <w:lang w:eastAsia="en-US"/>
        </w:rPr>
        <w:t> </w:t>
      </w:r>
      <w:r w:rsidRPr="00F073C7">
        <w:rPr>
          <w:szCs w:val="22"/>
          <w:lang w:eastAsia="en-US"/>
        </w:rPr>
        <w:t>kopijų/ml</w:t>
      </w:r>
      <w:r w:rsidR="000A263B">
        <w:rPr>
          <w:szCs w:val="22"/>
          <w:lang w:eastAsia="en-US"/>
        </w:rPr>
        <w:t>,</w:t>
      </w:r>
      <w:r w:rsidRPr="00F073C7">
        <w:rPr>
          <w:szCs w:val="22"/>
          <w:lang w:eastAsia="en-US"/>
        </w:rPr>
        <w:t xml:space="preserve"> parodė, kad su atsparumu </w:t>
      </w:r>
      <w:r w:rsidR="00152A0E" w:rsidRPr="00F073C7">
        <w:rPr>
          <w:szCs w:val="22"/>
          <w:lang w:eastAsia="en-US"/>
        </w:rPr>
        <w:t>tenofovir</w:t>
      </w:r>
      <w:r w:rsidR="00152A0E">
        <w:rPr>
          <w:szCs w:val="22"/>
          <w:lang w:eastAsia="en-US"/>
        </w:rPr>
        <w:t>ui</w:t>
      </w:r>
      <w:r w:rsidR="00152A0E" w:rsidRPr="00F073C7">
        <w:rPr>
          <w:szCs w:val="22"/>
          <w:lang w:eastAsia="en-US"/>
        </w:rPr>
        <w:t xml:space="preserve"> </w:t>
      </w:r>
      <w:r w:rsidRPr="00F073C7">
        <w:rPr>
          <w:szCs w:val="22"/>
          <w:lang w:eastAsia="en-US"/>
        </w:rPr>
        <w:t>dizoproksili</w:t>
      </w:r>
      <w:r w:rsidR="000C7C75">
        <w:rPr>
          <w:szCs w:val="22"/>
          <w:lang w:eastAsia="en-US"/>
        </w:rPr>
        <w:t>ui</w:t>
      </w:r>
      <w:r w:rsidRPr="00F073C7">
        <w:rPr>
          <w:szCs w:val="22"/>
          <w:lang w:eastAsia="en-US"/>
        </w:rPr>
        <w:t xml:space="preserve"> susijusių mutacijų neatsirado.</w:t>
      </w:r>
    </w:p>
    <w:p w14:paraId="7015921A" w14:textId="0A05C163" w:rsidR="00F073C7" w:rsidRPr="00F073C7" w:rsidRDefault="00F073C7" w:rsidP="00F073C7">
      <w:pPr>
        <w:tabs>
          <w:tab w:val="left" w:pos="567"/>
        </w:tabs>
        <w:rPr>
          <w:szCs w:val="22"/>
          <w:lang w:eastAsia="en-US"/>
        </w:rPr>
      </w:pPr>
      <w:r w:rsidRPr="00F073C7">
        <w:rPr>
          <w:szCs w:val="22"/>
          <w:lang w:eastAsia="en-US"/>
        </w:rPr>
        <w:t xml:space="preserve">Norint nustatyti HBV polimerazės genotipo pokyčius nuo pradinių, buvo įvertinti du šimtai penkiolika HBeAg neigiamų (GS-US-174-0102, n = 125) ir HBeAg teigiamų (GS-US-174-0103, n = 90) pacientų, kurie iš pradžių buvo atsitiktinai atrinkti į dvigubai koduotą gydymą </w:t>
      </w:r>
      <w:r w:rsidR="00152A0E" w:rsidRPr="00F073C7">
        <w:rPr>
          <w:szCs w:val="22"/>
          <w:lang w:eastAsia="en-US"/>
        </w:rPr>
        <w:t>adefovir</w:t>
      </w:r>
      <w:r w:rsidR="00152A0E">
        <w:rPr>
          <w:szCs w:val="22"/>
          <w:lang w:eastAsia="en-US"/>
        </w:rPr>
        <w:t>u</w:t>
      </w:r>
      <w:r w:rsidR="00152A0E" w:rsidRPr="00F073C7">
        <w:rPr>
          <w:szCs w:val="22"/>
          <w:lang w:eastAsia="en-US"/>
        </w:rPr>
        <w:t xml:space="preserve"> </w:t>
      </w:r>
      <w:r w:rsidRPr="00F073C7">
        <w:rPr>
          <w:szCs w:val="22"/>
          <w:lang w:eastAsia="en-US"/>
        </w:rPr>
        <w:t xml:space="preserve">dipivoksiliu, o po to perėjo prie atviro gydymo </w:t>
      </w:r>
      <w:r w:rsidR="00152A0E" w:rsidRPr="00F073C7">
        <w:rPr>
          <w:szCs w:val="22"/>
          <w:lang w:eastAsia="en-US"/>
        </w:rPr>
        <w:t>tenofovir</w:t>
      </w:r>
      <w:r w:rsidR="00152A0E">
        <w:rPr>
          <w:szCs w:val="22"/>
          <w:lang w:eastAsia="en-US"/>
        </w:rPr>
        <w:t>u</w:t>
      </w:r>
      <w:r w:rsidR="00152A0E" w:rsidRPr="00F073C7">
        <w:rPr>
          <w:szCs w:val="22"/>
          <w:lang w:eastAsia="en-US"/>
        </w:rPr>
        <w:t xml:space="preserve"> </w:t>
      </w:r>
      <w:r w:rsidR="00B86982" w:rsidRPr="00B86982">
        <w:rPr>
          <w:szCs w:val="22"/>
          <w:lang w:eastAsia="en-US"/>
        </w:rPr>
        <w:t>dizoproksiliu</w:t>
      </w:r>
      <w:r w:rsidRPr="00F073C7">
        <w:rPr>
          <w:szCs w:val="22"/>
          <w:lang w:eastAsia="en-US"/>
        </w:rPr>
        <w:t>. Taikant gydymą vien tenofovir</w:t>
      </w:r>
      <w:r w:rsidR="000C7C75">
        <w:rPr>
          <w:szCs w:val="22"/>
          <w:lang w:eastAsia="en-US"/>
        </w:rPr>
        <w:t>u</w:t>
      </w:r>
      <w:r w:rsidRPr="00F073C7">
        <w:rPr>
          <w:szCs w:val="22"/>
          <w:lang w:eastAsia="en-US"/>
        </w:rPr>
        <w:t xml:space="preserve"> dizoproksili</w:t>
      </w:r>
      <w:r w:rsidR="000C7C75">
        <w:rPr>
          <w:szCs w:val="22"/>
          <w:lang w:eastAsia="en-US"/>
        </w:rPr>
        <w:t>u</w:t>
      </w:r>
      <w:r w:rsidRPr="00F073C7">
        <w:rPr>
          <w:szCs w:val="22"/>
          <w:lang w:eastAsia="en-US"/>
        </w:rPr>
        <w:t>, 48-ąją (n = 16), 96-ąją (n = 5), 144-ąją (n = 1), 192-ąją (n = 2), 240-ąją (n = 1), 288-ąją (n = 1) ir 384-ąją (n = 2) savaitę genotipo įvertinimas visiems HBV DNR &gt;</w:t>
      </w:r>
      <w:r w:rsidR="00946CC7">
        <w:rPr>
          <w:szCs w:val="22"/>
          <w:lang w:eastAsia="en-US"/>
        </w:rPr>
        <w:t> </w:t>
      </w:r>
      <w:r w:rsidRPr="00F073C7">
        <w:rPr>
          <w:szCs w:val="22"/>
          <w:lang w:eastAsia="en-US"/>
        </w:rPr>
        <w:t>400</w:t>
      </w:r>
      <w:r w:rsidR="00946CC7">
        <w:rPr>
          <w:szCs w:val="22"/>
          <w:lang w:eastAsia="en-US"/>
        </w:rPr>
        <w:t> </w:t>
      </w:r>
      <w:r w:rsidRPr="00F073C7">
        <w:rPr>
          <w:szCs w:val="22"/>
          <w:lang w:eastAsia="en-US"/>
        </w:rPr>
        <w:t>kopijų/ml turintiems pacientams parodė, kad su atsparumu tenofovir</w:t>
      </w:r>
      <w:r w:rsidR="000C7C75">
        <w:rPr>
          <w:szCs w:val="22"/>
          <w:lang w:eastAsia="en-US"/>
        </w:rPr>
        <w:t>u</w:t>
      </w:r>
      <w:r w:rsidR="00152A0E">
        <w:rPr>
          <w:szCs w:val="22"/>
          <w:lang w:eastAsia="en-US"/>
        </w:rPr>
        <w:t>i</w:t>
      </w:r>
      <w:r w:rsidRPr="00F073C7">
        <w:rPr>
          <w:szCs w:val="22"/>
          <w:lang w:eastAsia="en-US"/>
        </w:rPr>
        <w:t xml:space="preserve"> dizoproksili</w:t>
      </w:r>
      <w:r w:rsidR="000C7C75">
        <w:rPr>
          <w:szCs w:val="22"/>
          <w:lang w:eastAsia="en-US"/>
        </w:rPr>
        <w:t>u</w:t>
      </w:r>
      <w:r w:rsidR="00152A0E">
        <w:rPr>
          <w:szCs w:val="22"/>
          <w:lang w:eastAsia="en-US"/>
        </w:rPr>
        <w:t>i</w:t>
      </w:r>
      <w:r w:rsidRPr="00F073C7">
        <w:rPr>
          <w:szCs w:val="22"/>
          <w:lang w:eastAsia="en-US"/>
        </w:rPr>
        <w:t xml:space="preserve"> susijusių mutacijų neatsirado.</w:t>
      </w:r>
    </w:p>
    <w:p w14:paraId="0692EB75" w14:textId="77777777" w:rsidR="000A263B" w:rsidRDefault="000A263B" w:rsidP="00F073C7">
      <w:pPr>
        <w:tabs>
          <w:tab w:val="left" w:pos="567"/>
        </w:tabs>
        <w:rPr>
          <w:szCs w:val="22"/>
          <w:lang w:eastAsia="en-US"/>
        </w:rPr>
      </w:pPr>
    </w:p>
    <w:p w14:paraId="4D5F8C4B" w14:textId="246BF85E" w:rsidR="00F073C7" w:rsidRDefault="00F073C7" w:rsidP="00F073C7">
      <w:pPr>
        <w:tabs>
          <w:tab w:val="left" w:pos="567"/>
        </w:tabs>
        <w:rPr>
          <w:szCs w:val="22"/>
          <w:lang w:eastAsia="en-US"/>
        </w:rPr>
      </w:pPr>
      <w:r w:rsidRPr="00F073C7">
        <w:rPr>
          <w:szCs w:val="22"/>
          <w:lang w:eastAsia="en-US"/>
        </w:rPr>
        <w:t xml:space="preserve">GS-US-174-0108 tyrimo metu 45 pacientai (įskaitant 9 pacientus, kuriems tyrimo pradžioje buvo patvirtintos </w:t>
      </w:r>
      <w:r w:rsidR="000A263B">
        <w:rPr>
          <w:szCs w:val="22"/>
          <w:lang w:eastAsia="en-US"/>
        </w:rPr>
        <w:t>atsparumo</w:t>
      </w:r>
      <w:r w:rsidRPr="00F073C7">
        <w:rPr>
          <w:szCs w:val="22"/>
          <w:lang w:eastAsia="en-US"/>
        </w:rPr>
        <w:t xml:space="preserve"> lamivudinui ir </w:t>
      </w:r>
      <w:r w:rsidR="000A263B">
        <w:rPr>
          <w:szCs w:val="22"/>
          <w:lang w:eastAsia="en-US"/>
        </w:rPr>
        <w:t>[</w:t>
      </w:r>
      <w:r w:rsidRPr="00F073C7">
        <w:rPr>
          <w:szCs w:val="22"/>
          <w:lang w:eastAsia="en-US"/>
        </w:rPr>
        <w:t>arba</w:t>
      </w:r>
      <w:r w:rsidR="000A263B">
        <w:rPr>
          <w:szCs w:val="22"/>
          <w:lang w:eastAsia="en-US"/>
        </w:rPr>
        <w:t>]</w:t>
      </w:r>
      <w:r w:rsidRPr="00F073C7">
        <w:rPr>
          <w:szCs w:val="22"/>
          <w:lang w:eastAsia="en-US"/>
        </w:rPr>
        <w:t xml:space="preserve"> adefoviro dipivoksiliui </w:t>
      </w:r>
      <w:r w:rsidR="000A263B" w:rsidRPr="00F073C7">
        <w:rPr>
          <w:szCs w:val="22"/>
          <w:lang w:eastAsia="en-US"/>
        </w:rPr>
        <w:t>mutacijos</w:t>
      </w:r>
      <w:r w:rsidR="000A263B">
        <w:rPr>
          <w:szCs w:val="22"/>
          <w:lang w:eastAsia="en-US"/>
        </w:rPr>
        <w:t>),</w:t>
      </w:r>
      <w:r w:rsidR="000A263B" w:rsidRPr="00F073C7">
        <w:rPr>
          <w:szCs w:val="22"/>
          <w:lang w:eastAsia="en-US"/>
        </w:rPr>
        <w:t xml:space="preserve"> </w:t>
      </w:r>
      <w:r w:rsidRPr="00F073C7">
        <w:rPr>
          <w:szCs w:val="22"/>
          <w:lang w:eastAsia="en-US"/>
        </w:rPr>
        <w:t xml:space="preserve">iki 168 savaičių buvo gydomi </w:t>
      </w:r>
      <w:r w:rsidR="00152A0E" w:rsidRPr="00F073C7">
        <w:rPr>
          <w:szCs w:val="22"/>
          <w:lang w:eastAsia="en-US"/>
        </w:rPr>
        <w:t>tenofovir</w:t>
      </w:r>
      <w:r w:rsidR="00152A0E">
        <w:rPr>
          <w:szCs w:val="22"/>
          <w:lang w:eastAsia="en-US"/>
        </w:rPr>
        <w:t>u</w:t>
      </w:r>
      <w:r w:rsidR="00152A0E" w:rsidRPr="00F073C7">
        <w:rPr>
          <w:szCs w:val="22"/>
          <w:lang w:eastAsia="en-US"/>
        </w:rPr>
        <w:t xml:space="preserve"> </w:t>
      </w:r>
      <w:r w:rsidRPr="00F073C7">
        <w:rPr>
          <w:szCs w:val="22"/>
          <w:lang w:eastAsia="en-US"/>
        </w:rPr>
        <w:t>dizoproksili</w:t>
      </w:r>
      <w:r w:rsidR="000C7C75">
        <w:rPr>
          <w:szCs w:val="22"/>
          <w:lang w:eastAsia="en-US"/>
        </w:rPr>
        <w:t>u</w:t>
      </w:r>
      <w:r w:rsidRPr="00F073C7">
        <w:rPr>
          <w:szCs w:val="22"/>
          <w:lang w:eastAsia="en-US"/>
        </w:rPr>
        <w:t>. Genotipo duomenys pagal HBV izoliatų poras (pradinę ir skyrus gydymą) buvo gauti 6/8 pacientų, kurių HBV DNR 48 savaitę buvo &gt;</w:t>
      </w:r>
      <w:r w:rsidR="003205D6">
        <w:rPr>
          <w:szCs w:val="22"/>
          <w:lang w:eastAsia="en-US"/>
        </w:rPr>
        <w:t> </w:t>
      </w:r>
      <w:r w:rsidRPr="00F073C7">
        <w:rPr>
          <w:szCs w:val="22"/>
          <w:lang w:eastAsia="en-US"/>
        </w:rPr>
        <w:t>400</w:t>
      </w:r>
      <w:r w:rsidR="003205D6">
        <w:rPr>
          <w:szCs w:val="22"/>
          <w:lang w:eastAsia="en-US"/>
        </w:rPr>
        <w:t> </w:t>
      </w:r>
      <w:r w:rsidRPr="00F073C7">
        <w:rPr>
          <w:szCs w:val="22"/>
          <w:lang w:eastAsia="en-US"/>
        </w:rPr>
        <w:t xml:space="preserve">kopijų/ml. Šiuose izoliatuose jokių amino rūgščių pakaitų, susijusių su </w:t>
      </w:r>
      <w:r w:rsidR="000A263B">
        <w:rPr>
          <w:szCs w:val="22"/>
          <w:lang w:eastAsia="en-US"/>
        </w:rPr>
        <w:t>atsparumu</w:t>
      </w:r>
      <w:r w:rsidRPr="00F073C7">
        <w:rPr>
          <w:szCs w:val="22"/>
          <w:lang w:eastAsia="en-US"/>
        </w:rPr>
        <w:t xml:space="preserve"> </w:t>
      </w:r>
      <w:r w:rsidR="00152A0E" w:rsidRPr="00F073C7">
        <w:rPr>
          <w:szCs w:val="22"/>
          <w:lang w:eastAsia="en-US"/>
        </w:rPr>
        <w:t>tenofovir</w:t>
      </w:r>
      <w:r w:rsidR="00152A0E">
        <w:rPr>
          <w:szCs w:val="22"/>
          <w:lang w:eastAsia="en-US"/>
        </w:rPr>
        <w:t>ui</w:t>
      </w:r>
      <w:r w:rsidR="00152A0E" w:rsidRPr="00F073C7">
        <w:rPr>
          <w:szCs w:val="22"/>
          <w:lang w:eastAsia="en-US"/>
        </w:rPr>
        <w:t xml:space="preserve"> </w:t>
      </w:r>
      <w:r w:rsidRPr="00F073C7">
        <w:rPr>
          <w:szCs w:val="22"/>
          <w:lang w:eastAsia="en-US"/>
        </w:rPr>
        <w:t>dizoproksili</w:t>
      </w:r>
      <w:r w:rsidR="000C7C75">
        <w:rPr>
          <w:szCs w:val="22"/>
          <w:lang w:eastAsia="en-US"/>
        </w:rPr>
        <w:t>ui</w:t>
      </w:r>
      <w:r w:rsidRPr="00F073C7">
        <w:rPr>
          <w:szCs w:val="22"/>
          <w:lang w:eastAsia="en-US"/>
        </w:rPr>
        <w:t xml:space="preserve">, nestebėta. Po 48 savaičių 5 </w:t>
      </w:r>
      <w:r w:rsidR="003205D6">
        <w:rPr>
          <w:szCs w:val="22"/>
          <w:lang w:eastAsia="en-US"/>
        </w:rPr>
        <w:t>t</w:t>
      </w:r>
      <w:r w:rsidR="00653D08">
        <w:rPr>
          <w:szCs w:val="22"/>
          <w:lang w:eastAsia="en-US"/>
        </w:rPr>
        <w:t xml:space="preserve">enofoviro dizoproksilio </w:t>
      </w:r>
      <w:r w:rsidRPr="00F073C7">
        <w:rPr>
          <w:szCs w:val="22"/>
          <w:lang w:eastAsia="en-US"/>
        </w:rPr>
        <w:t xml:space="preserve">grupės tiriamiesiems atlikta genotipo analizė. Amino rūgščių pakaitų, susijusių su </w:t>
      </w:r>
      <w:r w:rsidR="000A263B">
        <w:rPr>
          <w:szCs w:val="22"/>
          <w:lang w:eastAsia="en-US"/>
        </w:rPr>
        <w:t>atsparumu</w:t>
      </w:r>
      <w:r w:rsidRPr="00F073C7">
        <w:rPr>
          <w:szCs w:val="22"/>
          <w:lang w:eastAsia="en-US"/>
        </w:rPr>
        <w:t xml:space="preserve"> </w:t>
      </w:r>
      <w:r w:rsidR="00152A0E" w:rsidRPr="00F073C7">
        <w:rPr>
          <w:szCs w:val="22"/>
          <w:lang w:eastAsia="en-US"/>
        </w:rPr>
        <w:t>tenofovir</w:t>
      </w:r>
      <w:r w:rsidR="00152A0E">
        <w:rPr>
          <w:szCs w:val="22"/>
          <w:lang w:eastAsia="en-US"/>
        </w:rPr>
        <w:t>ui</w:t>
      </w:r>
      <w:r w:rsidR="00152A0E" w:rsidRPr="00F073C7">
        <w:rPr>
          <w:szCs w:val="22"/>
          <w:lang w:eastAsia="en-US"/>
        </w:rPr>
        <w:t xml:space="preserve"> </w:t>
      </w:r>
      <w:r w:rsidRPr="00F073C7">
        <w:rPr>
          <w:szCs w:val="22"/>
          <w:lang w:eastAsia="en-US"/>
        </w:rPr>
        <w:t>dizoproksili</w:t>
      </w:r>
      <w:r w:rsidR="000C7C75">
        <w:rPr>
          <w:szCs w:val="22"/>
          <w:lang w:eastAsia="en-US"/>
        </w:rPr>
        <w:t>ui</w:t>
      </w:r>
      <w:r w:rsidRPr="00F073C7">
        <w:rPr>
          <w:szCs w:val="22"/>
          <w:lang w:eastAsia="en-US"/>
        </w:rPr>
        <w:t>, ne</w:t>
      </w:r>
      <w:r w:rsidR="001F003F">
        <w:rPr>
          <w:szCs w:val="22"/>
          <w:lang w:eastAsia="en-US"/>
        </w:rPr>
        <w:t>pa</w:t>
      </w:r>
      <w:r w:rsidRPr="00F073C7">
        <w:rPr>
          <w:szCs w:val="22"/>
          <w:lang w:eastAsia="en-US"/>
        </w:rPr>
        <w:t>stebėta nė vienam tiriamajam.</w:t>
      </w:r>
    </w:p>
    <w:p w14:paraId="6595FA34" w14:textId="77777777" w:rsidR="000A263B" w:rsidRPr="00F073C7" w:rsidRDefault="000A263B" w:rsidP="00F073C7">
      <w:pPr>
        <w:tabs>
          <w:tab w:val="left" w:pos="567"/>
        </w:tabs>
        <w:rPr>
          <w:szCs w:val="22"/>
          <w:lang w:eastAsia="en-US"/>
        </w:rPr>
      </w:pPr>
    </w:p>
    <w:p w14:paraId="45AC7861" w14:textId="5FCC7DD8" w:rsidR="00F073C7" w:rsidRPr="00F073C7" w:rsidRDefault="00F073C7" w:rsidP="00F073C7">
      <w:pPr>
        <w:tabs>
          <w:tab w:val="left" w:pos="567"/>
        </w:tabs>
        <w:rPr>
          <w:szCs w:val="22"/>
          <w:lang w:eastAsia="en-US"/>
        </w:rPr>
      </w:pPr>
      <w:r w:rsidRPr="00F073C7">
        <w:rPr>
          <w:szCs w:val="22"/>
          <w:lang w:eastAsia="en-US"/>
        </w:rPr>
        <w:t xml:space="preserve">GS-US-174-0121 tyrimo metu 141 pacientas, kuriam tyrimo pradžioje buvo </w:t>
      </w:r>
      <w:r w:rsidR="000A263B">
        <w:rPr>
          <w:szCs w:val="22"/>
          <w:lang w:eastAsia="en-US"/>
        </w:rPr>
        <w:t xml:space="preserve">atsparumą lamivudinui sukeliantys </w:t>
      </w:r>
      <w:r w:rsidRPr="00F073C7">
        <w:rPr>
          <w:szCs w:val="22"/>
          <w:lang w:eastAsia="en-US"/>
        </w:rPr>
        <w:t xml:space="preserve">pakaitai, iki 240 savaičių buvo gydomas </w:t>
      </w:r>
      <w:r w:rsidR="00152A0E" w:rsidRPr="00F073C7">
        <w:rPr>
          <w:szCs w:val="22"/>
          <w:lang w:eastAsia="en-US"/>
        </w:rPr>
        <w:t>tenofovir</w:t>
      </w:r>
      <w:r w:rsidR="00152A0E">
        <w:rPr>
          <w:szCs w:val="22"/>
          <w:lang w:eastAsia="en-US"/>
        </w:rPr>
        <w:t>u</w:t>
      </w:r>
      <w:r w:rsidR="00152A0E" w:rsidRPr="00F073C7">
        <w:rPr>
          <w:szCs w:val="22"/>
          <w:lang w:eastAsia="en-US"/>
        </w:rPr>
        <w:t xml:space="preserve"> </w:t>
      </w:r>
      <w:r w:rsidRPr="00F073C7">
        <w:rPr>
          <w:szCs w:val="22"/>
          <w:lang w:eastAsia="en-US"/>
        </w:rPr>
        <w:t>dizoproksili</w:t>
      </w:r>
      <w:r w:rsidR="000C7C75">
        <w:rPr>
          <w:szCs w:val="22"/>
          <w:lang w:eastAsia="en-US"/>
        </w:rPr>
        <w:t>u</w:t>
      </w:r>
      <w:r w:rsidRPr="00F073C7">
        <w:rPr>
          <w:szCs w:val="22"/>
          <w:lang w:eastAsia="en-US"/>
        </w:rPr>
        <w:t xml:space="preserve">. Iki paskutinio gydymo </w:t>
      </w:r>
      <w:r w:rsidR="00152A0E">
        <w:rPr>
          <w:szCs w:val="22"/>
          <w:lang w:eastAsia="en-US"/>
        </w:rPr>
        <w:t xml:space="preserve">tenofoviru </w:t>
      </w:r>
      <w:r w:rsidR="00653D08">
        <w:rPr>
          <w:szCs w:val="22"/>
          <w:lang w:eastAsia="en-US"/>
        </w:rPr>
        <w:t>dizoproksili</w:t>
      </w:r>
      <w:r w:rsidR="003205D6">
        <w:rPr>
          <w:szCs w:val="22"/>
          <w:lang w:eastAsia="en-US"/>
        </w:rPr>
        <w:t>u</w:t>
      </w:r>
      <w:r w:rsidR="00653D08">
        <w:rPr>
          <w:szCs w:val="22"/>
          <w:lang w:eastAsia="en-US"/>
        </w:rPr>
        <w:t xml:space="preserve"> </w:t>
      </w:r>
      <w:r w:rsidRPr="00F073C7">
        <w:rPr>
          <w:szCs w:val="22"/>
          <w:lang w:eastAsia="en-US"/>
        </w:rPr>
        <w:t>momento iš viso 4 pacientams pasireiškė viremijos epizodai (HBV DNR &gt;</w:t>
      </w:r>
      <w:r w:rsidR="003205D6">
        <w:rPr>
          <w:szCs w:val="22"/>
          <w:lang w:eastAsia="en-US"/>
        </w:rPr>
        <w:t> </w:t>
      </w:r>
      <w:r w:rsidRPr="00F073C7">
        <w:rPr>
          <w:szCs w:val="22"/>
          <w:lang w:eastAsia="en-US"/>
        </w:rPr>
        <w:t>400</w:t>
      </w:r>
      <w:r w:rsidR="003205D6">
        <w:rPr>
          <w:szCs w:val="22"/>
          <w:lang w:eastAsia="en-US"/>
        </w:rPr>
        <w:t> </w:t>
      </w:r>
      <w:r w:rsidRPr="00F073C7">
        <w:rPr>
          <w:szCs w:val="22"/>
          <w:lang w:eastAsia="en-US"/>
        </w:rPr>
        <w:t xml:space="preserve">kopijų/ml). Sekos duomenys pagal HBV izoliatų poras (pradinę ir skyrus gydymą) buvo gauti 2 iš šių 4 pacientų. Šiuose izoliatuose jokių amino rūgščių pakaitų, susijusių su </w:t>
      </w:r>
      <w:r w:rsidR="000A263B">
        <w:rPr>
          <w:szCs w:val="22"/>
          <w:lang w:eastAsia="en-US"/>
        </w:rPr>
        <w:t>atsparumu</w:t>
      </w:r>
      <w:r w:rsidRPr="00F073C7">
        <w:rPr>
          <w:szCs w:val="22"/>
          <w:lang w:eastAsia="en-US"/>
        </w:rPr>
        <w:t xml:space="preserve"> </w:t>
      </w:r>
      <w:r w:rsidR="00152A0E" w:rsidRPr="00F073C7">
        <w:rPr>
          <w:szCs w:val="22"/>
          <w:lang w:eastAsia="en-US"/>
        </w:rPr>
        <w:t>tenofovir</w:t>
      </w:r>
      <w:r w:rsidR="00152A0E">
        <w:rPr>
          <w:szCs w:val="22"/>
          <w:lang w:eastAsia="en-US"/>
        </w:rPr>
        <w:t>ui</w:t>
      </w:r>
      <w:r w:rsidR="00152A0E" w:rsidRPr="00F073C7">
        <w:rPr>
          <w:szCs w:val="22"/>
          <w:lang w:eastAsia="en-US"/>
        </w:rPr>
        <w:t xml:space="preserve"> </w:t>
      </w:r>
      <w:r w:rsidRPr="00F073C7">
        <w:rPr>
          <w:szCs w:val="22"/>
          <w:lang w:eastAsia="en-US"/>
        </w:rPr>
        <w:t>dizoproksili</w:t>
      </w:r>
      <w:r w:rsidR="000C7C75">
        <w:rPr>
          <w:szCs w:val="22"/>
          <w:lang w:eastAsia="en-US"/>
        </w:rPr>
        <w:t>ui</w:t>
      </w:r>
      <w:r w:rsidRPr="00F073C7">
        <w:rPr>
          <w:szCs w:val="22"/>
          <w:lang w:eastAsia="en-US"/>
        </w:rPr>
        <w:t>, ne</w:t>
      </w:r>
      <w:r w:rsidR="000A263B">
        <w:rPr>
          <w:szCs w:val="22"/>
          <w:lang w:eastAsia="en-US"/>
        </w:rPr>
        <w:t>aptikta</w:t>
      </w:r>
      <w:r w:rsidRPr="00F073C7">
        <w:rPr>
          <w:szCs w:val="22"/>
          <w:lang w:eastAsia="en-US"/>
        </w:rPr>
        <w:t>.</w:t>
      </w:r>
    </w:p>
    <w:p w14:paraId="0492F2C4" w14:textId="77777777" w:rsidR="000A263B" w:rsidRDefault="000A263B" w:rsidP="00F073C7">
      <w:pPr>
        <w:tabs>
          <w:tab w:val="left" w:pos="567"/>
        </w:tabs>
        <w:rPr>
          <w:szCs w:val="22"/>
          <w:lang w:eastAsia="en-US"/>
        </w:rPr>
      </w:pPr>
    </w:p>
    <w:p w14:paraId="1477EE4C" w14:textId="387ECBB6" w:rsidR="001364E4" w:rsidRDefault="00F073C7" w:rsidP="00F073C7">
      <w:pPr>
        <w:tabs>
          <w:tab w:val="left" w:pos="567"/>
        </w:tabs>
        <w:rPr>
          <w:szCs w:val="22"/>
          <w:lang w:eastAsia="en-US"/>
        </w:rPr>
      </w:pPr>
      <w:r w:rsidRPr="00F073C7">
        <w:rPr>
          <w:szCs w:val="22"/>
          <w:lang w:eastAsia="en-US"/>
        </w:rPr>
        <w:t xml:space="preserve">Vartojimo </w:t>
      </w:r>
      <w:r w:rsidR="000A263B">
        <w:rPr>
          <w:szCs w:val="22"/>
          <w:lang w:eastAsia="en-US"/>
        </w:rPr>
        <w:t>vaikams ir</w:t>
      </w:r>
      <w:r w:rsidR="00EF4C22">
        <w:rPr>
          <w:szCs w:val="22"/>
          <w:lang w:eastAsia="en-US"/>
        </w:rPr>
        <w:t xml:space="preserve"> </w:t>
      </w:r>
      <w:r w:rsidRPr="00F073C7">
        <w:rPr>
          <w:szCs w:val="22"/>
          <w:lang w:eastAsia="en-US"/>
        </w:rPr>
        <w:t xml:space="preserve">paaugliams tyrimo (GS-US-174-0115) metu 52 pacientai (įskaitant 6 pacientus, kuriems tyrimo pradžioje buvo patvirtintos </w:t>
      </w:r>
      <w:r w:rsidR="000A263B">
        <w:rPr>
          <w:szCs w:val="22"/>
          <w:lang w:eastAsia="en-US"/>
        </w:rPr>
        <w:t>atsparumo</w:t>
      </w:r>
      <w:r w:rsidRPr="00F073C7">
        <w:rPr>
          <w:szCs w:val="22"/>
          <w:lang w:eastAsia="en-US"/>
        </w:rPr>
        <w:t xml:space="preserve"> lamivudinui</w:t>
      </w:r>
      <w:r w:rsidR="000A263B" w:rsidRPr="000A263B">
        <w:rPr>
          <w:szCs w:val="22"/>
          <w:lang w:eastAsia="en-US"/>
        </w:rPr>
        <w:t xml:space="preserve"> </w:t>
      </w:r>
      <w:r w:rsidR="000A263B" w:rsidRPr="00F073C7">
        <w:rPr>
          <w:szCs w:val="22"/>
          <w:lang w:eastAsia="en-US"/>
        </w:rPr>
        <w:t>mutacijos</w:t>
      </w:r>
      <w:r w:rsidRPr="00F073C7">
        <w:rPr>
          <w:szCs w:val="22"/>
          <w:lang w:eastAsia="en-US"/>
        </w:rPr>
        <w:t>) pradžioje iki 72 savaičių buvo gydomi koduotu tenofovir</w:t>
      </w:r>
      <w:r w:rsidR="000C7C75">
        <w:rPr>
          <w:szCs w:val="22"/>
          <w:lang w:eastAsia="en-US"/>
        </w:rPr>
        <w:t>u</w:t>
      </w:r>
      <w:r w:rsidRPr="00F073C7">
        <w:rPr>
          <w:szCs w:val="22"/>
          <w:lang w:eastAsia="en-US"/>
        </w:rPr>
        <w:t xml:space="preserve"> dizoproksili</w:t>
      </w:r>
      <w:r w:rsidR="000C7C75">
        <w:rPr>
          <w:szCs w:val="22"/>
          <w:lang w:eastAsia="en-US"/>
        </w:rPr>
        <w:t>u</w:t>
      </w:r>
      <w:r w:rsidRPr="00F073C7">
        <w:rPr>
          <w:szCs w:val="22"/>
          <w:lang w:eastAsia="en-US"/>
        </w:rPr>
        <w:t xml:space="preserve">, tada 51 iš 52 pacientų taikytas atviras gydymas </w:t>
      </w:r>
      <w:r w:rsidR="00152A0E">
        <w:rPr>
          <w:szCs w:val="22"/>
          <w:lang w:eastAsia="en-US"/>
        </w:rPr>
        <w:t xml:space="preserve">tenofoviru </w:t>
      </w:r>
      <w:r w:rsidR="00653D08">
        <w:rPr>
          <w:szCs w:val="22"/>
          <w:lang w:eastAsia="en-US"/>
        </w:rPr>
        <w:t>dizoproksili</w:t>
      </w:r>
      <w:r w:rsidR="001F003F">
        <w:rPr>
          <w:szCs w:val="22"/>
          <w:lang w:eastAsia="en-US"/>
        </w:rPr>
        <w:t>u</w:t>
      </w:r>
      <w:r w:rsidR="00653D08">
        <w:rPr>
          <w:szCs w:val="22"/>
          <w:lang w:eastAsia="en-US"/>
        </w:rPr>
        <w:t xml:space="preserve"> </w:t>
      </w:r>
      <w:r w:rsidRPr="00F073C7">
        <w:rPr>
          <w:szCs w:val="22"/>
          <w:lang w:eastAsia="en-US"/>
        </w:rPr>
        <w:t>(</w:t>
      </w:r>
      <w:r w:rsidR="00152A0E">
        <w:rPr>
          <w:szCs w:val="22"/>
          <w:lang w:eastAsia="en-US"/>
        </w:rPr>
        <w:t>tenofoviro dizoproksilio – tenofoviro dizoproksilio</w:t>
      </w:r>
      <w:r w:rsidRPr="00F073C7">
        <w:rPr>
          <w:szCs w:val="22"/>
          <w:lang w:eastAsia="en-US"/>
        </w:rPr>
        <w:t xml:space="preserve"> grupė). Genotipo įvertinimai buvo atliekami visiems šios grupės pacientams, kurių HBV DNR buvo &gt;</w:t>
      </w:r>
      <w:r w:rsidR="003205D6">
        <w:rPr>
          <w:szCs w:val="22"/>
          <w:lang w:eastAsia="en-US"/>
        </w:rPr>
        <w:t> </w:t>
      </w:r>
      <w:r w:rsidRPr="00F073C7">
        <w:rPr>
          <w:szCs w:val="22"/>
          <w:lang w:eastAsia="en-US"/>
        </w:rPr>
        <w:t>400</w:t>
      </w:r>
      <w:r w:rsidR="003205D6">
        <w:rPr>
          <w:szCs w:val="22"/>
          <w:lang w:eastAsia="en-US"/>
        </w:rPr>
        <w:t> </w:t>
      </w:r>
      <w:r w:rsidRPr="00F073C7">
        <w:rPr>
          <w:szCs w:val="22"/>
          <w:lang w:eastAsia="en-US"/>
        </w:rPr>
        <w:t xml:space="preserve">kopijų/ml 48 savaitę (n = 6), 72 savaitę (n = 5), 96 savaitę (n = 4), 144 savaitę (n = 2) ir 192 savaitę (n = 3). Penkiasdešimt keturi pacientai (įskaitant 2 pacientus, kuriems tyrimo pradžioje buvo patvirtintos </w:t>
      </w:r>
      <w:r w:rsidR="000A263B">
        <w:rPr>
          <w:szCs w:val="22"/>
          <w:lang w:eastAsia="en-US"/>
        </w:rPr>
        <w:t>atsparumo</w:t>
      </w:r>
      <w:r w:rsidRPr="00F073C7">
        <w:rPr>
          <w:szCs w:val="22"/>
          <w:lang w:eastAsia="en-US"/>
        </w:rPr>
        <w:t xml:space="preserve"> lamivudinui</w:t>
      </w:r>
      <w:r w:rsidR="000A263B" w:rsidRPr="000A263B">
        <w:rPr>
          <w:szCs w:val="22"/>
          <w:lang w:eastAsia="en-US"/>
        </w:rPr>
        <w:t xml:space="preserve"> </w:t>
      </w:r>
      <w:r w:rsidR="000A263B" w:rsidRPr="00F073C7">
        <w:rPr>
          <w:szCs w:val="22"/>
          <w:lang w:eastAsia="en-US"/>
        </w:rPr>
        <w:t>mutacijos</w:t>
      </w:r>
      <w:r w:rsidRPr="00F073C7">
        <w:rPr>
          <w:szCs w:val="22"/>
          <w:lang w:eastAsia="en-US"/>
        </w:rPr>
        <w:t xml:space="preserve">) pradžioje 72 savaites vartojo koduotą placebą, tada 52 iš 54 pacientų buvo skiriamas </w:t>
      </w:r>
      <w:r w:rsidR="00152A0E" w:rsidRPr="00F073C7">
        <w:rPr>
          <w:szCs w:val="22"/>
          <w:lang w:eastAsia="en-US"/>
        </w:rPr>
        <w:t>tenofovir</w:t>
      </w:r>
      <w:r w:rsidR="00152A0E">
        <w:rPr>
          <w:szCs w:val="22"/>
          <w:lang w:eastAsia="en-US"/>
        </w:rPr>
        <w:t>as</w:t>
      </w:r>
      <w:r w:rsidR="00152A0E" w:rsidRPr="00F073C7">
        <w:rPr>
          <w:szCs w:val="22"/>
          <w:lang w:eastAsia="en-US"/>
        </w:rPr>
        <w:t xml:space="preserve"> </w:t>
      </w:r>
      <w:r w:rsidRPr="00F073C7">
        <w:rPr>
          <w:szCs w:val="22"/>
          <w:lang w:eastAsia="en-US"/>
        </w:rPr>
        <w:t>dizoproksili</w:t>
      </w:r>
      <w:r w:rsidR="000C7C75">
        <w:rPr>
          <w:szCs w:val="22"/>
          <w:lang w:eastAsia="en-US"/>
        </w:rPr>
        <w:t>s</w:t>
      </w:r>
      <w:r w:rsidRPr="00F073C7">
        <w:rPr>
          <w:szCs w:val="22"/>
          <w:lang w:eastAsia="en-US"/>
        </w:rPr>
        <w:t xml:space="preserve"> (PLB-</w:t>
      </w:r>
      <w:r w:rsidR="00152A0E">
        <w:rPr>
          <w:szCs w:val="22"/>
          <w:lang w:eastAsia="en-US"/>
        </w:rPr>
        <w:t xml:space="preserve"> tenofoviro dizoproksilio</w:t>
      </w:r>
      <w:r w:rsidRPr="00F073C7">
        <w:rPr>
          <w:szCs w:val="22"/>
          <w:lang w:eastAsia="en-US"/>
        </w:rPr>
        <w:t xml:space="preserve"> grupė). Genotipo įvertinimai buvo atliekami visiems šios grupės pacientams, kurių HBV DNR buvo &gt;</w:t>
      </w:r>
      <w:r w:rsidR="003205D6">
        <w:rPr>
          <w:szCs w:val="22"/>
          <w:lang w:eastAsia="en-US"/>
        </w:rPr>
        <w:t> </w:t>
      </w:r>
      <w:r w:rsidRPr="00F073C7">
        <w:rPr>
          <w:szCs w:val="22"/>
          <w:lang w:eastAsia="en-US"/>
        </w:rPr>
        <w:t>400</w:t>
      </w:r>
      <w:r w:rsidR="003205D6">
        <w:rPr>
          <w:szCs w:val="22"/>
          <w:lang w:eastAsia="en-US"/>
        </w:rPr>
        <w:t> </w:t>
      </w:r>
      <w:r w:rsidRPr="00F073C7">
        <w:rPr>
          <w:szCs w:val="22"/>
          <w:lang w:eastAsia="en-US"/>
        </w:rPr>
        <w:t xml:space="preserve">kopijų/ml 96 </w:t>
      </w:r>
      <w:r w:rsidRPr="00F073C7">
        <w:rPr>
          <w:szCs w:val="22"/>
          <w:lang w:eastAsia="en-US"/>
        </w:rPr>
        <w:lastRenderedPageBreak/>
        <w:t xml:space="preserve">savaitę (n = 17), 144 savaitę (n = 7) ir 192 savaitę (n = 8). Šiuose izoliatuose jokių amino rūgščių pakaitų, susijusių su </w:t>
      </w:r>
      <w:r w:rsidR="00711E17">
        <w:rPr>
          <w:szCs w:val="22"/>
          <w:lang w:eastAsia="en-US"/>
        </w:rPr>
        <w:t>atsparumu</w:t>
      </w:r>
      <w:r w:rsidRPr="00F073C7">
        <w:rPr>
          <w:szCs w:val="22"/>
          <w:lang w:eastAsia="en-US"/>
        </w:rPr>
        <w:t xml:space="preserve"> </w:t>
      </w:r>
      <w:r w:rsidR="00152A0E" w:rsidRPr="00F073C7">
        <w:rPr>
          <w:szCs w:val="22"/>
          <w:lang w:eastAsia="en-US"/>
        </w:rPr>
        <w:t>tenofovir</w:t>
      </w:r>
      <w:r w:rsidR="00152A0E">
        <w:rPr>
          <w:szCs w:val="22"/>
          <w:lang w:eastAsia="en-US"/>
        </w:rPr>
        <w:t>ui</w:t>
      </w:r>
      <w:r w:rsidR="00152A0E" w:rsidRPr="00F073C7">
        <w:rPr>
          <w:szCs w:val="22"/>
          <w:lang w:eastAsia="en-US"/>
        </w:rPr>
        <w:t xml:space="preserve"> </w:t>
      </w:r>
      <w:r w:rsidRPr="00F073C7">
        <w:rPr>
          <w:szCs w:val="22"/>
          <w:lang w:eastAsia="en-US"/>
        </w:rPr>
        <w:t>dizoproksili</w:t>
      </w:r>
      <w:r w:rsidR="000C7C75">
        <w:rPr>
          <w:szCs w:val="22"/>
          <w:lang w:eastAsia="en-US"/>
        </w:rPr>
        <w:t>ui</w:t>
      </w:r>
      <w:r w:rsidRPr="00F073C7">
        <w:rPr>
          <w:szCs w:val="22"/>
          <w:lang w:eastAsia="en-US"/>
        </w:rPr>
        <w:t>, ne</w:t>
      </w:r>
      <w:r w:rsidR="00711E17">
        <w:rPr>
          <w:szCs w:val="22"/>
          <w:lang w:eastAsia="en-US"/>
        </w:rPr>
        <w:t>aptikta</w:t>
      </w:r>
      <w:r w:rsidRPr="00F073C7">
        <w:rPr>
          <w:szCs w:val="22"/>
          <w:lang w:eastAsia="en-US"/>
        </w:rPr>
        <w:t>.</w:t>
      </w:r>
    </w:p>
    <w:p w14:paraId="57FD89B6" w14:textId="77777777" w:rsidR="00F073C7" w:rsidRDefault="00F073C7" w:rsidP="00F073C7">
      <w:pPr>
        <w:tabs>
          <w:tab w:val="left" w:pos="567"/>
        </w:tabs>
        <w:rPr>
          <w:szCs w:val="22"/>
          <w:lang w:eastAsia="en-US"/>
        </w:rPr>
      </w:pPr>
    </w:p>
    <w:p w14:paraId="10E8F56C" w14:textId="4A9D0CF7" w:rsidR="00FF412E" w:rsidRDefault="00FF412E" w:rsidP="00FF412E">
      <w:pPr>
        <w:tabs>
          <w:tab w:val="left" w:pos="567"/>
        </w:tabs>
        <w:rPr>
          <w:szCs w:val="22"/>
          <w:lang w:eastAsia="en-US"/>
        </w:rPr>
      </w:pPr>
      <w:r w:rsidRPr="00FF412E">
        <w:rPr>
          <w:szCs w:val="22"/>
          <w:lang w:eastAsia="en-US"/>
        </w:rPr>
        <w:t>Vartojimo vaikams tyrimo (GS-US-174-0144) metu genotipo duomenys pagal HBV izoliatų poras</w:t>
      </w:r>
      <w:r>
        <w:rPr>
          <w:szCs w:val="22"/>
          <w:lang w:eastAsia="en-US"/>
        </w:rPr>
        <w:t xml:space="preserve"> </w:t>
      </w:r>
      <w:r w:rsidRPr="00FF412E">
        <w:rPr>
          <w:szCs w:val="22"/>
          <w:lang w:eastAsia="en-US"/>
        </w:rPr>
        <w:t>(pradinę ir skyrus gydymą) buvo gauti 9 iš 10 tenofovirą dizoproksilį vartojusių pacientų, kurių</w:t>
      </w:r>
      <w:r>
        <w:rPr>
          <w:szCs w:val="22"/>
          <w:lang w:eastAsia="en-US"/>
        </w:rPr>
        <w:t xml:space="preserve"> </w:t>
      </w:r>
      <w:r w:rsidRPr="00FF412E">
        <w:rPr>
          <w:szCs w:val="22"/>
          <w:lang w:eastAsia="en-US"/>
        </w:rPr>
        <w:t>HBV DNR kiekis plazmoje buvo &gt; 400 kopijų/ml. Šiuose izoliatuose jokių amino rūgščių pakaitų,</w:t>
      </w:r>
      <w:r>
        <w:rPr>
          <w:szCs w:val="22"/>
          <w:lang w:eastAsia="en-US"/>
        </w:rPr>
        <w:t xml:space="preserve"> </w:t>
      </w:r>
      <w:r w:rsidRPr="00FF412E">
        <w:rPr>
          <w:szCs w:val="22"/>
          <w:lang w:eastAsia="en-US"/>
        </w:rPr>
        <w:t>susijusių su rezistentiškumu tenofovirui dizoproksiliui, iki 48 savaitės nestebėta.</w:t>
      </w:r>
    </w:p>
    <w:p w14:paraId="541BE608" w14:textId="77777777" w:rsidR="00FF412E" w:rsidRDefault="00FF412E" w:rsidP="00F073C7">
      <w:pPr>
        <w:tabs>
          <w:tab w:val="left" w:pos="567"/>
        </w:tabs>
        <w:rPr>
          <w:szCs w:val="22"/>
          <w:lang w:eastAsia="en-US"/>
        </w:rPr>
      </w:pPr>
    </w:p>
    <w:p w14:paraId="3498FC7C" w14:textId="77777777" w:rsidR="00711E17" w:rsidRPr="00711E17" w:rsidRDefault="00711E17" w:rsidP="00711E17">
      <w:pPr>
        <w:tabs>
          <w:tab w:val="left" w:pos="567"/>
        </w:tabs>
        <w:rPr>
          <w:szCs w:val="22"/>
          <w:u w:val="single"/>
          <w:lang w:eastAsia="en-US"/>
        </w:rPr>
      </w:pPr>
      <w:r w:rsidRPr="00711E17">
        <w:rPr>
          <w:szCs w:val="22"/>
          <w:u w:val="single"/>
          <w:lang w:eastAsia="en-US"/>
        </w:rPr>
        <w:t>Vaikų populiacija</w:t>
      </w:r>
    </w:p>
    <w:p w14:paraId="6C1AF411" w14:textId="58A8DBBD" w:rsidR="00711E17" w:rsidRDefault="00711E17" w:rsidP="00711E17">
      <w:pPr>
        <w:tabs>
          <w:tab w:val="left" w:pos="567"/>
        </w:tabs>
        <w:rPr>
          <w:szCs w:val="22"/>
          <w:lang w:eastAsia="en-US"/>
        </w:rPr>
      </w:pPr>
      <w:r w:rsidRPr="002A1B3E">
        <w:rPr>
          <w:i/>
          <w:szCs w:val="22"/>
          <w:lang w:eastAsia="en-US"/>
        </w:rPr>
        <w:t>ŽIV-1</w:t>
      </w:r>
      <w:r w:rsidRPr="00711E17">
        <w:rPr>
          <w:szCs w:val="22"/>
          <w:lang w:eastAsia="en-US"/>
        </w:rPr>
        <w:t xml:space="preserve">. GS-US-104-0321 tyrime, 87 ŽIV-1 infekuoti anksčiau gydyti pacientai nuo 12 iki &lt; 18 metų amžiaus, 48 savaites buvo gydomi </w:t>
      </w:r>
      <w:r w:rsidR="00152A0E">
        <w:rPr>
          <w:szCs w:val="22"/>
          <w:lang w:eastAsia="en-US"/>
        </w:rPr>
        <w:t xml:space="preserve">tenofoviru </w:t>
      </w:r>
      <w:r w:rsidR="00653D08">
        <w:rPr>
          <w:szCs w:val="22"/>
          <w:lang w:eastAsia="en-US"/>
        </w:rPr>
        <w:t>dizoproksili</w:t>
      </w:r>
      <w:r w:rsidR="003205D6">
        <w:rPr>
          <w:szCs w:val="22"/>
          <w:lang w:eastAsia="en-US"/>
        </w:rPr>
        <w:t>u</w:t>
      </w:r>
      <w:r w:rsidR="00653D08">
        <w:rPr>
          <w:szCs w:val="22"/>
          <w:lang w:eastAsia="en-US"/>
        </w:rPr>
        <w:t xml:space="preserve"> </w:t>
      </w:r>
      <w:r w:rsidRPr="00711E17">
        <w:rPr>
          <w:szCs w:val="22"/>
          <w:lang w:eastAsia="en-US"/>
        </w:rPr>
        <w:t xml:space="preserve">(n = 45) arba placebu (n = 42) derinyje su optimizuotu baziniu gydymu (angl. </w:t>
      </w:r>
      <w:r w:rsidRPr="00164838">
        <w:rPr>
          <w:i/>
          <w:szCs w:val="22"/>
          <w:lang w:eastAsia="en-US"/>
        </w:rPr>
        <w:t>optimised background regimen</w:t>
      </w:r>
      <w:r w:rsidRPr="00711E17">
        <w:rPr>
          <w:szCs w:val="22"/>
          <w:lang w:eastAsia="en-US"/>
        </w:rPr>
        <w:t xml:space="preserve">, OBR). Dėl tyrimo apribojimų </w:t>
      </w:r>
      <w:r w:rsidR="003205D6">
        <w:rPr>
          <w:szCs w:val="22"/>
          <w:lang w:eastAsia="en-US"/>
        </w:rPr>
        <w:t>t</w:t>
      </w:r>
      <w:r w:rsidR="00653D08">
        <w:rPr>
          <w:szCs w:val="22"/>
          <w:lang w:eastAsia="en-US"/>
        </w:rPr>
        <w:t xml:space="preserve">enofoviro dizoproksilio </w:t>
      </w:r>
      <w:r w:rsidRPr="00711E17">
        <w:rPr>
          <w:szCs w:val="22"/>
          <w:lang w:eastAsia="en-US"/>
        </w:rPr>
        <w:t>nauda, lyginant su placebu, remiantis plazmos ŽIV-1 RNR kiekiu 24 savaitę, ne</w:t>
      </w:r>
      <w:r w:rsidR="002A1B3E">
        <w:rPr>
          <w:szCs w:val="22"/>
          <w:lang w:eastAsia="en-US"/>
        </w:rPr>
        <w:t>įrodyta</w:t>
      </w:r>
      <w:r w:rsidRPr="00711E17">
        <w:rPr>
          <w:szCs w:val="22"/>
          <w:lang w:eastAsia="en-US"/>
        </w:rPr>
        <w:t xml:space="preserve">. Tačiau nauda paauglių populiacijoje yra tikėtina, remiantis suaugusių </w:t>
      </w:r>
      <w:r w:rsidR="002A1B3E">
        <w:rPr>
          <w:szCs w:val="22"/>
          <w:lang w:eastAsia="en-US"/>
        </w:rPr>
        <w:t xml:space="preserve">duomenų </w:t>
      </w:r>
      <w:r w:rsidRPr="00711E17">
        <w:rPr>
          <w:szCs w:val="22"/>
          <w:lang w:eastAsia="en-US"/>
        </w:rPr>
        <w:t>ekstrapoliacija ir lyginamaisiais farmakokinetikos duomenimis (žr. 5.2 skyrių).</w:t>
      </w:r>
    </w:p>
    <w:p w14:paraId="611213E7" w14:textId="77777777" w:rsidR="002A1B3E" w:rsidRPr="00711E17" w:rsidRDefault="002A1B3E" w:rsidP="00711E17">
      <w:pPr>
        <w:tabs>
          <w:tab w:val="left" w:pos="567"/>
        </w:tabs>
        <w:rPr>
          <w:szCs w:val="22"/>
          <w:lang w:eastAsia="en-US"/>
        </w:rPr>
      </w:pPr>
    </w:p>
    <w:p w14:paraId="0D927C22" w14:textId="3FF439C7" w:rsidR="00711E17" w:rsidRPr="00711E17" w:rsidRDefault="00711E17" w:rsidP="00711E17">
      <w:pPr>
        <w:tabs>
          <w:tab w:val="left" w:pos="567"/>
        </w:tabs>
        <w:rPr>
          <w:szCs w:val="22"/>
          <w:lang w:eastAsia="en-US"/>
        </w:rPr>
      </w:pPr>
      <w:r w:rsidRPr="00711E17">
        <w:rPr>
          <w:szCs w:val="22"/>
          <w:lang w:eastAsia="en-US"/>
        </w:rPr>
        <w:t xml:space="preserve">Pacientams, kurie buvo gydyti </w:t>
      </w:r>
      <w:r w:rsidR="00152A0E">
        <w:rPr>
          <w:szCs w:val="22"/>
          <w:lang w:eastAsia="en-US"/>
        </w:rPr>
        <w:t xml:space="preserve">tenofoviru </w:t>
      </w:r>
      <w:r w:rsidR="00653D08">
        <w:rPr>
          <w:szCs w:val="22"/>
          <w:lang w:eastAsia="en-US"/>
        </w:rPr>
        <w:t>dizoproksili</w:t>
      </w:r>
      <w:r w:rsidR="003205D6">
        <w:rPr>
          <w:szCs w:val="22"/>
          <w:lang w:eastAsia="en-US"/>
        </w:rPr>
        <w:t>u</w:t>
      </w:r>
      <w:r w:rsidR="00653D08">
        <w:rPr>
          <w:szCs w:val="22"/>
          <w:lang w:eastAsia="en-US"/>
        </w:rPr>
        <w:t xml:space="preserve"> </w:t>
      </w:r>
      <w:r w:rsidRPr="00711E17">
        <w:rPr>
          <w:szCs w:val="22"/>
          <w:lang w:eastAsia="en-US"/>
        </w:rPr>
        <w:t xml:space="preserve">arba placebu, vidutinis juosmeninės stuburo dalies KMT Z-balas buvo -1,004 ir -0,809, o vidutinis bendras kūno KMT Z-balas buvo atitinkamai -0,866 ir -0,584 lyginant su pradiniais. Vidutiniai pokyčiai 48 savaitę (dvigubai koduotuos fazės pabaiga) buvo -0,215 ir -0,165 KMT Z-balo juosmeninėje stuburo dalyje, ir -0,254 ir -0,179 bendro KMT Z-balo atitinkamai </w:t>
      </w:r>
      <w:r w:rsidR="003205D6">
        <w:rPr>
          <w:szCs w:val="22"/>
          <w:lang w:eastAsia="en-US"/>
        </w:rPr>
        <w:t>t</w:t>
      </w:r>
      <w:r w:rsidR="00653D08">
        <w:rPr>
          <w:szCs w:val="22"/>
          <w:lang w:eastAsia="en-US"/>
        </w:rPr>
        <w:t xml:space="preserve">enofoviro dizoproksilio </w:t>
      </w:r>
      <w:r w:rsidRPr="00711E17">
        <w:rPr>
          <w:szCs w:val="22"/>
          <w:lang w:eastAsia="en-US"/>
        </w:rPr>
        <w:t xml:space="preserve">ir placebo grupėse. Vidutinis KMT progresavimo dydis tenofoviro dizoproksilio grupėje, lyginant su placebo grupe, buvo mažesnis. 48 savaitę, šešiems paaugliams </w:t>
      </w:r>
      <w:r w:rsidR="003205D6">
        <w:rPr>
          <w:szCs w:val="22"/>
          <w:lang w:eastAsia="en-US"/>
        </w:rPr>
        <w:t>t</w:t>
      </w:r>
      <w:r w:rsidR="00653D08">
        <w:rPr>
          <w:szCs w:val="22"/>
          <w:lang w:eastAsia="en-US"/>
        </w:rPr>
        <w:t xml:space="preserve">enofoviro dizoproksilio </w:t>
      </w:r>
      <w:r w:rsidRPr="00711E17">
        <w:rPr>
          <w:szCs w:val="22"/>
          <w:lang w:eastAsia="en-US"/>
        </w:rPr>
        <w:t>grupėje ir vienam paaugliui placebo grupėje stebėtas reikšmingas juosmeninės stuburo dalies KMT sumažėjimas (</w:t>
      </w:r>
      <w:r w:rsidR="002A1B3E">
        <w:rPr>
          <w:szCs w:val="22"/>
          <w:lang w:eastAsia="en-US"/>
        </w:rPr>
        <w:t>apibūdintas kaip</w:t>
      </w:r>
      <w:r w:rsidRPr="00711E17">
        <w:rPr>
          <w:szCs w:val="22"/>
          <w:lang w:eastAsia="en-US"/>
        </w:rPr>
        <w:t xml:space="preserve"> netekimas &gt;</w:t>
      </w:r>
      <w:r w:rsidR="003205D6">
        <w:rPr>
          <w:szCs w:val="22"/>
          <w:lang w:eastAsia="en-US"/>
        </w:rPr>
        <w:t> </w:t>
      </w:r>
      <w:r w:rsidRPr="00711E17">
        <w:rPr>
          <w:szCs w:val="22"/>
          <w:lang w:eastAsia="en-US"/>
        </w:rPr>
        <w:t>4</w:t>
      </w:r>
      <w:r w:rsidR="003205D6">
        <w:rPr>
          <w:szCs w:val="22"/>
          <w:lang w:eastAsia="en-US"/>
        </w:rPr>
        <w:t> </w:t>
      </w:r>
      <w:r w:rsidRPr="00711E17">
        <w:rPr>
          <w:szCs w:val="22"/>
          <w:lang w:eastAsia="en-US"/>
        </w:rPr>
        <w:t>%). Tarp 28 pacientų</w:t>
      </w:r>
      <w:r w:rsidR="00152A0E">
        <w:rPr>
          <w:szCs w:val="22"/>
          <w:lang w:eastAsia="en-US"/>
        </w:rPr>
        <w:t>,</w:t>
      </w:r>
      <w:r w:rsidRPr="00711E17">
        <w:rPr>
          <w:szCs w:val="22"/>
          <w:lang w:eastAsia="en-US"/>
        </w:rPr>
        <w:t xml:space="preserve"> 96 savaites gydomų </w:t>
      </w:r>
      <w:r w:rsidR="00152A0E">
        <w:rPr>
          <w:szCs w:val="22"/>
          <w:lang w:eastAsia="en-US"/>
        </w:rPr>
        <w:t xml:space="preserve">tenofoviru dizoproksiliu, </w:t>
      </w:r>
      <w:r w:rsidRPr="00711E17">
        <w:rPr>
          <w:szCs w:val="22"/>
          <w:lang w:eastAsia="en-US"/>
        </w:rPr>
        <w:t>KMT Z-balas sumažėjo -0,341 juosmeninei stuburo daliai ir -0,458 bendrai visam kūnui.</w:t>
      </w:r>
    </w:p>
    <w:p w14:paraId="47B0D774" w14:textId="77777777" w:rsidR="002A1B3E" w:rsidRDefault="002A1B3E" w:rsidP="00711E17">
      <w:pPr>
        <w:tabs>
          <w:tab w:val="left" w:pos="567"/>
        </w:tabs>
        <w:rPr>
          <w:szCs w:val="22"/>
          <w:lang w:eastAsia="en-US"/>
        </w:rPr>
      </w:pPr>
    </w:p>
    <w:p w14:paraId="66465255" w14:textId="45EFF548" w:rsidR="00711E17" w:rsidRPr="00711E17" w:rsidRDefault="00711E17" w:rsidP="00711E17">
      <w:pPr>
        <w:tabs>
          <w:tab w:val="left" w:pos="567"/>
        </w:tabs>
        <w:rPr>
          <w:szCs w:val="22"/>
          <w:lang w:eastAsia="en-US"/>
        </w:rPr>
      </w:pPr>
      <w:r w:rsidRPr="00711E17">
        <w:rPr>
          <w:szCs w:val="22"/>
          <w:lang w:eastAsia="en-US"/>
        </w:rPr>
        <w:t>Tyrimo GS-US-104-0352 metu 97 anksčiau gydyti pacientai nuo 2 iki &lt; 12 metų, kuriems nustatyta</w:t>
      </w:r>
      <w:r w:rsidR="00F56E4B">
        <w:rPr>
          <w:szCs w:val="22"/>
          <w:lang w:eastAsia="en-US"/>
        </w:rPr>
        <w:t>s</w:t>
      </w:r>
      <w:r w:rsidRPr="00711E17">
        <w:rPr>
          <w:szCs w:val="22"/>
          <w:lang w:eastAsia="en-US"/>
        </w:rPr>
        <w:t xml:space="preserve"> stabil</w:t>
      </w:r>
      <w:r w:rsidR="006704AD">
        <w:rPr>
          <w:szCs w:val="22"/>
          <w:lang w:eastAsia="en-US"/>
        </w:rPr>
        <w:t>us virusologinis slopinimas</w:t>
      </w:r>
      <w:r w:rsidRPr="00711E17">
        <w:rPr>
          <w:szCs w:val="22"/>
          <w:lang w:eastAsia="en-US"/>
        </w:rPr>
        <w:t xml:space="preserve"> gydant stavudino arba zidovudino preparatais, atsitiktinių imčių būdu buvo atrinkti pakeisti stavudiną arba zidovudiną </w:t>
      </w:r>
      <w:r w:rsidR="005E2884">
        <w:rPr>
          <w:szCs w:val="22"/>
          <w:lang w:eastAsia="en-US"/>
        </w:rPr>
        <w:t xml:space="preserve">tenofoviru </w:t>
      </w:r>
      <w:r w:rsidR="00653D08">
        <w:rPr>
          <w:szCs w:val="22"/>
          <w:lang w:eastAsia="en-US"/>
        </w:rPr>
        <w:t>dizoproksili</w:t>
      </w:r>
      <w:r w:rsidR="003205D6">
        <w:rPr>
          <w:szCs w:val="22"/>
          <w:lang w:eastAsia="en-US"/>
        </w:rPr>
        <w:t>u</w:t>
      </w:r>
      <w:r w:rsidR="00653D08">
        <w:rPr>
          <w:szCs w:val="22"/>
          <w:lang w:eastAsia="en-US"/>
        </w:rPr>
        <w:t xml:space="preserve"> </w:t>
      </w:r>
      <w:r w:rsidRPr="00711E17">
        <w:rPr>
          <w:szCs w:val="22"/>
          <w:lang w:eastAsia="en-US"/>
        </w:rPr>
        <w:t>(n = 48) arba toliau taikyti ankstesnį gydymą (n = 49) 48 savaites. Po 48 savaičių 83</w:t>
      </w:r>
      <w:r w:rsidR="003205D6">
        <w:rPr>
          <w:szCs w:val="22"/>
          <w:lang w:eastAsia="en-US"/>
        </w:rPr>
        <w:t> </w:t>
      </w:r>
      <w:r w:rsidRPr="00711E17">
        <w:rPr>
          <w:szCs w:val="22"/>
          <w:lang w:eastAsia="en-US"/>
        </w:rPr>
        <w:t xml:space="preserve">% pacientų </w:t>
      </w:r>
      <w:r w:rsidR="00D40208">
        <w:rPr>
          <w:szCs w:val="22"/>
          <w:lang w:eastAsia="en-US"/>
        </w:rPr>
        <w:t>t</w:t>
      </w:r>
      <w:r w:rsidR="00653D08">
        <w:rPr>
          <w:szCs w:val="22"/>
          <w:lang w:eastAsia="en-US"/>
        </w:rPr>
        <w:t xml:space="preserve">enofoviro dizoproksilio </w:t>
      </w:r>
      <w:r w:rsidRPr="00711E17">
        <w:rPr>
          <w:szCs w:val="22"/>
          <w:lang w:eastAsia="en-US"/>
        </w:rPr>
        <w:t>grupėje ir 92</w:t>
      </w:r>
      <w:r w:rsidR="003205D6">
        <w:rPr>
          <w:szCs w:val="22"/>
          <w:lang w:eastAsia="en-US"/>
        </w:rPr>
        <w:t> </w:t>
      </w:r>
      <w:r w:rsidRPr="00711E17">
        <w:rPr>
          <w:szCs w:val="22"/>
          <w:lang w:eastAsia="en-US"/>
        </w:rPr>
        <w:t>% pacientų stavudino arba zidovudino grupėje nustatyta &lt;</w:t>
      </w:r>
      <w:r w:rsidR="003205D6">
        <w:rPr>
          <w:szCs w:val="22"/>
          <w:lang w:eastAsia="en-US"/>
        </w:rPr>
        <w:t> </w:t>
      </w:r>
      <w:r w:rsidRPr="00711E17">
        <w:rPr>
          <w:szCs w:val="22"/>
          <w:lang w:eastAsia="en-US"/>
        </w:rPr>
        <w:t>400</w:t>
      </w:r>
      <w:r w:rsidR="003205D6">
        <w:rPr>
          <w:szCs w:val="22"/>
          <w:lang w:eastAsia="en-US"/>
        </w:rPr>
        <w:t> </w:t>
      </w:r>
      <w:r w:rsidRPr="00711E17">
        <w:rPr>
          <w:szCs w:val="22"/>
          <w:lang w:eastAsia="en-US"/>
        </w:rPr>
        <w:t>kopijų/ml ŽIV RNR koncentracija. Pacientų, kuriems po 48 savaičių išliko &lt;</w:t>
      </w:r>
      <w:r w:rsidR="003205D6">
        <w:rPr>
          <w:szCs w:val="22"/>
          <w:lang w:eastAsia="en-US"/>
        </w:rPr>
        <w:t> </w:t>
      </w:r>
      <w:r w:rsidRPr="00711E17">
        <w:rPr>
          <w:szCs w:val="22"/>
          <w:lang w:eastAsia="en-US"/>
        </w:rPr>
        <w:t>400</w:t>
      </w:r>
      <w:r w:rsidR="003205D6">
        <w:rPr>
          <w:szCs w:val="22"/>
          <w:lang w:eastAsia="en-US"/>
        </w:rPr>
        <w:t> </w:t>
      </w:r>
      <w:r w:rsidRPr="00711E17">
        <w:rPr>
          <w:szCs w:val="22"/>
          <w:lang w:eastAsia="en-US"/>
        </w:rPr>
        <w:t xml:space="preserve">kopijų/ml koncentracija, procentinei daliai daugiausiai įtakos turėjo didesnis visiškai nutraukusiųjų gydymą skaičius </w:t>
      </w:r>
      <w:r w:rsidR="003205D6">
        <w:rPr>
          <w:szCs w:val="22"/>
          <w:lang w:eastAsia="en-US"/>
        </w:rPr>
        <w:t>t</w:t>
      </w:r>
      <w:r w:rsidR="00653D08">
        <w:rPr>
          <w:szCs w:val="22"/>
          <w:lang w:eastAsia="en-US"/>
        </w:rPr>
        <w:t xml:space="preserve">enofoviro dizoproksilio </w:t>
      </w:r>
      <w:r w:rsidRPr="00711E17">
        <w:rPr>
          <w:szCs w:val="22"/>
          <w:lang w:eastAsia="en-US"/>
        </w:rPr>
        <w:t>grupėje. Neįtraukus trūkstamų duomenų, po 48 savaičių &lt;</w:t>
      </w:r>
      <w:r w:rsidR="003205D6">
        <w:rPr>
          <w:szCs w:val="22"/>
          <w:lang w:eastAsia="en-US"/>
        </w:rPr>
        <w:t> </w:t>
      </w:r>
      <w:r w:rsidRPr="00711E17">
        <w:rPr>
          <w:szCs w:val="22"/>
          <w:lang w:eastAsia="en-US"/>
        </w:rPr>
        <w:t>400</w:t>
      </w:r>
      <w:r w:rsidR="003205D6">
        <w:rPr>
          <w:szCs w:val="22"/>
          <w:lang w:eastAsia="en-US"/>
        </w:rPr>
        <w:t> </w:t>
      </w:r>
      <w:r w:rsidRPr="00711E17">
        <w:rPr>
          <w:szCs w:val="22"/>
          <w:lang w:eastAsia="en-US"/>
        </w:rPr>
        <w:t>kopijų/ml ŽIV RNR koncentracija nustatyta 91</w:t>
      </w:r>
      <w:r w:rsidR="003205D6">
        <w:rPr>
          <w:szCs w:val="22"/>
          <w:lang w:eastAsia="en-US"/>
        </w:rPr>
        <w:t> </w:t>
      </w:r>
      <w:r w:rsidRPr="00711E17">
        <w:rPr>
          <w:szCs w:val="22"/>
          <w:lang w:eastAsia="en-US"/>
        </w:rPr>
        <w:t xml:space="preserve">% pacientų </w:t>
      </w:r>
      <w:r w:rsidR="003205D6">
        <w:rPr>
          <w:szCs w:val="22"/>
          <w:lang w:eastAsia="en-US"/>
        </w:rPr>
        <w:t>t</w:t>
      </w:r>
      <w:r w:rsidR="00653D08">
        <w:rPr>
          <w:szCs w:val="22"/>
          <w:lang w:eastAsia="en-US"/>
        </w:rPr>
        <w:t xml:space="preserve">enofoviro dizoproksilio </w:t>
      </w:r>
      <w:r w:rsidRPr="00711E17">
        <w:rPr>
          <w:szCs w:val="22"/>
          <w:lang w:eastAsia="en-US"/>
        </w:rPr>
        <w:t>grupėje ir 94</w:t>
      </w:r>
      <w:r w:rsidR="003205D6">
        <w:rPr>
          <w:szCs w:val="22"/>
          <w:lang w:eastAsia="en-US"/>
        </w:rPr>
        <w:t> </w:t>
      </w:r>
      <w:r w:rsidRPr="00711E17">
        <w:rPr>
          <w:szCs w:val="22"/>
          <w:lang w:eastAsia="en-US"/>
        </w:rPr>
        <w:t>% pacientų stavudino arba zidovudino grupėje.</w:t>
      </w:r>
    </w:p>
    <w:p w14:paraId="32D174E0" w14:textId="77777777" w:rsidR="002A1B3E" w:rsidRDefault="002A1B3E" w:rsidP="00711E17">
      <w:pPr>
        <w:tabs>
          <w:tab w:val="left" w:pos="567"/>
        </w:tabs>
        <w:rPr>
          <w:szCs w:val="22"/>
          <w:lang w:eastAsia="en-US"/>
        </w:rPr>
      </w:pPr>
    </w:p>
    <w:p w14:paraId="287D81BB" w14:textId="5C00AB49" w:rsidR="00711E17" w:rsidRPr="00711E17" w:rsidRDefault="002A1B3E" w:rsidP="00711E17">
      <w:pPr>
        <w:tabs>
          <w:tab w:val="left" w:pos="567"/>
        </w:tabs>
        <w:rPr>
          <w:szCs w:val="22"/>
          <w:lang w:eastAsia="en-US"/>
        </w:rPr>
      </w:pPr>
      <w:r>
        <w:rPr>
          <w:szCs w:val="22"/>
          <w:lang w:eastAsia="en-US"/>
        </w:rPr>
        <w:t>Vaikams ir paaugliams</w:t>
      </w:r>
      <w:r w:rsidR="00711E17" w:rsidRPr="00711E17">
        <w:rPr>
          <w:szCs w:val="22"/>
          <w:lang w:eastAsia="en-US"/>
        </w:rPr>
        <w:t xml:space="preserve"> nustatytas KMT sumažėjimas. Pacientams, kurie buvo gydyti </w:t>
      </w:r>
      <w:r w:rsidR="005E2884">
        <w:rPr>
          <w:szCs w:val="22"/>
          <w:lang w:eastAsia="en-US"/>
        </w:rPr>
        <w:t xml:space="preserve">tenofoviru </w:t>
      </w:r>
      <w:r w:rsidR="00653D08">
        <w:rPr>
          <w:szCs w:val="22"/>
          <w:lang w:eastAsia="en-US"/>
        </w:rPr>
        <w:t>dizoproksili</w:t>
      </w:r>
      <w:r w:rsidR="003205D6">
        <w:rPr>
          <w:szCs w:val="22"/>
          <w:lang w:eastAsia="en-US"/>
        </w:rPr>
        <w:t>u</w:t>
      </w:r>
      <w:r w:rsidR="00653D08">
        <w:rPr>
          <w:szCs w:val="22"/>
          <w:lang w:eastAsia="en-US"/>
        </w:rPr>
        <w:t xml:space="preserve"> </w:t>
      </w:r>
      <w:r w:rsidR="00711E17" w:rsidRPr="00711E17">
        <w:rPr>
          <w:szCs w:val="22"/>
          <w:lang w:eastAsia="en-US"/>
        </w:rPr>
        <w:t xml:space="preserve">arba stavudinu ar zidovudinu, pradinio įvertinimo metu vidutinis juosmeninės stuburo dalies KMT Z-balas buvo -1,034 ir -0,498, o vidutinis bendras kūno KMT Z-balas buvo atitinkamai -0,471 ir -0,386. Vidutiniai pokyčiai 48 savaitę (atsitiktinių imčių fazės pabaigoje) </w:t>
      </w:r>
      <w:r w:rsidR="003205D6">
        <w:rPr>
          <w:szCs w:val="22"/>
          <w:lang w:eastAsia="en-US"/>
        </w:rPr>
        <w:t>t</w:t>
      </w:r>
      <w:r w:rsidR="00653D08">
        <w:rPr>
          <w:szCs w:val="22"/>
          <w:lang w:eastAsia="en-US"/>
        </w:rPr>
        <w:t xml:space="preserve">enofoviro dizoproksilio </w:t>
      </w:r>
      <w:r w:rsidR="00711E17" w:rsidRPr="00711E17">
        <w:rPr>
          <w:szCs w:val="22"/>
          <w:lang w:eastAsia="en-US"/>
        </w:rPr>
        <w:t xml:space="preserve">ir stavudino ar zidovudino grupėse buvo atitinkamai 0,032 ir 0,087 juosmeninės stuburo dalies KMT Z-balas bei -0,184 ir -0,027 viso kūno KMT Z-balas. Po 48 savaičių vidutinis juosmeninės stuburo dalies kaulų mineralinio tankio padidėjimas </w:t>
      </w:r>
      <w:r w:rsidR="003205D6">
        <w:rPr>
          <w:szCs w:val="22"/>
          <w:lang w:eastAsia="en-US"/>
        </w:rPr>
        <w:t>t</w:t>
      </w:r>
      <w:r w:rsidR="00653D08">
        <w:rPr>
          <w:szCs w:val="22"/>
          <w:lang w:eastAsia="en-US"/>
        </w:rPr>
        <w:t xml:space="preserve">enofoviro dizoproksilio </w:t>
      </w:r>
      <w:r w:rsidR="00711E17" w:rsidRPr="00711E17">
        <w:rPr>
          <w:szCs w:val="22"/>
          <w:lang w:eastAsia="en-US"/>
        </w:rPr>
        <w:t xml:space="preserve">ir stavudino ar zidovudino grupėse buvo panašus. Viso kūno kaulų mineralinio tankio padidėjimas </w:t>
      </w:r>
      <w:r w:rsidR="003205D6">
        <w:rPr>
          <w:szCs w:val="22"/>
          <w:lang w:eastAsia="en-US"/>
        </w:rPr>
        <w:t>t</w:t>
      </w:r>
      <w:r w:rsidR="00653D08">
        <w:rPr>
          <w:szCs w:val="22"/>
          <w:lang w:eastAsia="en-US"/>
        </w:rPr>
        <w:t xml:space="preserve">enofoviro dizoproksilio </w:t>
      </w:r>
      <w:r w:rsidR="00711E17" w:rsidRPr="00711E17">
        <w:rPr>
          <w:szCs w:val="22"/>
          <w:lang w:eastAsia="en-US"/>
        </w:rPr>
        <w:t>grupėje buvo mažesnis nei stavudino ar zidovudino grupėse. Po 48 savaičių reikšmingas (&gt;</w:t>
      </w:r>
      <w:r w:rsidR="003205D6">
        <w:rPr>
          <w:szCs w:val="22"/>
          <w:lang w:eastAsia="en-US"/>
        </w:rPr>
        <w:t> </w:t>
      </w:r>
      <w:r w:rsidR="00711E17" w:rsidRPr="00711E17">
        <w:rPr>
          <w:szCs w:val="22"/>
          <w:lang w:eastAsia="en-US"/>
        </w:rPr>
        <w:t>4</w:t>
      </w:r>
      <w:r w:rsidR="003205D6">
        <w:rPr>
          <w:szCs w:val="22"/>
          <w:lang w:eastAsia="en-US"/>
        </w:rPr>
        <w:t> </w:t>
      </w:r>
      <w:r w:rsidR="00711E17" w:rsidRPr="00711E17">
        <w:rPr>
          <w:szCs w:val="22"/>
          <w:lang w:eastAsia="en-US"/>
        </w:rPr>
        <w:t xml:space="preserve">%) KMT sumažėjimas juosmeninėje stuburo dalyje nustatytas vienam </w:t>
      </w:r>
      <w:r w:rsidR="005E2884">
        <w:rPr>
          <w:szCs w:val="22"/>
          <w:lang w:eastAsia="en-US"/>
        </w:rPr>
        <w:t xml:space="preserve">tenofoviru </w:t>
      </w:r>
      <w:r w:rsidR="00653D08">
        <w:rPr>
          <w:szCs w:val="22"/>
          <w:lang w:eastAsia="en-US"/>
        </w:rPr>
        <w:t>dizoproksili</w:t>
      </w:r>
      <w:r w:rsidR="003205D6">
        <w:rPr>
          <w:szCs w:val="22"/>
          <w:lang w:eastAsia="en-US"/>
        </w:rPr>
        <w:t>u</w:t>
      </w:r>
      <w:r w:rsidR="00653D08">
        <w:rPr>
          <w:szCs w:val="22"/>
          <w:lang w:eastAsia="en-US"/>
        </w:rPr>
        <w:t xml:space="preserve"> </w:t>
      </w:r>
      <w:r w:rsidR="00711E17" w:rsidRPr="00711E17">
        <w:rPr>
          <w:szCs w:val="22"/>
          <w:lang w:eastAsia="en-US"/>
        </w:rPr>
        <w:t xml:space="preserve">gydytam tiriamajam ir nė vienam stavudinu ar zidovudinu gydytam tiriamajam. 64 tiriamiesiems, kurie buvo gydomi </w:t>
      </w:r>
      <w:r w:rsidR="005E2884" w:rsidRPr="00711E17">
        <w:rPr>
          <w:szCs w:val="22"/>
          <w:lang w:eastAsia="en-US"/>
        </w:rPr>
        <w:t>tenofovir</w:t>
      </w:r>
      <w:r w:rsidR="005E2884">
        <w:rPr>
          <w:szCs w:val="22"/>
          <w:lang w:eastAsia="en-US"/>
        </w:rPr>
        <w:t>u</w:t>
      </w:r>
      <w:r w:rsidR="005E2884" w:rsidRPr="00711E17">
        <w:rPr>
          <w:szCs w:val="22"/>
          <w:lang w:eastAsia="en-US"/>
        </w:rPr>
        <w:t xml:space="preserve"> </w:t>
      </w:r>
      <w:r w:rsidR="00711E17" w:rsidRPr="00711E17">
        <w:rPr>
          <w:szCs w:val="22"/>
          <w:lang w:eastAsia="en-US"/>
        </w:rPr>
        <w:t>dizoproksili</w:t>
      </w:r>
      <w:r w:rsidR="005E2884">
        <w:rPr>
          <w:szCs w:val="22"/>
          <w:lang w:eastAsia="en-US"/>
        </w:rPr>
        <w:t>u</w:t>
      </w:r>
      <w:r w:rsidR="00711E17" w:rsidRPr="00711E17">
        <w:rPr>
          <w:szCs w:val="22"/>
          <w:lang w:eastAsia="en-US"/>
        </w:rPr>
        <w:t>, 96 savaites, juosmeninės stuburo dalies KMT Z-balas nukrito -0,012, viso kūno nukrito -0,338. KMT Z-balas nebuvo koreguotas atsižvelgiant į ūgį ir svorį.</w:t>
      </w:r>
    </w:p>
    <w:p w14:paraId="71E699EE" w14:textId="77777777" w:rsidR="002A1B3E" w:rsidRDefault="002A1B3E" w:rsidP="00711E17">
      <w:pPr>
        <w:tabs>
          <w:tab w:val="left" w:pos="567"/>
        </w:tabs>
        <w:rPr>
          <w:szCs w:val="22"/>
          <w:lang w:eastAsia="en-US"/>
        </w:rPr>
      </w:pPr>
    </w:p>
    <w:p w14:paraId="36AC25BD" w14:textId="70EE1B90" w:rsidR="00711E17" w:rsidRPr="00711E17" w:rsidRDefault="005E2884" w:rsidP="00711E17">
      <w:pPr>
        <w:tabs>
          <w:tab w:val="left" w:pos="567"/>
        </w:tabs>
        <w:rPr>
          <w:szCs w:val="22"/>
          <w:lang w:eastAsia="en-US"/>
        </w:rPr>
      </w:pPr>
      <w:r w:rsidRPr="005E2884">
        <w:rPr>
          <w:szCs w:val="22"/>
        </w:rPr>
        <w:t>Tyrimo GS-US-104-0352 metu 8 iš 89 pediatrinių pacientų</w:t>
      </w:r>
      <w:r>
        <w:rPr>
          <w:szCs w:val="22"/>
        </w:rPr>
        <w:t xml:space="preserve"> </w:t>
      </w:r>
      <w:r w:rsidRPr="005E2884">
        <w:rPr>
          <w:szCs w:val="22"/>
        </w:rPr>
        <w:t>(</w:t>
      </w:r>
      <w:r>
        <w:rPr>
          <w:szCs w:val="22"/>
        </w:rPr>
        <w:t>9</w:t>
      </w:r>
      <w:r w:rsidR="00DE3668">
        <w:rPr>
          <w:szCs w:val="22"/>
        </w:rPr>
        <w:t> </w:t>
      </w:r>
      <w:r w:rsidRPr="005E2884">
        <w:rPr>
          <w:szCs w:val="22"/>
        </w:rPr>
        <w:t xml:space="preserve">%), kuriems taikyta tenofoviro dizoproksilio ekspozicija </w:t>
      </w:r>
      <w:r>
        <w:rPr>
          <w:szCs w:val="22"/>
        </w:rPr>
        <w:t>nutraukė</w:t>
      </w:r>
      <w:r w:rsidRPr="005E2884">
        <w:rPr>
          <w:szCs w:val="22"/>
        </w:rPr>
        <w:t xml:space="preserve"> tyrim</w:t>
      </w:r>
      <w:r>
        <w:rPr>
          <w:szCs w:val="22"/>
        </w:rPr>
        <w:t>ą</w:t>
      </w:r>
      <w:r w:rsidRPr="005E2884">
        <w:rPr>
          <w:szCs w:val="22"/>
        </w:rPr>
        <w:t xml:space="preserve"> dėl inkstų nepageidaujamų reiškinių. Penkiems asmenims (5,6</w:t>
      </w:r>
      <w:r w:rsidR="00DE3668">
        <w:rPr>
          <w:szCs w:val="22"/>
        </w:rPr>
        <w:t> </w:t>
      </w:r>
      <w:r w:rsidRPr="005E2884">
        <w:rPr>
          <w:szCs w:val="22"/>
        </w:rPr>
        <w:t>%) buvo laboratorinių rodmenų, kliniškai atitinkančių proksimalinę inkstų tubulopatiją, iš kurių 4 nutrauktas gydymas tenofoviru dizoproksiliu</w:t>
      </w:r>
      <w:r w:rsidR="002A1B3E">
        <w:rPr>
          <w:szCs w:val="22"/>
          <w:lang w:eastAsia="en-US"/>
        </w:rPr>
        <w:t xml:space="preserve"> </w:t>
      </w:r>
      <w:r w:rsidR="00711E17" w:rsidRPr="00711E17">
        <w:rPr>
          <w:szCs w:val="22"/>
          <w:lang w:eastAsia="en-US"/>
        </w:rPr>
        <w:t>(</w:t>
      </w:r>
      <w:r w:rsidR="003205D6">
        <w:rPr>
          <w:szCs w:val="22"/>
          <w:lang w:eastAsia="en-US"/>
        </w:rPr>
        <w:t>t</w:t>
      </w:r>
      <w:r w:rsidR="00653D08">
        <w:rPr>
          <w:szCs w:val="22"/>
          <w:lang w:eastAsia="en-US"/>
        </w:rPr>
        <w:t xml:space="preserve">enofoviro dizoproksilio </w:t>
      </w:r>
      <w:r w:rsidR="00711E17" w:rsidRPr="00711E17">
        <w:rPr>
          <w:szCs w:val="22"/>
          <w:lang w:eastAsia="en-US"/>
        </w:rPr>
        <w:t xml:space="preserve">vartojimo mediana – </w:t>
      </w:r>
      <w:r>
        <w:rPr>
          <w:szCs w:val="22"/>
          <w:lang w:eastAsia="en-US"/>
        </w:rPr>
        <w:t>331</w:t>
      </w:r>
      <w:r w:rsidRPr="00711E17">
        <w:rPr>
          <w:szCs w:val="22"/>
          <w:lang w:eastAsia="en-US"/>
        </w:rPr>
        <w:t xml:space="preserve"> </w:t>
      </w:r>
      <w:r w:rsidR="00711E17" w:rsidRPr="00711E17">
        <w:rPr>
          <w:szCs w:val="22"/>
          <w:lang w:eastAsia="en-US"/>
        </w:rPr>
        <w:t>savaitė).</w:t>
      </w:r>
    </w:p>
    <w:p w14:paraId="05309B41" w14:textId="77777777" w:rsidR="002A1B3E" w:rsidRDefault="002A1B3E" w:rsidP="00711E17">
      <w:pPr>
        <w:tabs>
          <w:tab w:val="left" w:pos="567"/>
        </w:tabs>
        <w:rPr>
          <w:szCs w:val="22"/>
          <w:lang w:eastAsia="en-US"/>
        </w:rPr>
      </w:pPr>
    </w:p>
    <w:p w14:paraId="34C0CD0D" w14:textId="1F00F33C" w:rsidR="002A1B3E" w:rsidRDefault="00711E17" w:rsidP="002A1B3E">
      <w:pPr>
        <w:tabs>
          <w:tab w:val="left" w:pos="567"/>
        </w:tabs>
        <w:rPr>
          <w:szCs w:val="22"/>
          <w:lang w:eastAsia="en-US"/>
        </w:rPr>
      </w:pPr>
      <w:r w:rsidRPr="002A1B3E">
        <w:rPr>
          <w:i/>
          <w:szCs w:val="22"/>
          <w:lang w:eastAsia="en-US"/>
        </w:rPr>
        <w:t>Lėtinis hepatitas B.</w:t>
      </w:r>
      <w:r w:rsidRPr="00711E17">
        <w:rPr>
          <w:szCs w:val="22"/>
          <w:lang w:eastAsia="en-US"/>
        </w:rPr>
        <w:t xml:space="preserve"> Tyrimo GS-US-174-0115 metu 106 HBeAg neigiami ir HBeAg teigiami pacientai nuo 12 iki &lt; 18 metų, sergantys lėtine HBV infekcija [HBV DNR ≥</w:t>
      </w:r>
      <w:r w:rsidR="00085BFD">
        <w:rPr>
          <w:szCs w:val="22"/>
          <w:lang w:eastAsia="en-US"/>
        </w:rPr>
        <w:t> </w:t>
      </w:r>
      <w:r w:rsidRPr="00711E17">
        <w:rPr>
          <w:szCs w:val="22"/>
          <w:lang w:eastAsia="en-US"/>
        </w:rPr>
        <w:t>105</w:t>
      </w:r>
      <w:r w:rsidR="00085BFD">
        <w:rPr>
          <w:szCs w:val="22"/>
          <w:lang w:eastAsia="en-US"/>
        </w:rPr>
        <w:t> </w:t>
      </w:r>
      <w:r w:rsidRPr="00711E17">
        <w:rPr>
          <w:szCs w:val="22"/>
          <w:lang w:eastAsia="en-US"/>
        </w:rPr>
        <w:t xml:space="preserve">kopijų/ml, kuriems yra padidėjęs serumo ALT </w:t>
      </w:r>
      <w:r w:rsidR="002A1B3E">
        <w:rPr>
          <w:szCs w:val="22"/>
          <w:lang w:eastAsia="en-US"/>
        </w:rPr>
        <w:t xml:space="preserve">aktyvumas </w:t>
      </w:r>
      <w:r w:rsidRPr="00711E17">
        <w:rPr>
          <w:szCs w:val="22"/>
          <w:lang w:eastAsia="en-US"/>
        </w:rPr>
        <w:t>(≥</w:t>
      </w:r>
      <w:r w:rsidR="00085BFD">
        <w:rPr>
          <w:szCs w:val="22"/>
          <w:lang w:eastAsia="en-US"/>
        </w:rPr>
        <w:t> </w:t>
      </w:r>
      <w:r w:rsidRPr="00711E17">
        <w:rPr>
          <w:szCs w:val="22"/>
          <w:lang w:eastAsia="en-US"/>
        </w:rPr>
        <w:t xml:space="preserve">2 x VNR) arba jis buvo padidėjęs per paskutinius 24 mėnesius], buvo gydomi </w:t>
      </w:r>
      <w:r w:rsidR="00AF4F66" w:rsidRPr="00711E17">
        <w:rPr>
          <w:szCs w:val="22"/>
          <w:lang w:eastAsia="en-US"/>
        </w:rPr>
        <w:t>tenofovir</w:t>
      </w:r>
      <w:r w:rsidR="00AF4F66">
        <w:rPr>
          <w:szCs w:val="22"/>
          <w:lang w:eastAsia="en-US"/>
        </w:rPr>
        <w:t>u</w:t>
      </w:r>
      <w:r w:rsidR="00AF4F66" w:rsidRPr="00711E17">
        <w:rPr>
          <w:szCs w:val="22"/>
          <w:lang w:eastAsia="en-US"/>
        </w:rPr>
        <w:t xml:space="preserve"> </w:t>
      </w:r>
      <w:r w:rsidRPr="00711E17">
        <w:rPr>
          <w:szCs w:val="22"/>
          <w:lang w:eastAsia="en-US"/>
        </w:rPr>
        <w:t>dizoproksiliu 245</w:t>
      </w:r>
      <w:r w:rsidR="00085BFD">
        <w:rPr>
          <w:szCs w:val="22"/>
          <w:lang w:eastAsia="en-US"/>
        </w:rPr>
        <w:t> </w:t>
      </w:r>
      <w:r w:rsidRPr="00711E17">
        <w:rPr>
          <w:szCs w:val="22"/>
          <w:lang w:eastAsia="en-US"/>
        </w:rPr>
        <w:t xml:space="preserve">mg (n = 52) arba placebu (n = 54) 72 savaites. Pacientai turėjo būti anksčiau negydyti </w:t>
      </w:r>
      <w:r w:rsidR="00AF4F66" w:rsidRPr="00711E17">
        <w:rPr>
          <w:szCs w:val="22"/>
          <w:lang w:eastAsia="en-US"/>
        </w:rPr>
        <w:t>tenofovir</w:t>
      </w:r>
      <w:r w:rsidR="00AF4F66">
        <w:rPr>
          <w:szCs w:val="22"/>
          <w:lang w:eastAsia="en-US"/>
        </w:rPr>
        <w:t>u</w:t>
      </w:r>
      <w:r w:rsidR="00AF4F66" w:rsidRPr="00711E17">
        <w:rPr>
          <w:szCs w:val="22"/>
          <w:lang w:eastAsia="en-US"/>
        </w:rPr>
        <w:t xml:space="preserve"> </w:t>
      </w:r>
      <w:r w:rsidRPr="00711E17">
        <w:rPr>
          <w:szCs w:val="22"/>
          <w:lang w:eastAsia="en-US"/>
        </w:rPr>
        <w:t>dizoproksili</w:t>
      </w:r>
      <w:r w:rsidR="00D40208">
        <w:rPr>
          <w:szCs w:val="22"/>
          <w:lang w:eastAsia="en-US"/>
        </w:rPr>
        <w:t>u</w:t>
      </w:r>
      <w:r w:rsidRPr="00711E17">
        <w:rPr>
          <w:szCs w:val="22"/>
          <w:lang w:eastAsia="en-US"/>
        </w:rPr>
        <w:t>, bet galėjo būti anksčiau gydyti interferonu (&gt;</w:t>
      </w:r>
      <w:r w:rsidR="00085BFD">
        <w:rPr>
          <w:szCs w:val="22"/>
          <w:lang w:eastAsia="en-US"/>
        </w:rPr>
        <w:t> </w:t>
      </w:r>
      <w:r w:rsidRPr="00711E17">
        <w:rPr>
          <w:szCs w:val="22"/>
          <w:lang w:eastAsia="en-US"/>
        </w:rPr>
        <w:t>6 mėnesius iki atrankos) arba kitais per burną vartojamais nukleozidiniais /nukleotid</w:t>
      </w:r>
      <w:r w:rsidR="002A1B3E">
        <w:rPr>
          <w:szCs w:val="22"/>
          <w:lang w:eastAsia="en-US"/>
        </w:rPr>
        <w:t>iniais vaistiniais preparatais</w:t>
      </w:r>
      <w:r w:rsidRPr="00711E17">
        <w:rPr>
          <w:szCs w:val="22"/>
          <w:lang w:eastAsia="en-US"/>
        </w:rPr>
        <w:t xml:space="preserve"> nuo HBV, kurių sudėtyje nėra </w:t>
      </w:r>
      <w:r w:rsidR="00085BFD">
        <w:rPr>
          <w:szCs w:val="22"/>
          <w:lang w:eastAsia="en-US"/>
        </w:rPr>
        <w:t>t</w:t>
      </w:r>
      <w:r w:rsidR="00653D08">
        <w:rPr>
          <w:szCs w:val="22"/>
          <w:lang w:eastAsia="en-US"/>
        </w:rPr>
        <w:t xml:space="preserve">enofoviro dizoproksilio </w:t>
      </w:r>
      <w:r w:rsidRPr="00711E17">
        <w:rPr>
          <w:szCs w:val="22"/>
          <w:lang w:eastAsia="en-US"/>
        </w:rPr>
        <w:t>(&gt;</w:t>
      </w:r>
      <w:r w:rsidR="00085BFD">
        <w:rPr>
          <w:szCs w:val="22"/>
          <w:lang w:eastAsia="en-US"/>
        </w:rPr>
        <w:t> </w:t>
      </w:r>
      <w:r w:rsidRPr="00711E17">
        <w:rPr>
          <w:szCs w:val="22"/>
          <w:lang w:eastAsia="en-US"/>
        </w:rPr>
        <w:t>16 savaičių iki atrankos). 72 savaitę iš viso 88</w:t>
      </w:r>
      <w:r w:rsidR="00085BFD">
        <w:rPr>
          <w:szCs w:val="22"/>
          <w:lang w:eastAsia="en-US"/>
        </w:rPr>
        <w:t> </w:t>
      </w:r>
      <w:r w:rsidRPr="00711E17">
        <w:rPr>
          <w:szCs w:val="22"/>
          <w:lang w:eastAsia="en-US"/>
        </w:rPr>
        <w:t xml:space="preserve">% (46 iš 52) pacientų </w:t>
      </w:r>
      <w:r w:rsidR="00085BFD">
        <w:rPr>
          <w:szCs w:val="22"/>
          <w:lang w:eastAsia="en-US"/>
        </w:rPr>
        <w:t>t</w:t>
      </w:r>
      <w:r w:rsidR="00653D08">
        <w:rPr>
          <w:szCs w:val="22"/>
          <w:lang w:eastAsia="en-US"/>
        </w:rPr>
        <w:t xml:space="preserve">enofoviro dizoproksilio </w:t>
      </w:r>
      <w:r w:rsidR="002A1B3E" w:rsidRPr="002A1B3E">
        <w:rPr>
          <w:szCs w:val="22"/>
          <w:lang w:eastAsia="en-US"/>
        </w:rPr>
        <w:t>grupėje ir 0</w:t>
      </w:r>
      <w:r w:rsidR="00085BFD">
        <w:rPr>
          <w:szCs w:val="22"/>
          <w:lang w:eastAsia="en-US"/>
        </w:rPr>
        <w:t> </w:t>
      </w:r>
      <w:r w:rsidR="002A1B3E" w:rsidRPr="002A1B3E">
        <w:rPr>
          <w:szCs w:val="22"/>
          <w:lang w:eastAsia="en-US"/>
        </w:rPr>
        <w:t>% (0 iš 54) pacientų placebo grupėje HBV DNR buvo &lt;</w:t>
      </w:r>
      <w:r w:rsidR="00085BFD">
        <w:rPr>
          <w:szCs w:val="22"/>
          <w:lang w:eastAsia="en-US"/>
        </w:rPr>
        <w:t> </w:t>
      </w:r>
      <w:r w:rsidR="002A1B3E" w:rsidRPr="002A1B3E">
        <w:rPr>
          <w:szCs w:val="22"/>
          <w:lang w:eastAsia="en-US"/>
        </w:rPr>
        <w:t>400</w:t>
      </w:r>
      <w:r w:rsidR="00085BFD">
        <w:rPr>
          <w:szCs w:val="22"/>
          <w:lang w:eastAsia="en-US"/>
        </w:rPr>
        <w:t> </w:t>
      </w:r>
      <w:r w:rsidR="002A1B3E" w:rsidRPr="002A1B3E">
        <w:rPr>
          <w:szCs w:val="22"/>
          <w:lang w:eastAsia="en-US"/>
        </w:rPr>
        <w:t xml:space="preserve">kopijų/ml. 72 savaitę septyniasdešimt keturiems procentams (26 iš 35) pacientų </w:t>
      </w:r>
      <w:r w:rsidR="00085BFD">
        <w:rPr>
          <w:szCs w:val="22"/>
          <w:lang w:eastAsia="en-US"/>
        </w:rPr>
        <w:t>t</w:t>
      </w:r>
      <w:r w:rsidR="00653D08">
        <w:rPr>
          <w:szCs w:val="22"/>
          <w:lang w:eastAsia="en-US"/>
        </w:rPr>
        <w:t xml:space="preserve">enofoviro dizoproksilio </w:t>
      </w:r>
      <w:r w:rsidR="002A1B3E" w:rsidRPr="002A1B3E">
        <w:rPr>
          <w:szCs w:val="22"/>
          <w:lang w:eastAsia="en-US"/>
        </w:rPr>
        <w:t xml:space="preserve">grupėje ALT </w:t>
      </w:r>
      <w:r w:rsidR="002A1B3E">
        <w:rPr>
          <w:szCs w:val="22"/>
          <w:lang w:eastAsia="en-US"/>
        </w:rPr>
        <w:t xml:space="preserve">aktyvumas </w:t>
      </w:r>
      <w:r w:rsidR="002A1B3E" w:rsidRPr="002A1B3E">
        <w:rPr>
          <w:szCs w:val="22"/>
          <w:lang w:eastAsia="en-US"/>
        </w:rPr>
        <w:t xml:space="preserve">buvo </w:t>
      </w:r>
      <w:r w:rsidR="002A1B3E">
        <w:rPr>
          <w:szCs w:val="22"/>
          <w:lang w:eastAsia="en-US"/>
        </w:rPr>
        <w:t>sunormalėjęs</w:t>
      </w:r>
      <w:r w:rsidR="002A1B3E" w:rsidRPr="002A1B3E">
        <w:rPr>
          <w:szCs w:val="22"/>
          <w:lang w:eastAsia="en-US"/>
        </w:rPr>
        <w:t>, palyginti su 31</w:t>
      </w:r>
      <w:r w:rsidR="00085BFD">
        <w:rPr>
          <w:szCs w:val="22"/>
          <w:lang w:eastAsia="en-US"/>
        </w:rPr>
        <w:t> </w:t>
      </w:r>
      <w:r w:rsidR="002A1B3E" w:rsidRPr="002A1B3E">
        <w:rPr>
          <w:szCs w:val="22"/>
          <w:lang w:eastAsia="en-US"/>
        </w:rPr>
        <w:t>% (13 iš 42) pacientų placebo grupėje. Nukleozidiniais /nukleotid</w:t>
      </w:r>
      <w:r w:rsidR="00091140">
        <w:rPr>
          <w:szCs w:val="22"/>
          <w:lang w:eastAsia="en-US"/>
        </w:rPr>
        <w:t>iniais vaistiniais preparatais</w:t>
      </w:r>
      <w:r w:rsidR="00091140" w:rsidRPr="002A1B3E">
        <w:rPr>
          <w:szCs w:val="22"/>
          <w:lang w:eastAsia="en-US"/>
        </w:rPr>
        <w:t xml:space="preserve"> </w:t>
      </w:r>
      <w:r w:rsidR="002A1B3E" w:rsidRPr="002A1B3E">
        <w:rPr>
          <w:szCs w:val="22"/>
          <w:lang w:eastAsia="en-US"/>
        </w:rPr>
        <w:t>negydytų pacientų (n = 20) ir</w:t>
      </w:r>
      <w:r w:rsidR="00085BFD" w:rsidRPr="00085BFD">
        <w:t xml:space="preserve"> </w:t>
      </w:r>
      <w:r w:rsidR="00085BFD">
        <w:rPr>
          <w:szCs w:val="22"/>
          <w:lang w:eastAsia="en-US"/>
        </w:rPr>
        <w:t>n</w:t>
      </w:r>
      <w:r w:rsidR="00085BFD" w:rsidRPr="00085BFD">
        <w:rPr>
          <w:szCs w:val="22"/>
          <w:lang w:eastAsia="en-US"/>
        </w:rPr>
        <w:t>ukleozidiniais</w:t>
      </w:r>
      <w:r w:rsidR="002A1B3E" w:rsidRPr="002A1B3E">
        <w:rPr>
          <w:szCs w:val="22"/>
          <w:lang w:eastAsia="en-US"/>
        </w:rPr>
        <w:t xml:space="preserve"> </w:t>
      </w:r>
      <w:r w:rsidR="00091140" w:rsidRPr="00091140">
        <w:rPr>
          <w:szCs w:val="22"/>
          <w:lang w:eastAsia="en-US"/>
        </w:rPr>
        <w:t xml:space="preserve">/nukleotidiniais vaistiniais preparatais </w:t>
      </w:r>
      <w:r w:rsidR="002A1B3E" w:rsidRPr="002A1B3E">
        <w:rPr>
          <w:szCs w:val="22"/>
          <w:lang w:eastAsia="en-US"/>
        </w:rPr>
        <w:t xml:space="preserve">gydytų pacientų (n = 32), įskaitant lamivudinui </w:t>
      </w:r>
      <w:r w:rsidR="00091140">
        <w:rPr>
          <w:szCs w:val="22"/>
          <w:lang w:eastAsia="en-US"/>
        </w:rPr>
        <w:t>atsparius</w:t>
      </w:r>
      <w:r w:rsidR="002A1B3E" w:rsidRPr="002A1B3E">
        <w:rPr>
          <w:szCs w:val="22"/>
          <w:lang w:eastAsia="en-US"/>
        </w:rPr>
        <w:t xml:space="preserve"> pacientus (n = 6), atsakas į gydymą </w:t>
      </w:r>
      <w:r w:rsidR="00AF4F66">
        <w:rPr>
          <w:szCs w:val="22"/>
          <w:lang w:eastAsia="en-US"/>
        </w:rPr>
        <w:t xml:space="preserve">tenofoviru </w:t>
      </w:r>
      <w:r w:rsidR="00653D08">
        <w:rPr>
          <w:szCs w:val="22"/>
          <w:lang w:eastAsia="en-US"/>
        </w:rPr>
        <w:t>dizoproksili</w:t>
      </w:r>
      <w:r w:rsidR="00085BFD">
        <w:rPr>
          <w:szCs w:val="22"/>
          <w:lang w:eastAsia="en-US"/>
        </w:rPr>
        <w:t>u</w:t>
      </w:r>
      <w:r w:rsidR="00653D08">
        <w:rPr>
          <w:szCs w:val="22"/>
          <w:lang w:eastAsia="en-US"/>
        </w:rPr>
        <w:t xml:space="preserve"> </w:t>
      </w:r>
      <w:r w:rsidR="002A1B3E" w:rsidRPr="002A1B3E">
        <w:rPr>
          <w:szCs w:val="22"/>
          <w:lang w:eastAsia="en-US"/>
        </w:rPr>
        <w:t xml:space="preserve">buvo panašus. Devyniasdešimt penkiems procentams nukleozidiniais </w:t>
      </w:r>
      <w:r w:rsidR="00091140" w:rsidRPr="00091140">
        <w:rPr>
          <w:szCs w:val="22"/>
          <w:lang w:eastAsia="en-US"/>
        </w:rPr>
        <w:t xml:space="preserve">/nukleotidiniais vaistiniais preparatais </w:t>
      </w:r>
      <w:r w:rsidR="002A1B3E" w:rsidRPr="002A1B3E">
        <w:rPr>
          <w:szCs w:val="22"/>
          <w:lang w:eastAsia="en-US"/>
        </w:rPr>
        <w:t>negydytų pacientų, 84</w:t>
      </w:r>
      <w:r w:rsidR="00085BFD">
        <w:rPr>
          <w:szCs w:val="22"/>
          <w:lang w:eastAsia="en-US"/>
        </w:rPr>
        <w:t> </w:t>
      </w:r>
      <w:r w:rsidR="002A1B3E" w:rsidRPr="002A1B3E">
        <w:rPr>
          <w:szCs w:val="22"/>
          <w:lang w:eastAsia="en-US"/>
        </w:rPr>
        <w:t xml:space="preserve">% nukleozidiniais </w:t>
      </w:r>
      <w:r w:rsidR="00091140" w:rsidRPr="00091140">
        <w:rPr>
          <w:szCs w:val="22"/>
          <w:lang w:eastAsia="en-US"/>
        </w:rPr>
        <w:t xml:space="preserve">/nukleotidiniais vaistiniais preparatais </w:t>
      </w:r>
      <w:r w:rsidR="002A1B3E" w:rsidRPr="002A1B3E">
        <w:rPr>
          <w:szCs w:val="22"/>
          <w:lang w:eastAsia="en-US"/>
        </w:rPr>
        <w:t>gydytų pacientų ir 83</w:t>
      </w:r>
      <w:r w:rsidR="00085BFD">
        <w:rPr>
          <w:szCs w:val="22"/>
          <w:lang w:eastAsia="en-US"/>
        </w:rPr>
        <w:t> </w:t>
      </w:r>
      <w:r w:rsidR="002A1B3E" w:rsidRPr="002A1B3E">
        <w:rPr>
          <w:szCs w:val="22"/>
          <w:lang w:eastAsia="en-US"/>
        </w:rPr>
        <w:t xml:space="preserve">% lamivudinui </w:t>
      </w:r>
      <w:r w:rsidR="00091140">
        <w:rPr>
          <w:szCs w:val="22"/>
          <w:lang w:eastAsia="en-US"/>
        </w:rPr>
        <w:t>atsparių</w:t>
      </w:r>
      <w:r w:rsidR="002A1B3E" w:rsidRPr="002A1B3E">
        <w:rPr>
          <w:szCs w:val="22"/>
          <w:lang w:eastAsia="en-US"/>
        </w:rPr>
        <w:t xml:space="preserve"> pacientų 72 savaitę nustatytas HBV DNR &lt;</w:t>
      </w:r>
      <w:r w:rsidR="00085BFD">
        <w:rPr>
          <w:szCs w:val="22"/>
          <w:lang w:eastAsia="en-US"/>
        </w:rPr>
        <w:t> </w:t>
      </w:r>
      <w:r w:rsidR="002A1B3E" w:rsidRPr="002A1B3E">
        <w:rPr>
          <w:szCs w:val="22"/>
          <w:lang w:eastAsia="en-US"/>
        </w:rPr>
        <w:t>400</w:t>
      </w:r>
      <w:r w:rsidR="00085BFD">
        <w:rPr>
          <w:szCs w:val="22"/>
          <w:lang w:eastAsia="en-US"/>
        </w:rPr>
        <w:t> </w:t>
      </w:r>
      <w:r w:rsidR="002A1B3E" w:rsidRPr="002A1B3E">
        <w:rPr>
          <w:szCs w:val="22"/>
          <w:lang w:eastAsia="en-US"/>
        </w:rPr>
        <w:t xml:space="preserve">kopijų/ml. Trisdešimt vienas iš 32 nukleozidiniais </w:t>
      </w:r>
      <w:r w:rsidR="00091140" w:rsidRPr="00091140">
        <w:rPr>
          <w:szCs w:val="22"/>
          <w:lang w:eastAsia="en-US"/>
        </w:rPr>
        <w:t xml:space="preserve">/nukleotidiniais vaistiniais preparatais </w:t>
      </w:r>
      <w:r w:rsidR="002A1B3E" w:rsidRPr="002A1B3E">
        <w:rPr>
          <w:szCs w:val="22"/>
          <w:lang w:eastAsia="en-US"/>
        </w:rPr>
        <w:t>gydytų pacientų anksčiau buvo gydytas lamivudinu. 72 savaitę 96</w:t>
      </w:r>
      <w:r w:rsidR="00085BFD">
        <w:rPr>
          <w:szCs w:val="22"/>
          <w:lang w:eastAsia="en-US"/>
        </w:rPr>
        <w:t> </w:t>
      </w:r>
      <w:r w:rsidR="002A1B3E" w:rsidRPr="002A1B3E">
        <w:rPr>
          <w:szCs w:val="22"/>
          <w:lang w:eastAsia="en-US"/>
        </w:rPr>
        <w:t>% (27 iš 28) aktyvaus imuniteto pacientų (HBV DNR ≥ 105 kopijų/ml, serumo ALT</w:t>
      </w:r>
      <w:r w:rsidR="00091140">
        <w:rPr>
          <w:szCs w:val="22"/>
          <w:lang w:eastAsia="en-US"/>
        </w:rPr>
        <w:t xml:space="preserve"> aktyvumas</w:t>
      </w:r>
      <w:r w:rsidR="002A1B3E" w:rsidRPr="002A1B3E">
        <w:rPr>
          <w:szCs w:val="22"/>
          <w:lang w:eastAsia="en-US"/>
        </w:rPr>
        <w:t xml:space="preserve"> &gt;</w:t>
      </w:r>
      <w:r w:rsidR="00085BFD">
        <w:rPr>
          <w:szCs w:val="22"/>
          <w:lang w:eastAsia="en-US"/>
        </w:rPr>
        <w:t> </w:t>
      </w:r>
      <w:r w:rsidR="002A1B3E" w:rsidRPr="002A1B3E">
        <w:rPr>
          <w:szCs w:val="22"/>
          <w:lang w:eastAsia="en-US"/>
        </w:rPr>
        <w:t xml:space="preserve">1,5 x VNR) </w:t>
      </w:r>
      <w:r w:rsidR="00653D08">
        <w:rPr>
          <w:szCs w:val="22"/>
          <w:lang w:eastAsia="en-US"/>
        </w:rPr>
        <w:t xml:space="preserve">tenofoviro dizoproksilio </w:t>
      </w:r>
      <w:r w:rsidR="002A1B3E" w:rsidRPr="002A1B3E">
        <w:rPr>
          <w:szCs w:val="22"/>
          <w:lang w:eastAsia="en-US"/>
        </w:rPr>
        <w:t>grupėje ir 0</w:t>
      </w:r>
      <w:r w:rsidR="00085BFD">
        <w:rPr>
          <w:szCs w:val="22"/>
          <w:lang w:eastAsia="en-US"/>
        </w:rPr>
        <w:t> </w:t>
      </w:r>
      <w:r w:rsidR="002A1B3E" w:rsidRPr="002A1B3E">
        <w:rPr>
          <w:szCs w:val="22"/>
          <w:lang w:eastAsia="en-US"/>
        </w:rPr>
        <w:t>% (0 iš 32) pacientų placebo grupėje HBV DNR buvo &lt;</w:t>
      </w:r>
      <w:r w:rsidR="00085BFD">
        <w:rPr>
          <w:szCs w:val="22"/>
          <w:lang w:eastAsia="en-US"/>
        </w:rPr>
        <w:t> </w:t>
      </w:r>
      <w:r w:rsidR="002A1B3E" w:rsidRPr="002A1B3E">
        <w:rPr>
          <w:szCs w:val="22"/>
          <w:lang w:eastAsia="en-US"/>
        </w:rPr>
        <w:t>400</w:t>
      </w:r>
      <w:r w:rsidR="00085BFD">
        <w:rPr>
          <w:szCs w:val="22"/>
          <w:lang w:eastAsia="en-US"/>
        </w:rPr>
        <w:t> </w:t>
      </w:r>
      <w:r w:rsidR="002A1B3E" w:rsidRPr="002A1B3E">
        <w:rPr>
          <w:szCs w:val="22"/>
          <w:lang w:eastAsia="en-US"/>
        </w:rPr>
        <w:t xml:space="preserve">kopijų/ml. 72 savaitę septyniasdešimt penkiems procentams (21 iš 28) aktyvaus imuniteto pacientų </w:t>
      </w:r>
      <w:r w:rsidR="00085BFD">
        <w:rPr>
          <w:szCs w:val="22"/>
          <w:lang w:eastAsia="en-US"/>
        </w:rPr>
        <w:t>t</w:t>
      </w:r>
      <w:r w:rsidR="00653D08">
        <w:rPr>
          <w:szCs w:val="22"/>
          <w:lang w:eastAsia="en-US"/>
        </w:rPr>
        <w:t xml:space="preserve">enofoviro dizoproksilio </w:t>
      </w:r>
      <w:r w:rsidR="002A1B3E" w:rsidRPr="002A1B3E">
        <w:rPr>
          <w:szCs w:val="22"/>
          <w:lang w:eastAsia="en-US"/>
        </w:rPr>
        <w:t xml:space="preserve">grupėje ALT </w:t>
      </w:r>
      <w:r w:rsidR="00091140">
        <w:rPr>
          <w:szCs w:val="22"/>
          <w:lang w:eastAsia="en-US"/>
        </w:rPr>
        <w:t xml:space="preserve">aktyvumas </w:t>
      </w:r>
      <w:r w:rsidR="002A1B3E" w:rsidRPr="002A1B3E">
        <w:rPr>
          <w:szCs w:val="22"/>
          <w:lang w:eastAsia="en-US"/>
        </w:rPr>
        <w:t>buvo normalus, palyginti su 34</w:t>
      </w:r>
      <w:r w:rsidR="00085BFD">
        <w:rPr>
          <w:szCs w:val="22"/>
          <w:lang w:eastAsia="en-US"/>
        </w:rPr>
        <w:t> </w:t>
      </w:r>
      <w:r w:rsidR="002A1B3E" w:rsidRPr="002A1B3E">
        <w:rPr>
          <w:szCs w:val="22"/>
          <w:lang w:eastAsia="en-US"/>
        </w:rPr>
        <w:t>% (11 iš 32) pacientų placebo grupėje.</w:t>
      </w:r>
    </w:p>
    <w:p w14:paraId="63874DA7" w14:textId="77777777" w:rsidR="00DC3B0C" w:rsidRDefault="00DC3B0C" w:rsidP="002A1B3E">
      <w:pPr>
        <w:tabs>
          <w:tab w:val="left" w:pos="567"/>
        </w:tabs>
        <w:rPr>
          <w:szCs w:val="22"/>
          <w:lang w:eastAsia="en-US"/>
        </w:rPr>
      </w:pPr>
    </w:p>
    <w:p w14:paraId="58BAE904" w14:textId="6F1961ED" w:rsidR="00DC3B0C" w:rsidRPr="00DC3B0C" w:rsidRDefault="00DC3B0C" w:rsidP="00DC3B0C">
      <w:pPr>
        <w:tabs>
          <w:tab w:val="left" w:pos="567"/>
        </w:tabs>
        <w:rPr>
          <w:szCs w:val="22"/>
          <w:lang w:eastAsia="en-US"/>
        </w:rPr>
      </w:pPr>
      <w:r w:rsidRPr="00DC3B0C">
        <w:rPr>
          <w:szCs w:val="22"/>
          <w:lang w:eastAsia="en-US"/>
        </w:rPr>
        <w:t xml:space="preserve">Po 72 savaites trukusio koduoto atsitiktinių imčių gydymo kiekvienam tiriamajam galėjo būti taikomas atviras gydymas </w:t>
      </w:r>
      <w:r w:rsidR="00AF4F66" w:rsidRPr="00DC3B0C">
        <w:rPr>
          <w:szCs w:val="22"/>
          <w:lang w:eastAsia="en-US"/>
        </w:rPr>
        <w:t>tenofovir</w:t>
      </w:r>
      <w:r w:rsidR="00AF4F66">
        <w:rPr>
          <w:szCs w:val="22"/>
          <w:lang w:eastAsia="en-US"/>
        </w:rPr>
        <w:t>u</w:t>
      </w:r>
      <w:r w:rsidR="00AF4F66" w:rsidRPr="00DC3B0C">
        <w:rPr>
          <w:szCs w:val="22"/>
          <w:lang w:eastAsia="en-US"/>
        </w:rPr>
        <w:t xml:space="preserve"> </w:t>
      </w:r>
      <w:r w:rsidRPr="00DC3B0C">
        <w:rPr>
          <w:szCs w:val="22"/>
          <w:lang w:eastAsia="en-US"/>
        </w:rPr>
        <w:t>dizoproksili</w:t>
      </w:r>
      <w:r>
        <w:rPr>
          <w:szCs w:val="22"/>
          <w:lang w:eastAsia="en-US"/>
        </w:rPr>
        <w:t>u</w:t>
      </w:r>
      <w:r w:rsidRPr="00DC3B0C">
        <w:rPr>
          <w:szCs w:val="22"/>
          <w:lang w:eastAsia="en-US"/>
        </w:rPr>
        <w:t xml:space="preserve"> iki 192 savaitės. Po 72 savaitės virusologin</w:t>
      </w:r>
      <w:r>
        <w:rPr>
          <w:szCs w:val="22"/>
          <w:lang w:eastAsia="en-US"/>
        </w:rPr>
        <w:t>is slopinimas</w:t>
      </w:r>
      <w:r w:rsidRPr="00DC3B0C">
        <w:rPr>
          <w:szCs w:val="22"/>
          <w:lang w:eastAsia="en-US"/>
        </w:rPr>
        <w:t xml:space="preserve"> išliko tiems tiriamiesiems, kuriems buvo taikytas dvigubai koduotas gydymas </w:t>
      </w:r>
      <w:r w:rsidR="00AF4F66" w:rsidRPr="00DC3B0C">
        <w:rPr>
          <w:szCs w:val="22"/>
          <w:lang w:eastAsia="en-US"/>
        </w:rPr>
        <w:t>tenofovir</w:t>
      </w:r>
      <w:r w:rsidR="00AF4F66">
        <w:rPr>
          <w:szCs w:val="22"/>
          <w:lang w:eastAsia="en-US"/>
        </w:rPr>
        <w:t>u</w:t>
      </w:r>
      <w:r w:rsidR="00AF4F66" w:rsidRPr="00DC3B0C">
        <w:rPr>
          <w:szCs w:val="22"/>
          <w:lang w:eastAsia="en-US"/>
        </w:rPr>
        <w:t xml:space="preserve"> </w:t>
      </w:r>
      <w:r w:rsidRPr="00DC3B0C">
        <w:rPr>
          <w:szCs w:val="22"/>
          <w:lang w:eastAsia="en-US"/>
        </w:rPr>
        <w:t>dizoproksili</w:t>
      </w:r>
      <w:r>
        <w:rPr>
          <w:szCs w:val="22"/>
          <w:lang w:eastAsia="en-US"/>
        </w:rPr>
        <w:t>u</w:t>
      </w:r>
      <w:r w:rsidRPr="00DC3B0C">
        <w:rPr>
          <w:szCs w:val="22"/>
          <w:lang w:eastAsia="en-US"/>
        </w:rPr>
        <w:t xml:space="preserve">, o vėliau – atviras gydymas </w:t>
      </w:r>
      <w:r w:rsidR="00AF4F66" w:rsidRPr="00DC3B0C">
        <w:rPr>
          <w:szCs w:val="22"/>
          <w:lang w:eastAsia="en-US"/>
        </w:rPr>
        <w:t>tenofovir</w:t>
      </w:r>
      <w:r w:rsidR="00AF4F66">
        <w:rPr>
          <w:szCs w:val="22"/>
          <w:lang w:eastAsia="en-US"/>
        </w:rPr>
        <w:t>u</w:t>
      </w:r>
      <w:r w:rsidR="00AF4F66" w:rsidRPr="00DC3B0C">
        <w:rPr>
          <w:szCs w:val="22"/>
          <w:lang w:eastAsia="en-US"/>
        </w:rPr>
        <w:t xml:space="preserve"> </w:t>
      </w:r>
      <w:r w:rsidRPr="00DC3B0C">
        <w:rPr>
          <w:szCs w:val="22"/>
          <w:lang w:eastAsia="en-US"/>
        </w:rPr>
        <w:t>dizoproksili</w:t>
      </w:r>
      <w:r w:rsidR="00D40208">
        <w:rPr>
          <w:szCs w:val="22"/>
          <w:lang w:eastAsia="en-US"/>
        </w:rPr>
        <w:t>u</w:t>
      </w:r>
      <w:r w:rsidRPr="00DC3B0C">
        <w:rPr>
          <w:szCs w:val="22"/>
          <w:lang w:eastAsia="en-US"/>
        </w:rPr>
        <w:t xml:space="preserve"> (</w:t>
      </w:r>
      <w:r w:rsidR="00AF4F66" w:rsidRPr="00AF4F66">
        <w:rPr>
          <w:szCs w:val="22"/>
          <w:lang w:eastAsia="en-US"/>
        </w:rPr>
        <w:t xml:space="preserve">tenofoviro dizoproksilio-tenofoviro dizoproksilio </w:t>
      </w:r>
      <w:r w:rsidRPr="00DC3B0C">
        <w:rPr>
          <w:szCs w:val="22"/>
          <w:lang w:eastAsia="en-US"/>
        </w:rPr>
        <w:t xml:space="preserve">grupė): 192 savaitę 86,5 % (45 iš 52) </w:t>
      </w:r>
      <w:r w:rsidR="00AF4F66">
        <w:rPr>
          <w:szCs w:val="22"/>
          <w:lang w:eastAsia="en-US"/>
        </w:rPr>
        <w:t>tenofoviro dizoproksilio</w:t>
      </w:r>
      <w:r w:rsidRPr="00DC3B0C">
        <w:rPr>
          <w:szCs w:val="22"/>
          <w:lang w:eastAsia="en-US"/>
        </w:rPr>
        <w:t>-</w:t>
      </w:r>
      <w:r w:rsidR="00AF4F66">
        <w:rPr>
          <w:szCs w:val="22"/>
          <w:lang w:eastAsia="en-US"/>
        </w:rPr>
        <w:t>tenofoviro dizoproksilio</w:t>
      </w:r>
      <w:r w:rsidRPr="00DC3B0C">
        <w:rPr>
          <w:szCs w:val="22"/>
          <w:lang w:eastAsia="en-US"/>
        </w:rPr>
        <w:t xml:space="preserve"> grupės tiriamųjų HBV DNR buvo &lt; 400 kopijų/ml. Dvigubai koduotos fazės laikotarpiu vartojusiųjų placebą grupei pradėjus taikyti atvirą gydymą </w:t>
      </w:r>
      <w:r w:rsidR="00AF4F66">
        <w:rPr>
          <w:szCs w:val="22"/>
          <w:lang w:eastAsia="en-US"/>
        </w:rPr>
        <w:t>tenofoviru dizoproksiliu</w:t>
      </w:r>
      <w:r w:rsidRPr="00DC3B0C">
        <w:rPr>
          <w:szCs w:val="22"/>
          <w:lang w:eastAsia="en-US"/>
        </w:rPr>
        <w:t xml:space="preserve"> (PLB-</w:t>
      </w:r>
      <w:r w:rsidR="00AF4F66" w:rsidRPr="00AF4F66">
        <w:rPr>
          <w:szCs w:val="22"/>
          <w:lang w:eastAsia="en-US"/>
        </w:rPr>
        <w:t>tenofoviro dizoproksilio</w:t>
      </w:r>
      <w:r w:rsidRPr="00DC3B0C">
        <w:rPr>
          <w:szCs w:val="22"/>
          <w:lang w:eastAsia="en-US"/>
        </w:rPr>
        <w:t xml:space="preserve"> grupė), tiriamųjų, kurių HBV DNR buvo &lt; 400 kopijų/ml, procentinė dalis ženkliai padidėjo: 192 savaitę 74,1 % (40 iš 54) PLB-</w:t>
      </w:r>
      <w:r w:rsidR="00AF4F66" w:rsidRPr="00AF4F66">
        <w:rPr>
          <w:szCs w:val="22"/>
          <w:lang w:eastAsia="en-US"/>
        </w:rPr>
        <w:t xml:space="preserve"> </w:t>
      </w:r>
      <w:r w:rsidR="00AF4F66">
        <w:rPr>
          <w:szCs w:val="22"/>
          <w:lang w:eastAsia="en-US"/>
        </w:rPr>
        <w:t>tenofoviro dizoproksilio</w:t>
      </w:r>
      <w:r w:rsidRPr="00DC3B0C">
        <w:rPr>
          <w:szCs w:val="22"/>
          <w:lang w:eastAsia="en-US"/>
        </w:rPr>
        <w:t xml:space="preserve"> grupės tiriamųjų HBV DNR buvo &lt; 400 kopijų/ml. 192 savaitę ALT buvo tapusi normali 75,8 % (25 iš 33) </w:t>
      </w:r>
      <w:r w:rsidR="00AF4F66" w:rsidRPr="00AF4F66">
        <w:rPr>
          <w:szCs w:val="22"/>
          <w:lang w:eastAsia="en-US"/>
        </w:rPr>
        <w:t xml:space="preserve">tenofoviro dizoproksilio-tenofoviro dizoproksilio </w:t>
      </w:r>
      <w:r w:rsidRPr="00DC3B0C">
        <w:rPr>
          <w:szCs w:val="22"/>
          <w:lang w:eastAsia="en-US"/>
        </w:rPr>
        <w:t xml:space="preserve">grupės tiriamųjų, kurie tyrimo pradžioje buvo HbeAg teigiami, ir 100,0 % (2 iš 2) tiriamųjų, kurie tyrimo pradžioje buvo HbeAg neigiami. Anti-HBe serokonversija 192 savaitę nustatyta panašioms procentinėms </w:t>
      </w:r>
      <w:r w:rsidR="00AF4F66">
        <w:rPr>
          <w:szCs w:val="22"/>
          <w:lang w:eastAsia="en-US"/>
        </w:rPr>
        <w:t>tenofoviro dizoproksilio</w:t>
      </w:r>
      <w:r w:rsidR="00AF4F66" w:rsidRPr="00DC3B0C">
        <w:rPr>
          <w:szCs w:val="22"/>
          <w:lang w:eastAsia="en-US"/>
        </w:rPr>
        <w:t>-</w:t>
      </w:r>
      <w:r w:rsidR="00AF4F66">
        <w:rPr>
          <w:szCs w:val="22"/>
          <w:lang w:eastAsia="en-US"/>
        </w:rPr>
        <w:t>tenofoviro dizoproksilio</w:t>
      </w:r>
      <w:r w:rsidR="00AF4F66" w:rsidRPr="00DC3B0C">
        <w:rPr>
          <w:szCs w:val="22"/>
          <w:lang w:eastAsia="en-US"/>
        </w:rPr>
        <w:t xml:space="preserve"> </w:t>
      </w:r>
      <w:r w:rsidRPr="00DC3B0C">
        <w:rPr>
          <w:szCs w:val="22"/>
          <w:lang w:eastAsia="en-US"/>
        </w:rPr>
        <w:t>ir PLB-</w:t>
      </w:r>
      <w:r w:rsidR="00AF4F66" w:rsidRPr="00AF4F66">
        <w:t xml:space="preserve"> </w:t>
      </w:r>
      <w:r w:rsidR="00AF4F66" w:rsidRPr="00AF4F66">
        <w:rPr>
          <w:szCs w:val="22"/>
          <w:lang w:eastAsia="en-US"/>
        </w:rPr>
        <w:t>tenofoviro dizoproksilio</w:t>
      </w:r>
      <w:r w:rsidRPr="00DC3B0C">
        <w:rPr>
          <w:szCs w:val="22"/>
          <w:lang w:eastAsia="en-US"/>
        </w:rPr>
        <w:t xml:space="preserve"> grupių tiriamųjų dalims (atitinkamai 37,5 % ir 41,7 %).</w:t>
      </w:r>
    </w:p>
    <w:p w14:paraId="158A2722" w14:textId="77777777" w:rsidR="00DC3B0C" w:rsidRDefault="00DC3B0C" w:rsidP="00DC3B0C">
      <w:pPr>
        <w:tabs>
          <w:tab w:val="left" w:pos="567"/>
        </w:tabs>
        <w:rPr>
          <w:szCs w:val="22"/>
          <w:lang w:eastAsia="en-US"/>
        </w:rPr>
      </w:pPr>
    </w:p>
    <w:p w14:paraId="700BED4F" w14:textId="77777777" w:rsidR="00DC3B0C" w:rsidRPr="00DC3B0C" w:rsidRDefault="00DC3B0C" w:rsidP="00DC3B0C">
      <w:pPr>
        <w:tabs>
          <w:tab w:val="left" w:pos="567"/>
        </w:tabs>
        <w:rPr>
          <w:szCs w:val="22"/>
          <w:lang w:eastAsia="en-US"/>
        </w:rPr>
      </w:pPr>
      <w:r w:rsidRPr="00DC3B0C">
        <w:rPr>
          <w:szCs w:val="22"/>
          <w:lang w:eastAsia="en-US"/>
        </w:rPr>
        <w:t>Kaulų mineralinio tankio (KMT) duomenų, gautų tyrimu GS-US-174-0115, santrauka yra pateikta 8 lentelėje.</w:t>
      </w:r>
    </w:p>
    <w:p w14:paraId="149BE51D" w14:textId="77777777" w:rsidR="00DC3B0C" w:rsidRDefault="00DC3B0C" w:rsidP="00DC3B0C">
      <w:pPr>
        <w:tabs>
          <w:tab w:val="left" w:pos="567"/>
        </w:tabs>
        <w:rPr>
          <w:szCs w:val="22"/>
          <w:lang w:eastAsia="en-US"/>
        </w:rPr>
      </w:pPr>
    </w:p>
    <w:p w14:paraId="3BB1554A" w14:textId="77777777" w:rsidR="00DC3B0C" w:rsidRPr="00164838" w:rsidRDefault="00DC3B0C" w:rsidP="00DC3B0C">
      <w:pPr>
        <w:tabs>
          <w:tab w:val="left" w:pos="567"/>
        </w:tabs>
        <w:rPr>
          <w:b/>
          <w:szCs w:val="22"/>
          <w:lang w:eastAsia="en-US"/>
        </w:rPr>
      </w:pPr>
      <w:r w:rsidRPr="00164838">
        <w:rPr>
          <w:b/>
          <w:szCs w:val="22"/>
          <w:lang w:eastAsia="en-US"/>
        </w:rPr>
        <w:t>8 lentelė. Kaulų mineralinio tankio įvertinimas tyrimo pradžioje, 72 savaitę ir 192 savaitę</w:t>
      </w:r>
    </w:p>
    <w:tbl>
      <w:tblPr>
        <w:tblW w:w="9353" w:type="dxa"/>
        <w:tblInd w:w="-108" w:type="dxa"/>
        <w:tblCellMar>
          <w:top w:w="8" w:type="dxa"/>
          <w:right w:w="67" w:type="dxa"/>
        </w:tblCellMar>
        <w:tblLook w:val="04A0" w:firstRow="1" w:lastRow="0" w:firstColumn="1" w:lastColumn="0" w:noHBand="0" w:noVBand="1"/>
      </w:tblPr>
      <w:tblGrid>
        <w:gridCol w:w="1275"/>
        <w:gridCol w:w="1360"/>
        <w:gridCol w:w="1330"/>
        <w:gridCol w:w="1396"/>
        <w:gridCol w:w="1315"/>
        <w:gridCol w:w="1417"/>
        <w:gridCol w:w="1359"/>
      </w:tblGrid>
      <w:tr w:rsidR="00945A0C" w:rsidRPr="00DC3B0C" w14:paraId="25B65279" w14:textId="77777777" w:rsidTr="00A27265">
        <w:trPr>
          <w:trHeight w:val="245"/>
        </w:trPr>
        <w:tc>
          <w:tcPr>
            <w:tcW w:w="123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D21C3DD" w14:textId="77777777" w:rsidR="00DC3B0C" w:rsidRPr="00CA49A8" w:rsidRDefault="00DC3B0C" w:rsidP="00DC3B0C">
            <w:pPr>
              <w:spacing w:line="259" w:lineRule="auto"/>
            </w:pPr>
          </w:p>
        </w:tc>
        <w:tc>
          <w:tcPr>
            <w:tcW w:w="2650" w:type="dxa"/>
            <w:gridSpan w:val="2"/>
            <w:tcBorders>
              <w:top w:val="single" w:sz="6" w:space="0" w:color="000000"/>
              <w:left w:val="single" w:sz="6" w:space="0" w:color="000000"/>
              <w:bottom w:val="single" w:sz="6" w:space="0" w:color="000000"/>
              <w:right w:val="single" w:sz="6" w:space="0" w:color="000000"/>
            </w:tcBorders>
            <w:shd w:val="clear" w:color="auto" w:fill="auto"/>
          </w:tcPr>
          <w:p w14:paraId="3363AFCE" w14:textId="77777777" w:rsidR="00DC3B0C" w:rsidRPr="00DC3B0C" w:rsidRDefault="00DC3B0C" w:rsidP="00DC3B0C">
            <w:pPr>
              <w:spacing w:line="259" w:lineRule="auto"/>
              <w:ind w:right="46"/>
              <w:jc w:val="center"/>
              <w:rPr>
                <w:szCs w:val="22"/>
                <w:lang w:val="en-US" w:eastAsia="en-US"/>
              </w:rPr>
            </w:pPr>
            <w:r>
              <w:rPr>
                <w:b/>
                <w:szCs w:val="22"/>
                <w:lang w:val="en-US" w:eastAsia="en-US"/>
              </w:rPr>
              <w:t>Tyrimo pradžia</w:t>
            </w:r>
            <w:r w:rsidRPr="00DC3B0C">
              <w:rPr>
                <w:b/>
                <w:szCs w:val="22"/>
                <w:lang w:val="en-US" w:eastAsia="en-US"/>
              </w:rPr>
              <w:t xml:space="preserve"> </w:t>
            </w:r>
          </w:p>
        </w:tc>
        <w:tc>
          <w:tcPr>
            <w:tcW w:w="2670" w:type="dxa"/>
            <w:gridSpan w:val="2"/>
            <w:tcBorders>
              <w:top w:val="single" w:sz="6" w:space="0" w:color="000000"/>
              <w:left w:val="single" w:sz="6" w:space="0" w:color="000000"/>
              <w:bottom w:val="single" w:sz="6" w:space="0" w:color="000000"/>
              <w:right w:val="single" w:sz="6" w:space="0" w:color="000000"/>
            </w:tcBorders>
            <w:shd w:val="clear" w:color="auto" w:fill="auto"/>
          </w:tcPr>
          <w:p w14:paraId="125C465C" w14:textId="77777777" w:rsidR="00DC3B0C" w:rsidRPr="00DC3B0C" w:rsidRDefault="00DC3B0C" w:rsidP="00DC3B0C">
            <w:pPr>
              <w:spacing w:line="259" w:lineRule="auto"/>
              <w:ind w:right="49"/>
              <w:jc w:val="center"/>
              <w:rPr>
                <w:szCs w:val="22"/>
                <w:lang w:val="en-US" w:eastAsia="en-US"/>
              </w:rPr>
            </w:pPr>
            <w:r w:rsidRPr="00DC3B0C">
              <w:rPr>
                <w:b/>
                <w:szCs w:val="22"/>
                <w:lang w:val="en-US" w:eastAsia="en-US"/>
              </w:rPr>
              <w:t xml:space="preserve">72 </w:t>
            </w:r>
            <w:r>
              <w:rPr>
                <w:b/>
                <w:szCs w:val="22"/>
                <w:lang w:val="en-US" w:eastAsia="en-US"/>
              </w:rPr>
              <w:t>savaitė</w:t>
            </w:r>
          </w:p>
        </w:tc>
        <w:tc>
          <w:tcPr>
            <w:tcW w:w="2796" w:type="dxa"/>
            <w:gridSpan w:val="2"/>
            <w:tcBorders>
              <w:top w:val="single" w:sz="6" w:space="0" w:color="000000"/>
              <w:left w:val="single" w:sz="6" w:space="0" w:color="000000"/>
              <w:bottom w:val="single" w:sz="6" w:space="0" w:color="000000"/>
              <w:right w:val="single" w:sz="6" w:space="0" w:color="000000"/>
            </w:tcBorders>
            <w:shd w:val="clear" w:color="auto" w:fill="auto"/>
          </w:tcPr>
          <w:p w14:paraId="7903E6B3" w14:textId="77777777" w:rsidR="00DC3B0C" w:rsidRPr="00DC3B0C" w:rsidRDefault="00DC3B0C" w:rsidP="00DC3B0C">
            <w:pPr>
              <w:spacing w:line="259" w:lineRule="auto"/>
              <w:ind w:right="49"/>
              <w:jc w:val="center"/>
              <w:rPr>
                <w:szCs w:val="22"/>
                <w:lang w:val="en-US" w:eastAsia="en-US"/>
              </w:rPr>
            </w:pPr>
            <w:r w:rsidRPr="00DC3B0C">
              <w:rPr>
                <w:b/>
                <w:szCs w:val="22"/>
                <w:lang w:val="en-US" w:eastAsia="en-US"/>
              </w:rPr>
              <w:t xml:space="preserve">192 </w:t>
            </w:r>
            <w:r>
              <w:rPr>
                <w:b/>
                <w:szCs w:val="22"/>
                <w:lang w:val="en-US" w:eastAsia="en-US"/>
              </w:rPr>
              <w:t>savaitė</w:t>
            </w:r>
          </w:p>
        </w:tc>
      </w:tr>
      <w:tr w:rsidR="00945A0C" w:rsidRPr="00DC3B0C" w14:paraId="578E0D92" w14:textId="77777777" w:rsidTr="00A27265">
        <w:trPr>
          <w:trHeight w:val="253"/>
        </w:trPr>
        <w:tc>
          <w:tcPr>
            <w:tcW w:w="1237" w:type="dxa"/>
            <w:vMerge/>
            <w:tcBorders>
              <w:top w:val="nil"/>
              <w:left w:val="single" w:sz="6" w:space="0" w:color="000000"/>
              <w:bottom w:val="single" w:sz="6" w:space="0" w:color="000000"/>
              <w:right w:val="single" w:sz="6" w:space="0" w:color="000000"/>
            </w:tcBorders>
            <w:shd w:val="clear" w:color="auto" w:fill="auto"/>
          </w:tcPr>
          <w:p w14:paraId="5E869FBB" w14:textId="77777777" w:rsidR="00DC3B0C" w:rsidRPr="00DC3B0C" w:rsidRDefault="00DC3B0C" w:rsidP="00DC3B0C">
            <w:pPr>
              <w:spacing w:after="160" w:line="259" w:lineRule="auto"/>
              <w:rPr>
                <w:szCs w:val="22"/>
                <w:lang w:val="en-US" w:eastAsia="en-US"/>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Pr>
          <w:p w14:paraId="6DAAB67A" w14:textId="3BCEA940" w:rsidR="00DC3B0C" w:rsidRPr="00EE7979" w:rsidRDefault="00A27265" w:rsidP="00A27265">
            <w:pPr>
              <w:spacing w:line="259" w:lineRule="auto"/>
              <w:ind w:left="29"/>
              <w:rPr>
                <w:b/>
                <w:sz w:val="20"/>
                <w:lang w:val="en-US"/>
              </w:rPr>
            </w:pPr>
            <w:r w:rsidRPr="00945A0C">
              <w:rPr>
                <w:b/>
                <w:sz w:val="20"/>
                <w:lang w:eastAsia="en-US"/>
              </w:rPr>
              <w:t>Tenofovir</w:t>
            </w:r>
            <w:r>
              <w:rPr>
                <w:b/>
                <w:sz w:val="20"/>
                <w:lang w:eastAsia="en-US"/>
              </w:rPr>
              <w:t>as</w:t>
            </w:r>
            <w:r w:rsidRPr="00945A0C">
              <w:rPr>
                <w:b/>
                <w:sz w:val="20"/>
                <w:lang w:eastAsia="en-US"/>
              </w:rPr>
              <w:t xml:space="preserve"> dizoproksili</w:t>
            </w:r>
            <w:r>
              <w:rPr>
                <w:b/>
                <w:sz w:val="20"/>
                <w:lang w:eastAsia="en-US"/>
              </w:rPr>
              <w:t>s</w:t>
            </w:r>
            <w:r w:rsidRPr="00945A0C">
              <w:rPr>
                <w:b/>
                <w:sz w:val="20"/>
                <w:lang w:eastAsia="en-US"/>
              </w:rPr>
              <w:t>-tenofovir</w:t>
            </w:r>
            <w:r>
              <w:rPr>
                <w:b/>
                <w:sz w:val="20"/>
                <w:lang w:eastAsia="en-US"/>
              </w:rPr>
              <w:t>as</w:t>
            </w:r>
            <w:r w:rsidRPr="00945A0C">
              <w:rPr>
                <w:b/>
                <w:sz w:val="20"/>
                <w:lang w:eastAsia="en-US"/>
              </w:rPr>
              <w:t xml:space="preserve"> dizoproksili</w:t>
            </w:r>
            <w:r>
              <w:rPr>
                <w:b/>
                <w:sz w:val="20"/>
                <w:lang w:eastAsia="en-US"/>
              </w:rPr>
              <w:t>s</w:t>
            </w:r>
          </w:p>
        </w:tc>
        <w:tc>
          <w:tcPr>
            <w:tcW w:w="1311" w:type="dxa"/>
            <w:tcBorders>
              <w:top w:val="single" w:sz="6" w:space="0" w:color="000000"/>
              <w:left w:val="single" w:sz="6" w:space="0" w:color="000000"/>
              <w:bottom w:val="single" w:sz="6" w:space="0" w:color="000000"/>
              <w:right w:val="single" w:sz="6" w:space="0" w:color="000000"/>
            </w:tcBorders>
            <w:shd w:val="clear" w:color="auto" w:fill="auto"/>
          </w:tcPr>
          <w:p w14:paraId="49275597" w14:textId="023FC250" w:rsidR="00DC3B0C" w:rsidRPr="00EE7979" w:rsidRDefault="00DC3B0C" w:rsidP="00A27265">
            <w:pPr>
              <w:spacing w:line="259" w:lineRule="auto"/>
              <w:ind w:left="65"/>
              <w:rPr>
                <w:b/>
                <w:sz w:val="20"/>
                <w:lang w:val="en-US"/>
              </w:rPr>
            </w:pPr>
            <w:r w:rsidRPr="00EE7979">
              <w:rPr>
                <w:b/>
                <w:sz w:val="20"/>
                <w:lang w:val="en-US"/>
              </w:rPr>
              <w:t>PLB-</w:t>
            </w:r>
            <w:r w:rsidR="00A27265" w:rsidRPr="00945A0C">
              <w:rPr>
                <w:b/>
                <w:sz w:val="20"/>
                <w:lang w:eastAsia="en-US"/>
              </w:rPr>
              <w:t xml:space="preserve"> tenofovir</w:t>
            </w:r>
            <w:r w:rsidR="00A27265">
              <w:rPr>
                <w:b/>
                <w:sz w:val="20"/>
                <w:lang w:eastAsia="en-US"/>
              </w:rPr>
              <w:t>as</w:t>
            </w:r>
            <w:r w:rsidR="00A27265" w:rsidRPr="00945A0C">
              <w:rPr>
                <w:b/>
                <w:sz w:val="20"/>
                <w:lang w:eastAsia="en-US"/>
              </w:rPr>
              <w:t xml:space="preserve"> dizoproksil</w:t>
            </w:r>
            <w:r w:rsidR="00A27265">
              <w:rPr>
                <w:b/>
                <w:sz w:val="20"/>
                <w:lang w:eastAsia="en-US"/>
              </w:rPr>
              <w:t>is</w:t>
            </w: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14:paraId="050B51A8" w14:textId="630E242B" w:rsidR="00DC3B0C" w:rsidRPr="00EE7979" w:rsidRDefault="00A27265" w:rsidP="00DC3B0C">
            <w:pPr>
              <w:spacing w:line="259" w:lineRule="auto"/>
              <w:ind w:left="65"/>
              <w:rPr>
                <w:b/>
                <w:sz w:val="20"/>
                <w:lang w:val="en-US"/>
              </w:rPr>
            </w:pPr>
            <w:r w:rsidRPr="00191877">
              <w:rPr>
                <w:b/>
                <w:sz w:val="20"/>
                <w:lang w:eastAsia="en-US"/>
              </w:rPr>
              <w:t>Tenofovir</w:t>
            </w:r>
            <w:r>
              <w:rPr>
                <w:b/>
                <w:sz w:val="20"/>
                <w:lang w:eastAsia="en-US"/>
              </w:rPr>
              <w:t>as</w:t>
            </w:r>
            <w:r w:rsidRPr="00191877">
              <w:rPr>
                <w:b/>
                <w:sz w:val="20"/>
                <w:lang w:eastAsia="en-US"/>
              </w:rPr>
              <w:t xml:space="preserve"> dizoproksili</w:t>
            </w:r>
            <w:r>
              <w:rPr>
                <w:b/>
                <w:sz w:val="20"/>
                <w:lang w:eastAsia="en-US"/>
              </w:rPr>
              <w:t>s</w:t>
            </w:r>
            <w:r w:rsidRPr="00191877">
              <w:rPr>
                <w:b/>
                <w:sz w:val="20"/>
                <w:lang w:eastAsia="en-US"/>
              </w:rPr>
              <w:t>-tenofovir</w:t>
            </w:r>
            <w:r>
              <w:rPr>
                <w:b/>
                <w:sz w:val="20"/>
                <w:lang w:eastAsia="en-US"/>
              </w:rPr>
              <w:t>as</w:t>
            </w:r>
            <w:r w:rsidRPr="00191877">
              <w:rPr>
                <w:b/>
                <w:sz w:val="20"/>
                <w:lang w:eastAsia="en-US"/>
              </w:rPr>
              <w:t xml:space="preserve"> dizoproksili</w:t>
            </w:r>
            <w:r>
              <w:rPr>
                <w:b/>
                <w:sz w:val="20"/>
                <w:lang w:eastAsia="en-US"/>
              </w:rPr>
              <w:t>s</w:t>
            </w:r>
          </w:p>
        </w:tc>
        <w:tc>
          <w:tcPr>
            <w:tcW w:w="1296" w:type="dxa"/>
            <w:tcBorders>
              <w:top w:val="single" w:sz="6" w:space="0" w:color="000000"/>
              <w:left w:val="single" w:sz="6" w:space="0" w:color="000000"/>
              <w:bottom w:val="single" w:sz="6" w:space="0" w:color="000000"/>
              <w:right w:val="single" w:sz="6" w:space="0" w:color="000000"/>
            </w:tcBorders>
            <w:shd w:val="clear" w:color="auto" w:fill="auto"/>
          </w:tcPr>
          <w:p w14:paraId="1E485EAB" w14:textId="308E6CCD" w:rsidR="00DC3B0C" w:rsidRPr="00EE7979" w:rsidRDefault="00A27265" w:rsidP="00A27265">
            <w:pPr>
              <w:spacing w:line="259" w:lineRule="auto"/>
              <w:ind w:left="50"/>
              <w:rPr>
                <w:b/>
                <w:sz w:val="20"/>
                <w:lang w:val="en-US"/>
              </w:rPr>
            </w:pPr>
            <w:r w:rsidRPr="00EE7979">
              <w:rPr>
                <w:b/>
                <w:sz w:val="20"/>
                <w:lang w:val="en-US"/>
              </w:rPr>
              <w:t>PLB-</w:t>
            </w:r>
            <w:r w:rsidRPr="00191877">
              <w:rPr>
                <w:b/>
                <w:sz w:val="20"/>
                <w:lang w:eastAsia="en-US"/>
              </w:rPr>
              <w:t xml:space="preserve"> tenofovir</w:t>
            </w:r>
            <w:r>
              <w:rPr>
                <w:b/>
                <w:sz w:val="20"/>
                <w:lang w:eastAsia="en-US"/>
              </w:rPr>
              <w:t>as</w:t>
            </w:r>
            <w:r w:rsidRPr="00191877">
              <w:rPr>
                <w:b/>
                <w:sz w:val="20"/>
                <w:lang w:eastAsia="en-US"/>
              </w:rPr>
              <w:t xml:space="preserve"> dizoproksil</w:t>
            </w:r>
            <w:r>
              <w:rPr>
                <w:b/>
                <w:sz w:val="20"/>
                <w:lang w:eastAsia="en-US"/>
              </w:rPr>
              <w:t>is</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59648848" w14:textId="62F0C385" w:rsidR="00DC3B0C" w:rsidRPr="00EE7979" w:rsidRDefault="00A27265" w:rsidP="00DC3B0C">
            <w:pPr>
              <w:spacing w:line="259" w:lineRule="auto"/>
              <w:ind w:left="86"/>
              <w:rPr>
                <w:b/>
                <w:sz w:val="20"/>
                <w:lang w:val="en-US"/>
              </w:rPr>
            </w:pPr>
            <w:r w:rsidRPr="00191877">
              <w:rPr>
                <w:b/>
                <w:sz w:val="20"/>
                <w:lang w:eastAsia="en-US"/>
              </w:rPr>
              <w:t>Tenofovir</w:t>
            </w:r>
            <w:r>
              <w:rPr>
                <w:b/>
                <w:sz w:val="20"/>
                <w:lang w:eastAsia="en-US"/>
              </w:rPr>
              <w:t>as</w:t>
            </w:r>
            <w:r w:rsidRPr="00191877">
              <w:rPr>
                <w:b/>
                <w:sz w:val="20"/>
                <w:lang w:eastAsia="en-US"/>
              </w:rPr>
              <w:t xml:space="preserve"> dizoproksili</w:t>
            </w:r>
            <w:r>
              <w:rPr>
                <w:b/>
                <w:sz w:val="20"/>
                <w:lang w:eastAsia="en-US"/>
              </w:rPr>
              <w:t>s</w:t>
            </w:r>
            <w:r w:rsidRPr="00191877">
              <w:rPr>
                <w:b/>
                <w:sz w:val="20"/>
                <w:lang w:eastAsia="en-US"/>
              </w:rPr>
              <w:t>-tenofovir</w:t>
            </w:r>
            <w:r>
              <w:rPr>
                <w:b/>
                <w:sz w:val="20"/>
                <w:lang w:eastAsia="en-US"/>
              </w:rPr>
              <w:t>as</w:t>
            </w:r>
            <w:r w:rsidRPr="00191877">
              <w:rPr>
                <w:b/>
                <w:sz w:val="20"/>
                <w:lang w:eastAsia="en-US"/>
              </w:rPr>
              <w:t xml:space="preserve"> dizoproksili</w:t>
            </w:r>
            <w:r>
              <w:rPr>
                <w:b/>
                <w:sz w:val="20"/>
                <w:lang w:eastAsia="en-US"/>
              </w:rPr>
              <w:t>s</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00CD1AE9" w14:textId="4989B75B" w:rsidR="00DC3B0C" w:rsidRPr="00EE7979" w:rsidRDefault="00A27265" w:rsidP="00DC3B0C">
            <w:pPr>
              <w:spacing w:line="259" w:lineRule="auto"/>
              <w:ind w:left="94"/>
              <w:rPr>
                <w:b/>
                <w:sz w:val="20"/>
                <w:lang w:val="en-US"/>
              </w:rPr>
            </w:pPr>
            <w:r w:rsidRPr="00EE7979">
              <w:rPr>
                <w:b/>
                <w:sz w:val="20"/>
                <w:lang w:val="en-US"/>
              </w:rPr>
              <w:t>PLB-</w:t>
            </w:r>
            <w:r w:rsidRPr="00191877">
              <w:rPr>
                <w:b/>
                <w:sz w:val="20"/>
                <w:lang w:eastAsia="en-US"/>
              </w:rPr>
              <w:t xml:space="preserve"> tenofovir</w:t>
            </w:r>
            <w:r>
              <w:rPr>
                <w:b/>
                <w:sz w:val="20"/>
                <w:lang w:eastAsia="en-US"/>
              </w:rPr>
              <w:t>as</w:t>
            </w:r>
            <w:r w:rsidRPr="00191877">
              <w:rPr>
                <w:b/>
                <w:sz w:val="20"/>
                <w:lang w:eastAsia="en-US"/>
              </w:rPr>
              <w:t xml:space="preserve"> dizoproksil</w:t>
            </w:r>
            <w:r>
              <w:rPr>
                <w:b/>
                <w:sz w:val="20"/>
                <w:lang w:eastAsia="en-US"/>
              </w:rPr>
              <w:t>is</w:t>
            </w:r>
          </w:p>
        </w:tc>
      </w:tr>
      <w:tr w:rsidR="00945A0C" w:rsidRPr="00DC3B0C" w14:paraId="1157BD52" w14:textId="77777777" w:rsidTr="00A27265">
        <w:trPr>
          <w:trHeight w:val="482"/>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7FAB8B54" w14:textId="77777777" w:rsidR="00DC3B0C" w:rsidRPr="00EC331C" w:rsidRDefault="00566AF1" w:rsidP="00164838">
            <w:pPr>
              <w:spacing w:line="259" w:lineRule="auto"/>
              <w:rPr>
                <w:szCs w:val="22"/>
                <w:lang w:eastAsia="en-US"/>
              </w:rPr>
            </w:pPr>
            <w:r w:rsidRPr="00EC331C">
              <w:rPr>
                <w:szCs w:val="22"/>
                <w:lang w:eastAsia="en-US"/>
              </w:rPr>
              <w:t>Vidutinis juosmeninės stuburo dalies (SN) KMT Z-balas</w:t>
            </w:r>
            <w:r w:rsidRPr="00EC331C">
              <w:rPr>
                <w:szCs w:val="22"/>
                <w:vertAlign w:val="superscript"/>
                <w:lang w:eastAsia="en-US"/>
              </w:rPr>
              <w:t>a</w:t>
            </w:r>
          </w:p>
        </w:tc>
        <w:tc>
          <w:tcPr>
            <w:tcW w:w="1339" w:type="dxa"/>
            <w:tcBorders>
              <w:top w:val="single" w:sz="6" w:space="0" w:color="000000"/>
              <w:left w:val="single" w:sz="6" w:space="0" w:color="000000"/>
              <w:bottom w:val="single" w:sz="6" w:space="0" w:color="000000"/>
              <w:right w:val="single" w:sz="6" w:space="0" w:color="000000"/>
            </w:tcBorders>
            <w:shd w:val="clear" w:color="auto" w:fill="auto"/>
          </w:tcPr>
          <w:p w14:paraId="730D1364" w14:textId="77777777" w:rsidR="00DC3B0C" w:rsidRPr="00DC3B0C" w:rsidRDefault="00DC3B0C" w:rsidP="00DC3B0C">
            <w:pPr>
              <w:spacing w:line="259" w:lineRule="auto"/>
              <w:ind w:right="41"/>
              <w:jc w:val="center"/>
              <w:rPr>
                <w:szCs w:val="22"/>
                <w:lang w:val="en-US" w:eastAsia="en-US"/>
              </w:rPr>
            </w:pPr>
            <w:r w:rsidRPr="00DC3B0C">
              <w:rPr>
                <w:szCs w:val="22"/>
                <w:lang w:val="en-US" w:eastAsia="en-US"/>
              </w:rPr>
              <w:t xml:space="preserve">−0.42  </w:t>
            </w:r>
          </w:p>
          <w:p w14:paraId="57ADE986"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(0.762) </w:t>
            </w:r>
          </w:p>
        </w:tc>
        <w:tc>
          <w:tcPr>
            <w:tcW w:w="1311" w:type="dxa"/>
            <w:tcBorders>
              <w:top w:val="single" w:sz="6" w:space="0" w:color="000000"/>
              <w:left w:val="single" w:sz="6" w:space="0" w:color="000000"/>
              <w:bottom w:val="single" w:sz="6" w:space="0" w:color="000000"/>
              <w:right w:val="single" w:sz="6" w:space="0" w:color="000000"/>
            </w:tcBorders>
            <w:shd w:val="clear" w:color="auto" w:fill="auto"/>
          </w:tcPr>
          <w:p w14:paraId="45E49FCF" w14:textId="77777777" w:rsidR="00DC3B0C" w:rsidRPr="00DC3B0C" w:rsidRDefault="00DC3B0C" w:rsidP="00DC3B0C">
            <w:pPr>
              <w:spacing w:line="259" w:lineRule="auto"/>
              <w:ind w:right="49"/>
              <w:jc w:val="center"/>
              <w:rPr>
                <w:szCs w:val="22"/>
                <w:lang w:val="en-US" w:eastAsia="en-US"/>
              </w:rPr>
            </w:pPr>
            <w:r w:rsidRPr="00DC3B0C">
              <w:rPr>
                <w:szCs w:val="22"/>
                <w:lang w:val="en-US" w:eastAsia="en-US"/>
              </w:rPr>
              <w:t xml:space="preserve">-0.26  </w:t>
            </w:r>
          </w:p>
          <w:p w14:paraId="6ED391C7"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(0.806) </w:t>
            </w: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14:paraId="458C675E" w14:textId="77777777" w:rsidR="00DC3B0C" w:rsidRPr="00DC3B0C" w:rsidRDefault="00DC3B0C" w:rsidP="00DC3B0C">
            <w:pPr>
              <w:spacing w:line="259" w:lineRule="auto"/>
              <w:ind w:right="41"/>
              <w:jc w:val="center"/>
              <w:rPr>
                <w:szCs w:val="22"/>
                <w:lang w:val="en-US" w:eastAsia="en-US"/>
              </w:rPr>
            </w:pPr>
            <w:r w:rsidRPr="00DC3B0C">
              <w:rPr>
                <w:szCs w:val="22"/>
                <w:lang w:val="en-US" w:eastAsia="en-US"/>
              </w:rPr>
              <w:t xml:space="preserve">-0.49  </w:t>
            </w:r>
          </w:p>
          <w:p w14:paraId="36666687" w14:textId="77777777" w:rsidR="00DC3B0C" w:rsidRPr="00DC3B0C" w:rsidRDefault="00DC3B0C" w:rsidP="00DC3B0C">
            <w:pPr>
              <w:spacing w:line="259" w:lineRule="auto"/>
              <w:ind w:right="46"/>
              <w:jc w:val="center"/>
              <w:rPr>
                <w:szCs w:val="22"/>
                <w:lang w:val="en-US" w:eastAsia="en-US"/>
              </w:rPr>
            </w:pPr>
            <w:r w:rsidRPr="00DC3B0C">
              <w:rPr>
                <w:szCs w:val="22"/>
                <w:lang w:val="en-US" w:eastAsia="en-US"/>
              </w:rPr>
              <w:t xml:space="preserve">(0.852)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Pr>
          <w:p w14:paraId="117819AB" w14:textId="77777777" w:rsidR="00DC3B0C" w:rsidRPr="00DC3B0C" w:rsidRDefault="00DC3B0C" w:rsidP="00DC3B0C">
            <w:pPr>
              <w:spacing w:line="259" w:lineRule="auto"/>
              <w:ind w:right="34"/>
              <w:jc w:val="center"/>
              <w:rPr>
                <w:szCs w:val="22"/>
                <w:lang w:val="en-US" w:eastAsia="en-US"/>
              </w:rPr>
            </w:pPr>
            <w:r w:rsidRPr="00DC3B0C">
              <w:rPr>
                <w:szCs w:val="22"/>
                <w:lang w:val="en-US" w:eastAsia="en-US"/>
              </w:rPr>
              <w:t xml:space="preserve">-0.23 </w:t>
            </w:r>
          </w:p>
          <w:p w14:paraId="477D79AE" w14:textId="77777777" w:rsidR="00DC3B0C" w:rsidRPr="00DC3B0C" w:rsidRDefault="00DC3B0C" w:rsidP="00DC3B0C">
            <w:pPr>
              <w:spacing w:line="259" w:lineRule="auto"/>
              <w:ind w:right="40"/>
              <w:jc w:val="center"/>
              <w:rPr>
                <w:szCs w:val="22"/>
                <w:lang w:val="en-US" w:eastAsia="en-US"/>
              </w:rPr>
            </w:pPr>
            <w:r w:rsidRPr="00DC3B0C">
              <w:rPr>
                <w:szCs w:val="22"/>
                <w:lang w:val="en-US" w:eastAsia="en-US"/>
              </w:rPr>
              <w:t xml:space="preserve">(0.893)  </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33B1E9C5" w14:textId="77777777" w:rsidR="00DC3B0C" w:rsidRPr="00DC3B0C" w:rsidRDefault="00DC3B0C" w:rsidP="00DC3B0C">
            <w:pPr>
              <w:spacing w:line="259" w:lineRule="auto"/>
              <w:ind w:right="56"/>
              <w:jc w:val="center"/>
              <w:rPr>
                <w:szCs w:val="22"/>
                <w:lang w:val="en-US" w:eastAsia="en-US"/>
              </w:rPr>
            </w:pPr>
            <w:r w:rsidRPr="00DC3B0C">
              <w:rPr>
                <w:szCs w:val="22"/>
                <w:lang w:val="en-US" w:eastAsia="en-US"/>
              </w:rPr>
              <w:t xml:space="preserve">-0.37 </w:t>
            </w:r>
          </w:p>
          <w:p w14:paraId="4B61F113"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(0.946)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076A3CD3" w14:textId="77777777" w:rsidR="00DC3B0C" w:rsidRPr="00DC3B0C" w:rsidRDefault="00DC3B0C" w:rsidP="00DC3B0C">
            <w:pPr>
              <w:spacing w:line="259" w:lineRule="auto"/>
              <w:ind w:right="48"/>
              <w:jc w:val="center"/>
              <w:rPr>
                <w:szCs w:val="22"/>
                <w:lang w:val="en-US" w:eastAsia="en-US"/>
              </w:rPr>
            </w:pPr>
            <w:r w:rsidRPr="00DC3B0C">
              <w:rPr>
                <w:szCs w:val="22"/>
                <w:lang w:val="en-US" w:eastAsia="en-US"/>
              </w:rPr>
              <w:t xml:space="preserve">-0.44 </w:t>
            </w:r>
          </w:p>
          <w:p w14:paraId="11AC12BE"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(0.920)  </w:t>
            </w:r>
          </w:p>
        </w:tc>
      </w:tr>
      <w:tr w:rsidR="00945A0C" w:rsidRPr="00DC3B0C" w14:paraId="6CF65CBA" w14:textId="77777777" w:rsidTr="00A27265">
        <w:trPr>
          <w:trHeight w:val="936"/>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6E06B267" w14:textId="77777777" w:rsidR="00DC3B0C" w:rsidRPr="00EC331C" w:rsidRDefault="00566AF1" w:rsidP="00DC3B0C">
            <w:pPr>
              <w:spacing w:after="14" w:line="237" w:lineRule="auto"/>
              <w:rPr>
                <w:szCs w:val="22"/>
                <w:lang w:eastAsia="en-US"/>
              </w:rPr>
            </w:pPr>
            <w:r w:rsidRPr="00EC331C">
              <w:rPr>
                <w:szCs w:val="22"/>
                <w:lang w:eastAsia="en-US"/>
              </w:rPr>
              <w:lastRenderedPageBreak/>
              <w:t>Vidutinio juosmeninės stuburo dalies (SN) KMT Z-balo pokytis nuo tyrimo pradžios</w:t>
            </w:r>
            <w:r w:rsidRPr="00EC331C">
              <w:rPr>
                <w:szCs w:val="22"/>
                <w:vertAlign w:val="superscript"/>
                <w:lang w:eastAsia="en-US"/>
              </w:rPr>
              <w:t>a</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F6FB6D"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84E8D"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A5BC6" w14:textId="77777777" w:rsidR="00DC3B0C" w:rsidRPr="00DC3B0C" w:rsidRDefault="00DC3B0C" w:rsidP="00DC3B0C">
            <w:pPr>
              <w:spacing w:line="259" w:lineRule="auto"/>
              <w:ind w:right="41"/>
              <w:jc w:val="center"/>
              <w:rPr>
                <w:szCs w:val="22"/>
                <w:lang w:val="en-US" w:eastAsia="en-US"/>
              </w:rPr>
            </w:pPr>
            <w:r w:rsidRPr="00DC3B0C">
              <w:rPr>
                <w:szCs w:val="22"/>
                <w:lang w:val="en-US" w:eastAsia="en-US"/>
              </w:rPr>
              <w:t xml:space="preserve">-0.06  </w:t>
            </w:r>
          </w:p>
          <w:p w14:paraId="1CEFB1FE" w14:textId="77777777" w:rsidR="00DC3B0C" w:rsidRPr="00DC3B0C" w:rsidRDefault="00DC3B0C" w:rsidP="00DC3B0C">
            <w:pPr>
              <w:spacing w:line="259" w:lineRule="auto"/>
              <w:ind w:right="46"/>
              <w:jc w:val="center"/>
              <w:rPr>
                <w:szCs w:val="22"/>
                <w:lang w:val="en-US" w:eastAsia="en-US"/>
              </w:rPr>
            </w:pPr>
            <w:r w:rsidRPr="00DC3B0C">
              <w:rPr>
                <w:szCs w:val="22"/>
                <w:lang w:val="en-US" w:eastAsia="en-US"/>
              </w:rPr>
              <w:t xml:space="preserve">(0.320) </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8C28E1" w14:textId="77777777" w:rsidR="00DC3B0C" w:rsidRPr="00DC3B0C" w:rsidRDefault="00DC3B0C" w:rsidP="00DC3B0C">
            <w:pPr>
              <w:spacing w:line="259" w:lineRule="auto"/>
              <w:ind w:right="41"/>
              <w:jc w:val="center"/>
              <w:rPr>
                <w:szCs w:val="22"/>
                <w:lang w:val="en-US" w:eastAsia="en-US"/>
              </w:rPr>
            </w:pPr>
            <w:r w:rsidRPr="00DC3B0C">
              <w:rPr>
                <w:szCs w:val="22"/>
                <w:lang w:val="en-US" w:eastAsia="en-US"/>
              </w:rPr>
              <w:t xml:space="preserve">0.10  </w:t>
            </w:r>
          </w:p>
          <w:p w14:paraId="4608FDC7" w14:textId="77777777" w:rsidR="00DC3B0C" w:rsidRPr="00DC3B0C" w:rsidRDefault="00DC3B0C" w:rsidP="00DC3B0C">
            <w:pPr>
              <w:spacing w:line="259" w:lineRule="auto"/>
              <w:ind w:right="40"/>
              <w:jc w:val="center"/>
              <w:rPr>
                <w:szCs w:val="22"/>
                <w:lang w:val="en-US" w:eastAsia="en-US"/>
              </w:rPr>
            </w:pPr>
            <w:r w:rsidRPr="00DC3B0C">
              <w:rPr>
                <w:szCs w:val="22"/>
                <w:lang w:val="en-US" w:eastAsia="en-US"/>
              </w:rPr>
              <w:t xml:space="preserve">(0.378)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FCA46A" w14:textId="77777777" w:rsidR="00DC3B0C" w:rsidRPr="00DC3B0C" w:rsidRDefault="00DC3B0C" w:rsidP="00DC3B0C">
            <w:pPr>
              <w:spacing w:line="259" w:lineRule="auto"/>
              <w:ind w:right="49"/>
              <w:jc w:val="center"/>
              <w:rPr>
                <w:szCs w:val="22"/>
                <w:lang w:val="en-US" w:eastAsia="en-US"/>
              </w:rPr>
            </w:pPr>
            <w:r w:rsidRPr="00DC3B0C">
              <w:rPr>
                <w:szCs w:val="22"/>
                <w:lang w:val="en-US" w:eastAsia="en-US"/>
              </w:rPr>
              <w:t xml:space="preserve">0.02  </w:t>
            </w:r>
          </w:p>
          <w:p w14:paraId="343C70A4"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(0.548) </w:t>
            </w:r>
          </w:p>
        </w:tc>
        <w:tc>
          <w:tcPr>
            <w:tcW w:w="1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BA2045" w14:textId="77777777" w:rsidR="00DC3B0C" w:rsidRPr="00DC3B0C" w:rsidRDefault="00DC3B0C" w:rsidP="00DC3B0C">
            <w:pPr>
              <w:spacing w:line="259" w:lineRule="auto"/>
              <w:ind w:right="48"/>
              <w:jc w:val="center"/>
              <w:rPr>
                <w:szCs w:val="22"/>
                <w:lang w:val="en-US" w:eastAsia="en-US"/>
              </w:rPr>
            </w:pPr>
            <w:r w:rsidRPr="00DC3B0C">
              <w:rPr>
                <w:szCs w:val="22"/>
                <w:lang w:val="en-US" w:eastAsia="en-US"/>
              </w:rPr>
              <w:t xml:space="preserve">-0.10 </w:t>
            </w:r>
          </w:p>
          <w:p w14:paraId="38749EA1"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(0.543) </w:t>
            </w:r>
          </w:p>
        </w:tc>
      </w:tr>
      <w:tr w:rsidR="00945A0C" w:rsidRPr="00DC3B0C" w14:paraId="6CAA13A3" w14:textId="77777777" w:rsidTr="00A27265">
        <w:trPr>
          <w:trHeight w:val="482"/>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42504E65" w14:textId="77777777" w:rsidR="00DC3B0C" w:rsidRPr="00EC331C" w:rsidRDefault="00566AF1" w:rsidP="00DC3B0C">
            <w:pPr>
              <w:spacing w:line="259" w:lineRule="auto"/>
              <w:rPr>
                <w:szCs w:val="22"/>
                <w:lang w:val="fr-CH" w:eastAsia="en-US"/>
              </w:rPr>
            </w:pPr>
            <w:r w:rsidRPr="00EC331C">
              <w:rPr>
                <w:szCs w:val="22"/>
                <w:lang w:val="fr-CH" w:eastAsia="en-US"/>
              </w:rPr>
              <w:t>Bendras vidutinis (SN) KMT Z-balas</w:t>
            </w:r>
            <w:r w:rsidRPr="00EC331C">
              <w:rPr>
                <w:szCs w:val="22"/>
                <w:vertAlign w:val="superscript"/>
                <w:lang w:val="fr-CH" w:eastAsia="en-US"/>
              </w:rPr>
              <w:t>a</w:t>
            </w:r>
          </w:p>
        </w:tc>
        <w:tc>
          <w:tcPr>
            <w:tcW w:w="1339" w:type="dxa"/>
            <w:tcBorders>
              <w:top w:val="single" w:sz="6" w:space="0" w:color="000000"/>
              <w:left w:val="single" w:sz="6" w:space="0" w:color="000000"/>
              <w:bottom w:val="single" w:sz="6" w:space="0" w:color="000000"/>
              <w:right w:val="single" w:sz="6" w:space="0" w:color="000000"/>
            </w:tcBorders>
            <w:shd w:val="clear" w:color="auto" w:fill="auto"/>
          </w:tcPr>
          <w:p w14:paraId="1DDC583A" w14:textId="77777777" w:rsidR="00DC3B0C" w:rsidRPr="00DC3B0C" w:rsidRDefault="00DC3B0C" w:rsidP="00DC3B0C">
            <w:pPr>
              <w:spacing w:line="259" w:lineRule="auto"/>
              <w:ind w:right="41"/>
              <w:jc w:val="center"/>
              <w:rPr>
                <w:szCs w:val="22"/>
                <w:lang w:val="en-US" w:eastAsia="en-US"/>
              </w:rPr>
            </w:pPr>
            <w:r w:rsidRPr="00DC3B0C">
              <w:rPr>
                <w:szCs w:val="22"/>
                <w:lang w:val="en-US" w:eastAsia="en-US"/>
              </w:rPr>
              <w:t xml:space="preserve">−0.19  </w:t>
            </w:r>
          </w:p>
          <w:p w14:paraId="29317340"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(1.110) </w:t>
            </w:r>
          </w:p>
        </w:tc>
        <w:tc>
          <w:tcPr>
            <w:tcW w:w="1311" w:type="dxa"/>
            <w:tcBorders>
              <w:top w:val="single" w:sz="6" w:space="0" w:color="000000"/>
              <w:left w:val="single" w:sz="6" w:space="0" w:color="000000"/>
              <w:bottom w:val="single" w:sz="6" w:space="0" w:color="000000"/>
              <w:right w:val="single" w:sz="6" w:space="0" w:color="000000"/>
            </w:tcBorders>
            <w:shd w:val="clear" w:color="auto" w:fill="auto"/>
          </w:tcPr>
          <w:p w14:paraId="691F3158" w14:textId="77777777" w:rsidR="00DC3B0C" w:rsidRPr="00DC3B0C" w:rsidRDefault="00DC3B0C" w:rsidP="00DC3B0C">
            <w:pPr>
              <w:spacing w:line="259" w:lineRule="auto"/>
              <w:ind w:right="42"/>
              <w:jc w:val="center"/>
              <w:rPr>
                <w:szCs w:val="22"/>
                <w:lang w:val="en-US" w:eastAsia="en-US"/>
              </w:rPr>
            </w:pPr>
            <w:r w:rsidRPr="00DC3B0C">
              <w:rPr>
                <w:szCs w:val="22"/>
                <w:lang w:val="en-US" w:eastAsia="en-US"/>
              </w:rPr>
              <w:t xml:space="preserve">−0.23 </w:t>
            </w:r>
          </w:p>
          <w:p w14:paraId="6CB4E7AA"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(0.859) </w:t>
            </w: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14:paraId="732857C5" w14:textId="77777777" w:rsidR="00DC3B0C" w:rsidRPr="00DC3B0C" w:rsidRDefault="00DC3B0C" w:rsidP="00DC3B0C">
            <w:pPr>
              <w:spacing w:line="259" w:lineRule="auto"/>
              <w:ind w:left="180" w:firstLine="86"/>
              <w:rPr>
                <w:szCs w:val="22"/>
                <w:lang w:val="en-US" w:eastAsia="en-US"/>
              </w:rPr>
            </w:pPr>
            <w:r w:rsidRPr="00DC3B0C">
              <w:rPr>
                <w:szCs w:val="22"/>
                <w:lang w:val="en-US" w:eastAsia="en-US"/>
              </w:rPr>
              <w:t xml:space="preserve">−0.36  (1.077) </w:t>
            </w:r>
          </w:p>
        </w:tc>
        <w:tc>
          <w:tcPr>
            <w:tcW w:w="1296" w:type="dxa"/>
            <w:tcBorders>
              <w:top w:val="single" w:sz="6" w:space="0" w:color="000000"/>
              <w:left w:val="single" w:sz="6" w:space="0" w:color="000000"/>
              <w:bottom w:val="single" w:sz="6" w:space="0" w:color="000000"/>
              <w:right w:val="single" w:sz="6" w:space="0" w:color="000000"/>
            </w:tcBorders>
            <w:shd w:val="clear" w:color="auto" w:fill="auto"/>
          </w:tcPr>
          <w:p w14:paraId="6DBC19DF" w14:textId="77777777" w:rsidR="00DC3B0C" w:rsidRPr="00DC3B0C" w:rsidRDefault="00DC3B0C" w:rsidP="00DC3B0C">
            <w:pPr>
              <w:spacing w:line="259" w:lineRule="auto"/>
              <w:ind w:right="42"/>
              <w:jc w:val="center"/>
              <w:rPr>
                <w:szCs w:val="22"/>
                <w:lang w:val="en-US" w:eastAsia="en-US"/>
              </w:rPr>
            </w:pPr>
            <w:r w:rsidRPr="00DC3B0C">
              <w:rPr>
                <w:szCs w:val="22"/>
                <w:lang w:val="en-US" w:eastAsia="en-US"/>
              </w:rPr>
              <w:t xml:space="preserve">−0.12 </w:t>
            </w:r>
          </w:p>
          <w:p w14:paraId="64398336" w14:textId="77777777" w:rsidR="00DC3B0C" w:rsidRPr="00DC3B0C" w:rsidRDefault="00DC3B0C" w:rsidP="00DC3B0C">
            <w:pPr>
              <w:spacing w:line="259" w:lineRule="auto"/>
              <w:ind w:right="40"/>
              <w:jc w:val="center"/>
              <w:rPr>
                <w:szCs w:val="22"/>
                <w:lang w:val="en-US" w:eastAsia="en-US"/>
              </w:rPr>
            </w:pPr>
            <w:r w:rsidRPr="00DC3B0C">
              <w:rPr>
                <w:szCs w:val="22"/>
                <w:lang w:val="en-US" w:eastAsia="en-US"/>
              </w:rPr>
              <w:t xml:space="preserve">(0.916) </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0D6B8A8F" w14:textId="77777777" w:rsidR="00DC3B0C" w:rsidRPr="00DC3B0C" w:rsidRDefault="00DC3B0C" w:rsidP="00DC3B0C">
            <w:pPr>
              <w:spacing w:line="259" w:lineRule="auto"/>
              <w:ind w:right="49"/>
              <w:jc w:val="center"/>
              <w:rPr>
                <w:szCs w:val="22"/>
                <w:lang w:val="en-US" w:eastAsia="en-US"/>
              </w:rPr>
            </w:pPr>
            <w:r w:rsidRPr="00DC3B0C">
              <w:rPr>
                <w:szCs w:val="22"/>
                <w:lang w:val="en-US" w:eastAsia="en-US"/>
              </w:rPr>
              <w:t xml:space="preserve">−0.38 </w:t>
            </w:r>
          </w:p>
          <w:p w14:paraId="71AF3E8D"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(0.934)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6AFFA6AC" w14:textId="77777777" w:rsidR="00DC3B0C" w:rsidRPr="00DC3B0C" w:rsidRDefault="00DC3B0C" w:rsidP="00DC3B0C">
            <w:pPr>
              <w:spacing w:line="259" w:lineRule="auto"/>
              <w:ind w:left="202" w:firstLine="86"/>
              <w:rPr>
                <w:szCs w:val="22"/>
                <w:lang w:val="en-US" w:eastAsia="en-US"/>
              </w:rPr>
            </w:pPr>
            <w:r w:rsidRPr="00DC3B0C">
              <w:rPr>
                <w:szCs w:val="22"/>
                <w:lang w:val="en-US" w:eastAsia="en-US"/>
              </w:rPr>
              <w:t xml:space="preserve">−0.42  (0.942) </w:t>
            </w:r>
          </w:p>
        </w:tc>
      </w:tr>
      <w:tr w:rsidR="00945A0C" w:rsidRPr="00DC3B0C" w14:paraId="5414D48F" w14:textId="77777777" w:rsidTr="00A27265">
        <w:trPr>
          <w:trHeight w:val="937"/>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53C0377E" w14:textId="77777777" w:rsidR="00DC3B0C" w:rsidRPr="00EC331C" w:rsidRDefault="00566AF1" w:rsidP="00DC3B0C">
            <w:pPr>
              <w:spacing w:line="259" w:lineRule="auto"/>
              <w:rPr>
                <w:szCs w:val="22"/>
                <w:lang w:val="it-IT" w:eastAsia="en-US"/>
              </w:rPr>
            </w:pPr>
            <w:r w:rsidRPr="00EC331C">
              <w:rPr>
                <w:szCs w:val="22"/>
                <w:lang w:val="it-IT" w:eastAsia="en-US"/>
              </w:rPr>
              <w:t>Bendro vidutinio (SN) KMT Z-balo pokytis nuo tyrimo pradžios</w:t>
            </w:r>
            <w:r w:rsidRPr="00EC331C">
              <w:rPr>
                <w:szCs w:val="22"/>
                <w:vertAlign w:val="superscript"/>
                <w:lang w:val="it-IT" w:eastAsia="en-US"/>
              </w:rPr>
              <w:t>a</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1DD08A"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D609F5"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8F550" w14:textId="77777777" w:rsidR="00DC3B0C" w:rsidRPr="00DC3B0C" w:rsidRDefault="00DC3B0C" w:rsidP="00DC3B0C">
            <w:pPr>
              <w:spacing w:line="259" w:lineRule="auto"/>
              <w:ind w:right="49"/>
              <w:jc w:val="center"/>
              <w:rPr>
                <w:szCs w:val="22"/>
                <w:lang w:val="en-US" w:eastAsia="en-US"/>
              </w:rPr>
            </w:pPr>
            <w:r w:rsidRPr="00DC3B0C">
              <w:rPr>
                <w:szCs w:val="22"/>
                <w:lang w:val="en-US" w:eastAsia="en-US"/>
              </w:rPr>
              <w:t xml:space="preserve">−0.16 </w:t>
            </w:r>
          </w:p>
          <w:p w14:paraId="31F7DAD3" w14:textId="77777777" w:rsidR="00DC3B0C" w:rsidRPr="00DC3B0C" w:rsidRDefault="00DC3B0C" w:rsidP="00DC3B0C">
            <w:pPr>
              <w:spacing w:line="259" w:lineRule="auto"/>
              <w:ind w:right="46"/>
              <w:jc w:val="center"/>
              <w:rPr>
                <w:szCs w:val="22"/>
                <w:lang w:val="en-US" w:eastAsia="en-US"/>
              </w:rPr>
            </w:pPr>
            <w:r w:rsidRPr="00DC3B0C">
              <w:rPr>
                <w:szCs w:val="22"/>
                <w:lang w:val="en-US" w:eastAsia="en-US"/>
              </w:rPr>
              <w:t xml:space="preserve">(0.355) </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2A58D" w14:textId="77777777" w:rsidR="00DC3B0C" w:rsidRPr="00DC3B0C" w:rsidRDefault="00DC3B0C" w:rsidP="00DC3B0C">
            <w:pPr>
              <w:spacing w:line="259" w:lineRule="auto"/>
              <w:ind w:right="41"/>
              <w:jc w:val="center"/>
              <w:rPr>
                <w:szCs w:val="22"/>
                <w:lang w:val="en-US" w:eastAsia="en-US"/>
              </w:rPr>
            </w:pPr>
            <w:r w:rsidRPr="00DC3B0C">
              <w:rPr>
                <w:szCs w:val="22"/>
                <w:lang w:val="en-US" w:eastAsia="en-US"/>
              </w:rPr>
              <w:t xml:space="preserve">0.09 </w:t>
            </w:r>
          </w:p>
          <w:p w14:paraId="70E5BDFA" w14:textId="77777777" w:rsidR="00DC3B0C" w:rsidRPr="00DC3B0C" w:rsidRDefault="00DC3B0C" w:rsidP="00DC3B0C">
            <w:pPr>
              <w:spacing w:line="259" w:lineRule="auto"/>
              <w:ind w:right="40"/>
              <w:jc w:val="center"/>
              <w:rPr>
                <w:szCs w:val="22"/>
                <w:lang w:val="en-US" w:eastAsia="en-US"/>
              </w:rPr>
            </w:pPr>
            <w:r w:rsidRPr="00DC3B0C">
              <w:rPr>
                <w:szCs w:val="22"/>
                <w:lang w:val="en-US" w:eastAsia="en-US"/>
              </w:rPr>
              <w:t xml:space="preserve">(0.349)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B62305" w14:textId="77777777" w:rsidR="00DC3B0C" w:rsidRPr="00DC3B0C" w:rsidRDefault="00DC3B0C" w:rsidP="00DC3B0C">
            <w:pPr>
              <w:spacing w:line="259" w:lineRule="auto"/>
              <w:ind w:right="56"/>
              <w:jc w:val="center"/>
              <w:rPr>
                <w:szCs w:val="22"/>
                <w:lang w:val="en-US" w:eastAsia="en-US"/>
              </w:rPr>
            </w:pPr>
            <w:r w:rsidRPr="00DC3B0C">
              <w:rPr>
                <w:szCs w:val="22"/>
                <w:lang w:val="en-US" w:eastAsia="en-US"/>
              </w:rPr>
              <w:t xml:space="preserve">-0.16 </w:t>
            </w:r>
          </w:p>
          <w:p w14:paraId="3E6A52C1"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(0.521) </w:t>
            </w:r>
          </w:p>
        </w:tc>
        <w:tc>
          <w:tcPr>
            <w:tcW w:w="1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F58B16" w14:textId="77777777" w:rsidR="00DC3B0C" w:rsidRPr="00DC3B0C" w:rsidRDefault="00DC3B0C" w:rsidP="00DC3B0C">
            <w:pPr>
              <w:spacing w:line="259" w:lineRule="auto"/>
              <w:ind w:right="48"/>
              <w:jc w:val="center"/>
              <w:rPr>
                <w:szCs w:val="22"/>
                <w:lang w:val="en-US" w:eastAsia="en-US"/>
              </w:rPr>
            </w:pPr>
            <w:r w:rsidRPr="00DC3B0C">
              <w:rPr>
                <w:szCs w:val="22"/>
                <w:lang w:val="en-US" w:eastAsia="en-US"/>
              </w:rPr>
              <w:t xml:space="preserve">-0.19  </w:t>
            </w:r>
          </w:p>
          <w:p w14:paraId="59E57DB8"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(0.504) </w:t>
            </w:r>
          </w:p>
        </w:tc>
      </w:tr>
      <w:tr w:rsidR="00945A0C" w:rsidRPr="00DC3B0C" w14:paraId="53827600" w14:textId="77777777" w:rsidTr="00A27265">
        <w:trPr>
          <w:trHeight w:val="483"/>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3E2B4E30" w14:textId="77777777" w:rsidR="00DC3B0C" w:rsidRPr="00EC331C" w:rsidRDefault="00566AF1" w:rsidP="00DC3B0C">
            <w:pPr>
              <w:spacing w:after="14" w:line="237" w:lineRule="auto"/>
              <w:rPr>
                <w:szCs w:val="22"/>
                <w:lang w:eastAsia="en-US"/>
              </w:rPr>
            </w:pPr>
            <w:r w:rsidRPr="00EC331C">
              <w:rPr>
                <w:szCs w:val="22"/>
                <w:lang w:eastAsia="en-US"/>
              </w:rPr>
              <w:t>Ne mažiau kaip 6% sumažėjęs juosmeninės stuburo dalies KMT</w:t>
            </w:r>
            <w:r w:rsidRPr="00EC331C">
              <w:rPr>
                <w:szCs w:val="22"/>
                <w:vertAlign w:val="superscript"/>
                <w:lang w:eastAsia="en-US"/>
              </w:rPr>
              <w:t>b</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6351EB"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4A6CFA"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14:paraId="39438D09"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1.9% </w:t>
            </w:r>
          </w:p>
          <w:p w14:paraId="6F86606B"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(1 subject) </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2DD406"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 </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262B9411" w14:textId="77777777" w:rsidR="00DC3B0C" w:rsidRPr="00DC3B0C" w:rsidRDefault="00DC3B0C" w:rsidP="00DC3B0C">
            <w:pPr>
              <w:spacing w:line="259" w:lineRule="auto"/>
              <w:ind w:right="54"/>
              <w:jc w:val="center"/>
              <w:rPr>
                <w:szCs w:val="22"/>
                <w:lang w:val="en-US" w:eastAsia="en-US"/>
              </w:rPr>
            </w:pPr>
            <w:r w:rsidRPr="00DC3B0C">
              <w:rPr>
                <w:szCs w:val="22"/>
                <w:lang w:val="en-US" w:eastAsia="en-US"/>
              </w:rPr>
              <w:t xml:space="preserve">3.8% </w:t>
            </w:r>
          </w:p>
          <w:p w14:paraId="70DC1841"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(2 subjects)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469B6BC6" w14:textId="77777777" w:rsidR="00DC3B0C" w:rsidRPr="00DC3B0C" w:rsidRDefault="00DC3B0C" w:rsidP="00DC3B0C">
            <w:pPr>
              <w:spacing w:line="259" w:lineRule="auto"/>
              <w:ind w:left="58" w:right="97"/>
              <w:jc w:val="center"/>
              <w:rPr>
                <w:szCs w:val="22"/>
                <w:lang w:val="en-US" w:eastAsia="en-US"/>
              </w:rPr>
            </w:pPr>
            <w:r w:rsidRPr="00DC3B0C">
              <w:rPr>
                <w:szCs w:val="22"/>
                <w:lang w:val="en-US" w:eastAsia="en-US"/>
              </w:rPr>
              <w:t xml:space="preserve">3.7% (2 subjects) </w:t>
            </w:r>
          </w:p>
        </w:tc>
      </w:tr>
      <w:tr w:rsidR="00945A0C" w:rsidRPr="00DC3B0C" w14:paraId="4B95A01A" w14:textId="77777777" w:rsidTr="00A27265">
        <w:trPr>
          <w:trHeight w:val="482"/>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4EF5CD7E" w14:textId="77777777" w:rsidR="00DC3B0C" w:rsidRPr="00EC331C" w:rsidRDefault="00566AF1" w:rsidP="00DC3B0C">
            <w:pPr>
              <w:spacing w:after="14" w:line="237" w:lineRule="auto"/>
              <w:rPr>
                <w:szCs w:val="22"/>
                <w:lang w:eastAsia="en-US"/>
              </w:rPr>
            </w:pPr>
            <w:r w:rsidRPr="00EC331C">
              <w:rPr>
                <w:szCs w:val="22"/>
                <w:lang w:eastAsia="en-US"/>
              </w:rPr>
              <w:t>Ne mažiau kaip 6% sumažėjęs bendras KMT</w:t>
            </w:r>
            <w:r w:rsidRPr="00EC331C">
              <w:rPr>
                <w:szCs w:val="22"/>
                <w:vertAlign w:val="superscript"/>
                <w:lang w:eastAsia="en-US"/>
              </w:rPr>
              <w:t>b</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D93F67"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622A16"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F55567" w14:textId="77777777" w:rsidR="00DC3B0C" w:rsidRPr="00DC3B0C" w:rsidRDefault="00DC3B0C" w:rsidP="00DC3B0C">
            <w:pPr>
              <w:spacing w:line="259" w:lineRule="auto"/>
              <w:ind w:right="46"/>
              <w:jc w:val="center"/>
              <w:rPr>
                <w:szCs w:val="22"/>
                <w:lang w:val="en-US" w:eastAsia="en-US"/>
              </w:rPr>
            </w:pPr>
            <w:r w:rsidRPr="00DC3B0C">
              <w:rPr>
                <w:szCs w:val="22"/>
                <w:lang w:val="en-US" w:eastAsia="en-US"/>
              </w:rPr>
              <w:t xml:space="preserve">0% </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DA07DD"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0%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6C9303"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0% </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14:paraId="505098F4" w14:textId="77777777" w:rsidR="00DC3B0C" w:rsidRPr="00DC3B0C" w:rsidRDefault="00DC3B0C" w:rsidP="00DC3B0C">
            <w:pPr>
              <w:spacing w:line="259" w:lineRule="auto"/>
              <w:ind w:right="46"/>
              <w:jc w:val="center"/>
              <w:rPr>
                <w:szCs w:val="22"/>
                <w:lang w:val="en-US" w:eastAsia="en-US"/>
              </w:rPr>
            </w:pPr>
            <w:r w:rsidRPr="00DC3B0C">
              <w:rPr>
                <w:szCs w:val="22"/>
                <w:lang w:val="en-US" w:eastAsia="en-US"/>
              </w:rPr>
              <w:t xml:space="preserve">1.9% </w:t>
            </w:r>
          </w:p>
          <w:p w14:paraId="3F08B1B1"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(1 subject) </w:t>
            </w:r>
          </w:p>
        </w:tc>
      </w:tr>
      <w:tr w:rsidR="00945A0C" w:rsidRPr="00DC3B0C" w14:paraId="3FA2D73E" w14:textId="77777777" w:rsidTr="00A27265">
        <w:trPr>
          <w:trHeight w:val="475"/>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462BE641" w14:textId="77777777" w:rsidR="00DC3B0C" w:rsidRPr="00EC331C" w:rsidRDefault="00566AF1" w:rsidP="00566AF1">
            <w:pPr>
              <w:spacing w:after="14" w:line="237" w:lineRule="auto"/>
              <w:rPr>
                <w:szCs w:val="22"/>
                <w:lang w:eastAsia="en-US"/>
              </w:rPr>
            </w:pPr>
            <w:r w:rsidRPr="00EC331C">
              <w:rPr>
                <w:szCs w:val="22"/>
                <w:lang w:eastAsia="en-US"/>
              </w:rPr>
              <w:t>Vidutinis juosmeninės stuburo dalies KMT padidėjimas %</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2D192B"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2B3A05"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5DC2E3"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5.14% </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A359C" w14:textId="77777777" w:rsidR="00DC3B0C" w:rsidRPr="00DC3B0C" w:rsidRDefault="00DC3B0C" w:rsidP="00DC3B0C">
            <w:pPr>
              <w:spacing w:line="259" w:lineRule="auto"/>
              <w:ind w:right="61"/>
              <w:jc w:val="center"/>
              <w:rPr>
                <w:szCs w:val="22"/>
                <w:lang w:val="en-US" w:eastAsia="en-US"/>
              </w:rPr>
            </w:pPr>
            <w:r w:rsidRPr="00DC3B0C">
              <w:rPr>
                <w:szCs w:val="22"/>
                <w:lang w:val="en-US" w:eastAsia="en-US"/>
              </w:rPr>
              <w:t xml:space="preserve">8.08%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795E3" w14:textId="77777777" w:rsidR="00DC3B0C" w:rsidRPr="00DC3B0C" w:rsidRDefault="00DC3B0C" w:rsidP="00DC3B0C">
            <w:pPr>
              <w:spacing w:line="259" w:lineRule="auto"/>
              <w:ind w:right="54"/>
              <w:jc w:val="center"/>
              <w:rPr>
                <w:szCs w:val="22"/>
                <w:lang w:val="en-US" w:eastAsia="en-US"/>
              </w:rPr>
            </w:pPr>
            <w:r w:rsidRPr="00DC3B0C">
              <w:rPr>
                <w:szCs w:val="22"/>
                <w:lang w:val="en-US" w:eastAsia="en-US"/>
              </w:rPr>
              <w:t xml:space="preserve">10.05% </w:t>
            </w:r>
          </w:p>
        </w:tc>
        <w:tc>
          <w:tcPr>
            <w:tcW w:w="1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DF4BE" w14:textId="77777777" w:rsidR="00DC3B0C" w:rsidRPr="00DC3B0C" w:rsidRDefault="00DC3B0C" w:rsidP="00DC3B0C">
            <w:pPr>
              <w:spacing w:line="259" w:lineRule="auto"/>
              <w:ind w:right="46"/>
              <w:jc w:val="center"/>
              <w:rPr>
                <w:szCs w:val="22"/>
                <w:lang w:val="en-US" w:eastAsia="en-US"/>
              </w:rPr>
            </w:pPr>
            <w:r w:rsidRPr="00DC3B0C">
              <w:rPr>
                <w:szCs w:val="22"/>
                <w:lang w:val="en-US" w:eastAsia="en-US"/>
              </w:rPr>
              <w:t xml:space="preserve">11.21% </w:t>
            </w:r>
          </w:p>
        </w:tc>
      </w:tr>
      <w:tr w:rsidR="00945A0C" w:rsidRPr="00DC3B0C" w14:paraId="6084C5BB" w14:textId="77777777" w:rsidTr="00A27265">
        <w:trPr>
          <w:trHeight w:val="483"/>
        </w:trPr>
        <w:tc>
          <w:tcPr>
            <w:tcW w:w="1237" w:type="dxa"/>
            <w:tcBorders>
              <w:top w:val="single" w:sz="6" w:space="0" w:color="000000"/>
              <w:left w:val="single" w:sz="6" w:space="0" w:color="000000"/>
              <w:bottom w:val="single" w:sz="6" w:space="0" w:color="000000"/>
              <w:right w:val="single" w:sz="6" w:space="0" w:color="000000"/>
            </w:tcBorders>
            <w:shd w:val="clear" w:color="auto" w:fill="auto"/>
          </w:tcPr>
          <w:p w14:paraId="65284488" w14:textId="77777777" w:rsidR="00DC3B0C" w:rsidRPr="00DC3B0C" w:rsidRDefault="00566AF1" w:rsidP="00566AF1">
            <w:pPr>
              <w:spacing w:after="14" w:line="237" w:lineRule="auto"/>
              <w:rPr>
                <w:szCs w:val="22"/>
                <w:lang w:val="en-US" w:eastAsia="en-US"/>
              </w:rPr>
            </w:pPr>
            <w:r w:rsidRPr="00566AF1">
              <w:rPr>
                <w:szCs w:val="22"/>
                <w:lang w:val="en-US" w:eastAsia="en-US"/>
              </w:rPr>
              <w:t>Vidutinis  bendras KMT padidėjimas</w:t>
            </w:r>
            <w:r>
              <w:rPr>
                <w:szCs w:val="22"/>
                <w:lang w:val="en-US" w:eastAsia="en-US"/>
              </w:rPr>
              <w:t xml:space="preserve"> </w:t>
            </w:r>
            <w:r w:rsidRPr="00566AF1">
              <w:rPr>
                <w:szCs w:val="22"/>
                <w:lang w:val="en-US" w:eastAsia="en-US"/>
              </w:rPr>
              <w:t>%</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9FB88"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938059" w14:textId="77777777" w:rsidR="00DC3B0C" w:rsidRPr="00DC3B0C" w:rsidRDefault="00DC3B0C" w:rsidP="00DC3B0C">
            <w:pPr>
              <w:spacing w:line="259" w:lineRule="auto"/>
              <w:ind w:right="47"/>
              <w:jc w:val="center"/>
              <w:rPr>
                <w:szCs w:val="22"/>
                <w:lang w:val="en-US" w:eastAsia="en-US"/>
              </w:rPr>
            </w:pPr>
            <w:r w:rsidRPr="00DC3B0C">
              <w:rPr>
                <w:szCs w:val="22"/>
                <w:lang w:val="en-US" w:eastAsia="en-US"/>
              </w:rPr>
              <w:t xml:space="preserve">NA </w:t>
            </w:r>
          </w:p>
        </w:tc>
        <w:tc>
          <w:tcPr>
            <w:tcW w:w="13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FBE68" w14:textId="77777777" w:rsidR="00DC3B0C" w:rsidRPr="00DC3B0C" w:rsidRDefault="00DC3B0C" w:rsidP="00DC3B0C">
            <w:pPr>
              <w:spacing w:line="259" w:lineRule="auto"/>
              <w:ind w:right="39"/>
              <w:jc w:val="center"/>
              <w:rPr>
                <w:szCs w:val="22"/>
                <w:lang w:val="en-US" w:eastAsia="en-US"/>
              </w:rPr>
            </w:pPr>
            <w:r w:rsidRPr="00DC3B0C">
              <w:rPr>
                <w:szCs w:val="22"/>
                <w:lang w:val="en-US" w:eastAsia="en-US"/>
              </w:rPr>
              <w:t xml:space="preserve">3.07% </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288117" w14:textId="77777777" w:rsidR="00DC3B0C" w:rsidRPr="00DC3B0C" w:rsidRDefault="00DC3B0C" w:rsidP="00DC3B0C">
            <w:pPr>
              <w:spacing w:line="259" w:lineRule="auto"/>
              <w:ind w:right="61"/>
              <w:jc w:val="center"/>
              <w:rPr>
                <w:szCs w:val="22"/>
                <w:lang w:val="en-US" w:eastAsia="en-US"/>
              </w:rPr>
            </w:pPr>
            <w:r w:rsidRPr="00DC3B0C">
              <w:rPr>
                <w:szCs w:val="22"/>
                <w:lang w:val="en-US" w:eastAsia="en-US"/>
              </w:rPr>
              <w:t xml:space="preserve">5.39% </w:t>
            </w:r>
          </w:p>
        </w:tc>
        <w:tc>
          <w:tcPr>
            <w:tcW w:w="1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ECF2A6" w14:textId="77777777" w:rsidR="00DC3B0C" w:rsidRPr="00DC3B0C" w:rsidRDefault="00DC3B0C" w:rsidP="00DC3B0C">
            <w:pPr>
              <w:spacing w:line="259" w:lineRule="auto"/>
              <w:ind w:right="155"/>
              <w:jc w:val="center"/>
              <w:rPr>
                <w:szCs w:val="22"/>
                <w:lang w:val="en-US" w:eastAsia="en-US"/>
              </w:rPr>
            </w:pPr>
            <w:r w:rsidRPr="00DC3B0C">
              <w:rPr>
                <w:szCs w:val="22"/>
                <w:lang w:val="en-US" w:eastAsia="en-US"/>
              </w:rPr>
              <w:t xml:space="preserve">6.09% </w:t>
            </w:r>
          </w:p>
        </w:tc>
        <w:tc>
          <w:tcPr>
            <w:tcW w:w="14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2592FC" w14:textId="77777777" w:rsidR="00DC3B0C" w:rsidRPr="00DC3B0C" w:rsidRDefault="00DC3B0C" w:rsidP="00DC3B0C">
            <w:pPr>
              <w:spacing w:line="259" w:lineRule="auto"/>
              <w:ind w:right="147"/>
              <w:jc w:val="center"/>
              <w:rPr>
                <w:szCs w:val="22"/>
                <w:lang w:val="en-US" w:eastAsia="en-US"/>
              </w:rPr>
            </w:pPr>
            <w:r w:rsidRPr="00DC3B0C">
              <w:rPr>
                <w:szCs w:val="22"/>
                <w:lang w:val="en-US" w:eastAsia="en-US"/>
              </w:rPr>
              <w:t xml:space="preserve">7.22% </w:t>
            </w:r>
          </w:p>
        </w:tc>
      </w:tr>
    </w:tbl>
    <w:p w14:paraId="60A27E42" w14:textId="77777777" w:rsidR="00566AF1" w:rsidRPr="00164838" w:rsidRDefault="00566AF1" w:rsidP="00566AF1">
      <w:pPr>
        <w:tabs>
          <w:tab w:val="left" w:pos="567"/>
        </w:tabs>
        <w:rPr>
          <w:sz w:val="20"/>
          <w:lang w:eastAsia="en-US"/>
        </w:rPr>
      </w:pPr>
      <w:r w:rsidRPr="00164838">
        <w:rPr>
          <w:sz w:val="20"/>
          <w:lang w:eastAsia="en-US"/>
        </w:rPr>
        <w:t>NA = neaktualus</w:t>
      </w:r>
    </w:p>
    <w:p w14:paraId="54D29652" w14:textId="77777777" w:rsidR="00566AF1" w:rsidRPr="00164838" w:rsidRDefault="00566AF1" w:rsidP="00566AF1">
      <w:pPr>
        <w:tabs>
          <w:tab w:val="left" w:pos="567"/>
        </w:tabs>
        <w:rPr>
          <w:sz w:val="20"/>
          <w:lang w:eastAsia="en-US"/>
        </w:rPr>
      </w:pPr>
      <w:r w:rsidRPr="00164838">
        <w:rPr>
          <w:sz w:val="20"/>
          <w:vertAlign w:val="superscript"/>
          <w:lang w:eastAsia="en-US"/>
        </w:rPr>
        <w:t>a</w:t>
      </w:r>
      <w:r w:rsidRPr="00164838">
        <w:rPr>
          <w:sz w:val="20"/>
          <w:lang w:eastAsia="en-US"/>
        </w:rPr>
        <w:t xml:space="preserve"> KMT Z-balai pagal ūgį ir svorį nekoreguoti</w:t>
      </w:r>
    </w:p>
    <w:p w14:paraId="2DDDBAA8" w14:textId="77777777" w:rsidR="00DC3B0C" w:rsidRPr="00164838" w:rsidRDefault="00566AF1" w:rsidP="00566AF1">
      <w:pPr>
        <w:tabs>
          <w:tab w:val="left" w:pos="567"/>
        </w:tabs>
        <w:rPr>
          <w:sz w:val="20"/>
          <w:lang w:eastAsia="en-US"/>
        </w:rPr>
      </w:pPr>
      <w:r w:rsidRPr="00164838">
        <w:rPr>
          <w:sz w:val="20"/>
          <w:vertAlign w:val="superscript"/>
          <w:lang w:eastAsia="en-US"/>
        </w:rPr>
        <w:t>b</w:t>
      </w:r>
      <w:r w:rsidRPr="00164838">
        <w:rPr>
          <w:sz w:val="20"/>
          <w:lang w:eastAsia="en-US"/>
        </w:rPr>
        <w:t xml:space="preserve"> Pagrindinė saugumo vertinamoji baigtis 72 savaitę</w:t>
      </w:r>
    </w:p>
    <w:p w14:paraId="2E4E83F7" w14:textId="77777777" w:rsidR="001D5CAC" w:rsidRPr="00A566C7" w:rsidRDefault="001D5CAC" w:rsidP="00BA7AD1">
      <w:pPr>
        <w:rPr>
          <w:szCs w:val="22"/>
          <w:lang w:eastAsia="en-US"/>
        </w:rPr>
      </w:pPr>
    </w:p>
    <w:p w14:paraId="6EDAD11B" w14:textId="66C78C05" w:rsidR="003D40C4" w:rsidRPr="00A566C7" w:rsidRDefault="003D40C4" w:rsidP="003D40C4">
      <w:pPr>
        <w:rPr>
          <w:szCs w:val="22"/>
          <w:lang w:eastAsia="en-US"/>
        </w:rPr>
      </w:pPr>
      <w:r w:rsidRPr="00A566C7">
        <w:rPr>
          <w:szCs w:val="22"/>
          <w:lang w:eastAsia="en-US"/>
        </w:rPr>
        <w:t>Tyrime GS-US-174-0144 89 HBeAg neigiami ir HBeAg teigiami pacientai, kurių amžius buvo nuo 2 iki &lt; 12 metų, sergantys lėtiniu hepatitu B, vartojo tenofovirą dizoproksilį po 6,5 mg/kg (maksimali dozė buvo 245 mg) (n = 60) arba placebą (n = 29) kartą per parą 48 savaites. Tiriamieji turėjo būti anksčiau negydyti tenofoviru dizoproksiliu, jiems HBV DNR kiekis turėjo būti &gt; 105 kopijų/ml (~ 4,2 log10 TV/ml) ir ALT aktyvumas &gt; 1,5 × viršutinė normos riba (VNR) atrankos metu. 48-ąją savaitę</w:t>
      </w:r>
      <w:r w:rsidR="00BD0F70">
        <w:rPr>
          <w:szCs w:val="22"/>
          <w:lang w:eastAsia="en-US"/>
        </w:rPr>
        <w:t xml:space="preserve"> </w:t>
      </w:r>
      <w:r w:rsidRPr="00A566C7">
        <w:rPr>
          <w:szCs w:val="22"/>
          <w:lang w:eastAsia="en-US"/>
        </w:rPr>
        <w:t>77 % (46 iš 60) pacientų tenofoviro dizoproksilio grupėje ir 7 % (2 iš 29) pacientų placebo grupėje</w:t>
      </w:r>
    </w:p>
    <w:p w14:paraId="3F50A59B" w14:textId="447B3C70" w:rsidR="003D40C4" w:rsidRPr="00A566C7" w:rsidRDefault="003D40C4" w:rsidP="003D40C4">
      <w:pPr>
        <w:rPr>
          <w:szCs w:val="22"/>
          <w:lang w:eastAsia="en-US"/>
        </w:rPr>
      </w:pPr>
      <w:r w:rsidRPr="00A566C7">
        <w:rPr>
          <w:szCs w:val="22"/>
          <w:lang w:eastAsia="en-US"/>
        </w:rPr>
        <w:t xml:space="preserve">HBV DNR kiekis buvo &lt; 400 kopijų/ml (69 TV/ml). 48-ąją savaitę šešiasdešimt šešiems procentams (38 iš 58) pacientų tenofoviro dizoproksilio grupėje ALT aktyvumas buvo normalizavęsis, palyginti su 15 % (4 iš 27) pacientų placebo grupėje. Dvidešimt penki procentai (14 iš 56) pacientų tenofoviro </w:t>
      </w:r>
      <w:r w:rsidRPr="00A566C7">
        <w:rPr>
          <w:szCs w:val="22"/>
          <w:lang w:eastAsia="en-US"/>
        </w:rPr>
        <w:lastRenderedPageBreak/>
        <w:t>dizoproksilio grupėje ir 24 % (7 iš 29) pacientų placebo grupėje pasiekė HBeAg serokonversiją 48-ąją savaitę.</w:t>
      </w:r>
    </w:p>
    <w:p w14:paraId="6A2DAE54" w14:textId="50263FEB" w:rsidR="003D40C4" w:rsidRPr="00A566C7" w:rsidRDefault="003D40C4" w:rsidP="003D40C4">
      <w:pPr>
        <w:rPr>
          <w:szCs w:val="22"/>
          <w:lang w:eastAsia="en-US"/>
        </w:rPr>
      </w:pPr>
      <w:r w:rsidRPr="00A566C7">
        <w:rPr>
          <w:szCs w:val="22"/>
          <w:lang w:eastAsia="en-US"/>
        </w:rPr>
        <w:t>Atsakas į gydymą tenofoviru dizoproksiliu tarp anksčiau negydytų ir anksčiau gydytų tiriamųjų buvo panašus – 76 % (38 iš 50) anksčiau negydytų tiriamųjų ir 80 % (8 iš 10) anksčiau gydytų tiriamųjų 48-ąją savaitę HBV DNR kiekis buvo &lt; 400 kopijų/ml (69 TV/ml). Atsakas į gydymą tenofoviru dizoproksiliu taip pat buvo panašus tarp tyrimo pradžioje HBeAg neigiamų ir HBeAg teigiamų tiriamųjų – 77 % (43 iš 56) HBeAg teigiamų ir 75,0 % (3 iš 4) HBeAg neigiamų tiriamųjų 48-ąją savaitę HBV DNR kiekis buvo &lt; 400 kopijų/ml (69 TV/ml). Tyrimo pradžioje HBV genotipų pasiskirstymas tarp TDF ir placebo grupių buvo panašus. Daugumos tiriamųjų genotipas buvo arba C (43,8 %), arba D (41,6 %), o genotipai A ir B pasitaikė rečiau ir buvo panašaus dažnio (kiekvienas po 6,7 %). Tik 1 tiriamojo, atsitiktinių imčių būdu paskirto į TDF grupę, genotipas tyrimo pradžioje buvo E. Apskritai atsakas į gydymą tenofoviru dizoproksiliu buvo panašus A, B, C ir E genotipo tiriamiesiems [75–100 % tiriamųjų pasiekė HBV DNR kiekį &lt; 400 kopijų/ml (69 TV/ml) 48-ąją savaitę], o mažesnis atsako dažnis buvo D genotipo infekcija sergančių tiriamųjų grupėje (55 %). Kaulų mineralinio tankio (KMT) duomenų, gautų tyrimo GS-US-174-0144 metu, santrauka yra pateikta 9 lentelėje.</w:t>
      </w:r>
    </w:p>
    <w:p w14:paraId="7585CD50" w14:textId="77777777" w:rsidR="003D40C4" w:rsidRPr="00A566C7" w:rsidRDefault="003D40C4" w:rsidP="00BA7AD1">
      <w:pPr>
        <w:rPr>
          <w:szCs w:val="22"/>
          <w:lang w:eastAsia="en-US"/>
        </w:rPr>
      </w:pPr>
    </w:p>
    <w:p w14:paraId="2FE46C62" w14:textId="10DEC4AB" w:rsidR="003D40C4" w:rsidRPr="00A566C7" w:rsidRDefault="003D40C4" w:rsidP="003D40C4">
      <w:pPr>
        <w:tabs>
          <w:tab w:val="left" w:pos="567"/>
        </w:tabs>
        <w:rPr>
          <w:b/>
          <w:szCs w:val="22"/>
          <w:lang w:eastAsia="en-US"/>
        </w:rPr>
      </w:pPr>
      <w:r w:rsidRPr="00A566C7">
        <w:rPr>
          <w:b/>
          <w:szCs w:val="22"/>
          <w:lang w:eastAsia="en-US"/>
        </w:rPr>
        <w:t>9 lentelė. Kaulų mineralinio tankio įvertinimas tyrimo pradžioje ir 48 savaitę</w:t>
      </w:r>
    </w:p>
    <w:p w14:paraId="4D2B8F64" w14:textId="77777777" w:rsidR="003D40C4" w:rsidRPr="00A566C7" w:rsidRDefault="003D40C4" w:rsidP="003D40C4">
      <w:pPr>
        <w:tabs>
          <w:tab w:val="left" w:pos="567"/>
        </w:tabs>
        <w:rPr>
          <w:b/>
          <w:szCs w:val="22"/>
          <w:lang w:eastAsia="en-US"/>
        </w:rPr>
      </w:pPr>
    </w:p>
    <w:tbl>
      <w:tblPr>
        <w:tblW w:w="9005" w:type="dxa"/>
        <w:tblInd w:w="-108" w:type="dxa"/>
        <w:tblCellMar>
          <w:top w:w="8" w:type="dxa"/>
          <w:right w:w="67" w:type="dxa"/>
        </w:tblCellMar>
        <w:tblLook w:val="04A0" w:firstRow="1" w:lastRow="0" w:firstColumn="1" w:lastColumn="0" w:noHBand="0" w:noVBand="1"/>
      </w:tblPr>
      <w:tblGrid>
        <w:gridCol w:w="2343"/>
        <w:gridCol w:w="1701"/>
        <w:gridCol w:w="1701"/>
        <w:gridCol w:w="1559"/>
        <w:gridCol w:w="1701"/>
      </w:tblGrid>
      <w:tr w:rsidR="0019360C" w:rsidRPr="00A566C7" w14:paraId="12279C3D" w14:textId="77777777" w:rsidTr="003D40C4">
        <w:trPr>
          <w:trHeight w:val="245"/>
        </w:trPr>
        <w:tc>
          <w:tcPr>
            <w:tcW w:w="234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91EAC1D" w14:textId="77777777" w:rsidR="003D40C4" w:rsidRPr="00255C97" w:rsidRDefault="003D40C4" w:rsidP="00DA2C2A">
            <w:pPr>
              <w:spacing w:line="259" w:lineRule="auto"/>
              <w:rPr>
                <w:szCs w:val="22"/>
              </w:rPr>
            </w:pP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Pr>
          <w:p w14:paraId="58BDBD6F" w14:textId="77777777" w:rsidR="003D40C4" w:rsidRPr="00A566C7" w:rsidRDefault="003D40C4" w:rsidP="00DA2C2A">
            <w:pPr>
              <w:spacing w:line="259" w:lineRule="auto"/>
              <w:ind w:right="46"/>
              <w:jc w:val="center"/>
              <w:rPr>
                <w:szCs w:val="22"/>
                <w:lang w:val="en-US" w:eastAsia="en-US"/>
              </w:rPr>
            </w:pPr>
            <w:r w:rsidRPr="00A566C7">
              <w:rPr>
                <w:b/>
                <w:szCs w:val="22"/>
                <w:lang w:val="en-US" w:eastAsia="en-US"/>
              </w:rPr>
              <w:t xml:space="preserve">Tyrimo pradžia </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auto"/>
          </w:tcPr>
          <w:p w14:paraId="0219308E" w14:textId="23E84C3B" w:rsidR="003D40C4" w:rsidRPr="00A566C7" w:rsidRDefault="003D40C4" w:rsidP="00DA2C2A">
            <w:pPr>
              <w:spacing w:line="259" w:lineRule="auto"/>
              <w:ind w:right="49"/>
              <w:jc w:val="center"/>
              <w:rPr>
                <w:szCs w:val="22"/>
                <w:lang w:val="en-US" w:eastAsia="en-US"/>
              </w:rPr>
            </w:pPr>
            <w:r w:rsidRPr="00A566C7">
              <w:rPr>
                <w:b/>
                <w:szCs w:val="22"/>
                <w:lang w:val="en-US" w:eastAsia="en-US"/>
              </w:rPr>
              <w:t>48 savaitė</w:t>
            </w:r>
          </w:p>
        </w:tc>
      </w:tr>
      <w:tr w:rsidR="00DC7B01" w:rsidRPr="00A566C7" w14:paraId="78739F63" w14:textId="77777777" w:rsidTr="003D40C4">
        <w:trPr>
          <w:trHeight w:val="253"/>
        </w:trPr>
        <w:tc>
          <w:tcPr>
            <w:tcW w:w="2343" w:type="dxa"/>
            <w:vMerge/>
            <w:tcBorders>
              <w:top w:val="nil"/>
              <w:left w:val="single" w:sz="6" w:space="0" w:color="000000"/>
              <w:bottom w:val="single" w:sz="6" w:space="0" w:color="000000"/>
              <w:right w:val="single" w:sz="6" w:space="0" w:color="000000"/>
            </w:tcBorders>
            <w:shd w:val="clear" w:color="auto" w:fill="auto"/>
          </w:tcPr>
          <w:p w14:paraId="14A17B3F" w14:textId="77777777" w:rsidR="003D40C4" w:rsidRPr="00A566C7" w:rsidRDefault="003D40C4" w:rsidP="00DA2C2A">
            <w:pPr>
              <w:spacing w:after="160" w:line="259" w:lineRule="auto"/>
              <w:rPr>
                <w:szCs w:val="22"/>
                <w:lang w:val="en-US"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201E460" w14:textId="6EAB57EA" w:rsidR="003D40C4" w:rsidRPr="00EE7979" w:rsidRDefault="003D40C4" w:rsidP="0019360C">
            <w:pPr>
              <w:spacing w:line="259" w:lineRule="auto"/>
              <w:ind w:left="29"/>
              <w:rPr>
                <w:b/>
                <w:szCs w:val="22"/>
                <w:lang w:val="en-US"/>
              </w:rPr>
            </w:pPr>
            <w:r w:rsidRPr="00EE7979">
              <w:rPr>
                <w:b/>
                <w:szCs w:val="22"/>
                <w:lang w:eastAsia="en-US"/>
              </w:rPr>
              <w:t>Tenofoviras dizoproksilis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DA2EB19" w14:textId="113F4DB2" w:rsidR="003D40C4" w:rsidRPr="00EE7979" w:rsidRDefault="003D40C4" w:rsidP="00BD0F70">
            <w:pPr>
              <w:spacing w:line="259" w:lineRule="auto"/>
              <w:ind w:left="65"/>
              <w:rPr>
                <w:b/>
                <w:szCs w:val="22"/>
                <w:lang w:val="en-US"/>
              </w:rPr>
            </w:pPr>
            <w:r w:rsidRPr="00EE7979">
              <w:rPr>
                <w:b/>
                <w:szCs w:val="22"/>
                <w:lang w:val="en-US"/>
              </w:rPr>
              <w:t>P</w:t>
            </w:r>
            <w:r w:rsidR="0019360C" w:rsidRPr="00EE7979">
              <w:rPr>
                <w:b/>
                <w:szCs w:val="22"/>
                <w:lang w:val="en-US"/>
              </w:rPr>
              <w:t>lacebas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1E220F14" w14:textId="508E3541" w:rsidR="003D40C4" w:rsidRPr="00EE7979" w:rsidRDefault="003D40C4" w:rsidP="0019360C">
            <w:pPr>
              <w:spacing w:line="259" w:lineRule="auto"/>
              <w:ind w:left="65"/>
              <w:rPr>
                <w:b/>
                <w:szCs w:val="22"/>
                <w:lang w:val="en-US"/>
              </w:rPr>
            </w:pPr>
            <w:r w:rsidRPr="00EE7979">
              <w:rPr>
                <w:b/>
                <w:szCs w:val="22"/>
                <w:lang w:eastAsia="en-US"/>
              </w:rPr>
              <w:t>Tenofoviras dizoproksilis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BA92272" w14:textId="499418CB" w:rsidR="003D40C4" w:rsidRPr="00EE7979" w:rsidRDefault="003D40C4" w:rsidP="0019360C">
            <w:pPr>
              <w:spacing w:line="259" w:lineRule="auto"/>
              <w:ind w:left="50"/>
              <w:rPr>
                <w:b/>
                <w:szCs w:val="22"/>
                <w:lang w:val="en-US"/>
              </w:rPr>
            </w:pPr>
            <w:r w:rsidRPr="00EE7979">
              <w:rPr>
                <w:b/>
                <w:szCs w:val="22"/>
                <w:lang w:val="en-US"/>
              </w:rPr>
              <w:t>P</w:t>
            </w:r>
            <w:r w:rsidR="0019360C" w:rsidRPr="00EE7979">
              <w:rPr>
                <w:b/>
                <w:szCs w:val="22"/>
                <w:lang w:val="en-US"/>
              </w:rPr>
              <w:t>lacebas</w:t>
            </w:r>
          </w:p>
        </w:tc>
      </w:tr>
      <w:tr w:rsidR="00DC7B01" w:rsidRPr="00A566C7" w14:paraId="5873A387" w14:textId="77777777" w:rsidTr="003D40C4">
        <w:trPr>
          <w:trHeight w:val="482"/>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06B68C95" w14:textId="77777777" w:rsidR="003D40C4" w:rsidRPr="00A566C7" w:rsidRDefault="003D40C4" w:rsidP="00DA2C2A">
            <w:pPr>
              <w:spacing w:line="259" w:lineRule="auto"/>
              <w:rPr>
                <w:szCs w:val="22"/>
                <w:lang w:eastAsia="en-US"/>
              </w:rPr>
            </w:pPr>
            <w:r w:rsidRPr="00A566C7">
              <w:rPr>
                <w:szCs w:val="22"/>
                <w:lang w:eastAsia="en-US"/>
              </w:rPr>
              <w:t>Vidutinis juosmeninės stuburo dalies (SN) KMT Z-balas</w:t>
            </w:r>
            <w:r w:rsidRPr="00A566C7">
              <w:rPr>
                <w:szCs w:val="22"/>
                <w:vertAlign w:val="superscript"/>
                <w:lang w:eastAsia="en-US"/>
              </w:rPr>
              <w: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43BEE19" w14:textId="5B7C09AB" w:rsidR="003D40C4" w:rsidRPr="00A566C7" w:rsidRDefault="003D40C4" w:rsidP="00DA2C2A">
            <w:pPr>
              <w:spacing w:line="259" w:lineRule="auto"/>
              <w:ind w:right="41"/>
              <w:jc w:val="center"/>
              <w:rPr>
                <w:szCs w:val="22"/>
                <w:lang w:val="en-US" w:eastAsia="en-US"/>
              </w:rPr>
            </w:pPr>
            <w:r w:rsidRPr="00A566C7">
              <w:rPr>
                <w:szCs w:val="22"/>
                <w:lang w:val="en-US" w:eastAsia="en-US"/>
              </w:rPr>
              <w:t>0</w:t>
            </w:r>
            <w:r w:rsidR="0019360C" w:rsidRPr="00A566C7">
              <w:rPr>
                <w:szCs w:val="22"/>
                <w:lang w:val="en-US" w:eastAsia="en-US"/>
              </w:rPr>
              <w:t>,0</w:t>
            </w:r>
            <w:r w:rsidRPr="00A566C7">
              <w:rPr>
                <w:szCs w:val="22"/>
                <w:lang w:val="en-US" w:eastAsia="en-US"/>
              </w:rPr>
              <w:t xml:space="preserve">2  </w:t>
            </w:r>
          </w:p>
          <w:p w14:paraId="2A29F0E0" w14:textId="07D2B1A8" w:rsidR="003D40C4" w:rsidRPr="00A566C7" w:rsidRDefault="003D40C4" w:rsidP="0019360C">
            <w:pPr>
              <w:spacing w:line="259" w:lineRule="auto"/>
              <w:ind w:right="39"/>
              <w:jc w:val="center"/>
              <w:rPr>
                <w:szCs w:val="22"/>
                <w:lang w:val="en-US" w:eastAsia="en-US"/>
              </w:rPr>
            </w:pPr>
            <w:r w:rsidRPr="00A566C7">
              <w:rPr>
                <w:szCs w:val="22"/>
                <w:lang w:val="en-US" w:eastAsia="en-US"/>
              </w:rPr>
              <w:t>(0</w:t>
            </w:r>
            <w:r w:rsidR="0019360C" w:rsidRPr="00A566C7">
              <w:rPr>
                <w:szCs w:val="22"/>
                <w:lang w:val="en-US" w:eastAsia="en-US"/>
              </w:rPr>
              <w:t>,977</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60A9945" w14:textId="14EB11CE" w:rsidR="003D40C4" w:rsidRPr="00A566C7" w:rsidRDefault="00DC7B01" w:rsidP="00DA2C2A">
            <w:pPr>
              <w:spacing w:line="259" w:lineRule="auto"/>
              <w:ind w:right="49"/>
              <w:jc w:val="center"/>
              <w:rPr>
                <w:szCs w:val="22"/>
                <w:lang w:val="en-US" w:eastAsia="en-US"/>
              </w:rPr>
            </w:pPr>
            <w:r w:rsidRPr="00A566C7">
              <w:rPr>
                <w:szCs w:val="22"/>
                <w:lang w:val="en-US" w:eastAsia="en-US"/>
              </w:rPr>
              <w:t>−</w:t>
            </w:r>
            <w:r w:rsidR="003D40C4" w:rsidRPr="00A566C7">
              <w:rPr>
                <w:szCs w:val="22"/>
                <w:lang w:val="en-US" w:eastAsia="en-US"/>
              </w:rPr>
              <w:t>0</w:t>
            </w:r>
            <w:r w:rsidR="0019360C" w:rsidRPr="00A566C7">
              <w:rPr>
                <w:szCs w:val="22"/>
                <w:lang w:val="en-US" w:eastAsia="en-US"/>
              </w:rPr>
              <w:t>,</w:t>
            </w:r>
            <w:r w:rsidR="003D40C4" w:rsidRPr="00A566C7">
              <w:rPr>
                <w:szCs w:val="22"/>
                <w:lang w:val="en-US" w:eastAsia="en-US"/>
              </w:rPr>
              <w:t>2</w:t>
            </w:r>
            <w:r w:rsidR="0019360C" w:rsidRPr="00A566C7">
              <w:rPr>
                <w:szCs w:val="22"/>
                <w:lang w:val="en-US" w:eastAsia="en-US"/>
              </w:rPr>
              <w:t>9</w:t>
            </w:r>
            <w:r w:rsidR="003D40C4" w:rsidRPr="00A566C7">
              <w:rPr>
                <w:szCs w:val="22"/>
                <w:lang w:val="en-US" w:eastAsia="en-US"/>
              </w:rPr>
              <w:t xml:space="preserve">  </w:t>
            </w:r>
          </w:p>
          <w:p w14:paraId="7FA6A203" w14:textId="1627DA5E" w:rsidR="003D40C4" w:rsidRPr="00A566C7" w:rsidRDefault="003D40C4" w:rsidP="0019360C">
            <w:pPr>
              <w:spacing w:line="259" w:lineRule="auto"/>
              <w:ind w:right="39"/>
              <w:jc w:val="center"/>
              <w:rPr>
                <w:szCs w:val="22"/>
                <w:lang w:val="en-US" w:eastAsia="en-US"/>
              </w:rPr>
            </w:pPr>
            <w:r w:rsidRPr="00A566C7">
              <w:rPr>
                <w:szCs w:val="22"/>
                <w:lang w:val="en-US" w:eastAsia="en-US"/>
              </w:rPr>
              <w:t>(</w:t>
            </w:r>
            <w:r w:rsidR="0019360C" w:rsidRPr="00A566C7">
              <w:rPr>
                <w:szCs w:val="22"/>
                <w:lang w:val="en-US" w:eastAsia="en-US"/>
              </w:rPr>
              <w:t>1,229</w:t>
            </w:r>
            <w:r w:rsidRPr="00A566C7">
              <w:rPr>
                <w:szCs w:val="22"/>
                <w:lang w:val="en-US" w:eastAsia="en-US"/>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6A244E7" w14:textId="259A959A" w:rsidR="003D40C4" w:rsidRPr="00A566C7" w:rsidRDefault="00DC7B01" w:rsidP="00DA2C2A">
            <w:pPr>
              <w:spacing w:line="259" w:lineRule="auto"/>
              <w:ind w:right="41"/>
              <w:jc w:val="center"/>
              <w:rPr>
                <w:szCs w:val="22"/>
                <w:lang w:val="en-US" w:eastAsia="en-US"/>
              </w:rPr>
            </w:pPr>
            <w:r w:rsidRPr="00A566C7">
              <w:rPr>
                <w:szCs w:val="22"/>
                <w:lang w:val="en-US" w:eastAsia="en-US"/>
              </w:rPr>
              <w:t>−</w:t>
            </w:r>
            <w:r w:rsidR="003D40C4" w:rsidRPr="00A566C7">
              <w:rPr>
                <w:szCs w:val="22"/>
                <w:lang w:val="en-US" w:eastAsia="en-US"/>
              </w:rPr>
              <w:t>0</w:t>
            </w:r>
            <w:r w:rsidR="0019360C" w:rsidRPr="00A566C7">
              <w:rPr>
                <w:szCs w:val="22"/>
                <w:lang w:val="en-US" w:eastAsia="en-US"/>
              </w:rPr>
              <w:t>,11</w:t>
            </w:r>
          </w:p>
          <w:p w14:paraId="0A3A167B" w14:textId="27C6BDE4" w:rsidR="003D40C4" w:rsidRPr="00A566C7" w:rsidRDefault="003D40C4" w:rsidP="0019360C">
            <w:pPr>
              <w:spacing w:line="259" w:lineRule="auto"/>
              <w:ind w:right="46"/>
              <w:jc w:val="center"/>
              <w:rPr>
                <w:szCs w:val="22"/>
                <w:lang w:val="en-US" w:eastAsia="en-US"/>
              </w:rPr>
            </w:pPr>
            <w:r w:rsidRPr="00A566C7">
              <w:rPr>
                <w:szCs w:val="22"/>
                <w:lang w:val="en-US" w:eastAsia="en-US"/>
              </w:rPr>
              <w:t>(0.</w:t>
            </w:r>
            <w:r w:rsidR="0019360C" w:rsidRPr="00A566C7">
              <w:rPr>
                <w:szCs w:val="22"/>
                <w:lang w:val="en-US" w:eastAsia="en-US"/>
              </w:rPr>
              <w:t>983</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17D27E0" w14:textId="44946820" w:rsidR="003D40C4" w:rsidRPr="00A566C7" w:rsidRDefault="003D40C4" w:rsidP="00DA2C2A">
            <w:pPr>
              <w:spacing w:line="259" w:lineRule="auto"/>
              <w:ind w:right="34"/>
              <w:jc w:val="center"/>
              <w:rPr>
                <w:szCs w:val="22"/>
                <w:lang w:val="en-US" w:eastAsia="en-US"/>
              </w:rPr>
            </w:pPr>
            <w:r w:rsidRPr="00A566C7">
              <w:rPr>
                <w:szCs w:val="22"/>
                <w:lang w:val="en-US" w:eastAsia="en-US"/>
              </w:rPr>
              <w:t>-0</w:t>
            </w:r>
            <w:r w:rsidR="00BD0F70">
              <w:rPr>
                <w:szCs w:val="22"/>
                <w:lang w:val="en-US" w:eastAsia="en-US"/>
              </w:rPr>
              <w:t>,</w:t>
            </w:r>
            <w:r w:rsidR="0019360C" w:rsidRPr="00A566C7">
              <w:rPr>
                <w:szCs w:val="22"/>
                <w:lang w:val="en-US" w:eastAsia="en-US"/>
              </w:rPr>
              <w:t>11</w:t>
            </w:r>
            <w:r w:rsidRPr="00A566C7">
              <w:rPr>
                <w:szCs w:val="22"/>
                <w:lang w:val="en-US" w:eastAsia="en-US"/>
              </w:rPr>
              <w:t xml:space="preserve"> </w:t>
            </w:r>
          </w:p>
          <w:p w14:paraId="696FA93E" w14:textId="0B2E1857" w:rsidR="003D40C4" w:rsidRPr="00A566C7" w:rsidRDefault="003D40C4" w:rsidP="0019360C">
            <w:pPr>
              <w:spacing w:line="259" w:lineRule="auto"/>
              <w:ind w:right="40"/>
              <w:jc w:val="center"/>
              <w:rPr>
                <w:szCs w:val="22"/>
                <w:lang w:val="en-US" w:eastAsia="en-US"/>
              </w:rPr>
            </w:pPr>
            <w:r w:rsidRPr="00A566C7">
              <w:rPr>
                <w:szCs w:val="22"/>
                <w:lang w:val="en-US" w:eastAsia="en-US"/>
              </w:rPr>
              <w:t>(</w:t>
            </w:r>
            <w:r w:rsidR="0019360C" w:rsidRPr="00A566C7">
              <w:rPr>
                <w:szCs w:val="22"/>
                <w:lang w:val="en-US" w:eastAsia="en-US"/>
              </w:rPr>
              <w:t>1,234</w:t>
            </w:r>
            <w:r w:rsidRPr="00A566C7">
              <w:rPr>
                <w:szCs w:val="22"/>
                <w:lang w:val="en-US" w:eastAsia="en-US"/>
              </w:rPr>
              <w:t>)</w:t>
            </w:r>
          </w:p>
        </w:tc>
      </w:tr>
      <w:tr w:rsidR="00DC7B01" w:rsidRPr="00A566C7" w14:paraId="4F79A1F2" w14:textId="77777777" w:rsidTr="003D40C4">
        <w:trPr>
          <w:trHeight w:val="936"/>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67554DC1" w14:textId="77777777" w:rsidR="003D40C4" w:rsidRPr="00A566C7" w:rsidRDefault="003D40C4" w:rsidP="00DA2C2A">
            <w:pPr>
              <w:spacing w:after="14" w:line="237" w:lineRule="auto"/>
              <w:rPr>
                <w:szCs w:val="22"/>
                <w:lang w:eastAsia="en-US"/>
              </w:rPr>
            </w:pPr>
            <w:r w:rsidRPr="00A566C7">
              <w:rPr>
                <w:szCs w:val="22"/>
                <w:lang w:eastAsia="en-US"/>
              </w:rPr>
              <w:t>Vidutinio juosmeninės stuburo dalies (SN) KMT Z-balo pokytis nuo tyrimo pradžios</w:t>
            </w:r>
            <w:r w:rsidRPr="00A566C7">
              <w:rPr>
                <w:szCs w:val="22"/>
                <w:vertAlign w:val="superscript"/>
                <w:lang w:eastAsia="en-US"/>
              </w:rPr>
              <w:t>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4CB8A"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15296"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DA1C15" w14:textId="0AAAB43C" w:rsidR="003D40C4" w:rsidRPr="00A566C7" w:rsidRDefault="00DC7B01" w:rsidP="00DA2C2A">
            <w:pPr>
              <w:spacing w:line="259" w:lineRule="auto"/>
              <w:ind w:right="41"/>
              <w:jc w:val="center"/>
              <w:rPr>
                <w:szCs w:val="22"/>
                <w:lang w:val="en-US" w:eastAsia="en-US"/>
              </w:rPr>
            </w:pPr>
            <w:r w:rsidRPr="00A566C7">
              <w:rPr>
                <w:szCs w:val="22"/>
                <w:lang w:val="en-US" w:eastAsia="en-US"/>
              </w:rPr>
              <w:t>−</w:t>
            </w:r>
            <w:r w:rsidR="003D40C4" w:rsidRPr="00A566C7">
              <w:rPr>
                <w:szCs w:val="22"/>
                <w:lang w:val="en-US" w:eastAsia="en-US"/>
              </w:rPr>
              <w:t>0</w:t>
            </w:r>
            <w:r w:rsidR="0019360C" w:rsidRPr="00A566C7">
              <w:rPr>
                <w:szCs w:val="22"/>
                <w:lang w:val="en-US" w:eastAsia="en-US"/>
              </w:rPr>
              <w:t>,12</w:t>
            </w:r>
          </w:p>
          <w:p w14:paraId="1174386F" w14:textId="266A08D1" w:rsidR="003D40C4" w:rsidRPr="00A566C7" w:rsidRDefault="003D40C4" w:rsidP="0019360C">
            <w:pPr>
              <w:spacing w:line="259" w:lineRule="auto"/>
              <w:ind w:right="46"/>
              <w:jc w:val="center"/>
              <w:rPr>
                <w:szCs w:val="22"/>
                <w:lang w:val="en-US" w:eastAsia="en-US"/>
              </w:rPr>
            </w:pPr>
            <w:r w:rsidRPr="00A566C7">
              <w:rPr>
                <w:szCs w:val="22"/>
                <w:lang w:val="en-US" w:eastAsia="en-US"/>
              </w:rPr>
              <w:t>(0</w:t>
            </w:r>
            <w:r w:rsidR="0019360C" w:rsidRPr="00A566C7">
              <w:rPr>
                <w:szCs w:val="22"/>
                <w:lang w:val="en-US" w:eastAsia="en-US"/>
              </w:rPr>
              <w:t>,411</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A5B5E5" w14:textId="0C6B71E3" w:rsidR="003D40C4" w:rsidRPr="00A566C7" w:rsidRDefault="003D40C4" w:rsidP="00DA2C2A">
            <w:pPr>
              <w:spacing w:line="259" w:lineRule="auto"/>
              <w:ind w:right="41"/>
              <w:jc w:val="center"/>
              <w:rPr>
                <w:szCs w:val="22"/>
                <w:lang w:val="en-US" w:eastAsia="en-US"/>
              </w:rPr>
            </w:pPr>
            <w:r w:rsidRPr="00A566C7">
              <w:rPr>
                <w:szCs w:val="22"/>
                <w:lang w:val="en-US" w:eastAsia="en-US"/>
              </w:rPr>
              <w:t>0</w:t>
            </w:r>
            <w:r w:rsidR="00BD0F70">
              <w:rPr>
                <w:szCs w:val="22"/>
                <w:lang w:val="en-US" w:eastAsia="en-US"/>
              </w:rPr>
              <w:t>,</w:t>
            </w:r>
            <w:r w:rsidRPr="00A566C7">
              <w:rPr>
                <w:szCs w:val="22"/>
                <w:lang w:val="en-US" w:eastAsia="en-US"/>
              </w:rPr>
              <w:t>1</w:t>
            </w:r>
            <w:r w:rsidR="0019360C" w:rsidRPr="00A566C7">
              <w:rPr>
                <w:szCs w:val="22"/>
                <w:lang w:val="en-US" w:eastAsia="en-US"/>
              </w:rPr>
              <w:t>4</w:t>
            </w:r>
          </w:p>
          <w:p w14:paraId="1A3FD52E" w14:textId="10FCD846" w:rsidR="003D40C4" w:rsidRPr="00A566C7" w:rsidRDefault="003D40C4" w:rsidP="00BD0F70">
            <w:pPr>
              <w:spacing w:line="259" w:lineRule="auto"/>
              <w:ind w:right="40"/>
              <w:jc w:val="center"/>
              <w:rPr>
                <w:szCs w:val="22"/>
                <w:lang w:val="en-US" w:eastAsia="en-US"/>
              </w:rPr>
            </w:pPr>
            <w:r w:rsidRPr="00A566C7">
              <w:rPr>
                <w:szCs w:val="22"/>
                <w:lang w:val="en-US" w:eastAsia="en-US"/>
              </w:rPr>
              <w:t>(0</w:t>
            </w:r>
            <w:r w:rsidR="00BD0F70">
              <w:rPr>
                <w:szCs w:val="22"/>
                <w:lang w:val="en-US" w:eastAsia="en-US"/>
              </w:rPr>
              <w:t>,</w:t>
            </w:r>
            <w:r w:rsidRPr="00A566C7">
              <w:rPr>
                <w:szCs w:val="22"/>
                <w:lang w:val="en-US" w:eastAsia="en-US"/>
              </w:rPr>
              <w:t>3</w:t>
            </w:r>
            <w:r w:rsidR="0019360C" w:rsidRPr="00A566C7">
              <w:rPr>
                <w:szCs w:val="22"/>
                <w:lang w:val="en-US" w:eastAsia="en-US"/>
              </w:rPr>
              <w:t>30</w:t>
            </w:r>
            <w:r w:rsidRPr="00A566C7">
              <w:rPr>
                <w:szCs w:val="22"/>
                <w:lang w:val="en-US" w:eastAsia="en-US"/>
              </w:rPr>
              <w:t xml:space="preserve">) </w:t>
            </w:r>
          </w:p>
        </w:tc>
      </w:tr>
      <w:tr w:rsidR="00DC7B01" w:rsidRPr="00A566C7" w14:paraId="5B0D4B6C" w14:textId="77777777" w:rsidTr="003D40C4">
        <w:trPr>
          <w:trHeight w:val="482"/>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0846A5EC" w14:textId="77777777" w:rsidR="003D40C4" w:rsidRPr="00A566C7" w:rsidRDefault="003D40C4" w:rsidP="00DA2C2A">
            <w:pPr>
              <w:spacing w:line="259" w:lineRule="auto"/>
              <w:rPr>
                <w:szCs w:val="22"/>
                <w:lang w:val="fr-CH" w:eastAsia="en-US"/>
              </w:rPr>
            </w:pPr>
            <w:r w:rsidRPr="00A566C7">
              <w:rPr>
                <w:szCs w:val="22"/>
                <w:lang w:val="fr-CH" w:eastAsia="en-US"/>
              </w:rPr>
              <w:t>Bendras vidutinis (SN) KMT Z-balas</w:t>
            </w:r>
            <w:r w:rsidRPr="00A566C7">
              <w:rPr>
                <w:szCs w:val="22"/>
                <w:vertAlign w:val="superscript"/>
                <w:lang w:val="fr-CH" w:eastAsia="en-US"/>
              </w:rPr>
              <w:t>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957FC85" w14:textId="66C477BE" w:rsidR="003D40C4" w:rsidRPr="00A566C7" w:rsidRDefault="00DC7B01" w:rsidP="00DA2C2A">
            <w:pPr>
              <w:spacing w:line="259" w:lineRule="auto"/>
              <w:ind w:right="41"/>
              <w:jc w:val="center"/>
              <w:rPr>
                <w:szCs w:val="22"/>
                <w:lang w:val="en-US" w:eastAsia="en-US"/>
              </w:rPr>
            </w:pPr>
            <w:r w:rsidRPr="00A566C7">
              <w:rPr>
                <w:szCs w:val="22"/>
                <w:lang w:val="en-US" w:eastAsia="en-US"/>
              </w:rPr>
              <w:t>0,11</w:t>
            </w:r>
          </w:p>
          <w:p w14:paraId="5F7F2D1E" w14:textId="5CA6078B" w:rsidR="003D40C4" w:rsidRPr="00A566C7" w:rsidRDefault="003D40C4" w:rsidP="00DC7B01">
            <w:pPr>
              <w:spacing w:line="259" w:lineRule="auto"/>
              <w:ind w:right="39"/>
              <w:jc w:val="center"/>
              <w:rPr>
                <w:szCs w:val="22"/>
                <w:lang w:val="en-US" w:eastAsia="en-US"/>
              </w:rPr>
            </w:pPr>
            <w:r w:rsidRPr="00A566C7">
              <w:rPr>
                <w:szCs w:val="22"/>
                <w:lang w:val="en-US" w:eastAsia="en-US"/>
              </w:rPr>
              <w:t>(</w:t>
            </w:r>
            <w:r w:rsidR="00DC7B01" w:rsidRPr="00A566C7">
              <w:rPr>
                <w:szCs w:val="22"/>
                <w:lang w:val="en-US" w:eastAsia="en-US"/>
              </w:rPr>
              <w:t>0,743</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CF2B795" w14:textId="40F288F9" w:rsidR="003D40C4" w:rsidRPr="00A566C7" w:rsidRDefault="003D40C4" w:rsidP="00DA2C2A">
            <w:pPr>
              <w:spacing w:line="259" w:lineRule="auto"/>
              <w:ind w:right="42"/>
              <w:jc w:val="center"/>
              <w:rPr>
                <w:szCs w:val="22"/>
                <w:lang w:val="en-US" w:eastAsia="en-US"/>
              </w:rPr>
            </w:pPr>
            <w:r w:rsidRPr="00A566C7">
              <w:rPr>
                <w:szCs w:val="22"/>
                <w:lang w:val="en-US" w:eastAsia="en-US"/>
              </w:rPr>
              <w:t>−0</w:t>
            </w:r>
            <w:r w:rsidR="00DC7B01" w:rsidRPr="00A566C7">
              <w:rPr>
                <w:szCs w:val="22"/>
                <w:lang w:val="en-US" w:eastAsia="en-US"/>
              </w:rPr>
              <w:t>,05</w:t>
            </w:r>
            <w:r w:rsidRPr="00A566C7">
              <w:rPr>
                <w:szCs w:val="22"/>
                <w:lang w:val="en-US" w:eastAsia="en-US"/>
              </w:rPr>
              <w:t xml:space="preserve"> </w:t>
            </w:r>
          </w:p>
          <w:p w14:paraId="7679A73E" w14:textId="2877CA2C" w:rsidR="003D40C4" w:rsidRPr="00A566C7" w:rsidRDefault="003D40C4" w:rsidP="00DC7B01">
            <w:pPr>
              <w:spacing w:line="259" w:lineRule="auto"/>
              <w:ind w:right="39"/>
              <w:jc w:val="center"/>
              <w:rPr>
                <w:szCs w:val="22"/>
                <w:lang w:val="en-US" w:eastAsia="en-US"/>
              </w:rPr>
            </w:pPr>
            <w:r w:rsidRPr="00A566C7">
              <w:rPr>
                <w:szCs w:val="22"/>
                <w:lang w:val="en-US" w:eastAsia="en-US"/>
              </w:rPr>
              <w:t>(</w:t>
            </w:r>
            <w:r w:rsidR="00DC7B01" w:rsidRPr="00A566C7">
              <w:rPr>
                <w:szCs w:val="22"/>
                <w:lang w:val="en-US" w:eastAsia="en-US"/>
              </w:rPr>
              <w:t>1,497</w:t>
            </w:r>
            <w:r w:rsidRPr="00A566C7">
              <w:rPr>
                <w:szCs w:val="22"/>
                <w:lang w:val="en-US" w:eastAsia="en-US"/>
              </w:rP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3411E6BE" w14:textId="66B233FC" w:rsidR="003D40C4" w:rsidRPr="00A566C7" w:rsidRDefault="003D40C4" w:rsidP="00DC7B01">
            <w:pPr>
              <w:spacing w:line="259" w:lineRule="auto"/>
              <w:ind w:left="180" w:firstLine="86"/>
              <w:rPr>
                <w:szCs w:val="22"/>
                <w:lang w:val="en-US" w:eastAsia="en-US"/>
              </w:rPr>
            </w:pPr>
            <w:r w:rsidRPr="00A566C7">
              <w:rPr>
                <w:szCs w:val="22"/>
                <w:lang w:val="en-US" w:eastAsia="en-US"/>
              </w:rPr>
              <w:t>−0</w:t>
            </w:r>
            <w:r w:rsidR="00DC7B01" w:rsidRPr="00A566C7">
              <w:rPr>
                <w:szCs w:val="22"/>
                <w:lang w:val="en-US" w:eastAsia="en-US"/>
              </w:rPr>
              <w:t>,</w:t>
            </w:r>
            <w:r w:rsidRPr="00A566C7">
              <w:rPr>
                <w:szCs w:val="22"/>
                <w:lang w:val="en-US" w:eastAsia="en-US"/>
              </w:rPr>
              <w:t>3</w:t>
            </w:r>
            <w:r w:rsidR="00DC7B01" w:rsidRPr="00A566C7">
              <w:rPr>
                <w:szCs w:val="22"/>
                <w:lang w:val="en-US" w:eastAsia="en-US"/>
              </w:rPr>
              <w:t xml:space="preserve">4 </w:t>
            </w:r>
            <w:r w:rsidRPr="00A566C7">
              <w:rPr>
                <w:szCs w:val="22"/>
                <w:lang w:val="en-US" w:eastAsia="en-US"/>
              </w:rPr>
              <w:t>(</w:t>
            </w:r>
            <w:r w:rsidR="00DC7B01" w:rsidRPr="00A566C7">
              <w:rPr>
                <w:szCs w:val="22"/>
                <w:lang w:val="en-US" w:eastAsia="en-US"/>
              </w:rPr>
              <w:t>0,939</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DCDCC2F" w14:textId="2C411181" w:rsidR="003D40C4" w:rsidRPr="00A566C7" w:rsidRDefault="003D40C4" w:rsidP="00DA2C2A">
            <w:pPr>
              <w:spacing w:line="259" w:lineRule="auto"/>
              <w:ind w:right="42"/>
              <w:jc w:val="center"/>
              <w:rPr>
                <w:szCs w:val="22"/>
                <w:lang w:val="en-US" w:eastAsia="en-US"/>
              </w:rPr>
            </w:pPr>
            <w:r w:rsidRPr="00A566C7">
              <w:rPr>
                <w:szCs w:val="22"/>
                <w:lang w:val="en-US" w:eastAsia="en-US"/>
              </w:rPr>
              <w:t>0</w:t>
            </w:r>
            <w:r w:rsidR="00DC7B01" w:rsidRPr="00A566C7">
              <w:rPr>
                <w:szCs w:val="22"/>
                <w:lang w:val="en-US" w:eastAsia="en-US"/>
              </w:rPr>
              <w:t>,20</w:t>
            </w:r>
          </w:p>
          <w:p w14:paraId="4B1EF3A7" w14:textId="199E5691" w:rsidR="003D40C4" w:rsidRPr="00A566C7" w:rsidRDefault="003D40C4" w:rsidP="00DC7B01">
            <w:pPr>
              <w:spacing w:line="259" w:lineRule="auto"/>
              <w:ind w:right="40"/>
              <w:jc w:val="center"/>
              <w:rPr>
                <w:szCs w:val="22"/>
                <w:lang w:val="en-US" w:eastAsia="en-US"/>
              </w:rPr>
            </w:pPr>
            <w:r w:rsidRPr="00A566C7">
              <w:rPr>
                <w:szCs w:val="22"/>
                <w:lang w:val="en-US" w:eastAsia="en-US"/>
              </w:rPr>
              <w:t>(</w:t>
            </w:r>
            <w:r w:rsidR="00DC7B01" w:rsidRPr="00A566C7">
              <w:rPr>
                <w:szCs w:val="22"/>
                <w:lang w:val="en-US" w:eastAsia="en-US"/>
              </w:rPr>
              <w:t>1,299</w:t>
            </w:r>
            <w:r w:rsidRPr="00A566C7">
              <w:rPr>
                <w:szCs w:val="22"/>
                <w:lang w:val="en-US" w:eastAsia="en-US"/>
              </w:rPr>
              <w:t xml:space="preserve">) </w:t>
            </w:r>
          </w:p>
        </w:tc>
      </w:tr>
      <w:tr w:rsidR="00DC7B01" w:rsidRPr="00A566C7" w14:paraId="04A1F3F4" w14:textId="77777777" w:rsidTr="003D40C4">
        <w:trPr>
          <w:trHeight w:val="937"/>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28136333" w14:textId="77777777" w:rsidR="003D40C4" w:rsidRPr="00A566C7" w:rsidRDefault="003D40C4" w:rsidP="00DA2C2A">
            <w:pPr>
              <w:spacing w:line="259" w:lineRule="auto"/>
              <w:rPr>
                <w:szCs w:val="22"/>
                <w:lang w:val="it-IT" w:eastAsia="en-US"/>
              </w:rPr>
            </w:pPr>
            <w:r w:rsidRPr="00A566C7">
              <w:rPr>
                <w:szCs w:val="22"/>
                <w:lang w:val="it-IT" w:eastAsia="en-US"/>
              </w:rPr>
              <w:t>Bendro vidutinio (SN) KMT Z-balo pokytis nuo tyrimo pradžios</w:t>
            </w:r>
            <w:r w:rsidRPr="00A566C7">
              <w:rPr>
                <w:szCs w:val="22"/>
                <w:vertAlign w:val="superscript"/>
                <w:lang w:val="it-IT" w:eastAsia="en-US"/>
              </w:rPr>
              <w:t>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163C3"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ECE737"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6EE560" w14:textId="54DAF392" w:rsidR="003D40C4" w:rsidRPr="00A566C7" w:rsidRDefault="003D40C4" w:rsidP="00DA2C2A">
            <w:pPr>
              <w:spacing w:line="259" w:lineRule="auto"/>
              <w:ind w:right="49"/>
              <w:jc w:val="center"/>
              <w:rPr>
                <w:szCs w:val="22"/>
                <w:lang w:val="en-US" w:eastAsia="en-US"/>
              </w:rPr>
            </w:pPr>
            <w:r w:rsidRPr="00A566C7">
              <w:rPr>
                <w:szCs w:val="22"/>
                <w:lang w:val="en-US" w:eastAsia="en-US"/>
              </w:rPr>
              <w:t>−0</w:t>
            </w:r>
            <w:r w:rsidR="00DC7B01" w:rsidRPr="00A566C7">
              <w:rPr>
                <w:szCs w:val="22"/>
                <w:lang w:val="en-US" w:eastAsia="en-US"/>
              </w:rPr>
              <w:t>,</w:t>
            </w:r>
            <w:r w:rsidRPr="00A566C7">
              <w:rPr>
                <w:szCs w:val="22"/>
                <w:lang w:val="en-US" w:eastAsia="en-US"/>
              </w:rPr>
              <w:t>1</w:t>
            </w:r>
            <w:r w:rsidR="00DC7B01" w:rsidRPr="00A566C7">
              <w:rPr>
                <w:szCs w:val="22"/>
                <w:lang w:val="en-US" w:eastAsia="en-US"/>
              </w:rPr>
              <w:t>8</w:t>
            </w:r>
          </w:p>
          <w:p w14:paraId="4D6256C9" w14:textId="4F01C1DB" w:rsidR="003D40C4" w:rsidRPr="00A566C7" w:rsidRDefault="003D40C4" w:rsidP="00BD0F70">
            <w:pPr>
              <w:spacing w:line="259" w:lineRule="auto"/>
              <w:ind w:right="46"/>
              <w:jc w:val="center"/>
              <w:rPr>
                <w:szCs w:val="22"/>
                <w:lang w:val="en-US" w:eastAsia="en-US"/>
              </w:rPr>
            </w:pPr>
            <w:r w:rsidRPr="00A566C7">
              <w:rPr>
                <w:szCs w:val="22"/>
                <w:lang w:val="en-US" w:eastAsia="en-US"/>
              </w:rPr>
              <w:t>(0</w:t>
            </w:r>
            <w:r w:rsidR="00DC7B01" w:rsidRPr="00A566C7">
              <w:rPr>
                <w:szCs w:val="22"/>
                <w:lang w:val="en-US" w:eastAsia="en-US"/>
              </w:rPr>
              <w:t>,</w:t>
            </w:r>
            <w:r w:rsidR="00BD0F70" w:rsidRPr="00A566C7">
              <w:rPr>
                <w:szCs w:val="22"/>
                <w:lang w:val="en-US" w:eastAsia="en-US"/>
              </w:rPr>
              <w:t>3</w:t>
            </w:r>
            <w:r w:rsidR="00BD0F70">
              <w:rPr>
                <w:szCs w:val="22"/>
                <w:lang w:val="en-US" w:eastAsia="en-US"/>
              </w:rPr>
              <w:t>34</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A83EBA" w14:textId="21E5A699" w:rsidR="003D40C4" w:rsidRPr="00A566C7" w:rsidRDefault="003D40C4" w:rsidP="00DA2C2A">
            <w:pPr>
              <w:spacing w:line="259" w:lineRule="auto"/>
              <w:ind w:right="41"/>
              <w:jc w:val="center"/>
              <w:rPr>
                <w:szCs w:val="22"/>
                <w:lang w:val="en-US" w:eastAsia="en-US"/>
              </w:rPr>
            </w:pPr>
            <w:r w:rsidRPr="00A566C7">
              <w:rPr>
                <w:szCs w:val="22"/>
                <w:lang w:val="en-US" w:eastAsia="en-US"/>
              </w:rPr>
              <w:t>0</w:t>
            </w:r>
            <w:r w:rsidR="00DC7B01" w:rsidRPr="00A566C7">
              <w:rPr>
                <w:szCs w:val="22"/>
                <w:lang w:val="en-US" w:eastAsia="en-US"/>
              </w:rPr>
              <w:t>,22</w:t>
            </w:r>
          </w:p>
          <w:p w14:paraId="617B3A03" w14:textId="570E142C" w:rsidR="003D40C4" w:rsidRPr="00A566C7" w:rsidRDefault="003D40C4" w:rsidP="00DC7B01">
            <w:pPr>
              <w:spacing w:line="259" w:lineRule="auto"/>
              <w:ind w:right="40"/>
              <w:jc w:val="center"/>
              <w:rPr>
                <w:szCs w:val="22"/>
                <w:lang w:val="en-US" w:eastAsia="en-US"/>
              </w:rPr>
            </w:pPr>
            <w:r w:rsidRPr="00A566C7">
              <w:rPr>
                <w:szCs w:val="22"/>
                <w:lang w:val="en-US" w:eastAsia="en-US"/>
              </w:rPr>
              <w:t>(</w:t>
            </w:r>
            <w:r w:rsidR="00DC7B01" w:rsidRPr="00A566C7">
              <w:rPr>
                <w:szCs w:val="22"/>
                <w:lang w:val="en-US" w:eastAsia="en-US"/>
              </w:rPr>
              <w:t>0,446</w:t>
            </w:r>
            <w:r w:rsidRPr="00A566C7">
              <w:rPr>
                <w:szCs w:val="22"/>
                <w:lang w:val="en-US" w:eastAsia="en-US"/>
              </w:rPr>
              <w:t xml:space="preserve">) </w:t>
            </w:r>
          </w:p>
        </w:tc>
      </w:tr>
      <w:tr w:rsidR="00DC7B01" w:rsidRPr="00A566C7" w14:paraId="7F884980" w14:textId="77777777" w:rsidTr="00EE7979">
        <w:trPr>
          <w:trHeight w:val="483"/>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54187E61" w14:textId="01D68EAB" w:rsidR="003D40C4" w:rsidRPr="00A566C7" w:rsidRDefault="003D40C4" w:rsidP="00DC7B01">
            <w:pPr>
              <w:spacing w:after="14" w:line="237" w:lineRule="auto"/>
              <w:rPr>
                <w:szCs w:val="22"/>
                <w:lang w:eastAsia="en-US"/>
              </w:rPr>
            </w:pPr>
            <w:r w:rsidRPr="00A566C7">
              <w:rPr>
                <w:szCs w:val="22"/>
                <w:lang w:eastAsia="en-US"/>
              </w:rPr>
              <w:t xml:space="preserve">Ne mažiau kaip </w:t>
            </w:r>
            <w:r w:rsidR="00DC7B01" w:rsidRPr="00A566C7">
              <w:rPr>
                <w:szCs w:val="22"/>
                <w:lang w:eastAsia="en-US"/>
              </w:rPr>
              <w:t>4</w:t>
            </w:r>
            <w:r w:rsidRPr="00A566C7">
              <w:rPr>
                <w:szCs w:val="22"/>
                <w:lang w:eastAsia="en-US"/>
              </w:rPr>
              <w:t>% sumažėjęs juosmeninės stuburo dalies KMT</w:t>
            </w:r>
            <w:r w:rsidRPr="00A566C7">
              <w:rPr>
                <w:szCs w:val="22"/>
                <w:vertAlign w:val="superscript"/>
                <w:lang w:eastAsia="en-US"/>
              </w:rPr>
              <w:t>b</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B5258E"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E9C05"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086420B8" w14:textId="561E7517" w:rsidR="003D40C4" w:rsidRPr="00A566C7" w:rsidRDefault="003D40C4" w:rsidP="00DA2C2A">
            <w:pPr>
              <w:spacing w:line="259" w:lineRule="auto"/>
              <w:ind w:right="39"/>
              <w:jc w:val="center"/>
              <w:rPr>
                <w:szCs w:val="22"/>
                <w:lang w:val="en-US" w:eastAsia="en-US"/>
              </w:rPr>
            </w:pPr>
            <w:r w:rsidRPr="00A566C7">
              <w:rPr>
                <w:szCs w:val="22"/>
                <w:lang w:val="en-US" w:eastAsia="en-US"/>
              </w:rPr>
              <w:t>1</w:t>
            </w:r>
            <w:r w:rsidR="00DC7B01" w:rsidRPr="00A566C7">
              <w:rPr>
                <w:szCs w:val="22"/>
                <w:lang w:val="en-US" w:eastAsia="en-US"/>
              </w:rPr>
              <w:t>8,3</w:t>
            </w:r>
            <w:r w:rsidRPr="00A566C7">
              <w:rPr>
                <w:szCs w:val="22"/>
                <w:lang w:val="en-US" w:eastAsia="en-US"/>
              </w:rPr>
              <w:t>%</w:t>
            </w:r>
          </w:p>
          <w:p w14:paraId="0447EF77" w14:textId="349966E3" w:rsidR="003D40C4" w:rsidRPr="00A566C7" w:rsidRDefault="003D40C4" w:rsidP="00DC7B01">
            <w:pPr>
              <w:spacing w:line="259" w:lineRule="auto"/>
              <w:ind w:right="39"/>
              <w:jc w:val="center"/>
              <w:rPr>
                <w:szCs w:val="22"/>
                <w:lang w:val="en-US" w:eastAsia="en-US"/>
              </w:rPr>
            </w:pPr>
            <w:r w:rsidRPr="00A566C7">
              <w:rPr>
                <w:szCs w:val="22"/>
                <w:lang w:val="en-US" w:eastAsia="en-US"/>
              </w:rPr>
              <w:t>(1</w:t>
            </w:r>
            <w:r w:rsidR="00DC7B01" w:rsidRPr="00A566C7">
              <w:rPr>
                <w:szCs w:val="22"/>
                <w:lang w:val="en-US" w:eastAsia="en-US"/>
              </w:rPr>
              <w:t>1 asmenų</w:t>
            </w:r>
            <w:r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F39143D" w14:textId="3FFD6830" w:rsidR="00DC7B01" w:rsidRPr="00A566C7" w:rsidRDefault="00DC7B01" w:rsidP="00DC7B01">
            <w:pPr>
              <w:spacing w:line="259" w:lineRule="auto"/>
              <w:ind w:right="39"/>
              <w:jc w:val="center"/>
              <w:rPr>
                <w:szCs w:val="22"/>
                <w:lang w:val="en-US" w:eastAsia="en-US"/>
              </w:rPr>
            </w:pPr>
            <w:r w:rsidRPr="00A566C7">
              <w:rPr>
                <w:szCs w:val="22"/>
                <w:lang w:val="en-US" w:eastAsia="en-US"/>
              </w:rPr>
              <w:t>6,9%</w:t>
            </w:r>
          </w:p>
          <w:p w14:paraId="56BA59AF" w14:textId="0033966D" w:rsidR="003D40C4" w:rsidRPr="00A566C7" w:rsidRDefault="00DC7B01" w:rsidP="00DC7B01">
            <w:pPr>
              <w:spacing w:line="259" w:lineRule="auto"/>
              <w:ind w:right="39"/>
              <w:jc w:val="center"/>
              <w:rPr>
                <w:szCs w:val="22"/>
                <w:lang w:val="en-US" w:eastAsia="en-US"/>
              </w:rPr>
            </w:pPr>
            <w:r w:rsidRPr="00A566C7">
              <w:rPr>
                <w:szCs w:val="22"/>
                <w:lang w:val="en-US" w:eastAsia="en-US"/>
              </w:rPr>
              <w:t>(2 asmenys)</w:t>
            </w:r>
          </w:p>
        </w:tc>
      </w:tr>
      <w:tr w:rsidR="00DC7B01" w:rsidRPr="00A566C7" w14:paraId="549E60E2" w14:textId="77777777" w:rsidTr="00EE7979">
        <w:trPr>
          <w:trHeight w:val="482"/>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2A78B919" w14:textId="41AF6A6B" w:rsidR="003D40C4" w:rsidRPr="00A566C7" w:rsidRDefault="003D40C4" w:rsidP="00DC7B01">
            <w:pPr>
              <w:spacing w:after="14" w:line="237" w:lineRule="auto"/>
              <w:rPr>
                <w:szCs w:val="22"/>
                <w:lang w:eastAsia="en-US"/>
              </w:rPr>
            </w:pPr>
            <w:r w:rsidRPr="00A566C7">
              <w:rPr>
                <w:szCs w:val="22"/>
                <w:lang w:eastAsia="en-US"/>
              </w:rPr>
              <w:t xml:space="preserve">Ne mažiau kaip </w:t>
            </w:r>
            <w:r w:rsidR="00DC7B01" w:rsidRPr="00A566C7">
              <w:rPr>
                <w:szCs w:val="22"/>
                <w:lang w:eastAsia="en-US"/>
              </w:rPr>
              <w:t>4</w:t>
            </w:r>
            <w:r w:rsidRPr="00A566C7">
              <w:rPr>
                <w:szCs w:val="22"/>
                <w:lang w:eastAsia="en-US"/>
              </w:rPr>
              <w:t>% sumažėjęs bendras KMT</w:t>
            </w:r>
            <w:r w:rsidRPr="00A566C7">
              <w:rPr>
                <w:szCs w:val="22"/>
                <w:vertAlign w:val="superscript"/>
                <w:lang w:eastAsia="en-US"/>
              </w:rPr>
              <w:t>b</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1C8D3"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623133"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5A57FBAB" w14:textId="64F18DC9" w:rsidR="00DC7B01" w:rsidRPr="00A566C7" w:rsidRDefault="00DC7B01" w:rsidP="00DC7B01">
            <w:pPr>
              <w:spacing w:line="259" w:lineRule="auto"/>
              <w:ind w:right="39"/>
              <w:jc w:val="center"/>
              <w:rPr>
                <w:szCs w:val="22"/>
                <w:lang w:val="en-US" w:eastAsia="en-US"/>
              </w:rPr>
            </w:pPr>
            <w:r w:rsidRPr="00A566C7">
              <w:rPr>
                <w:szCs w:val="22"/>
                <w:lang w:val="en-US" w:eastAsia="en-US"/>
              </w:rPr>
              <w:t>6,7%</w:t>
            </w:r>
          </w:p>
          <w:p w14:paraId="6006569B" w14:textId="02C71C37" w:rsidR="003D40C4" w:rsidRPr="00A566C7" w:rsidRDefault="00DC7B01" w:rsidP="00DC7B01">
            <w:pPr>
              <w:spacing w:line="259" w:lineRule="auto"/>
              <w:ind w:right="46"/>
              <w:jc w:val="center"/>
              <w:rPr>
                <w:szCs w:val="22"/>
                <w:lang w:val="en-US" w:eastAsia="en-US"/>
              </w:rPr>
            </w:pPr>
            <w:r w:rsidRPr="00A566C7">
              <w:rPr>
                <w:szCs w:val="22"/>
                <w:lang w:val="en-US" w:eastAsia="en-US"/>
              </w:rPr>
              <w:t>(4 asmenys)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5536B" w14:textId="77777777" w:rsidR="003D40C4" w:rsidRPr="00A566C7" w:rsidRDefault="003D40C4" w:rsidP="00DA2C2A">
            <w:pPr>
              <w:spacing w:line="259" w:lineRule="auto"/>
              <w:ind w:right="39"/>
              <w:jc w:val="center"/>
              <w:rPr>
                <w:szCs w:val="22"/>
                <w:lang w:val="en-US" w:eastAsia="en-US"/>
              </w:rPr>
            </w:pPr>
            <w:r w:rsidRPr="00A566C7">
              <w:rPr>
                <w:szCs w:val="22"/>
                <w:lang w:val="en-US" w:eastAsia="en-US"/>
              </w:rPr>
              <w:t xml:space="preserve">0% </w:t>
            </w:r>
          </w:p>
        </w:tc>
      </w:tr>
      <w:tr w:rsidR="00DC7B01" w:rsidRPr="00A566C7" w14:paraId="7CDFE3AA" w14:textId="77777777" w:rsidTr="003D40C4">
        <w:trPr>
          <w:trHeight w:val="475"/>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5AF7ABCC" w14:textId="77777777" w:rsidR="003D40C4" w:rsidRPr="00A566C7" w:rsidRDefault="003D40C4" w:rsidP="00DA2C2A">
            <w:pPr>
              <w:spacing w:after="14" w:line="237" w:lineRule="auto"/>
              <w:rPr>
                <w:szCs w:val="22"/>
                <w:lang w:eastAsia="en-US"/>
              </w:rPr>
            </w:pPr>
            <w:r w:rsidRPr="00A566C7">
              <w:rPr>
                <w:szCs w:val="22"/>
                <w:lang w:eastAsia="en-US"/>
              </w:rPr>
              <w:t>Vidutinis juosmeninės stuburo dalies KMT padidėjimas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687F3"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A631F"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598109" w14:textId="3C89DA92" w:rsidR="003D40C4" w:rsidRPr="00A566C7" w:rsidRDefault="00A566C7" w:rsidP="00DA2C2A">
            <w:pPr>
              <w:spacing w:line="259" w:lineRule="auto"/>
              <w:ind w:right="39"/>
              <w:jc w:val="center"/>
              <w:rPr>
                <w:szCs w:val="22"/>
                <w:lang w:val="en-US" w:eastAsia="en-US"/>
              </w:rPr>
            </w:pPr>
            <w:r w:rsidRPr="00A566C7">
              <w:rPr>
                <w:szCs w:val="22"/>
                <w:lang w:val="en-US" w:eastAsia="en-US"/>
              </w:rPr>
              <w:t>3,8</w:t>
            </w:r>
            <w:r w:rsidR="003D40C4"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8423C" w14:textId="1314BFB9" w:rsidR="003D40C4" w:rsidRPr="00A566C7" w:rsidRDefault="00A566C7" w:rsidP="00DA2C2A">
            <w:pPr>
              <w:spacing w:line="259" w:lineRule="auto"/>
              <w:ind w:right="61"/>
              <w:jc w:val="center"/>
              <w:rPr>
                <w:szCs w:val="22"/>
                <w:lang w:val="en-US" w:eastAsia="en-US"/>
              </w:rPr>
            </w:pPr>
            <w:r w:rsidRPr="00A566C7">
              <w:rPr>
                <w:szCs w:val="22"/>
                <w:lang w:val="en-US" w:eastAsia="en-US"/>
              </w:rPr>
              <w:t>7,6</w:t>
            </w:r>
            <w:r w:rsidR="003D40C4" w:rsidRPr="00A566C7">
              <w:rPr>
                <w:szCs w:val="22"/>
                <w:lang w:val="en-US" w:eastAsia="en-US"/>
              </w:rPr>
              <w:t xml:space="preserve">% </w:t>
            </w:r>
          </w:p>
        </w:tc>
      </w:tr>
      <w:tr w:rsidR="00DC7B01" w:rsidRPr="00A566C7" w14:paraId="2CB2C948" w14:textId="77777777" w:rsidTr="003D40C4">
        <w:trPr>
          <w:trHeight w:val="483"/>
        </w:trPr>
        <w:tc>
          <w:tcPr>
            <w:tcW w:w="2343" w:type="dxa"/>
            <w:tcBorders>
              <w:top w:val="single" w:sz="6" w:space="0" w:color="000000"/>
              <w:left w:val="single" w:sz="6" w:space="0" w:color="000000"/>
              <w:bottom w:val="single" w:sz="6" w:space="0" w:color="000000"/>
              <w:right w:val="single" w:sz="6" w:space="0" w:color="000000"/>
            </w:tcBorders>
            <w:shd w:val="clear" w:color="auto" w:fill="auto"/>
          </w:tcPr>
          <w:p w14:paraId="342DF54F" w14:textId="77777777" w:rsidR="003D40C4" w:rsidRPr="00A566C7" w:rsidRDefault="003D40C4" w:rsidP="00DA2C2A">
            <w:pPr>
              <w:spacing w:after="14" w:line="237" w:lineRule="auto"/>
              <w:rPr>
                <w:szCs w:val="22"/>
                <w:lang w:val="en-US" w:eastAsia="en-US"/>
              </w:rPr>
            </w:pPr>
            <w:r w:rsidRPr="00A566C7">
              <w:rPr>
                <w:szCs w:val="22"/>
                <w:lang w:val="en-US" w:eastAsia="en-US"/>
              </w:rPr>
              <w:t>Vidutinis  bendras KMT padidėjimas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28979C"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4D398D" w14:textId="77777777" w:rsidR="003D40C4" w:rsidRPr="00A566C7" w:rsidRDefault="003D40C4" w:rsidP="00DA2C2A">
            <w:pPr>
              <w:spacing w:line="259" w:lineRule="auto"/>
              <w:ind w:right="47"/>
              <w:jc w:val="center"/>
              <w:rPr>
                <w:szCs w:val="22"/>
                <w:lang w:val="en-US" w:eastAsia="en-US"/>
              </w:rPr>
            </w:pPr>
            <w:r w:rsidRPr="00A566C7">
              <w:rPr>
                <w:szCs w:val="22"/>
                <w:lang w:val="en-US" w:eastAsia="en-US"/>
              </w:rPr>
              <w:t xml:space="preserve">NA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A5B60F" w14:textId="5848C37A" w:rsidR="003D40C4" w:rsidRPr="00A566C7" w:rsidRDefault="00A566C7" w:rsidP="00A566C7">
            <w:pPr>
              <w:spacing w:line="259" w:lineRule="auto"/>
              <w:ind w:right="39"/>
              <w:jc w:val="center"/>
              <w:rPr>
                <w:szCs w:val="22"/>
                <w:lang w:val="en-US" w:eastAsia="en-US"/>
              </w:rPr>
            </w:pPr>
            <w:r w:rsidRPr="00A566C7">
              <w:rPr>
                <w:szCs w:val="22"/>
                <w:lang w:val="en-US" w:eastAsia="en-US"/>
              </w:rPr>
              <w:t>4,5</w:t>
            </w:r>
            <w:r w:rsidR="003D40C4" w:rsidRPr="00A566C7">
              <w:rPr>
                <w:szCs w:val="22"/>
                <w:lang w:val="en-US" w:eastAsia="en-US"/>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461D23" w14:textId="1EB3BB76" w:rsidR="003D40C4" w:rsidRPr="00A566C7" w:rsidRDefault="00A566C7" w:rsidP="00DA2C2A">
            <w:pPr>
              <w:spacing w:line="259" w:lineRule="auto"/>
              <w:ind w:right="61"/>
              <w:jc w:val="center"/>
              <w:rPr>
                <w:szCs w:val="22"/>
                <w:lang w:val="en-US" w:eastAsia="en-US"/>
              </w:rPr>
            </w:pPr>
            <w:r w:rsidRPr="00A566C7">
              <w:rPr>
                <w:szCs w:val="22"/>
                <w:lang w:val="en-US" w:eastAsia="en-US"/>
              </w:rPr>
              <w:t>8,9</w:t>
            </w:r>
            <w:r w:rsidR="003D40C4" w:rsidRPr="00A566C7">
              <w:rPr>
                <w:szCs w:val="22"/>
                <w:lang w:val="en-US" w:eastAsia="en-US"/>
              </w:rPr>
              <w:t xml:space="preserve">% </w:t>
            </w:r>
          </w:p>
        </w:tc>
      </w:tr>
    </w:tbl>
    <w:p w14:paraId="61E09C68" w14:textId="77777777" w:rsidR="003D40C4" w:rsidRPr="00EE7979" w:rsidRDefault="003D40C4" w:rsidP="003D40C4">
      <w:pPr>
        <w:tabs>
          <w:tab w:val="left" w:pos="567"/>
        </w:tabs>
        <w:rPr>
          <w:szCs w:val="22"/>
          <w:lang w:eastAsia="en-US"/>
        </w:rPr>
      </w:pPr>
      <w:r w:rsidRPr="00EE7979">
        <w:rPr>
          <w:szCs w:val="22"/>
          <w:lang w:eastAsia="en-US"/>
        </w:rPr>
        <w:t>NA = neaktualus</w:t>
      </w:r>
    </w:p>
    <w:p w14:paraId="00DD260A" w14:textId="05E97D54" w:rsidR="003D40C4" w:rsidRPr="00EE7979" w:rsidRDefault="003D40C4" w:rsidP="003D40C4">
      <w:pPr>
        <w:tabs>
          <w:tab w:val="left" w:pos="567"/>
        </w:tabs>
        <w:rPr>
          <w:szCs w:val="22"/>
          <w:lang w:eastAsia="en-US"/>
        </w:rPr>
      </w:pPr>
      <w:r w:rsidRPr="00EE7979">
        <w:rPr>
          <w:szCs w:val="22"/>
          <w:vertAlign w:val="superscript"/>
          <w:lang w:eastAsia="en-US"/>
        </w:rPr>
        <w:t>a</w:t>
      </w:r>
      <w:r w:rsidRPr="00EE7979">
        <w:rPr>
          <w:szCs w:val="22"/>
          <w:lang w:eastAsia="en-US"/>
        </w:rPr>
        <w:t xml:space="preserve"> </w:t>
      </w:r>
      <w:r w:rsidR="00A566C7" w:rsidRPr="00EE7979">
        <w:rPr>
          <w:szCs w:val="22"/>
          <w:lang w:eastAsia="en-US"/>
        </w:rPr>
        <w:t>KMT Z-balai kartu su atitinkamais referenciniais duomenimis yra tik nedidelei tiriamųjų grupei.</w:t>
      </w:r>
    </w:p>
    <w:p w14:paraId="3F090275" w14:textId="2AD097DB" w:rsidR="003D40C4" w:rsidRPr="00EE7979" w:rsidRDefault="003D40C4" w:rsidP="003D40C4">
      <w:pPr>
        <w:tabs>
          <w:tab w:val="left" w:pos="567"/>
        </w:tabs>
        <w:rPr>
          <w:szCs w:val="22"/>
          <w:lang w:eastAsia="en-US"/>
        </w:rPr>
      </w:pPr>
      <w:r w:rsidRPr="00EE7979">
        <w:rPr>
          <w:szCs w:val="22"/>
          <w:vertAlign w:val="superscript"/>
          <w:lang w:eastAsia="en-US"/>
        </w:rPr>
        <w:t>b</w:t>
      </w:r>
      <w:r w:rsidRPr="00EE7979">
        <w:rPr>
          <w:szCs w:val="22"/>
          <w:lang w:eastAsia="en-US"/>
        </w:rPr>
        <w:t xml:space="preserve"> </w:t>
      </w:r>
      <w:r w:rsidR="00A566C7" w:rsidRPr="00EE7979">
        <w:rPr>
          <w:szCs w:val="22"/>
          <w:lang w:eastAsia="en-US"/>
        </w:rPr>
        <w:t>Antrinė</w:t>
      </w:r>
      <w:r w:rsidRPr="00EE7979">
        <w:rPr>
          <w:szCs w:val="22"/>
          <w:lang w:eastAsia="en-US"/>
        </w:rPr>
        <w:t xml:space="preserve"> vertinamoji baigtis </w:t>
      </w:r>
      <w:r w:rsidR="00A566C7" w:rsidRPr="00EE7979">
        <w:rPr>
          <w:szCs w:val="22"/>
          <w:lang w:eastAsia="en-US"/>
        </w:rPr>
        <w:t>48</w:t>
      </w:r>
      <w:r w:rsidRPr="00EE7979">
        <w:rPr>
          <w:szCs w:val="22"/>
          <w:lang w:eastAsia="en-US"/>
        </w:rPr>
        <w:t xml:space="preserve"> savaitę</w:t>
      </w:r>
    </w:p>
    <w:p w14:paraId="29227F7C" w14:textId="77777777" w:rsidR="003D40C4" w:rsidRPr="00A566C7" w:rsidRDefault="003D40C4" w:rsidP="00BA7AD1">
      <w:pPr>
        <w:rPr>
          <w:szCs w:val="22"/>
          <w:lang w:eastAsia="en-US"/>
        </w:rPr>
      </w:pPr>
    </w:p>
    <w:p w14:paraId="152978C5" w14:textId="77777777" w:rsidR="00091140" w:rsidRDefault="00091140" w:rsidP="002A1B3E">
      <w:pPr>
        <w:tabs>
          <w:tab w:val="left" w:pos="567"/>
        </w:tabs>
        <w:rPr>
          <w:szCs w:val="22"/>
          <w:lang w:eastAsia="en-US"/>
        </w:rPr>
      </w:pPr>
      <w:r w:rsidRPr="00091140">
        <w:rPr>
          <w:szCs w:val="22"/>
          <w:lang w:eastAsia="en-US"/>
        </w:rPr>
        <w:t xml:space="preserve">Europos vaistų agentūra atidėjo įpareigojimą pateikti </w:t>
      </w:r>
      <w:r w:rsidR="00A1697F">
        <w:rPr>
          <w:szCs w:val="22"/>
          <w:lang w:eastAsia="en-US"/>
        </w:rPr>
        <w:t>t</w:t>
      </w:r>
      <w:r w:rsidR="00653D08">
        <w:rPr>
          <w:szCs w:val="22"/>
          <w:lang w:eastAsia="en-US"/>
        </w:rPr>
        <w:t xml:space="preserve">enofoviro dizoproksilio </w:t>
      </w:r>
      <w:r w:rsidRPr="00091140">
        <w:rPr>
          <w:szCs w:val="22"/>
          <w:lang w:eastAsia="en-US"/>
        </w:rPr>
        <w:t>tyrimų su vienu ar daugiau vaikų ir paauglių populiacijos pogrupių duomenis ŽIV ir lėtinio hepatito B indikacijoms (vartojimo vaikams ir paaugliams informacija pateikiama 4.2 skyriuje).</w:t>
      </w:r>
    </w:p>
    <w:p w14:paraId="730ACF77" w14:textId="77777777" w:rsidR="00BF6994" w:rsidRDefault="00BF6994" w:rsidP="00964601">
      <w:pPr>
        <w:tabs>
          <w:tab w:val="left" w:pos="567"/>
        </w:tabs>
        <w:rPr>
          <w:szCs w:val="22"/>
          <w:lang w:eastAsia="en-US"/>
        </w:rPr>
      </w:pPr>
    </w:p>
    <w:p w14:paraId="00C60763" w14:textId="77777777" w:rsidR="00964601" w:rsidRPr="00BF6994" w:rsidRDefault="00964601" w:rsidP="00964601">
      <w:pPr>
        <w:tabs>
          <w:tab w:val="left" w:pos="567"/>
        </w:tabs>
        <w:rPr>
          <w:b/>
          <w:szCs w:val="22"/>
          <w:lang w:eastAsia="en-US"/>
        </w:rPr>
      </w:pPr>
      <w:r w:rsidRPr="00BF6994">
        <w:rPr>
          <w:b/>
          <w:szCs w:val="22"/>
          <w:lang w:eastAsia="en-US"/>
        </w:rPr>
        <w:t>5.2</w:t>
      </w:r>
      <w:r w:rsidR="00BF6994" w:rsidRPr="00BF6994">
        <w:rPr>
          <w:b/>
          <w:szCs w:val="22"/>
          <w:lang w:eastAsia="en-US"/>
        </w:rPr>
        <w:tab/>
      </w:r>
      <w:r w:rsidRPr="00BF6994">
        <w:rPr>
          <w:b/>
          <w:szCs w:val="22"/>
          <w:lang w:eastAsia="en-US"/>
        </w:rPr>
        <w:t>Farmakokinetinės savybės</w:t>
      </w:r>
    </w:p>
    <w:p w14:paraId="48161DE2" w14:textId="77777777" w:rsidR="00BF6994" w:rsidRDefault="00BF6994" w:rsidP="00964601">
      <w:pPr>
        <w:tabs>
          <w:tab w:val="left" w:pos="567"/>
        </w:tabs>
        <w:rPr>
          <w:szCs w:val="22"/>
          <w:lang w:eastAsia="en-US"/>
        </w:rPr>
      </w:pPr>
    </w:p>
    <w:p w14:paraId="1385346F" w14:textId="434C096E" w:rsidR="001D5CAC" w:rsidRPr="001D5CAC" w:rsidRDefault="00A27265" w:rsidP="001D5CAC">
      <w:pPr>
        <w:tabs>
          <w:tab w:val="left" w:pos="567"/>
        </w:tabs>
        <w:rPr>
          <w:szCs w:val="22"/>
          <w:lang w:eastAsia="en-US"/>
        </w:rPr>
      </w:pPr>
      <w:r w:rsidRPr="001D5CAC">
        <w:rPr>
          <w:szCs w:val="22"/>
          <w:lang w:eastAsia="en-US"/>
        </w:rPr>
        <w:lastRenderedPageBreak/>
        <w:t>Tenofovir</w:t>
      </w:r>
      <w:r>
        <w:rPr>
          <w:szCs w:val="22"/>
          <w:lang w:eastAsia="en-US"/>
        </w:rPr>
        <w:t>as</w:t>
      </w:r>
      <w:r w:rsidRPr="001D5CAC">
        <w:rPr>
          <w:szCs w:val="22"/>
          <w:lang w:eastAsia="en-US"/>
        </w:rPr>
        <w:t xml:space="preserve"> </w:t>
      </w:r>
      <w:r w:rsidR="001D5CAC" w:rsidRPr="001D5CAC">
        <w:rPr>
          <w:szCs w:val="22"/>
          <w:lang w:eastAsia="en-US"/>
        </w:rPr>
        <w:t>dizoproksili</w:t>
      </w:r>
      <w:r w:rsidR="00A1697F">
        <w:rPr>
          <w:szCs w:val="22"/>
          <w:lang w:eastAsia="en-US"/>
        </w:rPr>
        <w:t>s</w:t>
      </w:r>
      <w:r w:rsidR="001D5CAC" w:rsidRPr="001D5CAC">
        <w:rPr>
          <w:szCs w:val="22"/>
          <w:lang w:eastAsia="en-US"/>
        </w:rPr>
        <w:t xml:space="preserve"> yra vandenyje tirpus esteris, kuris </w:t>
      </w:r>
      <w:r w:rsidR="001D5CAC" w:rsidRPr="00164838">
        <w:rPr>
          <w:i/>
          <w:szCs w:val="22"/>
          <w:lang w:eastAsia="en-US"/>
        </w:rPr>
        <w:t>in vivo</w:t>
      </w:r>
      <w:r w:rsidR="001D5CAC" w:rsidRPr="001D5CAC">
        <w:rPr>
          <w:szCs w:val="22"/>
          <w:lang w:eastAsia="en-US"/>
        </w:rPr>
        <w:t xml:space="preserve"> greitai virsta tenofoviru ir formaldehidu.</w:t>
      </w:r>
    </w:p>
    <w:p w14:paraId="78393048" w14:textId="77777777" w:rsidR="00F036E9" w:rsidRDefault="00F036E9" w:rsidP="001D5CAC">
      <w:pPr>
        <w:tabs>
          <w:tab w:val="left" w:pos="567"/>
        </w:tabs>
        <w:rPr>
          <w:szCs w:val="22"/>
          <w:lang w:eastAsia="en-US"/>
        </w:rPr>
      </w:pPr>
    </w:p>
    <w:p w14:paraId="44FE2F92" w14:textId="0175C8E1" w:rsidR="001D5CAC" w:rsidRPr="001D5CAC" w:rsidRDefault="001D5CAC" w:rsidP="001D5CAC">
      <w:pPr>
        <w:tabs>
          <w:tab w:val="left" w:pos="567"/>
        </w:tabs>
        <w:rPr>
          <w:szCs w:val="22"/>
          <w:lang w:eastAsia="en-US"/>
        </w:rPr>
      </w:pPr>
      <w:r w:rsidRPr="001D5CAC">
        <w:rPr>
          <w:szCs w:val="22"/>
          <w:lang w:eastAsia="en-US"/>
        </w:rPr>
        <w:t xml:space="preserve">Ląstelėse tenofoviras </w:t>
      </w:r>
      <w:r w:rsidR="00F036E9">
        <w:rPr>
          <w:szCs w:val="22"/>
          <w:lang w:eastAsia="en-US"/>
        </w:rPr>
        <w:t>pave</w:t>
      </w:r>
      <w:r w:rsidR="00EF4C22">
        <w:rPr>
          <w:szCs w:val="22"/>
          <w:lang w:eastAsia="en-US"/>
        </w:rPr>
        <w:t>r</w:t>
      </w:r>
      <w:r w:rsidR="00F036E9">
        <w:rPr>
          <w:szCs w:val="22"/>
          <w:lang w:eastAsia="en-US"/>
        </w:rPr>
        <w:t>čiamas</w:t>
      </w:r>
      <w:r w:rsidRPr="001D5CAC">
        <w:rPr>
          <w:szCs w:val="22"/>
          <w:lang w:eastAsia="en-US"/>
        </w:rPr>
        <w:t xml:space="preserve"> </w:t>
      </w:r>
      <w:r w:rsidR="00A27265" w:rsidRPr="001D5CAC">
        <w:rPr>
          <w:szCs w:val="22"/>
          <w:lang w:eastAsia="en-US"/>
        </w:rPr>
        <w:t>tenofovir</w:t>
      </w:r>
      <w:r w:rsidR="00A27265">
        <w:rPr>
          <w:szCs w:val="22"/>
          <w:lang w:eastAsia="en-US"/>
        </w:rPr>
        <w:t>u</w:t>
      </w:r>
      <w:r w:rsidR="00A27265" w:rsidRPr="001D5CAC">
        <w:rPr>
          <w:szCs w:val="22"/>
          <w:lang w:eastAsia="en-US"/>
        </w:rPr>
        <w:t xml:space="preserve"> </w:t>
      </w:r>
      <w:r w:rsidRPr="001D5CAC">
        <w:rPr>
          <w:szCs w:val="22"/>
          <w:lang w:eastAsia="en-US"/>
        </w:rPr>
        <w:t xml:space="preserve">monofosfatu ir veikliuoju komponentu </w:t>
      </w:r>
      <w:r w:rsidR="00A27265" w:rsidRPr="001D5CAC">
        <w:rPr>
          <w:szCs w:val="22"/>
          <w:lang w:eastAsia="en-US"/>
        </w:rPr>
        <w:t>tenofovir</w:t>
      </w:r>
      <w:r w:rsidR="00A27265">
        <w:rPr>
          <w:szCs w:val="22"/>
          <w:lang w:eastAsia="en-US"/>
        </w:rPr>
        <w:t>u</w:t>
      </w:r>
      <w:r w:rsidR="00A27265" w:rsidRPr="001D5CAC">
        <w:rPr>
          <w:szCs w:val="22"/>
          <w:lang w:eastAsia="en-US"/>
        </w:rPr>
        <w:t xml:space="preserve"> </w:t>
      </w:r>
      <w:r w:rsidRPr="001D5CAC">
        <w:rPr>
          <w:szCs w:val="22"/>
          <w:lang w:eastAsia="en-US"/>
        </w:rPr>
        <w:t>difosfatu.</w:t>
      </w:r>
    </w:p>
    <w:p w14:paraId="6673BFCA" w14:textId="77777777" w:rsidR="00F036E9" w:rsidRDefault="00F036E9" w:rsidP="001D5CAC">
      <w:pPr>
        <w:tabs>
          <w:tab w:val="left" w:pos="567"/>
        </w:tabs>
        <w:rPr>
          <w:szCs w:val="22"/>
          <w:lang w:eastAsia="en-US"/>
        </w:rPr>
      </w:pPr>
    </w:p>
    <w:p w14:paraId="01919ABA" w14:textId="77777777" w:rsidR="001D5CAC" w:rsidRPr="00F036E9" w:rsidRDefault="001D5CAC" w:rsidP="001D5CAC">
      <w:pPr>
        <w:tabs>
          <w:tab w:val="left" w:pos="567"/>
        </w:tabs>
        <w:rPr>
          <w:szCs w:val="22"/>
          <w:u w:val="single"/>
          <w:lang w:eastAsia="en-US"/>
        </w:rPr>
      </w:pPr>
      <w:r w:rsidRPr="00F036E9">
        <w:rPr>
          <w:szCs w:val="22"/>
          <w:u w:val="single"/>
          <w:lang w:eastAsia="en-US"/>
        </w:rPr>
        <w:t>Absorbcija</w:t>
      </w:r>
    </w:p>
    <w:p w14:paraId="49E98C17" w14:textId="55380B7F" w:rsidR="001D5CAC" w:rsidRPr="001D5CAC" w:rsidRDefault="001D5CAC" w:rsidP="001D5CAC">
      <w:pPr>
        <w:tabs>
          <w:tab w:val="left" w:pos="567"/>
        </w:tabs>
        <w:rPr>
          <w:szCs w:val="22"/>
          <w:lang w:eastAsia="en-US"/>
        </w:rPr>
      </w:pPr>
      <w:r w:rsidRPr="001D5CAC">
        <w:rPr>
          <w:szCs w:val="22"/>
          <w:lang w:eastAsia="en-US"/>
        </w:rPr>
        <w:t xml:space="preserve">Išgėrus </w:t>
      </w:r>
      <w:r w:rsidR="00A1697F">
        <w:rPr>
          <w:szCs w:val="22"/>
          <w:lang w:eastAsia="en-US"/>
        </w:rPr>
        <w:t>t</w:t>
      </w:r>
      <w:r w:rsidR="00653D08">
        <w:rPr>
          <w:szCs w:val="22"/>
          <w:lang w:eastAsia="en-US"/>
        </w:rPr>
        <w:t xml:space="preserve">enofoviro dizoproksilio </w:t>
      </w:r>
      <w:r w:rsidRPr="001D5CAC">
        <w:rPr>
          <w:szCs w:val="22"/>
          <w:lang w:eastAsia="en-US"/>
        </w:rPr>
        <w:t xml:space="preserve">ŽIV infekuotam pacientui, </w:t>
      </w:r>
      <w:r w:rsidR="00A27265" w:rsidRPr="001D5CAC">
        <w:rPr>
          <w:szCs w:val="22"/>
          <w:lang w:eastAsia="en-US"/>
        </w:rPr>
        <w:t>tenofovir</w:t>
      </w:r>
      <w:r w:rsidR="00A27265">
        <w:rPr>
          <w:szCs w:val="22"/>
          <w:lang w:eastAsia="en-US"/>
        </w:rPr>
        <w:t>as</w:t>
      </w:r>
      <w:r w:rsidR="00A27265" w:rsidRPr="001D5CAC">
        <w:rPr>
          <w:szCs w:val="22"/>
          <w:lang w:eastAsia="en-US"/>
        </w:rPr>
        <w:t xml:space="preserve"> </w:t>
      </w:r>
      <w:r w:rsidRPr="001D5CAC">
        <w:rPr>
          <w:szCs w:val="22"/>
          <w:lang w:eastAsia="en-US"/>
        </w:rPr>
        <w:t>dizoproksili</w:t>
      </w:r>
      <w:r w:rsidR="00F67AA1">
        <w:rPr>
          <w:szCs w:val="22"/>
          <w:lang w:eastAsia="en-US"/>
        </w:rPr>
        <w:t>s</w:t>
      </w:r>
      <w:r w:rsidRPr="001D5CAC">
        <w:rPr>
          <w:szCs w:val="22"/>
          <w:lang w:eastAsia="en-US"/>
        </w:rPr>
        <w:t xml:space="preserve"> yra greitai absorbuojamas ir verčiamas tenofoviru. </w:t>
      </w:r>
      <w:r w:rsidR="00F036E9">
        <w:rPr>
          <w:szCs w:val="22"/>
          <w:lang w:eastAsia="en-US"/>
        </w:rPr>
        <w:t>Kartotinai v</w:t>
      </w:r>
      <w:r w:rsidRPr="001D5CAC">
        <w:rPr>
          <w:szCs w:val="22"/>
          <w:lang w:eastAsia="en-US"/>
        </w:rPr>
        <w:t xml:space="preserve">artojant </w:t>
      </w:r>
      <w:r w:rsidR="00A1697F">
        <w:rPr>
          <w:szCs w:val="22"/>
          <w:lang w:eastAsia="en-US"/>
        </w:rPr>
        <w:t>t</w:t>
      </w:r>
      <w:r w:rsidR="00653D08">
        <w:rPr>
          <w:szCs w:val="22"/>
          <w:lang w:eastAsia="en-US"/>
        </w:rPr>
        <w:t xml:space="preserve">enofoviro dizoproksilio </w:t>
      </w:r>
      <w:r w:rsidRPr="001D5CAC">
        <w:rPr>
          <w:szCs w:val="22"/>
          <w:lang w:eastAsia="en-US"/>
        </w:rPr>
        <w:t>doz</w:t>
      </w:r>
      <w:r w:rsidR="00F036E9">
        <w:rPr>
          <w:szCs w:val="22"/>
          <w:lang w:eastAsia="en-US"/>
        </w:rPr>
        <w:t>es</w:t>
      </w:r>
      <w:r w:rsidRPr="001D5CAC">
        <w:rPr>
          <w:szCs w:val="22"/>
          <w:lang w:eastAsia="en-US"/>
        </w:rPr>
        <w:t xml:space="preserve"> kartu su maistu ŽIV infekuotiems pacientams </w:t>
      </w:r>
      <w:r w:rsidR="00F036E9">
        <w:rPr>
          <w:szCs w:val="22"/>
          <w:lang w:eastAsia="en-US"/>
        </w:rPr>
        <w:t>nusi</w:t>
      </w:r>
      <w:r w:rsidR="00EF4C22">
        <w:rPr>
          <w:szCs w:val="22"/>
          <w:lang w:eastAsia="en-US"/>
        </w:rPr>
        <w:t>s</w:t>
      </w:r>
      <w:r w:rsidR="00F036E9">
        <w:rPr>
          <w:szCs w:val="22"/>
          <w:lang w:eastAsia="en-US"/>
        </w:rPr>
        <w:t>tovi tokios</w:t>
      </w:r>
      <w:r w:rsidRPr="001D5CAC">
        <w:rPr>
          <w:szCs w:val="22"/>
          <w:lang w:eastAsia="en-US"/>
        </w:rPr>
        <w:t xml:space="preserve"> vidutinės tenofoviro vertės (% CV): C</w:t>
      </w:r>
      <w:r w:rsidRPr="00F036E9">
        <w:rPr>
          <w:szCs w:val="22"/>
          <w:vertAlign w:val="subscript"/>
          <w:lang w:eastAsia="en-US"/>
        </w:rPr>
        <w:t>max</w:t>
      </w:r>
      <w:r w:rsidRPr="001D5CAC">
        <w:rPr>
          <w:szCs w:val="22"/>
          <w:lang w:eastAsia="en-US"/>
        </w:rPr>
        <w:t xml:space="preserve"> 326 (36,6</w:t>
      </w:r>
      <w:r w:rsidR="00A1697F">
        <w:rPr>
          <w:szCs w:val="22"/>
          <w:lang w:eastAsia="en-US"/>
        </w:rPr>
        <w:t> </w:t>
      </w:r>
      <w:r w:rsidRPr="001D5CAC">
        <w:rPr>
          <w:szCs w:val="22"/>
          <w:lang w:eastAsia="en-US"/>
        </w:rPr>
        <w:t>%) ng/ml, AUC 3</w:t>
      </w:r>
      <w:r w:rsidR="00F036E9">
        <w:rPr>
          <w:szCs w:val="22"/>
          <w:lang w:eastAsia="en-US"/>
        </w:rPr>
        <w:t>,</w:t>
      </w:r>
      <w:r w:rsidRPr="001D5CAC">
        <w:rPr>
          <w:szCs w:val="22"/>
          <w:lang w:eastAsia="en-US"/>
        </w:rPr>
        <w:t>324 (41,2</w:t>
      </w:r>
      <w:r w:rsidR="00A1697F">
        <w:rPr>
          <w:szCs w:val="22"/>
          <w:lang w:eastAsia="en-US"/>
        </w:rPr>
        <w:t> </w:t>
      </w:r>
      <w:r w:rsidRPr="001D5CAC">
        <w:rPr>
          <w:szCs w:val="22"/>
          <w:lang w:eastAsia="en-US"/>
        </w:rPr>
        <w:t>%) ng·</w:t>
      </w:r>
      <w:r w:rsidR="00F036E9">
        <w:rPr>
          <w:szCs w:val="22"/>
          <w:lang w:eastAsia="en-US"/>
        </w:rPr>
        <w:t>val.</w:t>
      </w:r>
      <w:r w:rsidRPr="001D5CAC">
        <w:rPr>
          <w:szCs w:val="22"/>
          <w:lang w:eastAsia="en-US"/>
        </w:rPr>
        <w:t>/ml ir C</w:t>
      </w:r>
      <w:r w:rsidRPr="00F036E9">
        <w:rPr>
          <w:szCs w:val="22"/>
          <w:vertAlign w:val="subscript"/>
          <w:lang w:eastAsia="en-US"/>
        </w:rPr>
        <w:t>min</w:t>
      </w:r>
      <w:r w:rsidRPr="001D5CAC">
        <w:rPr>
          <w:szCs w:val="22"/>
          <w:lang w:eastAsia="en-US"/>
        </w:rPr>
        <w:t xml:space="preserve"> 64,4 (39,4</w:t>
      </w:r>
      <w:r w:rsidR="00A1697F">
        <w:rPr>
          <w:szCs w:val="22"/>
          <w:lang w:eastAsia="en-US"/>
        </w:rPr>
        <w:t> </w:t>
      </w:r>
      <w:r w:rsidRPr="001D5CAC">
        <w:rPr>
          <w:szCs w:val="22"/>
          <w:lang w:eastAsia="en-US"/>
        </w:rPr>
        <w:t xml:space="preserve">%) ng/ml. Maksimali tenofoviro koncentracija kraujo serume </w:t>
      </w:r>
      <w:r w:rsidR="00F036E9">
        <w:rPr>
          <w:szCs w:val="22"/>
          <w:lang w:eastAsia="en-US"/>
        </w:rPr>
        <w:t>atsiranda</w:t>
      </w:r>
      <w:r w:rsidRPr="001D5CAC">
        <w:rPr>
          <w:szCs w:val="22"/>
          <w:lang w:eastAsia="en-US"/>
        </w:rPr>
        <w:t xml:space="preserve"> per vieną valandą po dozės išgėrimo nevalgius ir per dvi valandas vaist</w:t>
      </w:r>
      <w:r w:rsidR="00F036E9">
        <w:rPr>
          <w:szCs w:val="22"/>
          <w:lang w:eastAsia="en-US"/>
        </w:rPr>
        <w:t>inio preparato</w:t>
      </w:r>
      <w:r w:rsidRPr="001D5CAC">
        <w:rPr>
          <w:szCs w:val="22"/>
          <w:lang w:eastAsia="en-US"/>
        </w:rPr>
        <w:t xml:space="preserve"> dozę išgėrus kartu su maistu. Geriamojo tenofoviro (iš tenofoviro dizoproksilio) bio</w:t>
      </w:r>
      <w:r w:rsidR="00A27265">
        <w:rPr>
          <w:szCs w:val="22"/>
          <w:lang w:eastAsia="en-US"/>
        </w:rPr>
        <w:t>įsisavinamumas</w:t>
      </w:r>
      <w:r w:rsidRPr="001D5CAC">
        <w:rPr>
          <w:szCs w:val="22"/>
          <w:lang w:eastAsia="en-US"/>
        </w:rPr>
        <w:t xml:space="preserve"> nevalgiusiam pacientui yra maždaug 25</w:t>
      </w:r>
      <w:r w:rsidR="00A1697F">
        <w:rPr>
          <w:szCs w:val="22"/>
          <w:lang w:eastAsia="en-US"/>
        </w:rPr>
        <w:t> </w:t>
      </w:r>
      <w:r w:rsidRPr="001D5CAC">
        <w:rPr>
          <w:szCs w:val="22"/>
          <w:lang w:eastAsia="en-US"/>
        </w:rPr>
        <w:t xml:space="preserve">%. Vartojant </w:t>
      </w:r>
      <w:r w:rsidR="00A1697F">
        <w:rPr>
          <w:szCs w:val="22"/>
          <w:lang w:eastAsia="en-US"/>
        </w:rPr>
        <w:t>t</w:t>
      </w:r>
      <w:r w:rsidR="00653D08">
        <w:rPr>
          <w:szCs w:val="22"/>
          <w:lang w:eastAsia="en-US"/>
        </w:rPr>
        <w:t xml:space="preserve">enofoviro dizoproksilio </w:t>
      </w:r>
      <w:r w:rsidRPr="001D5CAC">
        <w:rPr>
          <w:szCs w:val="22"/>
          <w:lang w:eastAsia="en-US"/>
        </w:rPr>
        <w:t>kartu su labai daug riebalų turinčiu maistu padidėja geriamojo vaist</w:t>
      </w:r>
      <w:r w:rsidR="00F036E9">
        <w:rPr>
          <w:szCs w:val="22"/>
          <w:lang w:eastAsia="en-US"/>
        </w:rPr>
        <w:t>inio preparato</w:t>
      </w:r>
      <w:r w:rsidRPr="001D5CAC">
        <w:rPr>
          <w:szCs w:val="22"/>
          <w:lang w:eastAsia="en-US"/>
        </w:rPr>
        <w:t xml:space="preserve"> </w:t>
      </w:r>
      <w:r w:rsidR="00A27265">
        <w:rPr>
          <w:szCs w:val="22"/>
          <w:lang w:eastAsia="en-US"/>
        </w:rPr>
        <w:t>bioįsisavinamumas</w:t>
      </w:r>
      <w:r w:rsidR="00A27265" w:rsidRPr="001D5CAC">
        <w:rPr>
          <w:szCs w:val="22"/>
          <w:lang w:eastAsia="en-US"/>
        </w:rPr>
        <w:t xml:space="preserve"> </w:t>
      </w:r>
      <w:r w:rsidRPr="001D5CAC">
        <w:rPr>
          <w:szCs w:val="22"/>
          <w:lang w:eastAsia="en-US"/>
        </w:rPr>
        <w:t>– tenofoviro AUC padidėja vidutiniškai 40</w:t>
      </w:r>
      <w:r w:rsidR="00A1697F">
        <w:rPr>
          <w:szCs w:val="22"/>
          <w:lang w:eastAsia="en-US"/>
        </w:rPr>
        <w:t> </w:t>
      </w:r>
      <w:r w:rsidRPr="001D5CAC">
        <w:rPr>
          <w:szCs w:val="22"/>
          <w:lang w:eastAsia="en-US"/>
        </w:rPr>
        <w:t>%, o C</w:t>
      </w:r>
      <w:r w:rsidRPr="00F036E9">
        <w:rPr>
          <w:szCs w:val="22"/>
          <w:vertAlign w:val="subscript"/>
          <w:lang w:eastAsia="en-US"/>
        </w:rPr>
        <w:t>max</w:t>
      </w:r>
      <w:r w:rsidRPr="001D5CAC">
        <w:rPr>
          <w:szCs w:val="22"/>
          <w:lang w:eastAsia="en-US"/>
        </w:rPr>
        <w:t xml:space="preserve"> vidutiniškai 14</w:t>
      </w:r>
      <w:r w:rsidR="00A1697F">
        <w:rPr>
          <w:szCs w:val="22"/>
          <w:lang w:eastAsia="en-US"/>
        </w:rPr>
        <w:t> </w:t>
      </w:r>
      <w:r w:rsidRPr="001D5CAC">
        <w:rPr>
          <w:szCs w:val="22"/>
          <w:lang w:eastAsia="en-US"/>
        </w:rPr>
        <w:t xml:space="preserve">%. Po pirmosios </w:t>
      </w:r>
      <w:r w:rsidR="00A1697F">
        <w:rPr>
          <w:szCs w:val="22"/>
          <w:lang w:eastAsia="en-US"/>
        </w:rPr>
        <w:t>t</w:t>
      </w:r>
      <w:r w:rsidR="00653D08">
        <w:rPr>
          <w:szCs w:val="22"/>
          <w:lang w:eastAsia="en-US"/>
        </w:rPr>
        <w:t xml:space="preserve">enofoviro dizoproksilio </w:t>
      </w:r>
      <w:r w:rsidRPr="001D5CAC">
        <w:rPr>
          <w:szCs w:val="22"/>
          <w:lang w:eastAsia="en-US"/>
        </w:rPr>
        <w:t>dozės pavalgiusiems pacientams C</w:t>
      </w:r>
      <w:r w:rsidRPr="00F036E9">
        <w:rPr>
          <w:szCs w:val="22"/>
          <w:vertAlign w:val="subscript"/>
          <w:lang w:eastAsia="en-US"/>
        </w:rPr>
        <w:t>max</w:t>
      </w:r>
      <w:r w:rsidRPr="001D5CAC">
        <w:rPr>
          <w:szCs w:val="22"/>
          <w:lang w:eastAsia="en-US"/>
        </w:rPr>
        <w:t xml:space="preserve"> </w:t>
      </w:r>
      <w:r w:rsidR="00F036E9">
        <w:rPr>
          <w:szCs w:val="22"/>
          <w:lang w:eastAsia="en-US"/>
        </w:rPr>
        <w:t>mediana</w:t>
      </w:r>
      <w:r w:rsidRPr="001D5CAC">
        <w:rPr>
          <w:szCs w:val="22"/>
          <w:lang w:eastAsia="en-US"/>
        </w:rPr>
        <w:t xml:space="preserve"> kraujo serume yra nuo 213 iki 375</w:t>
      </w:r>
      <w:r w:rsidR="00A1697F">
        <w:rPr>
          <w:szCs w:val="22"/>
          <w:lang w:eastAsia="en-US"/>
        </w:rPr>
        <w:t> </w:t>
      </w:r>
      <w:r w:rsidRPr="001D5CAC">
        <w:rPr>
          <w:szCs w:val="22"/>
          <w:lang w:eastAsia="en-US"/>
        </w:rPr>
        <w:t xml:space="preserve">ng/ml. </w:t>
      </w:r>
      <w:r w:rsidR="00653D08">
        <w:rPr>
          <w:szCs w:val="22"/>
          <w:lang w:eastAsia="en-US"/>
        </w:rPr>
        <w:t xml:space="preserve">Tenofoviro dizoproksilio </w:t>
      </w:r>
      <w:r w:rsidRPr="001D5CAC">
        <w:rPr>
          <w:szCs w:val="22"/>
          <w:lang w:eastAsia="en-US"/>
        </w:rPr>
        <w:t>vartojimas kartu su lengvu maistu tenofoviro farmakokinetikos reikšmingai neveikia.</w:t>
      </w:r>
    </w:p>
    <w:p w14:paraId="1FB022E1" w14:textId="77777777" w:rsidR="00F036E9" w:rsidRDefault="00F036E9" w:rsidP="001D5CAC">
      <w:pPr>
        <w:tabs>
          <w:tab w:val="left" w:pos="567"/>
        </w:tabs>
        <w:rPr>
          <w:szCs w:val="22"/>
          <w:lang w:eastAsia="en-US"/>
        </w:rPr>
      </w:pPr>
    </w:p>
    <w:p w14:paraId="4336CC7B" w14:textId="77777777" w:rsidR="001D5CAC" w:rsidRPr="00164838" w:rsidRDefault="001D5CAC" w:rsidP="001D5CAC">
      <w:pPr>
        <w:tabs>
          <w:tab w:val="left" w:pos="567"/>
        </w:tabs>
        <w:rPr>
          <w:szCs w:val="22"/>
          <w:u w:val="single"/>
          <w:lang w:eastAsia="en-US"/>
        </w:rPr>
      </w:pPr>
      <w:r w:rsidRPr="00164838">
        <w:rPr>
          <w:szCs w:val="22"/>
          <w:u w:val="single"/>
          <w:lang w:eastAsia="en-US"/>
        </w:rPr>
        <w:t>Pasiskirstymas</w:t>
      </w:r>
    </w:p>
    <w:p w14:paraId="284F741C" w14:textId="4C15FD6F" w:rsidR="001D5CAC" w:rsidRPr="001D5CAC" w:rsidRDefault="001D5CAC" w:rsidP="001D5CAC">
      <w:pPr>
        <w:tabs>
          <w:tab w:val="left" w:pos="567"/>
        </w:tabs>
        <w:rPr>
          <w:szCs w:val="22"/>
          <w:lang w:eastAsia="en-US"/>
        </w:rPr>
      </w:pPr>
      <w:r w:rsidRPr="001D5CAC">
        <w:rPr>
          <w:szCs w:val="22"/>
          <w:lang w:eastAsia="en-US"/>
        </w:rPr>
        <w:t xml:space="preserve">Po </w:t>
      </w:r>
      <w:r w:rsidR="00F036E9">
        <w:rPr>
          <w:szCs w:val="22"/>
          <w:lang w:eastAsia="en-US"/>
        </w:rPr>
        <w:t>injekcijos į veną</w:t>
      </w:r>
      <w:r w:rsidRPr="001D5CAC">
        <w:rPr>
          <w:szCs w:val="22"/>
          <w:lang w:eastAsia="en-US"/>
        </w:rPr>
        <w:t xml:space="preserve"> </w:t>
      </w:r>
      <w:r w:rsidR="00F036E9">
        <w:rPr>
          <w:szCs w:val="22"/>
          <w:lang w:eastAsia="en-US"/>
        </w:rPr>
        <w:t>nusistovėjus pusiausvyrinei apykaitai</w:t>
      </w:r>
      <w:r w:rsidRPr="001D5CAC">
        <w:rPr>
          <w:szCs w:val="22"/>
          <w:lang w:eastAsia="en-US"/>
        </w:rPr>
        <w:t xml:space="preserve"> tenofoviro pasiskirstymo tūris buvo maždaug 800</w:t>
      </w:r>
      <w:r w:rsidR="00A1697F">
        <w:rPr>
          <w:szCs w:val="22"/>
          <w:lang w:eastAsia="en-US"/>
        </w:rPr>
        <w:t> </w:t>
      </w:r>
      <w:r w:rsidRPr="001D5CAC">
        <w:rPr>
          <w:szCs w:val="22"/>
          <w:lang w:eastAsia="en-US"/>
        </w:rPr>
        <w:t>ml/kg. Išgėrus tenofoviro dizoproksilio</w:t>
      </w:r>
      <w:r w:rsidR="00F036E9">
        <w:rPr>
          <w:szCs w:val="22"/>
          <w:lang w:eastAsia="en-US"/>
        </w:rPr>
        <w:t>,</w:t>
      </w:r>
      <w:r w:rsidRPr="001D5CAC">
        <w:rPr>
          <w:szCs w:val="22"/>
          <w:lang w:eastAsia="en-US"/>
        </w:rPr>
        <w:t xml:space="preserve"> tenofoviras pasiskirsto daugelyje audinių, o didžiausia koncentracija </w:t>
      </w:r>
      <w:r w:rsidR="00F036E9">
        <w:rPr>
          <w:szCs w:val="22"/>
          <w:lang w:eastAsia="en-US"/>
        </w:rPr>
        <w:t>būna</w:t>
      </w:r>
      <w:r w:rsidRPr="001D5CAC">
        <w:rPr>
          <w:szCs w:val="22"/>
          <w:lang w:eastAsia="en-US"/>
        </w:rPr>
        <w:t xml:space="preserve"> inkstuose, kepenyse ir žarnyne (ikiklinikinių tyrimų duomenimis). Tenofoviro susijungimas su</w:t>
      </w:r>
      <w:r w:rsidR="00F67AA1">
        <w:rPr>
          <w:szCs w:val="22"/>
          <w:lang w:eastAsia="en-US"/>
        </w:rPr>
        <w:t xml:space="preserve"> kraujo</w:t>
      </w:r>
      <w:r w:rsidRPr="001D5CAC">
        <w:rPr>
          <w:szCs w:val="22"/>
          <w:lang w:eastAsia="en-US"/>
        </w:rPr>
        <w:t xml:space="preserve"> plazmos ar serumo baltymais </w:t>
      </w:r>
      <w:r w:rsidRPr="00F036E9">
        <w:rPr>
          <w:i/>
          <w:szCs w:val="22"/>
          <w:lang w:eastAsia="en-US"/>
        </w:rPr>
        <w:t>in vitro</w:t>
      </w:r>
      <w:r w:rsidRPr="001D5CAC">
        <w:rPr>
          <w:szCs w:val="22"/>
          <w:lang w:eastAsia="en-US"/>
        </w:rPr>
        <w:t xml:space="preserve"> buvo atitinkamai mažiau nei 0,7</w:t>
      </w:r>
      <w:r w:rsidR="00A1697F">
        <w:rPr>
          <w:szCs w:val="22"/>
          <w:lang w:eastAsia="en-US"/>
        </w:rPr>
        <w:t> </w:t>
      </w:r>
      <w:r w:rsidRPr="001D5CAC">
        <w:rPr>
          <w:szCs w:val="22"/>
          <w:lang w:eastAsia="en-US"/>
        </w:rPr>
        <w:t>% ir 7,2</w:t>
      </w:r>
      <w:r w:rsidR="00A1697F">
        <w:rPr>
          <w:szCs w:val="22"/>
          <w:lang w:eastAsia="en-US"/>
        </w:rPr>
        <w:t> </w:t>
      </w:r>
      <w:r w:rsidRPr="001D5CAC">
        <w:rPr>
          <w:szCs w:val="22"/>
          <w:lang w:eastAsia="en-US"/>
        </w:rPr>
        <w:t>% esant tenofoviro koncentracijai 0,01-25</w:t>
      </w:r>
      <w:r w:rsidR="00A1697F">
        <w:rPr>
          <w:szCs w:val="22"/>
          <w:lang w:eastAsia="en-US"/>
        </w:rPr>
        <w:t> </w:t>
      </w:r>
      <w:r w:rsidRPr="001D5CAC">
        <w:rPr>
          <w:szCs w:val="22"/>
          <w:lang w:eastAsia="en-US"/>
        </w:rPr>
        <w:t>μg/ml.</w:t>
      </w:r>
    </w:p>
    <w:p w14:paraId="0B261F75" w14:textId="77777777" w:rsidR="00F036E9" w:rsidRDefault="00F036E9" w:rsidP="001D5CAC">
      <w:pPr>
        <w:tabs>
          <w:tab w:val="left" w:pos="567"/>
        </w:tabs>
        <w:rPr>
          <w:szCs w:val="22"/>
          <w:lang w:eastAsia="en-US"/>
        </w:rPr>
      </w:pPr>
    </w:p>
    <w:p w14:paraId="50917158" w14:textId="77777777" w:rsidR="001D5CAC" w:rsidRPr="00F036E9" w:rsidRDefault="001D5CAC" w:rsidP="001D5CAC">
      <w:pPr>
        <w:tabs>
          <w:tab w:val="left" w:pos="567"/>
        </w:tabs>
        <w:rPr>
          <w:szCs w:val="22"/>
          <w:u w:val="single"/>
          <w:lang w:eastAsia="en-US"/>
        </w:rPr>
      </w:pPr>
      <w:r w:rsidRPr="00F036E9">
        <w:rPr>
          <w:szCs w:val="22"/>
          <w:u w:val="single"/>
          <w:lang w:eastAsia="en-US"/>
        </w:rPr>
        <w:t>Biotransformacija</w:t>
      </w:r>
    </w:p>
    <w:p w14:paraId="76B60C64" w14:textId="02A857FB" w:rsidR="001D5CAC" w:rsidRPr="001D5CAC" w:rsidRDefault="001D5CAC" w:rsidP="001D5CAC">
      <w:pPr>
        <w:tabs>
          <w:tab w:val="left" w:pos="567"/>
        </w:tabs>
        <w:rPr>
          <w:szCs w:val="22"/>
          <w:lang w:eastAsia="en-US"/>
        </w:rPr>
      </w:pPr>
      <w:r w:rsidRPr="00F036E9">
        <w:rPr>
          <w:i/>
          <w:szCs w:val="22"/>
          <w:lang w:eastAsia="en-US"/>
        </w:rPr>
        <w:t>In vitro</w:t>
      </w:r>
      <w:r w:rsidRPr="001D5CAC">
        <w:rPr>
          <w:szCs w:val="22"/>
          <w:lang w:eastAsia="en-US"/>
        </w:rPr>
        <w:t xml:space="preserve"> tyrimais nustatyta, kad nei tenofoviro dizoproksilio, nei tenofoviro CYP450 fermentai neveikia. Be to, esant koncentracijai, daug didesnei nei susidaranti </w:t>
      </w:r>
      <w:r w:rsidRPr="00F036E9">
        <w:rPr>
          <w:i/>
          <w:szCs w:val="22"/>
          <w:lang w:eastAsia="en-US"/>
        </w:rPr>
        <w:t>in vivo</w:t>
      </w:r>
      <w:r w:rsidRPr="001D5CAC">
        <w:rPr>
          <w:szCs w:val="22"/>
          <w:lang w:eastAsia="en-US"/>
        </w:rPr>
        <w:t xml:space="preserve"> (vidutiniškai 300 kartų), tenofoviras </w:t>
      </w:r>
      <w:r w:rsidRPr="00F036E9">
        <w:rPr>
          <w:i/>
          <w:szCs w:val="22"/>
          <w:lang w:eastAsia="en-US"/>
        </w:rPr>
        <w:t>in vitro</w:t>
      </w:r>
      <w:r w:rsidRPr="001D5CAC">
        <w:rPr>
          <w:szCs w:val="22"/>
          <w:lang w:eastAsia="en-US"/>
        </w:rPr>
        <w:t xml:space="preserve"> neslopina vaist</w:t>
      </w:r>
      <w:r w:rsidR="00A1697F">
        <w:rPr>
          <w:szCs w:val="22"/>
          <w:lang w:eastAsia="en-US"/>
        </w:rPr>
        <w:t>inių preparat</w:t>
      </w:r>
      <w:r w:rsidRPr="001D5CAC">
        <w:rPr>
          <w:szCs w:val="22"/>
          <w:lang w:eastAsia="en-US"/>
        </w:rPr>
        <w:t>ų metabolizmo, kuriame dalyvauja bent viena svarbiausių žmogaus CYP450 izoformų, dalyvaujančių vaist</w:t>
      </w:r>
      <w:r w:rsidR="00A1697F">
        <w:rPr>
          <w:szCs w:val="22"/>
          <w:lang w:eastAsia="en-US"/>
        </w:rPr>
        <w:t>inių preparat</w:t>
      </w:r>
      <w:r w:rsidRPr="001D5CAC">
        <w:rPr>
          <w:szCs w:val="22"/>
          <w:lang w:eastAsia="en-US"/>
        </w:rPr>
        <w:t>ų biotransformacijoje (CYP3A4, CYP2D6, CYP2C9, CYP2E1 ar CYP1A1/2). Esant 100</w:t>
      </w:r>
      <w:r w:rsidR="00A1697F">
        <w:rPr>
          <w:szCs w:val="22"/>
          <w:lang w:eastAsia="en-US"/>
        </w:rPr>
        <w:t> </w:t>
      </w:r>
      <w:r w:rsidRPr="001D5CAC">
        <w:rPr>
          <w:szCs w:val="22"/>
          <w:lang w:eastAsia="en-US"/>
        </w:rPr>
        <w:t xml:space="preserve">μmol/l </w:t>
      </w:r>
      <w:r w:rsidR="00A1697F">
        <w:rPr>
          <w:szCs w:val="22"/>
          <w:lang w:eastAsia="en-US"/>
        </w:rPr>
        <w:t>t</w:t>
      </w:r>
      <w:r w:rsidR="00653D08">
        <w:rPr>
          <w:szCs w:val="22"/>
          <w:lang w:eastAsia="en-US"/>
        </w:rPr>
        <w:t xml:space="preserve">enofoviro dizoproksilio </w:t>
      </w:r>
      <w:r w:rsidRPr="001D5CAC">
        <w:rPr>
          <w:szCs w:val="22"/>
          <w:lang w:eastAsia="en-US"/>
        </w:rPr>
        <w:t xml:space="preserve">koncentracijai jis </w:t>
      </w:r>
      <w:r w:rsidR="00614616">
        <w:rPr>
          <w:szCs w:val="22"/>
          <w:lang w:eastAsia="en-US"/>
        </w:rPr>
        <w:t>neveikia</w:t>
      </w:r>
      <w:r w:rsidRPr="001D5CAC">
        <w:rPr>
          <w:szCs w:val="22"/>
          <w:lang w:eastAsia="en-US"/>
        </w:rPr>
        <w:t xml:space="preserve"> nei vien</w:t>
      </w:r>
      <w:r w:rsidR="00614616">
        <w:rPr>
          <w:szCs w:val="22"/>
          <w:lang w:eastAsia="en-US"/>
        </w:rPr>
        <w:t>os</w:t>
      </w:r>
      <w:r w:rsidRPr="001D5CAC">
        <w:rPr>
          <w:szCs w:val="22"/>
          <w:lang w:eastAsia="en-US"/>
        </w:rPr>
        <w:t xml:space="preserve"> CYP450 izoformų, išskyrus CYP1A1/2 – pastarojo substratų metabolizmas nedaug (6</w:t>
      </w:r>
      <w:r w:rsidR="00A1697F">
        <w:rPr>
          <w:szCs w:val="22"/>
          <w:lang w:eastAsia="en-US"/>
        </w:rPr>
        <w:t> </w:t>
      </w:r>
      <w:r w:rsidRPr="001D5CAC">
        <w:rPr>
          <w:szCs w:val="22"/>
          <w:lang w:eastAsia="en-US"/>
        </w:rPr>
        <w:t xml:space="preserve">%), bet statistiškai reikšmingai sumažėja. Remiantis šiais duomenimis, mažai tikėtina, kad galėtų pasireikšti kliniškai reikšminga sąveika tarp </w:t>
      </w:r>
      <w:r w:rsidR="00A1697F">
        <w:rPr>
          <w:szCs w:val="22"/>
          <w:lang w:eastAsia="en-US"/>
        </w:rPr>
        <w:t>t</w:t>
      </w:r>
      <w:r w:rsidR="00653D08">
        <w:rPr>
          <w:szCs w:val="22"/>
          <w:lang w:eastAsia="en-US"/>
        </w:rPr>
        <w:t xml:space="preserve">enofoviro dizoproksilio </w:t>
      </w:r>
      <w:r w:rsidRPr="001D5CAC">
        <w:rPr>
          <w:szCs w:val="22"/>
          <w:lang w:eastAsia="en-US"/>
        </w:rPr>
        <w:t>ir kitų vaistinių preparatų, metabolizuojamų dalyvaujant CYP450.</w:t>
      </w:r>
    </w:p>
    <w:p w14:paraId="410646D9" w14:textId="77777777" w:rsidR="00614616" w:rsidRDefault="00614616" w:rsidP="001D5CAC">
      <w:pPr>
        <w:tabs>
          <w:tab w:val="left" w:pos="567"/>
        </w:tabs>
        <w:rPr>
          <w:szCs w:val="22"/>
          <w:lang w:eastAsia="en-US"/>
        </w:rPr>
      </w:pPr>
    </w:p>
    <w:p w14:paraId="28D8C9AD" w14:textId="77777777" w:rsidR="001D5CAC" w:rsidRPr="00614616" w:rsidRDefault="001D5CAC" w:rsidP="001D5CAC">
      <w:pPr>
        <w:tabs>
          <w:tab w:val="left" w:pos="567"/>
        </w:tabs>
        <w:rPr>
          <w:szCs w:val="22"/>
          <w:u w:val="single"/>
          <w:lang w:eastAsia="en-US"/>
        </w:rPr>
      </w:pPr>
      <w:r w:rsidRPr="00614616">
        <w:rPr>
          <w:szCs w:val="22"/>
          <w:u w:val="single"/>
          <w:lang w:eastAsia="en-US"/>
        </w:rPr>
        <w:t>Eliminacija</w:t>
      </w:r>
    </w:p>
    <w:p w14:paraId="1FBDB955" w14:textId="77777777" w:rsidR="00614616" w:rsidRPr="00614616" w:rsidRDefault="00614616" w:rsidP="00614616">
      <w:pPr>
        <w:tabs>
          <w:tab w:val="left" w:pos="567"/>
        </w:tabs>
        <w:rPr>
          <w:szCs w:val="22"/>
          <w:lang w:eastAsia="en-US"/>
        </w:rPr>
      </w:pPr>
      <w:r w:rsidRPr="00614616">
        <w:rPr>
          <w:szCs w:val="22"/>
          <w:lang w:eastAsia="en-US"/>
        </w:rPr>
        <w:t xml:space="preserve">Tenofoviras yra daugiausiai šalinamas pro inkstus, vykstant tiek filtracijai, tiek aktyviam pernešimui inkstų kanalėliuose. Po </w:t>
      </w:r>
      <w:r>
        <w:rPr>
          <w:szCs w:val="22"/>
          <w:lang w:eastAsia="en-US"/>
        </w:rPr>
        <w:t>injekcijos į veną</w:t>
      </w:r>
      <w:r w:rsidRPr="00614616">
        <w:rPr>
          <w:szCs w:val="22"/>
          <w:lang w:eastAsia="en-US"/>
        </w:rPr>
        <w:t xml:space="preserve"> vidutiniškai 70-80</w:t>
      </w:r>
      <w:r w:rsidR="00A1697F">
        <w:rPr>
          <w:szCs w:val="22"/>
          <w:lang w:eastAsia="en-US"/>
        </w:rPr>
        <w:t> </w:t>
      </w:r>
      <w:r w:rsidRPr="00614616">
        <w:rPr>
          <w:szCs w:val="22"/>
          <w:lang w:eastAsia="en-US"/>
        </w:rPr>
        <w:t>% dozės pašalinama su šlapimu nepakitusi</w:t>
      </w:r>
      <w:r>
        <w:rPr>
          <w:szCs w:val="22"/>
          <w:lang w:eastAsia="en-US"/>
        </w:rPr>
        <w:t>a forma.</w:t>
      </w:r>
      <w:r w:rsidRPr="00614616">
        <w:rPr>
          <w:szCs w:val="22"/>
          <w:lang w:eastAsia="en-US"/>
        </w:rPr>
        <w:t xml:space="preserve"> Bendrasis klirensas yra maždaug 230</w:t>
      </w:r>
      <w:r w:rsidR="00A1697F">
        <w:rPr>
          <w:szCs w:val="22"/>
          <w:lang w:eastAsia="en-US"/>
        </w:rPr>
        <w:t> </w:t>
      </w:r>
      <w:r w:rsidRPr="00614616">
        <w:rPr>
          <w:szCs w:val="22"/>
          <w:lang w:eastAsia="en-US"/>
        </w:rPr>
        <w:t>ml/</w:t>
      </w:r>
      <w:r>
        <w:rPr>
          <w:szCs w:val="22"/>
          <w:lang w:eastAsia="en-US"/>
        </w:rPr>
        <w:t>val</w:t>
      </w:r>
      <w:r w:rsidRPr="00614616">
        <w:rPr>
          <w:szCs w:val="22"/>
          <w:lang w:eastAsia="en-US"/>
        </w:rPr>
        <w:t>/kg (vidutiniškai</w:t>
      </w:r>
      <w:r w:rsidR="00A1697F">
        <w:rPr>
          <w:szCs w:val="22"/>
          <w:lang w:eastAsia="en-US"/>
        </w:rPr>
        <w:t> </w:t>
      </w:r>
      <w:r w:rsidRPr="00614616">
        <w:rPr>
          <w:szCs w:val="22"/>
          <w:lang w:eastAsia="en-US"/>
        </w:rPr>
        <w:t>300 ml/min.). Inkstų klirensas yra vidutiniškai 160</w:t>
      </w:r>
      <w:r w:rsidR="00A1697F">
        <w:rPr>
          <w:szCs w:val="22"/>
          <w:lang w:eastAsia="en-US"/>
        </w:rPr>
        <w:t> </w:t>
      </w:r>
      <w:r w:rsidRPr="00614616">
        <w:rPr>
          <w:szCs w:val="22"/>
          <w:lang w:eastAsia="en-US"/>
        </w:rPr>
        <w:t>ml/</w:t>
      </w:r>
      <w:r>
        <w:rPr>
          <w:szCs w:val="22"/>
          <w:lang w:eastAsia="en-US"/>
        </w:rPr>
        <w:t>val</w:t>
      </w:r>
      <w:r w:rsidRPr="00614616">
        <w:rPr>
          <w:szCs w:val="22"/>
          <w:lang w:eastAsia="en-US"/>
        </w:rPr>
        <w:t>/kg (vidutiniškai 210</w:t>
      </w:r>
      <w:r w:rsidR="00A1697F">
        <w:rPr>
          <w:szCs w:val="22"/>
          <w:lang w:eastAsia="en-US"/>
        </w:rPr>
        <w:t> </w:t>
      </w:r>
      <w:r w:rsidRPr="00614616">
        <w:rPr>
          <w:szCs w:val="22"/>
          <w:lang w:eastAsia="en-US"/>
        </w:rPr>
        <w:t xml:space="preserve">ml/min.), kas viršija glomerulų filtracijos greitį. Tai rodo, kad šalinant tenofovirą </w:t>
      </w:r>
      <w:r>
        <w:rPr>
          <w:szCs w:val="22"/>
          <w:lang w:eastAsia="en-US"/>
        </w:rPr>
        <w:t>yra svarbi</w:t>
      </w:r>
      <w:r w:rsidRPr="00614616">
        <w:rPr>
          <w:szCs w:val="22"/>
          <w:lang w:eastAsia="en-US"/>
        </w:rPr>
        <w:t xml:space="preserve"> aktyvi sekrecija kanalėliuose. Išgerto tenofoviro galutinis pusinės eliminacijos periodas trunka vidutiniškai 12-18 valandų.</w:t>
      </w:r>
    </w:p>
    <w:p w14:paraId="4C7BB04B" w14:textId="77777777" w:rsidR="00614616" w:rsidRPr="00614616" w:rsidRDefault="00614616" w:rsidP="00614616">
      <w:pPr>
        <w:tabs>
          <w:tab w:val="left" w:pos="567"/>
        </w:tabs>
        <w:rPr>
          <w:szCs w:val="22"/>
          <w:lang w:eastAsia="en-US"/>
        </w:rPr>
      </w:pPr>
      <w:r w:rsidRPr="00614616">
        <w:rPr>
          <w:szCs w:val="22"/>
          <w:lang w:eastAsia="en-US"/>
        </w:rPr>
        <w:t>Tyrim</w:t>
      </w:r>
      <w:r>
        <w:rPr>
          <w:szCs w:val="22"/>
          <w:lang w:eastAsia="en-US"/>
        </w:rPr>
        <w:t>ais</w:t>
      </w:r>
      <w:r w:rsidRPr="00614616">
        <w:rPr>
          <w:szCs w:val="22"/>
          <w:lang w:eastAsia="en-US"/>
        </w:rPr>
        <w:t xml:space="preserve"> nustatyta, kad aktyvios kanalėlių sekrecijos dėka tenofoviras į proksimalinių kanalėlių ląsteles patenka dalyvaujant žmogaus organinių anijonų pernešėjams (</w:t>
      </w:r>
      <w:r w:rsidR="00990604">
        <w:rPr>
          <w:szCs w:val="22"/>
          <w:lang w:eastAsia="en-US"/>
        </w:rPr>
        <w:t xml:space="preserve">angl. </w:t>
      </w:r>
      <w:r w:rsidRPr="00164838">
        <w:rPr>
          <w:i/>
          <w:szCs w:val="22"/>
          <w:lang w:eastAsia="en-US"/>
        </w:rPr>
        <w:t>human organic anion transporter 1, hOAT1</w:t>
      </w:r>
      <w:r w:rsidRPr="00614616">
        <w:rPr>
          <w:szCs w:val="22"/>
          <w:lang w:eastAsia="en-US"/>
        </w:rPr>
        <w:t>) 1 ir 3, o į šlapimą tenofoviras patenka dalyvaujant daugumai vaist</w:t>
      </w:r>
      <w:r w:rsidR="00A1697F">
        <w:rPr>
          <w:szCs w:val="22"/>
          <w:lang w:eastAsia="en-US"/>
        </w:rPr>
        <w:t>inių preparat</w:t>
      </w:r>
      <w:r w:rsidRPr="00614616">
        <w:rPr>
          <w:szCs w:val="22"/>
          <w:lang w:eastAsia="en-US"/>
        </w:rPr>
        <w:t>ų atspariam proteinui 4 (MRP 4).</w:t>
      </w:r>
    </w:p>
    <w:p w14:paraId="402712D9" w14:textId="77777777" w:rsidR="00614616" w:rsidRDefault="00614616" w:rsidP="00614616">
      <w:pPr>
        <w:tabs>
          <w:tab w:val="left" w:pos="567"/>
        </w:tabs>
        <w:rPr>
          <w:szCs w:val="22"/>
          <w:lang w:eastAsia="en-US"/>
        </w:rPr>
      </w:pPr>
    </w:p>
    <w:p w14:paraId="360AF45C" w14:textId="77777777" w:rsidR="00614616" w:rsidRPr="00614616" w:rsidRDefault="00614616" w:rsidP="00614616">
      <w:pPr>
        <w:tabs>
          <w:tab w:val="left" w:pos="567"/>
        </w:tabs>
        <w:rPr>
          <w:szCs w:val="22"/>
          <w:u w:val="single"/>
          <w:lang w:eastAsia="en-US"/>
        </w:rPr>
      </w:pPr>
      <w:r w:rsidRPr="00614616">
        <w:rPr>
          <w:szCs w:val="22"/>
          <w:u w:val="single"/>
          <w:lang w:eastAsia="en-US"/>
        </w:rPr>
        <w:t>Tiesinis</w:t>
      </w:r>
      <w:r w:rsidR="00301834">
        <w:rPr>
          <w:szCs w:val="22"/>
          <w:u w:val="single"/>
          <w:lang w:eastAsia="en-US"/>
        </w:rPr>
        <w:t xml:space="preserve"> </w:t>
      </w:r>
      <w:r w:rsidRPr="00614616">
        <w:rPr>
          <w:szCs w:val="22"/>
          <w:u w:val="single"/>
          <w:lang w:eastAsia="en-US"/>
        </w:rPr>
        <w:t>/</w:t>
      </w:r>
      <w:r w:rsidR="00301834">
        <w:rPr>
          <w:szCs w:val="22"/>
          <w:u w:val="single"/>
          <w:lang w:eastAsia="en-US"/>
        </w:rPr>
        <w:t xml:space="preserve"> </w:t>
      </w:r>
      <w:r w:rsidRPr="00614616">
        <w:rPr>
          <w:szCs w:val="22"/>
          <w:u w:val="single"/>
          <w:lang w:eastAsia="en-US"/>
        </w:rPr>
        <w:t>netiesinis pobūdis</w:t>
      </w:r>
    </w:p>
    <w:p w14:paraId="5D4D4BFB" w14:textId="77777777" w:rsidR="00614616" w:rsidRPr="00614616" w:rsidRDefault="00614616" w:rsidP="00614616">
      <w:pPr>
        <w:tabs>
          <w:tab w:val="left" w:pos="567"/>
        </w:tabs>
        <w:rPr>
          <w:szCs w:val="22"/>
          <w:lang w:eastAsia="en-US"/>
        </w:rPr>
      </w:pPr>
      <w:r w:rsidRPr="00614616">
        <w:rPr>
          <w:szCs w:val="22"/>
          <w:lang w:eastAsia="en-US"/>
        </w:rPr>
        <w:t xml:space="preserve">Tenofoviro farmakokinetika nepriklauso nuo </w:t>
      </w:r>
      <w:r w:rsidR="00A1697F">
        <w:rPr>
          <w:szCs w:val="22"/>
          <w:lang w:eastAsia="en-US"/>
        </w:rPr>
        <w:t>t</w:t>
      </w:r>
      <w:r w:rsidR="00653D08">
        <w:rPr>
          <w:szCs w:val="22"/>
          <w:lang w:eastAsia="en-US"/>
        </w:rPr>
        <w:t xml:space="preserve">enofoviro dizoproksilio </w:t>
      </w:r>
      <w:r w:rsidRPr="00614616">
        <w:rPr>
          <w:szCs w:val="22"/>
          <w:lang w:eastAsia="en-US"/>
        </w:rPr>
        <w:t>dozės nuo 75 iki 600</w:t>
      </w:r>
      <w:r w:rsidR="00A1697F">
        <w:rPr>
          <w:szCs w:val="22"/>
          <w:lang w:eastAsia="en-US"/>
        </w:rPr>
        <w:t> </w:t>
      </w:r>
      <w:r w:rsidRPr="00614616">
        <w:rPr>
          <w:szCs w:val="22"/>
          <w:lang w:eastAsia="en-US"/>
        </w:rPr>
        <w:t>mg ribose ir nekinta po pakartotinių dozių dozuojant bet kokiais kiekiais.</w:t>
      </w:r>
    </w:p>
    <w:p w14:paraId="7968BEDC" w14:textId="77777777" w:rsidR="00614616" w:rsidRDefault="00614616" w:rsidP="00614616">
      <w:pPr>
        <w:tabs>
          <w:tab w:val="left" w:pos="567"/>
        </w:tabs>
        <w:rPr>
          <w:szCs w:val="22"/>
          <w:lang w:eastAsia="en-US"/>
        </w:rPr>
      </w:pPr>
    </w:p>
    <w:p w14:paraId="426F0697" w14:textId="77777777" w:rsidR="00614616" w:rsidRPr="00614616" w:rsidRDefault="00614616" w:rsidP="00614616">
      <w:pPr>
        <w:tabs>
          <w:tab w:val="left" w:pos="567"/>
        </w:tabs>
        <w:rPr>
          <w:szCs w:val="22"/>
          <w:u w:val="single"/>
          <w:lang w:eastAsia="en-US"/>
        </w:rPr>
      </w:pPr>
      <w:r w:rsidRPr="00614616">
        <w:rPr>
          <w:szCs w:val="22"/>
          <w:u w:val="single"/>
          <w:lang w:eastAsia="en-US"/>
        </w:rPr>
        <w:t>Amžius</w:t>
      </w:r>
    </w:p>
    <w:p w14:paraId="385CB4AF" w14:textId="77777777" w:rsidR="00614616" w:rsidRPr="00614616" w:rsidRDefault="00614616" w:rsidP="00614616">
      <w:pPr>
        <w:tabs>
          <w:tab w:val="left" w:pos="567"/>
        </w:tabs>
        <w:rPr>
          <w:szCs w:val="22"/>
          <w:lang w:eastAsia="en-US"/>
        </w:rPr>
      </w:pPr>
      <w:r w:rsidRPr="00614616">
        <w:rPr>
          <w:szCs w:val="22"/>
          <w:lang w:eastAsia="en-US"/>
        </w:rPr>
        <w:t>Farmakokinetikos tyrim</w:t>
      </w:r>
      <w:r>
        <w:rPr>
          <w:szCs w:val="22"/>
          <w:lang w:eastAsia="en-US"/>
        </w:rPr>
        <w:t>ų</w:t>
      </w:r>
      <w:r w:rsidRPr="00614616">
        <w:rPr>
          <w:szCs w:val="22"/>
          <w:lang w:eastAsia="en-US"/>
        </w:rPr>
        <w:t xml:space="preserve"> su senyvais asmenimis (vyresniais nei 65 metų amžiaus) </w:t>
      </w:r>
      <w:r>
        <w:rPr>
          <w:szCs w:val="22"/>
          <w:lang w:eastAsia="en-US"/>
        </w:rPr>
        <w:t>neatlikta</w:t>
      </w:r>
      <w:r w:rsidRPr="00614616">
        <w:rPr>
          <w:szCs w:val="22"/>
          <w:lang w:eastAsia="en-US"/>
        </w:rPr>
        <w:t>.</w:t>
      </w:r>
    </w:p>
    <w:p w14:paraId="578C71A5" w14:textId="77777777" w:rsidR="00614616" w:rsidRDefault="00614616" w:rsidP="00614616">
      <w:pPr>
        <w:tabs>
          <w:tab w:val="left" w:pos="567"/>
        </w:tabs>
        <w:rPr>
          <w:szCs w:val="22"/>
          <w:lang w:eastAsia="en-US"/>
        </w:rPr>
      </w:pPr>
    </w:p>
    <w:p w14:paraId="41F09923" w14:textId="77777777" w:rsidR="00614616" w:rsidRPr="00614616" w:rsidRDefault="00614616" w:rsidP="00614616">
      <w:pPr>
        <w:tabs>
          <w:tab w:val="left" w:pos="567"/>
        </w:tabs>
        <w:rPr>
          <w:szCs w:val="22"/>
          <w:u w:val="single"/>
          <w:lang w:eastAsia="en-US"/>
        </w:rPr>
      </w:pPr>
      <w:r w:rsidRPr="00614616">
        <w:rPr>
          <w:szCs w:val="22"/>
          <w:u w:val="single"/>
          <w:lang w:eastAsia="en-US"/>
        </w:rPr>
        <w:lastRenderedPageBreak/>
        <w:t>Lytis</w:t>
      </w:r>
    </w:p>
    <w:p w14:paraId="462FB785" w14:textId="77777777" w:rsidR="00614616" w:rsidRPr="00614616" w:rsidRDefault="00614616" w:rsidP="00614616">
      <w:pPr>
        <w:tabs>
          <w:tab w:val="left" w:pos="567"/>
        </w:tabs>
        <w:rPr>
          <w:szCs w:val="22"/>
          <w:lang w:eastAsia="en-US"/>
        </w:rPr>
      </w:pPr>
      <w:r w:rsidRPr="00614616">
        <w:rPr>
          <w:szCs w:val="22"/>
          <w:lang w:eastAsia="en-US"/>
        </w:rPr>
        <w:t>Negausūs tenofoviro farmakokinetikos moters organizme duomenys nerodo jokio reikšmingo nuo lyties priklausančio poveikio.</w:t>
      </w:r>
    </w:p>
    <w:p w14:paraId="2FA0410F" w14:textId="77777777" w:rsidR="00614616" w:rsidRDefault="00614616" w:rsidP="00614616">
      <w:pPr>
        <w:tabs>
          <w:tab w:val="left" w:pos="567"/>
        </w:tabs>
        <w:rPr>
          <w:szCs w:val="22"/>
          <w:lang w:eastAsia="en-US"/>
        </w:rPr>
      </w:pPr>
    </w:p>
    <w:p w14:paraId="31ECAAD3" w14:textId="77777777" w:rsidR="00614616" w:rsidRPr="00614616" w:rsidRDefault="00614616" w:rsidP="00614616">
      <w:pPr>
        <w:tabs>
          <w:tab w:val="left" w:pos="567"/>
        </w:tabs>
        <w:rPr>
          <w:szCs w:val="22"/>
          <w:u w:val="single"/>
          <w:lang w:eastAsia="en-US"/>
        </w:rPr>
      </w:pPr>
      <w:r w:rsidRPr="00614616">
        <w:rPr>
          <w:szCs w:val="22"/>
          <w:u w:val="single"/>
          <w:lang w:eastAsia="en-US"/>
        </w:rPr>
        <w:t>Etninė grupė</w:t>
      </w:r>
    </w:p>
    <w:p w14:paraId="5F623A57" w14:textId="77777777" w:rsidR="00614616" w:rsidRPr="00614616" w:rsidRDefault="00614616" w:rsidP="00614616">
      <w:pPr>
        <w:tabs>
          <w:tab w:val="left" w:pos="567"/>
        </w:tabs>
        <w:rPr>
          <w:szCs w:val="22"/>
          <w:lang w:eastAsia="en-US"/>
        </w:rPr>
      </w:pPr>
      <w:r w:rsidRPr="00614616">
        <w:rPr>
          <w:szCs w:val="22"/>
          <w:lang w:eastAsia="en-US"/>
        </w:rPr>
        <w:t>Farmakokinetik</w:t>
      </w:r>
      <w:r>
        <w:rPr>
          <w:szCs w:val="22"/>
          <w:lang w:eastAsia="en-US"/>
        </w:rPr>
        <w:t>a</w:t>
      </w:r>
      <w:r w:rsidRPr="00614616">
        <w:rPr>
          <w:szCs w:val="22"/>
          <w:lang w:eastAsia="en-US"/>
        </w:rPr>
        <w:t xml:space="preserve"> </w:t>
      </w:r>
      <w:r w:rsidR="00A72C06">
        <w:rPr>
          <w:szCs w:val="22"/>
          <w:lang w:eastAsia="en-US"/>
        </w:rPr>
        <w:t>konkrečiose</w:t>
      </w:r>
      <w:r w:rsidRPr="00614616">
        <w:rPr>
          <w:szCs w:val="22"/>
          <w:lang w:eastAsia="en-US"/>
        </w:rPr>
        <w:t xml:space="preserve"> etninėse grupėse </w:t>
      </w:r>
      <w:r w:rsidR="00A72C06">
        <w:rPr>
          <w:szCs w:val="22"/>
          <w:lang w:eastAsia="en-US"/>
        </w:rPr>
        <w:t>netirta</w:t>
      </w:r>
      <w:r w:rsidRPr="00614616">
        <w:rPr>
          <w:szCs w:val="22"/>
          <w:lang w:eastAsia="en-US"/>
        </w:rPr>
        <w:t>.</w:t>
      </w:r>
    </w:p>
    <w:p w14:paraId="566505B4" w14:textId="77777777" w:rsidR="00A72C06" w:rsidRDefault="00A72C06" w:rsidP="00614616">
      <w:pPr>
        <w:tabs>
          <w:tab w:val="left" w:pos="567"/>
        </w:tabs>
        <w:rPr>
          <w:szCs w:val="22"/>
          <w:lang w:eastAsia="en-US"/>
        </w:rPr>
      </w:pPr>
    </w:p>
    <w:p w14:paraId="7C98AC05" w14:textId="77777777" w:rsidR="00614616" w:rsidRPr="00A72C06" w:rsidRDefault="00614616" w:rsidP="00614616">
      <w:pPr>
        <w:tabs>
          <w:tab w:val="left" w:pos="567"/>
        </w:tabs>
        <w:rPr>
          <w:szCs w:val="22"/>
          <w:u w:val="single"/>
          <w:lang w:eastAsia="en-US"/>
        </w:rPr>
      </w:pPr>
      <w:r w:rsidRPr="00A72C06">
        <w:rPr>
          <w:szCs w:val="22"/>
          <w:u w:val="single"/>
          <w:lang w:eastAsia="en-US"/>
        </w:rPr>
        <w:t>Vaikų populiacija</w:t>
      </w:r>
    </w:p>
    <w:p w14:paraId="080C2FA9" w14:textId="3AA93019" w:rsidR="00614616" w:rsidRDefault="00614616" w:rsidP="00614616">
      <w:pPr>
        <w:tabs>
          <w:tab w:val="left" w:pos="567"/>
        </w:tabs>
        <w:rPr>
          <w:szCs w:val="22"/>
          <w:lang w:eastAsia="en-US"/>
        </w:rPr>
      </w:pPr>
      <w:r w:rsidRPr="00A72C06">
        <w:rPr>
          <w:i/>
          <w:szCs w:val="22"/>
          <w:lang w:eastAsia="en-US"/>
        </w:rPr>
        <w:t>ŽIV-1.</w:t>
      </w:r>
      <w:r w:rsidR="00A72C06" w:rsidRPr="00A72C06">
        <w:rPr>
          <w:szCs w:val="22"/>
          <w:lang w:eastAsia="en-US"/>
        </w:rPr>
        <w:t xml:space="preserve"> </w:t>
      </w:r>
      <w:r w:rsidR="00A72C06">
        <w:rPr>
          <w:szCs w:val="22"/>
          <w:lang w:eastAsia="en-US"/>
        </w:rPr>
        <w:t>Nusistovėjus pusiausvyrinei apykaitai t</w:t>
      </w:r>
      <w:r w:rsidRPr="00614616">
        <w:rPr>
          <w:szCs w:val="22"/>
          <w:lang w:eastAsia="en-US"/>
        </w:rPr>
        <w:t>enofoviro farmakokinetika</w:t>
      </w:r>
      <w:r w:rsidR="00A72C06">
        <w:rPr>
          <w:szCs w:val="22"/>
          <w:lang w:eastAsia="en-US"/>
        </w:rPr>
        <w:t xml:space="preserve"> </w:t>
      </w:r>
      <w:r w:rsidRPr="00614616">
        <w:rPr>
          <w:szCs w:val="22"/>
          <w:lang w:eastAsia="en-US"/>
        </w:rPr>
        <w:t>buvo įvertinta 8 ŽIV-1 infekuotiems paaugliams pacientams (nuo 12 iki &lt; 18 metų amžiaus), kurių kūno masė ≥</w:t>
      </w:r>
      <w:r w:rsidR="00A1697F">
        <w:rPr>
          <w:szCs w:val="22"/>
          <w:lang w:eastAsia="en-US"/>
        </w:rPr>
        <w:t> </w:t>
      </w:r>
      <w:r w:rsidRPr="00614616">
        <w:rPr>
          <w:szCs w:val="22"/>
          <w:lang w:eastAsia="en-US"/>
        </w:rPr>
        <w:t>35</w:t>
      </w:r>
      <w:r w:rsidR="00A1697F">
        <w:rPr>
          <w:szCs w:val="22"/>
          <w:lang w:eastAsia="en-US"/>
        </w:rPr>
        <w:t> </w:t>
      </w:r>
      <w:r w:rsidRPr="00614616">
        <w:rPr>
          <w:szCs w:val="22"/>
          <w:lang w:eastAsia="en-US"/>
        </w:rPr>
        <w:t>kg. Vidutinis (± SD) C</w:t>
      </w:r>
      <w:r w:rsidRPr="00A72C06">
        <w:rPr>
          <w:szCs w:val="22"/>
          <w:vertAlign w:val="subscript"/>
          <w:lang w:eastAsia="en-US"/>
        </w:rPr>
        <w:t>max</w:t>
      </w:r>
      <w:r w:rsidRPr="00614616">
        <w:rPr>
          <w:szCs w:val="22"/>
          <w:lang w:eastAsia="en-US"/>
        </w:rPr>
        <w:t xml:space="preserve"> ir AUC</w:t>
      </w:r>
      <w:r w:rsidRPr="00A72C06">
        <w:rPr>
          <w:szCs w:val="22"/>
          <w:vertAlign w:val="subscript"/>
          <w:lang w:eastAsia="en-US"/>
        </w:rPr>
        <w:t>tau</w:t>
      </w:r>
      <w:r w:rsidRPr="00614616">
        <w:rPr>
          <w:szCs w:val="22"/>
          <w:lang w:eastAsia="en-US"/>
        </w:rPr>
        <w:t xml:space="preserve"> yra atitinkamai 0,38</w:t>
      </w:r>
      <w:r w:rsidR="00A1697F">
        <w:rPr>
          <w:szCs w:val="22"/>
          <w:lang w:eastAsia="en-US"/>
        </w:rPr>
        <w:t> </w:t>
      </w:r>
      <w:r w:rsidRPr="00614616">
        <w:rPr>
          <w:szCs w:val="22"/>
          <w:lang w:eastAsia="en-US"/>
        </w:rPr>
        <w:t>±</w:t>
      </w:r>
      <w:r w:rsidR="00A1697F">
        <w:rPr>
          <w:szCs w:val="22"/>
          <w:lang w:eastAsia="en-US"/>
        </w:rPr>
        <w:t> </w:t>
      </w:r>
      <w:r w:rsidRPr="00614616">
        <w:rPr>
          <w:szCs w:val="22"/>
          <w:lang w:eastAsia="en-US"/>
        </w:rPr>
        <w:t>0,13</w:t>
      </w:r>
      <w:r w:rsidR="00A1697F">
        <w:rPr>
          <w:szCs w:val="22"/>
          <w:lang w:eastAsia="en-US"/>
        </w:rPr>
        <w:t> </w:t>
      </w:r>
      <w:r w:rsidRPr="00614616">
        <w:rPr>
          <w:szCs w:val="22"/>
          <w:lang w:eastAsia="en-US"/>
        </w:rPr>
        <w:t>μg/ml ir 3,39</w:t>
      </w:r>
      <w:r w:rsidR="00A1697F">
        <w:rPr>
          <w:szCs w:val="22"/>
          <w:lang w:eastAsia="en-US"/>
        </w:rPr>
        <w:t> </w:t>
      </w:r>
      <w:r w:rsidRPr="00614616">
        <w:rPr>
          <w:szCs w:val="22"/>
          <w:lang w:eastAsia="en-US"/>
        </w:rPr>
        <w:t>±</w:t>
      </w:r>
      <w:r w:rsidR="00A1697F">
        <w:rPr>
          <w:szCs w:val="22"/>
          <w:lang w:eastAsia="en-US"/>
        </w:rPr>
        <w:t> </w:t>
      </w:r>
      <w:r w:rsidRPr="00614616">
        <w:rPr>
          <w:szCs w:val="22"/>
          <w:lang w:eastAsia="en-US"/>
        </w:rPr>
        <w:t>1,22</w:t>
      </w:r>
      <w:r w:rsidR="00A1697F">
        <w:rPr>
          <w:szCs w:val="22"/>
          <w:lang w:eastAsia="en-US"/>
        </w:rPr>
        <w:t> </w:t>
      </w:r>
      <w:r w:rsidRPr="00614616">
        <w:rPr>
          <w:szCs w:val="22"/>
          <w:lang w:eastAsia="en-US"/>
        </w:rPr>
        <w:t>μg·</w:t>
      </w:r>
      <w:r w:rsidR="00A72C06">
        <w:rPr>
          <w:szCs w:val="22"/>
          <w:lang w:eastAsia="en-US"/>
        </w:rPr>
        <w:t>val</w:t>
      </w:r>
      <w:r w:rsidRPr="00614616">
        <w:rPr>
          <w:szCs w:val="22"/>
          <w:lang w:eastAsia="en-US"/>
        </w:rPr>
        <w:t>/ml. Tenofoviro ekspozicija, pasiekta paaugliams pacientams, kasdien vartojusiems 245</w:t>
      </w:r>
      <w:r w:rsidR="00A1697F">
        <w:rPr>
          <w:szCs w:val="22"/>
          <w:lang w:eastAsia="en-US"/>
        </w:rPr>
        <w:t> </w:t>
      </w:r>
      <w:r w:rsidRPr="00614616">
        <w:rPr>
          <w:szCs w:val="22"/>
          <w:lang w:eastAsia="en-US"/>
        </w:rPr>
        <w:t>mg geriamo tenofoviro dizoproksilio, buvo tokia pati, kaip ir suaugusiems, vieną kartą per parą vartojusiems 245</w:t>
      </w:r>
      <w:r w:rsidR="00A1697F">
        <w:rPr>
          <w:szCs w:val="22"/>
          <w:lang w:eastAsia="en-US"/>
        </w:rPr>
        <w:t> </w:t>
      </w:r>
      <w:r w:rsidRPr="00614616">
        <w:rPr>
          <w:szCs w:val="22"/>
          <w:lang w:eastAsia="en-US"/>
        </w:rPr>
        <w:t>mg tenofoviro dizoproksilio.</w:t>
      </w:r>
    </w:p>
    <w:p w14:paraId="568D12FA" w14:textId="77777777" w:rsidR="00A72C06" w:rsidRPr="00614616" w:rsidRDefault="00A72C06" w:rsidP="00614616">
      <w:pPr>
        <w:tabs>
          <w:tab w:val="left" w:pos="567"/>
        </w:tabs>
        <w:rPr>
          <w:szCs w:val="22"/>
          <w:lang w:eastAsia="en-US"/>
        </w:rPr>
      </w:pPr>
    </w:p>
    <w:p w14:paraId="7D1DDD94" w14:textId="2BA13358" w:rsidR="00614616" w:rsidRPr="00614616" w:rsidRDefault="00614616" w:rsidP="00614616">
      <w:pPr>
        <w:tabs>
          <w:tab w:val="left" w:pos="567"/>
        </w:tabs>
        <w:rPr>
          <w:szCs w:val="22"/>
          <w:lang w:eastAsia="en-US"/>
        </w:rPr>
      </w:pPr>
      <w:r w:rsidRPr="00A72C06">
        <w:rPr>
          <w:i/>
          <w:szCs w:val="22"/>
          <w:lang w:eastAsia="en-US"/>
        </w:rPr>
        <w:t>Lėtinis hepatitas B</w:t>
      </w:r>
      <w:r w:rsidRPr="00614616">
        <w:rPr>
          <w:szCs w:val="22"/>
          <w:lang w:eastAsia="en-US"/>
        </w:rPr>
        <w:t xml:space="preserve">. </w:t>
      </w:r>
      <w:r w:rsidR="00A72C06" w:rsidRPr="00A72C06">
        <w:rPr>
          <w:szCs w:val="22"/>
          <w:lang w:eastAsia="en-US"/>
        </w:rPr>
        <w:t xml:space="preserve">Nusistovėjus pusiausvyrinei apykaitai tenofoviro </w:t>
      </w:r>
      <w:r w:rsidRPr="00614616">
        <w:rPr>
          <w:szCs w:val="22"/>
          <w:lang w:eastAsia="en-US"/>
        </w:rPr>
        <w:t>ekspozicija HBV infekuotiems paaugliams (nuo 12 iki &lt; 18 metų amžiaus), kasdien vartojusiems 245</w:t>
      </w:r>
      <w:r w:rsidR="00A1697F">
        <w:rPr>
          <w:szCs w:val="22"/>
          <w:lang w:eastAsia="en-US"/>
        </w:rPr>
        <w:t> </w:t>
      </w:r>
      <w:r w:rsidRPr="00614616">
        <w:rPr>
          <w:szCs w:val="22"/>
          <w:lang w:eastAsia="en-US"/>
        </w:rPr>
        <w:t>mg geriamojo tenofoviro dizoproksilio, buvo tokia pati, kaip ir suaugusiems, vieną kartą per parą vartojusiems 245</w:t>
      </w:r>
      <w:r w:rsidR="00A1697F" w:rsidRPr="00164838">
        <w:rPr>
          <w:szCs w:val="22"/>
          <w:lang w:eastAsia="en-US"/>
        </w:rPr>
        <w:t xml:space="preserve"> </w:t>
      </w:r>
      <w:r w:rsidRPr="00614616">
        <w:rPr>
          <w:szCs w:val="22"/>
          <w:lang w:eastAsia="en-US"/>
        </w:rPr>
        <w:t>mg tenofoviro dizoproksilio.</w:t>
      </w:r>
    </w:p>
    <w:p w14:paraId="7CE9DA3E" w14:textId="77777777" w:rsidR="00FB4049" w:rsidRDefault="00FB4049" w:rsidP="00614616">
      <w:pPr>
        <w:tabs>
          <w:tab w:val="left" w:pos="567"/>
        </w:tabs>
        <w:rPr>
          <w:szCs w:val="22"/>
          <w:lang w:eastAsia="en-US"/>
        </w:rPr>
      </w:pPr>
    </w:p>
    <w:p w14:paraId="3266783B" w14:textId="081072B4" w:rsidR="00FB4049" w:rsidRDefault="00FB4049" w:rsidP="00614616">
      <w:pPr>
        <w:tabs>
          <w:tab w:val="left" w:pos="567"/>
        </w:tabs>
      </w:pPr>
      <w:r>
        <w:t>Tenofoviro ekspozicija HBV infekuotiems nuo 2 iki &lt; 12 metų amžiaus pacientams vaikams, kasdien per burną vartojusiems po 6,5 mg tenofoviro dizoproksilio vienam kūno masės kilogramui (tablečių arba granulių pavidalu) iki maksimalios 245 mg dozės, buvo panaši į ekspoziciją ŽIV-1 infekuotiems nuo 2 iki &lt; 12 metų amžiaus pacientams vaikams, kartą per parą vartojusiems 6,5 mg/kg tenofoviro dizoproksilio (maksimali tenofoviro dizoproksilio dozė buvo 245 mg).</w:t>
      </w:r>
    </w:p>
    <w:p w14:paraId="11AFF675" w14:textId="77777777" w:rsidR="00FB4049" w:rsidRDefault="00FB4049" w:rsidP="00614616">
      <w:pPr>
        <w:tabs>
          <w:tab w:val="left" w:pos="567"/>
        </w:tabs>
        <w:rPr>
          <w:szCs w:val="22"/>
          <w:lang w:eastAsia="en-US"/>
        </w:rPr>
      </w:pPr>
    </w:p>
    <w:p w14:paraId="7DCA7205" w14:textId="77777777" w:rsidR="00614616" w:rsidRPr="00614616" w:rsidRDefault="00614616" w:rsidP="00614616">
      <w:pPr>
        <w:tabs>
          <w:tab w:val="left" w:pos="567"/>
        </w:tabs>
        <w:rPr>
          <w:szCs w:val="22"/>
          <w:lang w:eastAsia="en-US"/>
        </w:rPr>
      </w:pPr>
      <w:r w:rsidRPr="00614616">
        <w:rPr>
          <w:szCs w:val="22"/>
          <w:lang w:eastAsia="en-US"/>
        </w:rPr>
        <w:t xml:space="preserve">Vaikams iki 12 metų amžiaus arba sergantiems inkstų nepakankamumu </w:t>
      </w:r>
      <w:r w:rsidR="00A1697F">
        <w:rPr>
          <w:szCs w:val="22"/>
          <w:lang w:eastAsia="en-US"/>
        </w:rPr>
        <w:t>t</w:t>
      </w:r>
      <w:r w:rsidR="00653D08">
        <w:rPr>
          <w:szCs w:val="22"/>
          <w:lang w:eastAsia="en-US"/>
        </w:rPr>
        <w:t>enofoviro dizoproksilio</w:t>
      </w:r>
      <w:r w:rsidRPr="00614616">
        <w:rPr>
          <w:szCs w:val="22"/>
          <w:lang w:eastAsia="en-US"/>
        </w:rPr>
        <w:t xml:space="preserve"> 245</w:t>
      </w:r>
      <w:r w:rsidR="00A1697F">
        <w:rPr>
          <w:szCs w:val="22"/>
          <w:lang w:eastAsia="en-US"/>
        </w:rPr>
        <w:t xml:space="preserve"> </w:t>
      </w:r>
      <w:r w:rsidRPr="00614616">
        <w:rPr>
          <w:szCs w:val="22"/>
          <w:lang w:eastAsia="en-US"/>
        </w:rPr>
        <w:t>mg tablečių farmakokinetikos tyrim</w:t>
      </w:r>
      <w:r w:rsidR="00A72C06">
        <w:rPr>
          <w:szCs w:val="22"/>
          <w:lang w:eastAsia="en-US"/>
        </w:rPr>
        <w:t>ų neatlikta</w:t>
      </w:r>
      <w:r w:rsidRPr="00614616">
        <w:rPr>
          <w:szCs w:val="22"/>
          <w:lang w:eastAsia="en-US"/>
        </w:rPr>
        <w:t>.</w:t>
      </w:r>
    </w:p>
    <w:p w14:paraId="5A852260" w14:textId="77777777" w:rsidR="00A72C06" w:rsidRDefault="00A72C06" w:rsidP="00614616">
      <w:pPr>
        <w:tabs>
          <w:tab w:val="left" w:pos="567"/>
        </w:tabs>
        <w:rPr>
          <w:szCs w:val="22"/>
          <w:lang w:eastAsia="en-US"/>
        </w:rPr>
      </w:pPr>
    </w:p>
    <w:p w14:paraId="4084A0C1" w14:textId="77777777" w:rsidR="00614616" w:rsidRPr="00795B2C" w:rsidRDefault="00A72C06" w:rsidP="00614616">
      <w:pPr>
        <w:tabs>
          <w:tab w:val="left" w:pos="567"/>
        </w:tabs>
        <w:rPr>
          <w:szCs w:val="22"/>
          <w:u w:val="single"/>
          <w:lang w:eastAsia="en-US"/>
        </w:rPr>
      </w:pPr>
      <w:r w:rsidRPr="00795B2C">
        <w:rPr>
          <w:szCs w:val="22"/>
          <w:u w:val="single"/>
          <w:lang w:eastAsia="en-US"/>
        </w:rPr>
        <w:t>Sutrikusi inkstų funkcija</w:t>
      </w:r>
    </w:p>
    <w:p w14:paraId="3B17EAD3" w14:textId="77777777" w:rsidR="005D10D3" w:rsidRDefault="00A72C06" w:rsidP="00614616">
      <w:pPr>
        <w:tabs>
          <w:tab w:val="left" w:pos="567"/>
        </w:tabs>
        <w:rPr>
          <w:szCs w:val="22"/>
          <w:lang w:eastAsia="en-US"/>
        </w:rPr>
      </w:pPr>
      <w:r>
        <w:rPr>
          <w:szCs w:val="22"/>
          <w:lang w:eastAsia="en-US"/>
        </w:rPr>
        <w:t>T</w:t>
      </w:r>
      <w:r w:rsidRPr="00614616">
        <w:rPr>
          <w:szCs w:val="22"/>
          <w:lang w:eastAsia="en-US"/>
        </w:rPr>
        <w:t xml:space="preserve">enofoviro </w:t>
      </w:r>
      <w:r>
        <w:rPr>
          <w:szCs w:val="22"/>
          <w:lang w:eastAsia="en-US"/>
        </w:rPr>
        <w:t>farmakokinetikos</w:t>
      </w:r>
      <w:r w:rsidR="00614616" w:rsidRPr="00614616">
        <w:rPr>
          <w:szCs w:val="22"/>
          <w:lang w:eastAsia="en-US"/>
        </w:rPr>
        <w:t xml:space="preserve"> duomenys buvo nustatyti skiriant vienkartinę tenofoviro dizoproksilio 245</w:t>
      </w:r>
      <w:r w:rsidR="00A1697F">
        <w:rPr>
          <w:szCs w:val="22"/>
          <w:lang w:eastAsia="en-US"/>
        </w:rPr>
        <w:t> </w:t>
      </w:r>
      <w:r w:rsidR="00614616" w:rsidRPr="00614616">
        <w:rPr>
          <w:szCs w:val="22"/>
          <w:lang w:eastAsia="en-US"/>
        </w:rPr>
        <w:t xml:space="preserve">mg dozę 40-čiai ŽIV ir kartu HBV neinfekuotų suaugusių pacientų, </w:t>
      </w:r>
      <w:r>
        <w:rPr>
          <w:szCs w:val="22"/>
          <w:lang w:eastAsia="en-US"/>
        </w:rPr>
        <w:t>kuriems buvo</w:t>
      </w:r>
      <w:r w:rsidR="00614616" w:rsidRPr="00614616">
        <w:rPr>
          <w:szCs w:val="22"/>
          <w:lang w:eastAsia="en-US"/>
        </w:rPr>
        <w:t xml:space="preserve"> įvairaus laipsnio inkstų </w:t>
      </w:r>
      <w:r>
        <w:rPr>
          <w:szCs w:val="22"/>
          <w:lang w:eastAsia="en-US"/>
        </w:rPr>
        <w:t>funkcijos sutrikimas</w:t>
      </w:r>
      <w:r w:rsidR="00614616" w:rsidRPr="00614616">
        <w:rPr>
          <w:szCs w:val="22"/>
          <w:lang w:eastAsia="en-US"/>
        </w:rPr>
        <w:t xml:space="preserve">. </w:t>
      </w:r>
      <w:r>
        <w:rPr>
          <w:szCs w:val="22"/>
          <w:lang w:eastAsia="en-US"/>
        </w:rPr>
        <w:t>Sutrikimo</w:t>
      </w:r>
      <w:r w:rsidR="00614616" w:rsidRPr="00614616">
        <w:rPr>
          <w:szCs w:val="22"/>
          <w:lang w:eastAsia="en-US"/>
        </w:rPr>
        <w:t xml:space="preserve"> laipsnis nustatytas remiantis pradiniu kreatinino klirensu (normali inkstų funkcija CrCl &gt;</w:t>
      </w:r>
      <w:r w:rsidR="00A1697F">
        <w:rPr>
          <w:szCs w:val="22"/>
          <w:lang w:eastAsia="en-US"/>
        </w:rPr>
        <w:t> </w:t>
      </w:r>
      <w:r w:rsidR="00614616" w:rsidRPr="00614616">
        <w:rPr>
          <w:szCs w:val="22"/>
          <w:lang w:eastAsia="en-US"/>
        </w:rPr>
        <w:t>80</w:t>
      </w:r>
      <w:r w:rsidR="00A1697F">
        <w:rPr>
          <w:szCs w:val="22"/>
          <w:lang w:eastAsia="en-US"/>
        </w:rPr>
        <w:t> </w:t>
      </w:r>
      <w:r w:rsidR="00614616" w:rsidRPr="00614616">
        <w:rPr>
          <w:szCs w:val="22"/>
          <w:lang w:eastAsia="en-US"/>
        </w:rPr>
        <w:t>ml/min.; lengv</w:t>
      </w:r>
      <w:r>
        <w:rPr>
          <w:szCs w:val="22"/>
          <w:lang w:eastAsia="en-US"/>
        </w:rPr>
        <w:t>as</w:t>
      </w:r>
      <w:r w:rsidR="00614616" w:rsidRPr="00614616">
        <w:rPr>
          <w:szCs w:val="22"/>
          <w:lang w:eastAsia="en-US"/>
        </w:rPr>
        <w:t xml:space="preserve"> inkstų </w:t>
      </w:r>
      <w:r>
        <w:rPr>
          <w:szCs w:val="22"/>
          <w:lang w:eastAsia="en-US"/>
        </w:rPr>
        <w:t>funkcijos sutrikimas</w:t>
      </w:r>
      <w:r w:rsidR="00614616" w:rsidRPr="00614616">
        <w:rPr>
          <w:szCs w:val="22"/>
          <w:lang w:eastAsia="en-US"/>
        </w:rPr>
        <w:t xml:space="preserve"> – CrCl = 50-79</w:t>
      </w:r>
      <w:r w:rsidR="00A1697F">
        <w:rPr>
          <w:szCs w:val="22"/>
          <w:lang w:eastAsia="en-US"/>
        </w:rPr>
        <w:t> </w:t>
      </w:r>
      <w:r w:rsidR="00614616" w:rsidRPr="00614616">
        <w:rPr>
          <w:szCs w:val="22"/>
          <w:lang w:eastAsia="en-US"/>
        </w:rPr>
        <w:t xml:space="preserve">ml/min.; vidutinio </w:t>
      </w:r>
      <w:r>
        <w:rPr>
          <w:szCs w:val="22"/>
          <w:lang w:eastAsia="en-US"/>
        </w:rPr>
        <w:t>sunkumo</w:t>
      </w:r>
      <w:r w:rsidR="00614616" w:rsidRPr="00614616">
        <w:rPr>
          <w:szCs w:val="22"/>
          <w:lang w:eastAsia="en-US"/>
        </w:rPr>
        <w:t xml:space="preserve"> inkstų </w:t>
      </w:r>
      <w:r>
        <w:rPr>
          <w:szCs w:val="22"/>
          <w:lang w:eastAsia="en-US"/>
        </w:rPr>
        <w:t>funkcijos sutrikimas</w:t>
      </w:r>
      <w:r w:rsidR="00614616" w:rsidRPr="00614616">
        <w:rPr>
          <w:szCs w:val="22"/>
          <w:lang w:eastAsia="en-US"/>
        </w:rPr>
        <w:t xml:space="preserve"> – CrCl = 30-49</w:t>
      </w:r>
      <w:r w:rsidR="00A1697F">
        <w:rPr>
          <w:szCs w:val="22"/>
          <w:lang w:eastAsia="en-US"/>
        </w:rPr>
        <w:t> </w:t>
      </w:r>
      <w:r w:rsidR="00614616" w:rsidRPr="00614616">
        <w:rPr>
          <w:szCs w:val="22"/>
          <w:lang w:eastAsia="en-US"/>
        </w:rPr>
        <w:t xml:space="preserve">ml/min.; </w:t>
      </w:r>
      <w:r>
        <w:rPr>
          <w:szCs w:val="22"/>
          <w:lang w:eastAsia="en-US"/>
        </w:rPr>
        <w:t>sunkus</w:t>
      </w:r>
      <w:r w:rsidR="00614616" w:rsidRPr="00614616">
        <w:rPr>
          <w:szCs w:val="22"/>
          <w:lang w:eastAsia="en-US"/>
        </w:rPr>
        <w:t xml:space="preserve"> inkstų </w:t>
      </w:r>
      <w:r>
        <w:rPr>
          <w:szCs w:val="22"/>
          <w:lang w:eastAsia="en-US"/>
        </w:rPr>
        <w:t>funkcijos sutrikimas</w:t>
      </w:r>
      <w:r w:rsidR="00614616" w:rsidRPr="00614616">
        <w:rPr>
          <w:szCs w:val="22"/>
          <w:lang w:eastAsia="en-US"/>
        </w:rPr>
        <w:t xml:space="preserve"> – CrCl = 10-29</w:t>
      </w:r>
      <w:r w:rsidR="00A1697F">
        <w:rPr>
          <w:szCs w:val="22"/>
          <w:lang w:eastAsia="en-US"/>
        </w:rPr>
        <w:t> </w:t>
      </w:r>
      <w:r w:rsidR="00614616" w:rsidRPr="00614616">
        <w:rPr>
          <w:szCs w:val="22"/>
          <w:lang w:eastAsia="en-US"/>
        </w:rPr>
        <w:t>ml/min.). Lyginant su pacientais, kurių inkstų funkcija yra normali, vidutinė (% CV) ekspozicija tenofovirui padidėjo nuo 2185 (12</w:t>
      </w:r>
      <w:r w:rsidR="00A1697F">
        <w:rPr>
          <w:szCs w:val="22"/>
          <w:lang w:eastAsia="en-US"/>
        </w:rPr>
        <w:t> </w:t>
      </w:r>
      <w:r w:rsidR="00614616" w:rsidRPr="00614616">
        <w:rPr>
          <w:szCs w:val="22"/>
          <w:lang w:eastAsia="en-US"/>
        </w:rPr>
        <w:t>%) ng·</w:t>
      </w:r>
      <w:r>
        <w:rPr>
          <w:szCs w:val="22"/>
          <w:lang w:eastAsia="en-US"/>
        </w:rPr>
        <w:t>val/</w:t>
      </w:r>
      <w:r w:rsidR="00614616" w:rsidRPr="00614616">
        <w:rPr>
          <w:szCs w:val="22"/>
          <w:lang w:eastAsia="en-US"/>
        </w:rPr>
        <w:t>ml asmenims, kurių CrCl &gt;</w:t>
      </w:r>
      <w:r w:rsidR="00A1697F">
        <w:rPr>
          <w:szCs w:val="22"/>
          <w:lang w:eastAsia="en-US"/>
        </w:rPr>
        <w:t> </w:t>
      </w:r>
      <w:r w:rsidR="00614616" w:rsidRPr="00614616">
        <w:rPr>
          <w:szCs w:val="22"/>
          <w:lang w:eastAsia="en-US"/>
        </w:rPr>
        <w:t>80</w:t>
      </w:r>
      <w:r w:rsidR="00A1697F">
        <w:rPr>
          <w:szCs w:val="22"/>
          <w:lang w:eastAsia="en-US"/>
        </w:rPr>
        <w:t> </w:t>
      </w:r>
      <w:r w:rsidR="00614616" w:rsidRPr="00614616">
        <w:rPr>
          <w:szCs w:val="22"/>
          <w:lang w:eastAsia="en-US"/>
        </w:rPr>
        <w:t>ml/min., iki 3064 (30</w:t>
      </w:r>
      <w:r w:rsidR="00A1697F">
        <w:rPr>
          <w:szCs w:val="22"/>
          <w:lang w:eastAsia="en-US"/>
        </w:rPr>
        <w:t> </w:t>
      </w:r>
      <w:r w:rsidR="00614616" w:rsidRPr="00614616">
        <w:rPr>
          <w:szCs w:val="22"/>
          <w:lang w:eastAsia="en-US"/>
        </w:rPr>
        <w:t>%) ng·</w:t>
      </w:r>
      <w:r>
        <w:rPr>
          <w:szCs w:val="22"/>
          <w:lang w:eastAsia="en-US"/>
        </w:rPr>
        <w:t>val</w:t>
      </w:r>
      <w:r w:rsidR="00614616" w:rsidRPr="00614616">
        <w:rPr>
          <w:szCs w:val="22"/>
          <w:lang w:eastAsia="en-US"/>
        </w:rPr>
        <w:t>/ml, 6009 (42</w:t>
      </w:r>
      <w:r w:rsidR="00A1697F">
        <w:rPr>
          <w:szCs w:val="22"/>
          <w:lang w:eastAsia="en-US"/>
        </w:rPr>
        <w:t> </w:t>
      </w:r>
      <w:r w:rsidR="00614616" w:rsidRPr="00614616">
        <w:rPr>
          <w:szCs w:val="22"/>
          <w:lang w:eastAsia="en-US"/>
        </w:rPr>
        <w:t>%) ng·</w:t>
      </w:r>
      <w:r>
        <w:rPr>
          <w:szCs w:val="22"/>
          <w:lang w:eastAsia="en-US"/>
        </w:rPr>
        <w:t>val</w:t>
      </w:r>
      <w:r w:rsidR="00614616" w:rsidRPr="00614616">
        <w:rPr>
          <w:szCs w:val="22"/>
          <w:lang w:eastAsia="en-US"/>
        </w:rPr>
        <w:t>/ml ir 15985 (45</w:t>
      </w:r>
      <w:r w:rsidR="00A1697F">
        <w:rPr>
          <w:szCs w:val="22"/>
          <w:lang w:eastAsia="en-US"/>
        </w:rPr>
        <w:t> </w:t>
      </w:r>
      <w:r w:rsidR="00614616" w:rsidRPr="00614616">
        <w:rPr>
          <w:szCs w:val="22"/>
          <w:lang w:eastAsia="en-US"/>
        </w:rPr>
        <w:t>%) ng·</w:t>
      </w:r>
      <w:r>
        <w:rPr>
          <w:szCs w:val="22"/>
          <w:lang w:eastAsia="en-US"/>
        </w:rPr>
        <w:t>val</w:t>
      </w:r>
      <w:r w:rsidR="00614616" w:rsidRPr="00614616">
        <w:rPr>
          <w:szCs w:val="22"/>
          <w:lang w:eastAsia="en-US"/>
        </w:rPr>
        <w:t xml:space="preserve">/ml pacientams, </w:t>
      </w:r>
      <w:r>
        <w:rPr>
          <w:szCs w:val="22"/>
          <w:lang w:eastAsia="en-US"/>
        </w:rPr>
        <w:t>kuriems yra</w:t>
      </w:r>
      <w:r w:rsidR="00614616" w:rsidRPr="00614616">
        <w:rPr>
          <w:szCs w:val="22"/>
          <w:lang w:eastAsia="en-US"/>
        </w:rPr>
        <w:t>s atitinkamai lengvo, vidutinio laipsnio ar sunk</w:t>
      </w:r>
      <w:r>
        <w:rPr>
          <w:szCs w:val="22"/>
          <w:lang w:eastAsia="en-US"/>
        </w:rPr>
        <w:t>us</w:t>
      </w:r>
      <w:r w:rsidR="00614616" w:rsidRPr="00614616">
        <w:rPr>
          <w:szCs w:val="22"/>
          <w:lang w:eastAsia="en-US"/>
        </w:rPr>
        <w:t xml:space="preserve"> inkstų </w:t>
      </w:r>
      <w:r>
        <w:rPr>
          <w:szCs w:val="22"/>
          <w:lang w:eastAsia="en-US"/>
        </w:rPr>
        <w:t>funkcijos sutrikimas</w:t>
      </w:r>
      <w:r w:rsidR="00614616" w:rsidRPr="00614616">
        <w:rPr>
          <w:szCs w:val="22"/>
          <w:lang w:eastAsia="en-US"/>
        </w:rPr>
        <w:t xml:space="preserve">. Pagal dozavimo rekomendacijas pacientams, </w:t>
      </w:r>
      <w:r>
        <w:rPr>
          <w:szCs w:val="22"/>
          <w:lang w:eastAsia="en-US"/>
        </w:rPr>
        <w:t>kuriems yra inkstų funkcijos sutrikimas</w:t>
      </w:r>
      <w:r w:rsidR="00614616" w:rsidRPr="00614616">
        <w:rPr>
          <w:szCs w:val="22"/>
          <w:lang w:eastAsia="en-US"/>
        </w:rPr>
        <w:t>, vaist</w:t>
      </w:r>
      <w:r>
        <w:rPr>
          <w:szCs w:val="22"/>
          <w:lang w:eastAsia="en-US"/>
        </w:rPr>
        <w:t>inio preparato</w:t>
      </w:r>
      <w:r w:rsidR="00614616" w:rsidRPr="00614616">
        <w:rPr>
          <w:szCs w:val="22"/>
          <w:lang w:eastAsia="en-US"/>
        </w:rPr>
        <w:t xml:space="preserve"> skyrimas didesniais laiko intervalais gali sąlygoti didesnę maksimalią koncentraciją </w:t>
      </w:r>
      <w:r w:rsidR="00990604">
        <w:rPr>
          <w:szCs w:val="22"/>
          <w:lang w:eastAsia="en-US"/>
        </w:rPr>
        <w:t xml:space="preserve">kraujo </w:t>
      </w:r>
      <w:r w:rsidR="00614616" w:rsidRPr="00614616">
        <w:rPr>
          <w:szCs w:val="22"/>
          <w:lang w:eastAsia="en-US"/>
        </w:rPr>
        <w:t>plazmoje ir mažesnę C</w:t>
      </w:r>
      <w:r w:rsidR="00614616" w:rsidRPr="00795B2C">
        <w:rPr>
          <w:szCs w:val="22"/>
          <w:vertAlign w:val="subscript"/>
          <w:lang w:eastAsia="en-US"/>
        </w:rPr>
        <w:t>min</w:t>
      </w:r>
      <w:r w:rsidR="00614616" w:rsidRPr="00614616">
        <w:rPr>
          <w:szCs w:val="22"/>
          <w:lang w:eastAsia="en-US"/>
        </w:rPr>
        <w:t xml:space="preserve"> pacientams, </w:t>
      </w:r>
      <w:r w:rsidR="00795B2C">
        <w:rPr>
          <w:szCs w:val="22"/>
          <w:lang w:eastAsia="en-US"/>
        </w:rPr>
        <w:t>kuriems yra inkstų funkcijos sutrikimas</w:t>
      </w:r>
      <w:r w:rsidR="00614616" w:rsidRPr="00614616">
        <w:rPr>
          <w:szCs w:val="22"/>
          <w:lang w:eastAsia="en-US"/>
        </w:rPr>
        <w:t xml:space="preserve">, lyginant su pacientais, kurių inkstų funkcija yra normali. </w:t>
      </w:r>
      <w:r w:rsidR="00795B2C">
        <w:rPr>
          <w:szCs w:val="22"/>
          <w:lang w:eastAsia="en-US"/>
        </w:rPr>
        <w:t>Šio pokyčio klinikinė reikšmė nežinoma</w:t>
      </w:r>
      <w:r w:rsidR="00614616" w:rsidRPr="00614616">
        <w:rPr>
          <w:szCs w:val="22"/>
          <w:lang w:eastAsia="en-US"/>
        </w:rPr>
        <w:t>.</w:t>
      </w:r>
    </w:p>
    <w:p w14:paraId="1F986AE9" w14:textId="77777777" w:rsidR="00614616" w:rsidRDefault="00614616" w:rsidP="001D5CAC">
      <w:pPr>
        <w:tabs>
          <w:tab w:val="left" w:pos="567"/>
        </w:tabs>
        <w:rPr>
          <w:szCs w:val="22"/>
          <w:lang w:eastAsia="en-US"/>
        </w:rPr>
      </w:pPr>
    </w:p>
    <w:p w14:paraId="354A2059" w14:textId="3013D3AB" w:rsidR="00795B2C" w:rsidRPr="00795B2C" w:rsidRDefault="00795B2C" w:rsidP="00795B2C">
      <w:pPr>
        <w:tabs>
          <w:tab w:val="left" w:pos="567"/>
        </w:tabs>
        <w:rPr>
          <w:szCs w:val="22"/>
          <w:lang w:eastAsia="en-US"/>
        </w:rPr>
      </w:pPr>
      <w:r w:rsidRPr="00795B2C">
        <w:rPr>
          <w:szCs w:val="22"/>
          <w:lang w:eastAsia="en-US"/>
        </w:rPr>
        <w:t>Pacientams</w:t>
      </w:r>
      <w:r>
        <w:rPr>
          <w:szCs w:val="22"/>
          <w:lang w:eastAsia="en-US"/>
        </w:rPr>
        <w:t xml:space="preserve">, kurie </w:t>
      </w:r>
      <w:r w:rsidR="004C1038">
        <w:rPr>
          <w:szCs w:val="22"/>
          <w:lang w:eastAsia="en-US"/>
        </w:rPr>
        <w:t xml:space="preserve">serga </w:t>
      </w:r>
      <w:r w:rsidRPr="00795B2C">
        <w:rPr>
          <w:szCs w:val="22"/>
          <w:lang w:eastAsia="en-US"/>
        </w:rPr>
        <w:t>galutin</w:t>
      </w:r>
      <w:r>
        <w:rPr>
          <w:szCs w:val="22"/>
          <w:lang w:eastAsia="en-US"/>
        </w:rPr>
        <w:t>ės stadijos inkstų liga</w:t>
      </w:r>
      <w:r w:rsidRPr="00795B2C">
        <w:rPr>
          <w:szCs w:val="22"/>
          <w:lang w:eastAsia="en-US"/>
        </w:rPr>
        <w:t xml:space="preserve"> (G</w:t>
      </w:r>
      <w:r>
        <w:rPr>
          <w:szCs w:val="22"/>
          <w:lang w:eastAsia="en-US"/>
        </w:rPr>
        <w:t>SIL</w:t>
      </w:r>
      <w:r w:rsidRPr="00795B2C">
        <w:rPr>
          <w:szCs w:val="22"/>
          <w:lang w:eastAsia="en-US"/>
        </w:rPr>
        <w:t>) (CrCl &lt;</w:t>
      </w:r>
      <w:r w:rsidR="005F45F6">
        <w:rPr>
          <w:szCs w:val="22"/>
          <w:lang w:eastAsia="en-US"/>
        </w:rPr>
        <w:t> </w:t>
      </w:r>
      <w:r w:rsidRPr="00795B2C">
        <w:rPr>
          <w:szCs w:val="22"/>
          <w:lang w:eastAsia="en-US"/>
        </w:rPr>
        <w:t>10</w:t>
      </w:r>
      <w:r w:rsidR="005F45F6">
        <w:rPr>
          <w:szCs w:val="22"/>
          <w:lang w:eastAsia="en-US"/>
        </w:rPr>
        <w:t> </w:t>
      </w:r>
      <w:r w:rsidRPr="00795B2C">
        <w:rPr>
          <w:szCs w:val="22"/>
          <w:lang w:eastAsia="en-US"/>
        </w:rPr>
        <w:t>ml/min.)</w:t>
      </w:r>
      <w:r w:rsidR="004C1038">
        <w:rPr>
          <w:szCs w:val="22"/>
          <w:lang w:eastAsia="en-US"/>
        </w:rPr>
        <w:t xml:space="preserve"> ir kuriems reikalinga hemodializė,</w:t>
      </w:r>
      <w:r w:rsidRPr="00795B2C">
        <w:rPr>
          <w:szCs w:val="22"/>
          <w:lang w:eastAsia="en-US"/>
        </w:rPr>
        <w:t xml:space="preserve"> tarp dializių tenofoviro koncentracija labai padidėja </w:t>
      </w:r>
      <w:r>
        <w:rPr>
          <w:szCs w:val="22"/>
          <w:lang w:eastAsia="en-US"/>
        </w:rPr>
        <w:t>praėjus daugiau kaip</w:t>
      </w:r>
      <w:r w:rsidRPr="00795B2C">
        <w:rPr>
          <w:szCs w:val="22"/>
          <w:lang w:eastAsia="en-US"/>
        </w:rPr>
        <w:t xml:space="preserve"> 48 valand</w:t>
      </w:r>
      <w:r>
        <w:rPr>
          <w:szCs w:val="22"/>
          <w:lang w:eastAsia="en-US"/>
        </w:rPr>
        <w:t>oms</w:t>
      </w:r>
      <w:r w:rsidRPr="00795B2C">
        <w:rPr>
          <w:szCs w:val="22"/>
          <w:lang w:eastAsia="en-US"/>
        </w:rPr>
        <w:t xml:space="preserve"> – vidutinis C</w:t>
      </w:r>
      <w:r w:rsidRPr="00795B2C">
        <w:rPr>
          <w:szCs w:val="22"/>
          <w:vertAlign w:val="subscript"/>
          <w:lang w:eastAsia="en-US"/>
        </w:rPr>
        <w:t>max</w:t>
      </w:r>
      <w:r w:rsidRPr="00795B2C">
        <w:rPr>
          <w:szCs w:val="22"/>
          <w:lang w:eastAsia="en-US"/>
        </w:rPr>
        <w:t xml:space="preserve"> būna 1032</w:t>
      </w:r>
      <w:r w:rsidR="005F45F6">
        <w:rPr>
          <w:szCs w:val="22"/>
          <w:lang w:eastAsia="en-US"/>
        </w:rPr>
        <w:t> </w:t>
      </w:r>
      <w:r w:rsidRPr="00795B2C">
        <w:rPr>
          <w:szCs w:val="22"/>
          <w:lang w:eastAsia="en-US"/>
        </w:rPr>
        <w:t>ng/ml, vidutinis AUC</w:t>
      </w:r>
      <w:r w:rsidRPr="00795B2C">
        <w:rPr>
          <w:szCs w:val="22"/>
          <w:vertAlign w:val="subscript"/>
          <w:lang w:eastAsia="en-US"/>
        </w:rPr>
        <w:t>0-48</w:t>
      </w:r>
      <w:r>
        <w:rPr>
          <w:szCs w:val="22"/>
          <w:vertAlign w:val="subscript"/>
          <w:lang w:eastAsia="en-US"/>
        </w:rPr>
        <w:t>val</w:t>
      </w:r>
      <w:r w:rsidRPr="00795B2C">
        <w:rPr>
          <w:szCs w:val="22"/>
          <w:lang w:eastAsia="en-US"/>
        </w:rPr>
        <w:t xml:space="preserve"> – 42857</w:t>
      </w:r>
      <w:r w:rsidR="005F45F6">
        <w:rPr>
          <w:szCs w:val="22"/>
          <w:lang w:eastAsia="en-US"/>
        </w:rPr>
        <w:t> </w:t>
      </w:r>
      <w:r w:rsidRPr="00795B2C">
        <w:rPr>
          <w:szCs w:val="22"/>
          <w:lang w:eastAsia="en-US"/>
        </w:rPr>
        <w:t>ng·</w:t>
      </w:r>
      <w:r>
        <w:rPr>
          <w:szCs w:val="22"/>
          <w:lang w:eastAsia="en-US"/>
        </w:rPr>
        <w:t>val</w:t>
      </w:r>
      <w:r w:rsidRPr="00795B2C">
        <w:rPr>
          <w:szCs w:val="22"/>
          <w:lang w:eastAsia="en-US"/>
        </w:rPr>
        <w:t>/ml.</w:t>
      </w:r>
    </w:p>
    <w:p w14:paraId="77C7B68B" w14:textId="77777777" w:rsidR="00795B2C" w:rsidRDefault="00795B2C" w:rsidP="00795B2C">
      <w:pPr>
        <w:tabs>
          <w:tab w:val="left" w:pos="567"/>
        </w:tabs>
        <w:rPr>
          <w:szCs w:val="22"/>
          <w:lang w:eastAsia="en-US"/>
        </w:rPr>
      </w:pPr>
    </w:p>
    <w:p w14:paraId="43B2E5E3" w14:textId="621DDFE3" w:rsidR="00795B2C" w:rsidRPr="00795B2C" w:rsidRDefault="00795B2C" w:rsidP="00795B2C">
      <w:pPr>
        <w:tabs>
          <w:tab w:val="left" w:pos="567"/>
        </w:tabs>
        <w:rPr>
          <w:szCs w:val="22"/>
          <w:lang w:eastAsia="en-US"/>
        </w:rPr>
      </w:pPr>
      <w:r w:rsidRPr="00795B2C">
        <w:rPr>
          <w:szCs w:val="22"/>
          <w:lang w:eastAsia="en-US"/>
        </w:rPr>
        <w:t>245</w:t>
      </w:r>
      <w:r w:rsidR="005F45F6">
        <w:rPr>
          <w:szCs w:val="22"/>
          <w:lang w:eastAsia="en-US"/>
        </w:rPr>
        <w:t> </w:t>
      </w:r>
      <w:r w:rsidRPr="00795B2C">
        <w:rPr>
          <w:szCs w:val="22"/>
          <w:lang w:eastAsia="en-US"/>
        </w:rPr>
        <w:t>mg tenofoviro dizoproksilio dozės skyrimo laiko intervalą rekomenduojama koreguoti suaugusiems pacientams, kurių kreatinino klirensas &lt;</w:t>
      </w:r>
      <w:r w:rsidR="005F45F6">
        <w:rPr>
          <w:szCs w:val="22"/>
          <w:lang w:eastAsia="en-US"/>
        </w:rPr>
        <w:t> </w:t>
      </w:r>
      <w:r w:rsidRPr="00795B2C">
        <w:rPr>
          <w:szCs w:val="22"/>
          <w:lang w:eastAsia="en-US"/>
        </w:rPr>
        <w:t>50</w:t>
      </w:r>
      <w:r w:rsidR="005F45F6">
        <w:rPr>
          <w:szCs w:val="22"/>
          <w:lang w:eastAsia="en-US"/>
        </w:rPr>
        <w:t> </w:t>
      </w:r>
      <w:r w:rsidRPr="00795B2C">
        <w:rPr>
          <w:szCs w:val="22"/>
          <w:lang w:eastAsia="en-US"/>
        </w:rPr>
        <w:t xml:space="preserve">ml/min., ir pacientams, </w:t>
      </w:r>
      <w:r w:rsidR="004C1038">
        <w:rPr>
          <w:szCs w:val="22"/>
          <w:lang w:eastAsia="en-US"/>
        </w:rPr>
        <w:t xml:space="preserve">sergantiems GSIL, </w:t>
      </w:r>
      <w:r>
        <w:rPr>
          <w:szCs w:val="22"/>
          <w:lang w:eastAsia="en-US"/>
        </w:rPr>
        <w:t xml:space="preserve">kuriems yra </w:t>
      </w:r>
      <w:r w:rsidR="004C1038">
        <w:rPr>
          <w:szCs w:val="22"/>
          <w:lang w:eastAsia="en-US"/>
        </w:rPr>
        <w:t xml:space="preserve">reikalinga </w:t>
      </w:r>
      <w:r>
        <w:rPr>
          <w:szCs w:val="22"/>
          <w:lang w:eastAsia="en-US"/>
        </w:rPr>
        <w:t xml:space="preserve">dializė </w:t>
      </w:r>
      <w:r w:rsidRPr="00795B2C">
        <w:rPr>
          <w:szCs w:val="22"/>
          <w:lang w:eastAsia="en-US"/>
        </w:rPr>
        <w:t>(žr. 4.2 skyrių).</w:t>
      </w:r>
    </w:p>
    <w:p w14:paraId="412A04D0" w14:textId="77777777" w:rsidR="00795B2C" w:rsidRDefault="00795B2C" w:rsidP="00795B2C">
      <w:pPr>
        <w:tabs>
          <w:tab w:val="left" w:pos="567"/>
        </w:tabs>
        <w:rPr>
          <w:szCs w:val="22"/>
          <w:lang w:eastAsia="en-US"/>
        </w:rPr>
      </w:pPr>
    </w:p>
    <w:p w14:paraId="0407871E" w14:textId="77777777" w:rsidR="00795B2C" w:rsidRPr="00795B2C" w:rsidRDefault="00795B2C" w:rsidP="00795B2C">
      <w:pPr>
        <w:tabs>
          <w:tab w:val="left" w:pos="567"/>
        </w:tabs>
        <w:rPr>
          <w:szCs w:val="22"/>
          <w:lang w:eastAsia="en-US"/>
        </w:rPr>
      </w:pPr>
      <w:r w:rsidRPr="00795B2C">
        <w:rPr>
          <w:szCs w:val="22"/>
          <w:lang w:eastAsia="en-US"/>
        </w:rPr>
        <w:t>Tenofoviro farmakokinetika nehemodializuojamiems pacientams, kurių kreatinino klirensas &lt;</w:t>
      </w:r>
      <w:r w:rsidR="005F45F6">
        <w:rPr>
          <w:szCs w:val="22"/>
          <w:lang w:eastAsia="en-US"/>
        </w:rPr>
        <w:t> </w:t>
      </w:r>
      <w:r w:rsidRPr="00795B2C">
        <w:rPr>
          <w:szCs w:val="22"/>
          <w:lang w:eastAsia="en-US"/>
        </w:rPr>
        <w:t>10</w:t>
      </w:r>
      <w:r w:rsidR="005F45F6">
        <w:rPr>
          <w:szCs w:val="22"/>
          <w:lang w:eastAsia="en-US"/>
        </w:rPr>
        <w:t> </w:t>
      </w:r>
      <w:r w:rsidRPr="00795B2C">
        <w:rPr>
          <w:szCs w:val="22"/>
          <w:lang w:eastAsia="en-US"/>
        </w:rPr>
        <w:t>ml/min., ir G</w:t>
      </w:r>
      <w:r>
        <w:rPr>
          <w:szCs w:val="22"/>
          <w:lang w:eastAsia="en-US"/>
        </w:rPr>
        <w:t>SIL</w:t>
      </w:r>
      <w:r w:rsidRPr="00795B2C">
        <w:rPr>
          <w:szCs w:val="22"/>
          <w:lang w:eastAsia="en-US"/>
        </w:rPr>
        <w:t xml:space="preserve"> sergantiems pacientams, gydomiems peritonine ar kitos formos dialize, </w:t>
      </w:r>
      <w:r>
        <w:rPr>
          <w:szCs w:val="22"/>
          <w:lang w:eastAsia="en-US"/>
        </w:rPr>
        <w:t>neištirta</w:t>
      </w:r>
      <w:r w:rsidRPr="00795B2C">
        <w:rPr>
          <w:szCs w:val="22"/>
          <w:lang w:eastAsia="en-US"/>
        </w:rPr>
        <w:t>.</w:t>
      </w:r>
    </w:p>
    <w:p w14:paraId="2FD73E6D" w14:textId="77777777" w:rsidR="00795B2C" w:rsidRDefault="00795B2C" w:rsidP="00795B2C">
      <w:pPr>
        <w:tabs>
          <w:tab w:val="left" w:pos="567"/>
        </w:tabs>
        <w:rPr>
          <w:szCs w:val="22"/>
          <w:lang w:eastAsia="en-US"/>
        </w:rPr>
      </w:pPr>
    </w:p>
    <w:p w14:paraId="6F829BBC" w14:textId="77777777" w:rsidR="00795B2C" w:rsidRPr="00795B2C" w:rsidRDefault="00795B2C" w:rsidP="00795B2C">
      <w:pPr>
        <w:tabs>
          <w:tab w:val="left" w:pos="567"/>
        </w:tabs>
        <w:rPr>
          <w:szCs w:val="22"/>
          <w:lang w:eastAsia="en-US"/>
        </w:rPr>
      </w:pPr>
      <w:r w:rsidRPr="00795B2C">
        <w:rPr>
          <w:szCs w:val="22"/>
          <w:lang w:eastAsia="en-US"/>
        </w:rPr>
        <w:t xml:space="preserve">Tenofoviro farmakokinetika vaikams ir paaugliams, </w:t>
      </w:r>
      <w:r>
        <w:rPr>
          <w:szCs w:val="22"/>
          <w:lang w:eastAsia="en-US"/>
        </w:rPr>
        <w:t>kuriems yra inkstų funkcijos sutrikimas</w:t>
      </w:r>
      <w:r w:rsidRPr="00795B2C">
        <w:rPr>
          <w:szCs w:val="22"/>
          <w:lang w:eastAsia="en-US"/>
        </w:rPr>
        <w:t>, neištirta. Duomenų nėra, todėl dozavimo rekomendacijų pateikti negalima (žr. 4.2 ir 4.4 skyrius).</w:t>
      </w:r>
    </w:p>
    <w:p w14:paraId="009D67B9" w14:textId="77777777" w:rsidR="00795B2C" w:rsidRDefault="00795B2C" w:rsidP="00795B2C">
      <w:pPr>
        <w:tabs>
          <w:tab w:val="left" w:pos="567"/>
        </w:tabs>
        <w:rPr>
          <w:szCs w:val="22"/>
          <w:lang w:eastAsia="en-US"/>
        </w:rPr>
      </w:pPr>
    </w:p>
    <w:p w14:paraId="31A0D164" w14:textId="77777777" w:rsidR="00795B2C" w:rsidRPr="00795B2C" w:rsidRDefault="00795B2C" w:rsidP="00795B2C">
      <w:pPr>
        <w:tabs>
          <w:tab w:val="left" w:pos="567"/>
        </w:tabs>
        <w:rPr>
          <w:szCs w:val="22"/>
          <w:u w:val="single"/>
          <w:lang w:eastAsia="en-US"/>
        </w:rPr>
      </w:pPr>
      <w:r w:rsidRPr="00795B2C">
        <w:rPr>
          <w:szCs w:val="22"/>
          <w:u w:val="single"/>
          <w:lang w:eastAsia="en-US"/>
        </w:rPr>
        <w:t>Sutrikusi kepenų funkcija</w:t>
      </w:r>
    </w:p>
    <w:p w14:paraId="018DB11D" w14:textId="2F22FA68" w:rsidR="00795B2C" w:rsidRPr="00795B2C" w:rsidRDefault="00795B2C" w:rsidP="00795B2C">
      <w:pPr>
        <w:tabs>
          <w:tab w:val="left" w:pos="567"/>
        </w:tabs>
        <w:rPr>
          <w:szCs w:val="22"/>
          <w:lang w:eastAsia="en-US"/>
        </w:rPr>
      </w:pPr>
      <w:r w:rsidRPr="00795B2C">
        <w:rPr>
          <w:szCs w:val="22"/>
          <w:lang w:eastAsia="en-US"/>
        </w:rPr>
        <w:t>Vienkartinė 245</w:t>
      </w:r>
      <w:r w:rsidR="005F45F6">
        <w:rPr>
          <w:szCs w:val="22"/>
          <w:lang w:eastAsia="en-US"/>
        </w:rPr>
        <w:t> </w:t>
      </w:r>
      <w:r w:rsidRPr="00795B2C">
        <w:rPr>
          <w:szCs w:val="22"/>
          <w:lang w:eastAsia="en-US"/>
        </w:rPr>
        <w:t xml:space="preserve">mg tenofoviro dizoproksilio dozė buvo skirta ŽIV ir HBV neinfekuotiems suaugusiems pacientams su skirtingo laipsnio kepenų funkcijos sutrikimu, nustatytu pagal </w:t>
      </w:r>
      <w:r w:rsidRPr="00CA49A8">
        <w:rPr>
          <w:i/>
          <w:szCs w:val="22"/>
          <w:lang w:eastAsia="en-US"/>
        </w:rPr>
        <w:t>Child-Pugh-Turcotte</w:t>
      </w:r>
      <w:r w:rsidRPr="00795B2C">
        <w:rPr>
          <w:szCs w:val="22"/>
          <w:lang w:eastAsia="en-US"/>
        </w:rPr>
        <w:t xml:space="preserve"> (CPT) klasifikaciją. Pacientams, kurių kepenų funkcija sutrikusi, tenofoviro farmakokinetika nebuvo reikšmingai pakitusi, taigi, dozės tokiems pacientams koreguoti nereikia. Sveikiems asmenims vidutinė (% CV) tenofoviro C</w:t>
      </w:r>
      <w:r w:rsidRPr="0042366C">
        <w:rPr>
          <w:szCs w:val="22"/>
          <w:vertAlign w:val="subscript"/>
          <w:lang w:eastAsia="en-US"/>
        </w:rPr>
        <w:t>max</w:t>
      </w:r>
      <w:r w:rsidRPr="00795B2C">
        <w:rPr>
          <w:szCs w:val="22"/>
          <w:lang w:eastAsia="en-US"/>
        </w:rPr>
        <w:t xml:space="preserve"> buvo 223 (34,8</w:t>
      </w:r>
      <w:r w:rsidR="005F45F6">
        <w:rPr>
          <w:szCs w:val="22"/>
          <w:lang w:eastAsia="en-US"/>
        </w:rPr>
        <w:t> </w:t>
      </w:r>
      <w:r w:rsidRPr="00795B2C">
        <w:rPr>
          <w:szCs w:val="22"/>
          <w:lang w:eastAsia="en-US"/>
        </w:rPr>
        <w:t>%) ng/ml, AUC</w:t>
      </w:r>
      <w:r w:rsidRPr="0042366C">
        <w:rPr>
          <w:szCs w:val="22"/>
          <w:vertAlign w:val="subscript"/>
          <w:lang w:eastAsia="en-US"/>
        </w:rPr>
        <w:t>0-∞</w:t>
      </w:r>
      <w:r w:rsidRPr="00795B2C">
        <w:rPr>
          <w:szCs w:val="22"/>
          <w:lang w:eastAsia="en-US"/>
        </w:rPr>
        <w:t xml:space="preserve"> – 2050 (50,8</w:t>
      </w:r>
      <w:r w:rsidR="005F45F6">
        <w:rPr>
          <w:szCs w:val="22"/>
          <w:lang w:eastAsia="en-US"/>
        </w:rPr>
        <w:t> </w:t>
      </w:r>
      <w:r w:rsidRPr="00795B2C">
        <w:rPr>
          <w:szCs w:val="22"/>
          <w:lang w:eastAsia="en-US"/>
        </w:rPr>
        <w:t>%) ng·</w:t>
      </w:r>
      <w:r w:rsidR="0042366C">
        <w:rPr>
          <w:szCs w:val="22"/>
          <w:lang w:eastAsia="en-US"/>
        </w:rPr>
        <w:t>val</w:t>
      </w:r>
      <w:r w:rsidRPr="00795B2C">
        <w:rPr>
          <w:szCs w:val="22"/>
          <w:lang w:eastAsia="en-US"/>
        </w:rPr>
        <w:t>/ml, pacientams, kurių kepenų funkcija buvo vidutiniškai sutrikusi, C</w:t>
      </w:r>
      <w:r w:rsidRPr="0042366C">
        <w:rPr>
          <w:szCs w:val="22"/>
          <w:vertAlign w:val="subscript"/>
          <w:lang w:eastAsia="en-US"/>
        </w:rPr>
        <w:t>max</w:t>
      </w:r>
      <w:r w:rsidRPr="00795B2C">
        <w:rPr>
          <w:szCs w:val="22"/>
          <w:lang w:eastAsia="en-US"/>
        </w:rPr>
        <w:t xml:space="preserve"> buvo 289 (46,0</w:t>
      </w:r>
      <w:r w:rsidR="005F45F6">
        <w:rPr>
          <w:szCs w:val="22"/>
          <w:lang w:eastAsia="en-US"/>
        </w:rPr>
        <w:t> </w:t>
      </w:r>
      <w:r w:rsidRPr="00795B2C">
        <w:rPr>
          <w:szCs w:val="22"/>
          <w:lang w:eastAsia="en-US"/>
        </w:rPr>
        <w:t>%) ng/ml, AUC</w:t>
      </w:r>
      <w:r w:rsidRPr="0042366C">
        <w:rPr>
          <w:szCs w:val="22"/>
          <w:vertAlign w:val="subscript"/>
          <w:lang w:eastAsia="en-US"/>
        </w:rPr>
        <w:t>0-∞</w:t>
      </w:r>
      <w:r w:rsidRPr="00795B2C">
        <w:rPr>
          <w:szCs w:val="22"/>
          <w:lang w:eastAsia="en-US"/>
        </w:rPr>
        <w:t xml:space="preserve"> – 2310 (43,5</w:t>
      </w:r>
      <w:r w:rsidR="005F45F6">
        <w:rPr>
          <w:szCs w:val="22"/>
          <w:lang w:eastAsia="en-US"/>
        </w:rPr>
        <w:t> </w:t>
      </w:r>
      <w:r w:rsidRPr="00795B2C">
        <w:rPr>
          <w:szCs w:val="22"/>
          <w:lang w:eastAsia="en-US"/>
        </w:rPr>
        <w:t>%) ng·</w:t>
      </w:r>
      <w:r w:rsidR="0042366C">
        <w:rPr>
          <w:szCs w:val="22"/>
          <w:lang w:eastAsia="en-US"/>
        </w:rPr>
        <w:t>val</w:t>
      </w:r>
      <w:r w:rsidRPr="00795B2C">
        <w:rPr>
          <w:szCs w:val="22"/>
          <w:lang w:eastAsia="en-US"/>
        </w:rPr>
        <w:t>/ml, o pacientams</w:t>
      </w:r>
      <w:r w:rsidR="0042366C">
        <w:rPr>
          <w:szCs w:val="22"/>
          <w:lang w:eastAsia="en-US"/>
        </w:rPr>
        <w:t>, kuriems yra sunkus</w:t>
      </w:r>
      <w:r w:rsidRPr="00795B2C">
        <w:rPr>
          <w:szCs w:val="22"/>
          <w:lang w:eastAsia="en-US"/>
        </w:rPr>
        <w:t xml:space="preserve"> kepenų funkcijos sutrikim</w:t>
      </w:r>
      <w:r w:rsidR="0042366C">
        <w:rPr>
          <w:szCs w:val="22"/>
          <w:lang w:eastAsia="en-US"/>
        </w:rPr>
        <w:t>as,</w:t>
      </w:r>
      <w:r w:rsidRPr="00795B2C">
        <w:rPr>
          <w:szCs w:val="22"/>
          <w:lang w:eastAsia="en-US"/>
        </w:rPr>
        <w:t xml:space="preserve"> C</w:t>
      </w:r>
      <w:r w:rsidRPr="0042366C">
        <w:rPr>
          <w:szCs w:val="22"/>
          <w:vertAlign w:val="subscript"/>
          <w:lang w:eastAsia="en-US"/>
        </w:rPr>
        <w:t>max</w:t>
      </w:r>
      <w:r w:rsidRPr="00795B2C">
        <w:rPr>
          <w:szCs w:val="22"/>
          <w:lang w:eastAsia="en-US"/>
        </w:rPr>
        <w:t xml:space="preserve"> buvo 305 (24,8</w:t>
      </w:r>
      <w:r w:rsidR="005F45F6">
        <w:rPr>
          <w:szCs w:val="22"/>
          <w:lang w:eastAsia="en-US"/>
        </w:rPr>
        <w:t> </w:t>
      </w:r>
      <w:r w:rsidRPr="00795B2C">
        <w:rPr>
          <w:szCs w:val="22"/>
          <w:lang w:eastAsia="en-US"/>
        </w:rPr>
        <w:t>%) ng/ml, AUC</w:t>
      </w:r>
      <w:r w:rsidRPr="0042366C">
        <w:rPr>
          <w:szCs w:val="22"/>
          <w:vertAlign w:val="subscript"/>
          <w:lang w:eastAsia="en-US"/>
        </w:rPr>
        <w:t>0-∞</w:t>
      </w:r>
      <w:r w:rsidRPr="00795B2C">
        <w:rPr>
          <w:szCs w:val="22"/>
          <w:lang w:eastAsia="en-US"/>
        </w:rPr>
        <w:t xml:space="preserve"> – 2740 (44,0</w:t>
      </w:r>
      <w:r w:rsidR="005F45F6">
        <w:rPr>
          <w:szCs w:val="22"/>
          <w:lang w:eastAsia="en-US"/>
        </w:rPr>
        <w:t> </w:t>
      </w:r>
      <w:r w:rsidRPr="00795B2C">
        <w:rPr>
          <w:szCs w:val="22"/>
          <w:lang w:eastAsia="en-US"/>
        </w:rPr>
        <w:t>%) ng·</w:t>
      </w:r>
      <w:r w:rsidR="0042366C">
        <w:rPr>
          <w:szCs w:val="22"/>
          <w:lang w:eastAsia="en-US"/>
        </w:rPr>
        <w:t>val</w:t>
      </w:r>
      <w:r w:rsidRPr="00795B2C">
        <w:rPr>
          <w:szCs w:val="22"/>
          <w:lang w:eastAsia="en-US"/>
        </w:rPr>
        <w:t>/ml.</w:t>
      </w:r>
    </w:p>
    <w:p w14:paraId="33D064F7" w14:textId="77777777" w:rsidR="0042366C" w:rsidRDefault="0042366C" w:rsidP="00795B2C">
      <w:pPr>
        <w:tabs>
          <w:tab w:val="left" w:pos="567"/>
        </w:tabs>
        <w:rPr>
          <w:szCs w:val="22"/>
          <w:lang w:eastAsia="en-US"/>
        </w:rPr>
      </w:pPr>
    </w:p>
    <w:p w14:paraId="5CBE1522" w14:textId="77777777" w:rsidR="00795B2C" w:rsidRPr="0042366C" w:rsidRDefault="00795B2C" w:rsidP="00795B2C">
      <w:pPr>
        <w:tabs>
          <w:tab w:val="left" w:pos="567"/>
        </w:tabs>
        <w:rPr>
          <w:szCs w:val="22"/>
          <w:u w:val="single"/>
          <w:lang w:eastAsia="en-US"/>
        </w:rPr>
      </w:pPr>
      <w:r w:rsidRPr="0042366C">
        <w:rPr>
          <w:szCs w:val="22"/>
          <w:u w:val="single"/>
          <w:lang w:eastAsia="en-US"/>
        </w:rPr>
        <w:t>Viduląstelinė farmakokinetika</w:t>
      </w:r>
    </w:p>
    <w:p w14:paraId="033DAC4C" w14:textId="77777777" w:rsidR="00614616" w:rsidRDefault="00795B2C" w:rsidP="00795B2C">
      <w:pPr>
        <w:tabs>
          <w:tab w:val="left" w:pos="567"/>
        </w:tabs>
        <w:rPr>
          <w:szCs w:val="22"/>
          <w:lang w:eastAsia="en-US"/>
        </w:rPr>
      </w:pPr>
      <w:r w:rsidRPr="00795B2C">
        <w:rPr>
          <w:szCs w:val="22"/>
          <w:lang w:eastAsia="en-US"/>
        </w:rPr>
        <w:t>Neproliferuojančiose žmogaus periferinio kraujo vienbranduolėse ląstelėse (PKVL) tenofoviro difosfato pusinės eliminacijos periodas trunka maždaug 50 valandų, o fitohemagliutininu stimuliuotose analogiškose ląstelėse – maždaug 10 valandų.</w:t>
      </w:r>
    </w:p>
    <w:p w14:paraId="70078525" w14:textId="77777777" w:rsidR="006F4AFE" w:rsidRDefault="006F4AFE" w:rsidP="006F4AFE">
      <w:pPr>
        <w:pStyle w:val="Default"/>
        <w:rPr>
          <w:sz w:val="22"/>
          <w:szCs w:val="22"/>
        </w:rPr>
      </w:pPr>
    </w:p>
    <w:p w14:paraId="6B8BDCB8" w14:textId="77777777" w:rsidR="006F4AFE" w:rsidRDefault="006F4AFE" w:rsidP="006F4AFE">
      <w:pPr>
        <w:pStyle w:val="Default"/>
        <w:ind w:left="567" w:hanging="567"/>
        <w:rPr>
          <w:sz w:val="22"/>
          <w:szCs w:val="22"/>
        </w:rPr>
      </w:pPr>
      <w:r>
        <w:rPr>
          <w:b/>
          <w:bCs/>
          <w:sz w:val="22"/>
          <w:szCs w:val="22"/>
        </w:rPr>
        <w:t>5.</w:t>
      </w:r>
      <w:r w:rsidR="00225F7C">
        <w:rPr>
          <w:b/>
          <w:bCs/>
          <w:sz w:val="22"/>
          <w:szCs w:val="22"/>
        </w:rPr>
        <w:t>3</w:t>
      </w:r>
      <w:r>
        <w:rPr>
          <w:b/>
          <w:bCs/>
          <w:sz w:val="22"/>
          <w:szCs w:val="22"/>
        </w:rPr>
        <w:tab/>
        <w:t xml:space="preserve">Ikiklinikinių saugumo tyrimų duomenys </w:t>
      </w:r>
    </w:p>
    <w:p w14:paraId="6F9F6E8F" w14:textId="77777777" w:rsidR="006F4AFE" w:rsidRDefault="006F4AFE" w:rsidP="006F4AFE">
      <w:pPr>
        <w:pStyle w:val="Default"/>
        <w:rPr>
          <w:sz w:val="22"/>
          <w:szCs w:val="22"/>
        </w:rPr>
      </w:pPr>
    </w:p>
    <w:p w14:paraId="52615D8F" w14:textId="77777777" w:rsidR="0042366C" w:rsidRPr="0042366C" w:rsidRDefault="006F4AFE" w:rsidP="0042366C">
      <w:pPr>
        <w:pStyle w:val="Default"/>
        <w:rPr>
          <w:sz w:val="22"/>
          <w:szCs w:val="22"/>
        </w:rPr>
      </w:pPr>
      <w:r>
        <w:rPr>
          <w:sz w:val="22"/>
          <w:szCs w:val="22"/>
        </w:rPr>
        <w:t>Įprastų farmakologinio saugumo, kartotinių dozių toksiškumo, genotoksiškumo ir galimo kancegoriškumo ikiklinikinių tyrimų duomenys specifinio pavojaus žmogui nerodo.</w:t>
      </w:r>
      <w:r w:rsidR="0042366C" w:rsidRPr="0042366C">
        <w:rPr>
          <w:sz w:val="22"/>
          <w:szCs w:val="22"/>
        </w:rPr>
        <w:t xml:space="preserve"> Su žiurkėmis, šunimis ir beždžionėmis atliktų kartotinių dozių toksiškumo tyrimų metu, esant dides</w:t>
      </w:r>
      <w:r w:rsidR="0042366C">
        <w:rPr>
          <w:sz w:val="22"/>
          <w:szCs w:val="22"/>
        </w:rPr>
        <w:t>nei</w:t>
      </w:r>
      <w:r w:rsidR="0042366C" w:rsidRPr="0042366C">
        <w:rPr>
          <w:sz w:val="22"/>
          <w:szCs w:val="22"/>
        </w:rPr>
        <w:t xml:space="preserve"> arba tokiai pačiai</w:t>
      </w:r>
      <w:r w:rsidR="0042366C">
        <w:rPr>
          <w:sz w:val="22"/>
          <w:szCs w:val="22"/>
        </w:rPr>
        <w:t>,</w:t>
      </w:r>
      <w:r w:rsidR="0042366C" w:rsidRPr="0042366C">
        <w:rPr>
          <w:sz w:val="22"/>
          <w:szCs w:val="22"/>
        </w:rPr>
        <w:t xml:space="preserve"> kaip klinikinė</w:t>
      </w:r>
      <w:r w:rsidR="0042366C">
        <w:rPr>
          <w:sz w:val="22"/>
          <w:szCs w:val="22"/>
        </w:rPr>
        <w:t>,</w:t>
      </w:r>
      <w:r w:rsidR="0042366C" w:rsidRPr="0042366C">
        <w:rPr>
          <w:sz w:val="22"/>
          <w:szCs w:val="22"/>
        </w:rPr>
        <w:t xml:space="preserve"> ekspozicija</w:t>
      </w:r>
      <w:r w:rsidR="0042366C">
        <w:rPr>
          <w:sz w:val="22"/>
          <w:szCs w:val="22"/>
        </w:rPr>
        <w:t>i</w:t>
      </w:r>
      <w:r w:rsidR="0042366C" w:rsidRPr="0042366C">
        <w:rPr>
          <w:sz w:val="22"/>
          <w:szCs w:val="22"/>
        </w:rPr>
        <w:t xml:space="preserve">, nustatytas toksinis poveikis inkstams ir kaulams bei fosfatų kiekio </w:t>
      </w:r>
      <w:r w:rsidR="007D0E47">
        <w:rPr>
          <w:sz w:val="22"/>
          <w:szCs w:val="22"/>
        </w:rPr>
        <w:t xml:space="preserve">kraujo </w:t>
      </w:r>
      <w:r w:rsidR="0042366C" w:rsidRPr="0042366C">
        <w:rPr>
          <w:sz w:val="22"/>
          <w:szCs w:val="22"/>
        </w:rPr>
        <w:t>serume sumažėjimas. Toksinis poveikis kaulams pasireiškia osteomaliacija (beždžionėms) ir sumažėjusiu kaulų mineraliniu tankiu (KMT) (žiurkėms ir šunims). Toksinis poveikis kaulams jaunoms suaugusioms žiurkėms ir šunims pasireiškė esant ekspozicijai, ≥</w:t>
      </w:r>
      <w:r w:rsidR="00101E0B">
        <w:rPr>
          <w:sz w:val="22"/>
          <w:szCs w:val="22"/>
        </w:rPr>
        <w:t> </w:t>
      </w:r>
      <w:r w:rsidR="0042366C" w:rsidRPr="0042366C">
        <w:rPr>
          <w:sz w:val="22"/>
          <w:szCs w:val="22"/>
        </w:rPr>
        <w:t>5 kartus viršijančiai vaikų ir paauglių ar suaugusių pacientų ekspoziciją; toksinis poveikis kaulams pasireiškė infekuotiems beždžionių jaunikliams, esant labai didelei ekspozicijai po preparato skyrimo po oda (≥</w:t>
      </w:r>
      <w:r w:rsidR="00101E0B">
        <w:rPr>
          <w:sz w:val="22"/>
          <w:szCs w:val="22"/>
        </w:rPr>
        <w:t> </w:t>
      </w:r>
      <w:r w:rsidR="0042366C" w:rsidRPr="0042366C">
        <w:rPr>
          <w:sz w:val="22"/>
          <w:szCs w:val="22"/>
        </w:rPr>
        <w:t>40</w:t>
      </w:r>
      <w:r w:rsidR="00101E0B">
        <w:rPr>
          <w:sz w:val="22"/>
          <w:szCs w:val="22"/>
        </w:rPr>
        <w:t> </w:t>
      </w:r>
      <w:r w:rsidR="0042366C" w:rsidRPr="0042366C">
        <w:rPr>
          <w:sz w:val="22"/>
          <w:szCs w:val="22"/>
        </w:rPr>
        <w:t>kartų viršijančiai ekspoziciją pacientams). Pokyčiai, nustatyti tyrimuose su žiurkėmis ir beždžionėmis, rodo su veikliąja medžiaga susijusį fosfatų absorbcijos sumažėjimą žarnyne kartu su galimu antriniu KMT sumažėjimu.</w:t>
      </w:r>
    </w:p>
    <w:p w14:paraId="7C4F094B" w14:textId="77777777" w:rsidR="0042366C" w:rsidRDefault="0042366C" w:rsidP="0042366C">
      <w:pPr>
        <w:pStyle w:val="Default"/>
        <w:rPr>
          <w:sz w:val="22"/>
          <w:szCs w:val="22"/>
        </w:rPr>
      </w:pPr>
    </w:p>
    <w:p w14:paraId="7F2473FC" w14:textId="77777777" w:rsidR="0042366C" w:rsidRPr="0042366C" w:rsidRDefault="0042366C" w:rsidP="0042366C">
      <w:pPr>
        <w:pStyle w:val="Default"/>
        <w:rPr>
          <w:sz w:val="22"/>
          <w:szCs w:val="22"/>
        </w:rPr>
      </w:pPr>
      <w:r w:rsidRPr="0042366C">
        <w:rPr>
          <w:sz w:val="22"/>
          <w:szCs w:val="22"/>
        </w:rPr>
        <w:t xml:space="preserve">Genotoksiškumo tyrimais nustatytas poveikis atliekant pelių limfomos tyrimą </w:t>
      </w:r>
      <w:r w:rsidRPr="0042366C">
        <w:rPr>
          <w:i/>
          <w:sz w:val="22"/>
          <w:szCs w:val="22"/>
        </w:rPr>
        <w:t>in vitro</w:t>
      </w:r>
      <w:r w:rsidRPr="0042366C">
        <w:rPr>
          <w:sz w:val="22"/>
          <w:szCs w:val="22"/>
        </w:rPr>
        <w:t xml:space="preserve">, neaiškus poveikis atliekant </w:t>
      </w:r>
      <w:r w:rsidRPr="0042366C">
        <w:rPr>
          <w:i/>
          <w:sz w:val="22"/>
          <w:szCs w:val="22"/>
        </w:rPr>
        <w:t>Ames</w:t>
      </w:r>
      <w:r w:rsidRPr="0042366C">
        <w:rPr>
          <w:sz w:val="22"/>
          <w:szCs w:val="22"/>
        </w:rPr>
        <w:t xml:space="preserve"> testą su viena iš padermių ir silpnas poveikis atliekant UDS testą pirminiuose žiurkių hepatocituose. Tačiau poveikio nenustatyta atliekant </w:t>
      </w:r>
      <w:r w:rsidRPr="0042366C">
        <w:rPr>
          <w:i/>
          <w:sz w:val="22"/>
          <w:szCs w:val="22"/>
        </w:rPr>
        <w:t>in vivo</w:t>
      </w:r>
      <w:r w:rsidRPr="0042366C">
        <w:rPr>
          <w:sz w:val="22"/>
          <w:szCs w:val="22"/>
        </w:rPr>
        <w:t xml:space="preserve"> pelių kaulų čiulpų mikrobranduolių tyrimą.</w:t>
      </w:r>
    </w:p>
    <w:p w14:paraId="3482808F" w14:textId="77777777" w:rsidR="0042366C" w:rsidRDefault="0042366C" w:rsidP="0042366C">
      <w:pPr>
        <w:pStyle w:val="Default"/>
        <w:rPr>
          <w:sz w:val="22"/>
          <w:szCs w:val="22"/>
        </w:rPr>
      </w:pPr>
    </w:p>
    <w:p w14:paraId="0D8ACB17" w14:textId="77777777" w:rsidR="0042366C" w:rsidRDefault="0042366C" w:rsidP="0042366C">
      <w:pPr>
        <w:pStyle w:val="Default"/>
        <w:rPr>
          <w:sz w:val="22"/>
          <w:szCs w:val="22"/>
        </w:rPr>
      </w:pPr>
      <w:r w:rsidRPr="0042366C">
        <w:rPr>
          <w:sz w:val="22"/>
          <w:szCs w:val="22"/>
        </w:rPr>
        <w:t>Atliekant geriamojo vaist</w:t>
      </w:r>
      <w:r w:rsidR="00101E0B">
        <w:rPr>
          <w:sz w:val="22"/>
          <w:szCs w:val="22"/>
        </w:rPr>
        <w:t>inio preparat</w:t>
      </w:r>
      <w:r w:rsidRPr="0042366C">
        <w:rPr>
          <w:sz w:val="22"/>
          <w:szCs w:val="22"/>
        </w:rPr>
        <w:t xml:space="preserve">o kancerogeniškumo tyrimus su žiurkėmis ir pelėmis, nustatytas tik nedidelis dvylikapirštės žarnos navikų išsivystymo dažnis, pelėms duodant ypač didelę dozę. </w:t>
      </w:r>
      <w:r>
        <w:rPr>
          <w:sz w:val="22"/>
          <w:szCs w:val="22"/>
        </w:rPr>
        <w:t xml:space="preserve">Neįtikėtina, </w:t>
      </w:r>
      <w:r w:rsidRPr="0042366C">
        <w:rPr>
          <w:sz w:val="22"/>
          <w:szCs w:val="22"/>
        </w:rPr>
        <w:t xml:space="preserve">kad šie navikai </w:t>
      </w:r>
      <w:r w:rsidR="00D04FE6">
        <w:rPr>
          <w:sz w:val="22"/>
          <w:szCs w:val="22"/>
        </w:rPr>
        <w:t>būtų reikšmingi žmogui</w:t>
      </w:r>
      <w:r w:rsidRPr="0042366C">
        <w:rPr>
          <w:sz w:val="22"/>
          <w:szCs w:val="22"/>
        </w:rPr>
        <w:t>.</w:t>
      </w:r>
    </w:p>
    <w:p w14:paraId="209DDC5E" w14:textId="77777777" w:rsidR="00D04FE6" w:rsidRPr="0042366C" w:rsidRDefault="00D04FE6" w:rsidP="0042366C">
      <w:pPr>
        <w:pStyle w:val="Default"/>
        <w:rPr>
          <w:sz w:val="22"/>
          <w:szCs w:val="22"/>
        </w:rPr>
      </w:pPr>
    </w:p>
    <w:p w14:paraId="631BBFAA" w14:textId="77777777" w:rsidR="00D04FE6" w:rsidRDefault="0042366C" w:rsidP="0042366C">
      <w:pPr>
        <w:pStyle w:val="Default"/>
        <w:rPr>
          <w:sz w:val="22"/>
          <w:szCs w:val="22"/>
        </w:rPr>
      </w:pPr>
      <w:r w:rsidRPr="0042366C">
        <w:rPr>
          <w:sz w:val="22"/>
          <w:szCs w:val="22"/>
        </w:rPr>
        <w:t xml:space="preserve">Su žiurkėmis ir triušiais atliktais toksinio poveikio reprodukcijai tyrimais jokio poveikio poravimuisi, vaisingumui, </w:t>
      </w:r>
      <w:r w:rsidR="00D04FE6">
        <w:rPr>
          <w:sz w:val="22"/>
          <w:szCs w:val="22"/>
        </w:rPr>
        <w:t>vaikingumui</w:t>
      </w:r>
      <w:r w:rsidRPr="0042366C">
        <w:rPr>
          <w:sz w:val="22"/>
          <w:szCs w:val="22"/>
        </w:rPr>
        <w:t xml:space="preserve"> ar vaisiui nenustatyta. Tačiau atliekant perinatalinio ir postnatalinio toksiškumo tyrimus, duodant toksines patelei dozes, buvo nustatyta, kad tenofoviro dizoproksili</w:t>
      </w:r>
      <w:r w:rsidR="000C7C75">
        <w:rPr>
          <w:sz w:val="22"/>
          <w:szCs w:val="22"/>
        </w:rPr>
        <w:t>s</w:t>
      </w:r>
      <w:r w:rsidRPr="0042366C">
        <w:rPr>
          <w:sz w:val="22"/>
          <w:szCs w:val="22"/>
        </w:rPr>
        <w:t xml:space="preserve"> sumažino jauniklių gyvybingumo indeksą ir svorį.</w:t>
      </w:r>
    </w:p>
    <w:p w14:paraId="3A94BB78" w14:textId="77777777" w:rsidR="00D04FE6" w:rsidRDefault="00D04FE6" w:rsidP="0042366C">
      <w:pPr>
        <w:pStyle w:val="Default"/>
        <w:rPr>
          <w:sz w:val="22"/>
          <w:szCs w:val="22"/>
        </w:rPr>
      </w:pPr>
    </w:p>
    <w:p w14:paraId="76E8B4D8" w14:textId="6BED33AE" w:rsidR="00D04FE6" w:rsidRDefault="00D04FE6" w:rsidP="0042366C">
      <w:pPr>
        <w:pStyle w:val="Default"/>
        <w:rPr>
          <w:sz w:val="22"/>
          <w:szCs w:val="22"/>
        </w:rPr>
      </w:pPr>
      <w:r w:rsidRPr="00D04FE6">
        <w:rPr>
          <w:sz w:val="22"/>
          <w:szCs w:val="22"/>
        </w:rPr>
        <w:t xml:space="preserve">Veiklioji medžiaga </w:t>
      </w:r>
      <w:r w:rsidR="00791E7A" w:rsidRPr="00D04FE6">
        <w:rPr>
          <w:sz w:val="22"/>
          <w:szCs w:val="22"/>
        </w:rPr>
        <w:t>tenofovir</w:t>
      </w:r>
      <w:r w:rsidR="00791E7A">
        <w:rPr>
          <w:sz w:val="22"/>
          <w:szCs w:val="22"/>
        </w:rPr>
        <w:t>as</w:t>
      </w:r>
      <w:r w:rsidR="00791E7A" w:rsidRPr="00D04FE6">
        <w:rPr>
          <w:sz w:val="22"/>
          <w:szCs w:val="22"/>
        </w:rPr>
        <w:t xml:space="preserve"> </w:t>
      </w:r>
      <w:r w:rsidRPr="00D04FE6">
        <w:rPr>
          <w:sz w:val="22"/>
          <w:szCs w:val="22"/>
        </w:rPr>
        <w:t>dizoproksili</w:t>
      </w:r>
      <w:r w:rsidR="000C7C75">
        <w:rPr>
          <w:sz w:val="22"/>
          <w:szCs w:val="22"/>
        </w:rPr>
        <w:t>s</w:t>
      </w:r>
      <w:r w:rsidRPr="00D04FE6">
        <w:rPr>
          <w:sz w:val="22"/>
          <w:szCs w:val="22"/>
        </w:rPr>
        <w:t xml:space="preserve"> ir jos pagrindiniai transformacijos produktai išlieka aplinkoje.</w:t>
      </w:r>
    </w:p>
    <w:p w14:paraId="586EC2E5" w14:textId="77777777" w:rsidR="00933C03" w:rsidRDefault="00933C03" w:rsidP="005F1287">
      <w:pPr>
        <w:tabs>
          <w:tab w:val="left" w:pos="567"/>
        </w:tabs>
        <w:rPr>
          <w:szCs w:val="22"/>
          <w:lang w:eastAsia="en-US"/>
        </w:rPr>
      </w:pPr>
    </w:p>
    <w:p w14:paraId="2C37B1EB" w14:textId="77777777" w:rsidR="006D2D23" w:rsidRPr="0046556E" w:rsidRDefault="006D2D23" w:rsidP="006D2D23">
      <w:pPr>
        <w:tabs>
          <w:tab w:val="left" w:pos="567"/>
        </w:tabs>
        <w:rPr>
          <w:b/>
          <w:szCs w:val="22"/>
          <w:lang w:eastAsia="en-US"/>
        </w:rPr>
      </w:pPr>
    </w:p>
    <w:p w14:paraId="6FB15F55" w14:textId="77777777" w:rsidR="006D2D23" w:rsidRPr="0046556E" w:rsidRDefault="006D2D23" w:rsidP="006D2D23">
      <w:pPr>
        <w:tabs>
          <w:tab w:val="left" w:pos="567"/>
        </w:tabs>
        <w:ind w:left="567" w:hanging="567"/>
        <w:rPr>
          <w:b/>
          <w:szCs w:val="22"/>
          <w:lang w:eastAsia="en-US"/>
        </w:rPr>
      </w:pPr>
      <w:r w:rsidRPr="0046556E">
        <w:rPr>
          <w:b/>
          <w:szCs w:val="22"/>
          <w:lang w:eastAsia="en-US"/>
        </w:rPr>
        <w:t>6.</w:t>
      </w:r>
      <w:r w:rsidRPr="0046556E">
        <w:rPr>
          <w:b/>
          <w:szCs w:val="22"/>
          <w:lang w:eastAsia="en-US"/>
        </w:rPr>
        <w:tab/>
        <w:t>FARMACINĖ INFORMACIJA</w:t>
      </w:r>
    </w:p>
    <w:p w14:paraId="02A32D5A" w14:textId="77777777" w:rsidR="006D2D23" w:rsidRPr="0046556E" w:rsidRDefault="006D2D23" w:rsidP="006D2D23">
      <w:pPr>
        <w:tabs>
          <w:tab w:val="left" w:pos="567"/>
        </w:tabs>
        <w:rPr>
          <w:b/>
          <w:szCs w:val="22"/>
          <w:lang w:eastAsia="en-US"/>
        </w:rPr>
      </w:pPr>
    </w:p>
    <w:p w14:paraId="490F97B5" w14:textId="77777777" w:rsidR="006D2D23" w:rsidRPr="0046556E" w:rsidRDefault="006D2D23" w:rsidP="006D2D23">
      <w:pPr>
        <w:tabs>
          <w:tab w:val="left" w:pos="567"/>
        </w:tabs>
        <w:ind w:left="567" w:hanging="567"/>
        <w:rPr>
          <w:b/>
          <w:szCs w:val="22"/>
          <w:lang w:eastAsia="en-US"/>
        </w:rPr>
      </w:pPr>
      <w:r w:rsidRPr="0046556E">
        <w:rPr>
          <w:b/>
          <w:szCs w:val="22"/>
          <w:lang w:eastAsia="en-US"/>
        </w:rPr>
        <w:t>6.1</w:t>
      </w:r>
      <w:r w:rsidRPr="0046556E">
        <w:rPr>
          <w:b/>
          <w:szCs w:val="22"/>
          <w:lang w:eastAsia="en-US"/>
        </w:rPr>
        <w:tab/>
        <w:t>Pagalbinių medžiagų sąrašas</w:t>
      </w:r>
    </w:p>
    <w:p w14:paraId="763BD591" w14:textId="77777777" w:rsidR="006D2D23" w:rsidRPr="0046556E" w:rsidRDefault="006D2D23" w:rsidP="006D2D23">
      <w:pPr>
        <w:tabs>
          <w:tab w:val="left" w:pos="567"/>
        </w:tabs>
        <w:rPr>
          <w:szCs w:val="22"/>
          <w:lang w:eastAsia="en-US"/>
        </w:rPr>
      </w:pPr>
    </w:p>
    <w:p w14:paraId="707D1236" w14:textId="77777777" w:rsidR="00933C03" w:rsidRDefault="00933C03" w:rsidP="00933C03">
      <w:pPr>
        <w:pStyle w:val="Default"/>
        <w:rPr>
          <w:sz w:val="22"/>
          <w:szCs w:val="22"/>
        </w:rPr>
      </w:pPr>
      <w:r>
        <w:rPr>
          <w:i/>
          <w:iCs/>
          <w:sz w:val="22"/>
          <w:szCs w:val="22"/>
        </w:rPr>
        <w:t xml:space="preserve">Tabletės branduolys </w:t>
      </w:r>
    </w:p>
    <w:p w14:paraId="0930893F" w14:textId="77777777" w:rsidR="00D04FE6" w:rsidRDefault="00D04FE6" w:rsidP="00933C03">
      <w:pPr>
        <w:pStyle w:val="Default"/>
        <w:rPr>
          <w:sz w:val="22"/>
          <w:szCs w:val="22"/>
        </w:rPr>
      </w:pPr>
      <w:r>
        <w:rPr>
          <w:sz w:val="22"/>
          <w:szCs w:val="22"/>
        </w:rPr>
        <w:t>Mikrokristalinė celiuliozė</w:t>
      </w:r>
    </w:p>
    <w:p w14:paraId="260DF175" w14:textId="77777777" w:rsidR="00933C03" w:rsidRDefault="00933C03" w:rsidP="00933C03">
      <w:pPr>
        <w:pStyle w:val="Default"/>
        <w:rPr>
          <w:sz w:val="22"/>
          <w:szCs w:val="22"/>
        </w:rPr>
      </w:pPr>
      <w:r>
        <w:rPr>
          <w:sz w:val="22"/>
          <w:szCs w:val="22"/>
        </w:rPr>
        <w:t xml:space="preserve">Laktozė </w:t>
      </w:r>
      <w:r w:rsidR="00D04FE6">
        <w:rPr>
          <w:sz w:val="22"/>
          <w:szCs w:val="22"/>
        </w:rPr>
        <w:t>monohidratas</w:t>
      </w:r>
      <w:r>
        <w:rPr>
          <w:sz w:val="22"/>
          <w:szCs w:val="22"/>
        </w:rPr>
        <w:t xml:space="preserve"> </w:t>
      </w:r>
    </w:p>
    <w:p w14:paraId="7FF4D87C" w14:textId="77777777" w:rsidR="00D04FE6" w:rsidRDefault="00D04FE6" w:rsidP="00933C03">
      <w:pPr>
        <w:pStyle w:val="Default"/>
        <w:rPr>
          <w:sz w:val="22"/>
          <w:szCs w:val="22"/>
        </w:rPr>
      </w:pPr>
      <w:r>
        <w:rPr>
          <w:sz w:val="22"/>
          <w:szCs w:val="22"/>
        </w:rPr>
        <w:t>Pregelifikuotas krakmolas (kukurūzų)</w:t>
      </w:r>
    </w:p>
    <w:p w14:paraId="6F221C15" w14:textId="77777777" w:rsidR="00D04FE6" w:rsidRDefault="00D04FE6" w:rsidP="00933C03">
      <w:pPr>
        <w:pStyle w:val="Default"/>
        <w:rPr>
          <w:sz w:val="22"/>
          <w:szCs w:val="22"/>
        </w:rPr>
      </w:pPr>
      <w:r>
        <w:rPr>
          <w:sz w:val="22"/>
          <w:szCs w:val="22"/>
        </w:rPr>
        <w:lastRenderedPageBreak/>
        <w:t>Krospovidonas (B tipo)</w:t>
      </w:r>
    </w:p>
    <w:p w14:paraId="0A9C4865" w14:textId="77777777" w:rsidR="00933C03" w:rsidRDefault="0031500D" w:rsidP="00933C03">
      <w:pPr>
        <w:pStyle w:val="Default"/>
        <w:rPr>
          <w:sz w:val="22"/>
          <w:szCs w:val="22"/>
        </w:rPr>
      </w:pPr>
      <w:r>
        <w:rPr>
          <w:sz w:val="22"/>
          <w:szCs w:val="22"/>
        </w:rPr>
        <w:t>Magnio</w:t>
      </w:r>
      <w:r w:rsidR="00933C03">
        <w:rPr>
          <w:sz w:val="22"/>
          <w:szCs w:val="22"/>
        </w:rPr>
        <w:t xml:space="preserve"> stearatas </w:t>
      </w:r>
    </w:p>
    <w:p w14:paraId="2891FA6C" w14:textId="77777777" w:rsidR="0031500D" w:rsidRDefault="0031500D" w:rsidP="00933C03">
      <w:pPr>
        <w:pStyle w:val="Default"/>
        <w:rPr>
          <w:i/>
          <w:iCs/>
          <w:sz w:val="22"/>
          <w:szCs w:val="22"/>
        </w:rPr>
      </w:pPr>
    </w:p>
    <w:p w14:paraId="0340CFC3" w14:textId="77777777" w:rsidR="00933C03" w:rsidRDefault="00933C03" w:rsidP="00933C03">
      <w:pPr>
        <w:pStyle w:val="Default"/>
        <w:rPr>
          <w:sz w:val="22"/>
          <w:szCs w:val="22"/>
        </w:rPr>
      </w:pPr>
      <w:r>
        <w:rPr>
          <w:i/>
          <w:iCs/>
          <w:sz w:val="22"/>
          <w:szCs w:val="22"/>
        </w:rPr>
        <w:t>Table</w:t>
      </w:r>
      <w:r w:rsidR="0031500D">
        <w:rPr>
          <w:i/>
          <w:iCs/>
          <w:sz w:val="22"/>
          <w:szCs w:val="22"/>
        </w:rPr>
        <w:t>tės</w:t>
      </w:r>
      <w:r>
        <w:rPr>
          <w:i/>
          <w:iCs/>
          <w:sz w:val="22"/>
          <w:szCs w:val="22"/>
        </w:rPr>
        <w:t xml:space="preserve"> plėvelė </w:t>
      </w:r>
    </w:p>
    <w:p w14:paraId="686F2D1A" w14:textId="77777777" w:rsidR="00933C03" w:rsidRDefault="00933C03" w:rsidP="00933C03">
      <w:pPr>
        <w:pStyle w:val="Default"/>
        <w:rPr>
          <w:sz w:val="22"/>
          <w:szCs w:val="22"/>
        </w:rPr>
      </w:pPr>
      <w:r>
        <w:rPr>
          <w:sz w:val="22"/>
          <w:szCs w:val="22"/>
        </w:rPr>
        <w:t xml:space="preserve">Hipromeliozė </w:t>
      </w:r>
    </w:p>
    <w:p w14:paraId="0C22204F" w14:textId="77777777" w:rsidR="00933C03" w:rsidRDefault="00933C03" w:rsidP="00933C03">
      <w:pPr>
        <w:pStyle w:val="Default"/>
        <w:rPr>
          <w:sz w:val="22"/>
          <w:szCs w:val="22"/>
        </w:rPr>
      </w:pPr>
      <w:r>
        <w:rPr>
          <w:sz w:val="22"/>
          <w:szCs w:val="22"/>
        </w:rPr>
        <w:t xml:space="preserve">Titano dioksidas (E171) </w:t>
      </w:r>
    </w:p>
    <w:p w14:paraId="143E235C" w14:textId="77777777" w:rsidR="00933C03" w:rsidRDefault="00933C03" w:rsidP="00933C03">
      <w:pPr>
        <w:pStyle w:val="Default"/>
        <w:rPr>
          <w:sz w:val="22"/>
          <w:szCs w:val="22"/>
        </w:rPr>
      </w:pPr>
      <w:r>
        <w:rPr>
          <w:sz w:val="22"/>
          <w:szCs w:val="22"/>
        </w:rPr>
        <w:t xml:space="preserve">Makrogolis </w:t>
      </w:r>
      <w:r w:rsidR="00D04FE6">
        <w:rPr>
          <w:sz w:val="22"/>
          <w:szCs w:val="22"/>
        </w:rPr>
        <w:t>4</w:t>
      </w:r>
      <w:r>
        <w:rPr>
          <w:sz w:val="22"/>
          <w:szCs w:val="22"/>
        </w:rPr>
        <w:t xml:space="preserve">00 </w:t>
      </w:r>
    </w:p>
    <w:p w14:paraId="2EDF3DCA" w14:textId="77777777" w:rsidR="00275F9B" w:rsidRPr="0046556E" w:rsidRDefault="00D04FE6" w:rsidP="00933C03">
      <w:pPr>
        <w:tabs>
          <w:tab w:val="left" w:pos="567"/>
        </w:tabs>
        <w:rPr>
          <w:szCs w:val="22"/>
          <w:lang w:eastAsia="en-US"/>
        </w:rPr>
      </w:pPr>
      <w:r>
        <w:rPr>
          <w:szCs w:val="22"/>
          <w:lang w:eastAsia="en-US"/>
        </w:rPr>
        <w:t>Polisorbatas 80</w:t>
      </w:r>
    </w:p>
    <w:p w14:paraId="45523F28" w14:textId="77777777" w:rsidR="006D2D23" w:rsidRPr="0046556E" w:rsidRDefault="006D2D23" w:rsidP="006D2D23">
      <w:pPr>
        <w:tabs>
          <w:tab w:val="left" w:pos="567"/>
        </w:tabs>
        <w:rPr>
          <w:szCs w:val="22"/>
          <w:lang w:eastAsia="en-US"/>
        </w:rPr>
      </w:pPr>
    </w:p>
    <w:p w14:paraId="7F4DB406" w14:textId="77777777" w:rsidR="006D2D23" w:rsidRPr="0046556E" w:rsidRDefault="006D2D23" w:rsidP="006D2D23">
      <w:pPr>
        <w:tabs>
          <w:tab w:val="left" w:pos="567"/>
        </w:tabs>
        <w:ind w:left="567" w:hanging="567"/>
        <w:rPr>
          <w:szCs w:val="22"/>
          <w:lang w:eastAsia="en-US"/>
        </w:rPr>
      </w:pPr>
      <w:r w:rsidRPr="0046556E">
        <w:rPr>
          <w:b/>
          <w:szCs w:val="22"/>
          <w:lang w:eastAsia="en-US"/>
        </w:rPr>
        <w:t>6.2</w:t>
      </w:r>
      <w:r w:rsidRPr="0046556E">
        <w:rPr>
          <w:b/>
          <w:szCs w:val="22"/>
          <w:lang w:eastAsia="en-US"/>
        </w:rPr>
        <w:tab/>
        <w:t>Nesuderinamumas</w:t>
      </w:r>
    </w:p>
    <w:p w14:paraId="630049DB" w14:textId="77777777" w:rsidR="006D2D23" w:rsidRPr="0046556E" w:rsidRDefault="006D2D23" w:rsidP="006D2D23">
      <w:pPr>
        <w:tabs>
          <w:tab w:val="left" w:pos="567"/>
        </w:tabs>
        <w:rPr>
          <w:szCs w:val="22"/>
          <w:lang w:eastAsia="en-US"/>
        </w:rPr>
      </w:pPr>
    </w:p>
    <w:p w14:paraId="1D1E442E" w14:textId="77777777" w:rsidR="006D2D23" w:rsidRPr="0046556E" w:rsidRDefault="006D2D23" w:rsidP="006D2D23">
      <w:pPr>
        <w:tabs>
          <w:tab w:val="left" w:pos="567"/>
        </w:tabs>
        <w:rPr>
          <w:szCs w:val="22"/>
          <w:lang w:eastAsia="en-US"/>
        </w:rPr>
      </w:pPr>
      <w:r w:rsidRPr="0046556E">
        <w:rPr>
          <w:szCs w:val="22"/>
          <w:lang w:eastAsia="en-US"/>
        </w:rPr>
        <w:t>Duomenys nebūtini.</w:t>
      </w:r>
    </w:p>
    <w:p w14:paraId="2D2A6896" w14:textId="77777777" w:rsidR="006D2D23" w:rsidRPr="0046556E" w:rsidRDefault="006D2D23" w:rsidP="006D2D23">
      <w:pPr>
        <w:tabs>
          <w:tab w:val="left" w:pos="567"/>
        </w:tabs>
        <w:rPr>
          <w:szCs w:val="22"/>
          <w:lang w:eastAsia="en-US"/>
        </w:rPr>
      </w:pPr>
    </w:p>
    <w:p w14:paraId="4EFB0E18" w14:textId="77777777" w:rsidR="006D2D23" w:rsidRPr="0046556E" w:rsidRDefault="006D2D23" w:rsidP="006D2D23">
      <w:pPr>
        <w:tabs>
          <w:tab w:val="left" w:pos="567"/>
        </w:tabs>
        <w:ind w:left="567" w:hanging="567"/>
        <w:rPr>
          <w:szCs w:val="22"/>
          <w:lang w:eastAsia="en-US"/>
        </w:rPr>
      </w:pPr>
      <w:r w:rsidRPr="0046556E">
        <w:rPr>
          <w:b/>
          <w:szCs w:val="22"/>
          <w:lang w:eastAsia="en-US"/>
        </w:rPr>
        <w:t>6.3</w:t>
      </w:r>
      <w:r w:rsidRPr="0046556E">
        <w:rPr>
          <w:b/>
          <w:szCs w:val="22"/>
          <w:lang w:eastAsia="en-US"/>
        </w:rPr>
        <w:tab/>
        <w:t>Tinkamumo laikas</w:t>
      </w:r>
    </w:p>
    <w:p w14:paraId="10589320" w14:textId="77777777" w:rsidR="006D2D23" w:rsidRPr="0046556E" w:rsidRDefault="006D2D23" w:rsidP="006D2D23">
      <w:pPr>
        <w:tabs>
          <w:tab w:val="left" w:pos="567"/>
        </w:tabs>
        <w:rPr>
          <w:szCs w:val="22"/>
          <w:highlight w:val="yellow"/>
          <w:lang w:eastAsia="en-US"/>
        </w:rPr>
      </w:pPr>
    </w:p>
    <w:p w14:paraId="3110F563" w14:textId="77777777" w:rsidR="006D2D23" w:rsidRDefault="00D04FE6" w:rsidP="006D2D23">
      <w:pPr>
        <w:tabs>
          <w:tab w:val="left" w:pos="567"/>
        </w:tabs>
        <w:rPr>
          <w:lang w:eastAsia="en-US"/>
        </w:rPr>
      </w:pPr>
      <w:r>
        <w:rPr>
          <w:lang w:eastAsia="en-US"/>
        </w:rPr>
        <w:t>2 metai</w:t>
      </w:r>
    </w:p>
    <w:p w14:paraId="72A2AABB" w14:textId="77777777" w:rsidR="00D04FE6" w:rsidRDefault="00D04FE6" w:rsidP="006D2D23">
      <w:pPr>
        <w:tabs>
          <w:tab w:val="left" w:pos="567"/>
        </w:tabs>
        <w:rPr>
          <w:lang w:eastAsia="en-US"/>
        </w:rPr>
      </w:pPr>
    </w:p>
    <w:p w14:paraId="657CCAFB" w14:textId="77777777" w:rsidR="00D04FE6" w:rsidRPr="0046556E" w:rsidRDefault="00D04FE6" w:rsidP="006D2D23">
      <w:pPr>
        <w:tabs>
          <w:tab w:val="left" w:pos="567"/>
        </w:tabs>
        <w:rPr>
          <w:lang w:eastAsia="en-US"/>
        </w:rPr>
      </w:pPr>
      <w:r>
        <w:rPr>
          <w:lang w:eastAsia="en-US"/>
        </w:rPr>
        <w:t xml:space="preserve">Po buteliuko pirmojo atidarymo: 30 parų. </w:t>
      </w:r>
    </w:p>
    <w:p w14:paraId="7F83F38B" w14:textId="77777777" w:rsidR="006D2D23" w:rsidRPr="0046556E" w:rsidRDefault="006D2D23" w:rsidP="006D2D23">
      <w:pPr>
        <w:tabs>
          <w:tab w:val="left" w:pos="567"/>
        </w:tabs>
        <w:rPr>
          <w:b/>
          <w:szCs w:val="22"/>
          <w:lang w:eastAsia="en-US"/>
        </w:rPr>
      </w:pPr>
    </w:p>
    <w:p w14:paraId="04231F13" w14:textId="77777777" w:rsidR="006D2D23" w:rsidRPr="0046556E" w:rsidRDefault="006D2D23" w:rsidP="006D2D23">
      <w:pPr>
        <w:tabs>
          <w:tab w:val="left" w:pos="567"/>
        </w:tabs>
        <w:ind w:left="567" w:hanging="567"/>
        <w:rPr>
          <w:b/>
          <w:szCs w:val="22"/>
          <w:lang w:eastAsia="en-US"/>
        </w:rPr>
      </w:pPr>
      <w:r w:rsidRPr="0046556E">
        <w:rPr>
          <w:b/>
          <w:szCs w:val="22"/>
          <w:lang w:eastAsia="en-US"/>
        </w:rPr>
        <w:t>6.4</w:t>
      </w:r>
      <w:r w:rsidRPr="0046556E">
        <w:rPr>
          <w:b/>
          <w:szCs w:val="22"/>
          <w:lang w:eastAsia="en-US"/>
        </w:rPr>
        <w:tab/>
        <w:t>Specialios laikymo sąlygos</w:t>
      </w:r>
    </w:p>
    <w:p w14:paraId="526BCDE1" w14:textId="77777777" w:rsidR="006D2D23" w:rsidRPr="0046556E" w:rsidRDefault="006D2D23" w:rsidP="006D2D23">
      <w:pPr>
        <w:tabs>
          <w:tab w:val="left" w:pos="567"/>
        </w:tabs>
        <w:rPr>
          <w:szCs w:val="22"/>
          <w:highlight w:val="yellow"/>
          <w:lang w:eastAsia="en-US"/>
        </w:rPr>
      </w:pPr>
    </w:p>
    <w:p w14:paraId="0CC61080" w14:textId="77777777" w:rsidR="006D2D23" w:rsidRPr="0031500D" w:rsidRDefault="0031500D" w:rsidP="006D2D23">
      <w:pPr>
        <w:tabs>
          <w:tab w:val="left" w:pos="567"/>
        </w:tabs>
        <w:autoSpaceDE w:val="0"/>
        <w:autoSpaceDN w:val="0"/>
        <w:adjustRightInd w:val="0"/>
        <w:rPr>
          <w:color w:val="000000"/>
          <w:szCs w:val="22"/>
          <w:lang w:eastAsia="en-US"/>
        </w:rPr>
      </w:pPr>
      <w:r w:rsidRPr="0031500D">
        <w:rPr>
          <w:color w:val="000000"/>
          <w:szCs w:val="22"/>
          <w:lang w:eastAsia="en-US"/>
        </w:rPr>
        <w:t>Šiam vaistiniam preparatui specialių laikymo sąlygų nereikia.</w:t>
      </w:r>
    </w:p>
    <w:p w14:paraId="2573B739" w14:textId="77777777" w:rsidR="006D2D23" w:rsidRPr="0046556E" w:rsidRDefault="006D2D23" w:rsidP="006D2D23">
      <w:pPr>
        <w:tabs>
          <w:tab w:val="left" w:pos="567"/>
        </w:tabs>
        <w:rPr>
          <w:szCs w:val="22"/>
          <w:lang w:eastAsia="en-US"/>
        </w:rPr>
      </w:pPr>
    </w:p>
    <w:p w14:paraId="6348CC70" w14:textId="77777777" w:rsidR="006D2D23" w:rsidRPr="0046556E" w:rsidRDefault="006D2D23" w:rsidP="006D2D23">
      <w:pPr>
        <w:tabs>
          <w:tab w:val="left" w:pos="567"/>
        </w:tabs>
        <w:ind w:left="567" w:hanging="567"/>
        <w:rPr>
          <w:b/>
          <w:szCs w:val="22"/>
          <w:lang w:eastAsia="en-US"/>
        </w:rPr>
      </w:pPr>
      <w:r w:rsidRPr="0046556E">
        <w:rPr>
          <w:b/>
          <w:szCs w:val="22"/>
          <w:lang w:eastAsia="en-US"/>
        </w:rPr>
        <w:t>6.5</w:t>
      </w:r>
      <w:r w:rsidRPr="0046556E">
        <w:rPr>
          <w:b/>
          <w:szCs w:val="22"/>
          <w:lang w:eastAsia="en-US"/>
        </w:rPr>
        <w:tab/>
        <w:t>Talpyklės pobūdis ir jos turinys</w:t>
      </w:r>
    </w:p>
    <w:p w14:paraId="7AD7D082" w14:textId="77777777" w:rsidR="006D2D23" w:rsidRPr="0046556E" w:rsidRDefault="006D2D23" w:rsidP="006D2D23">
      <w:pPr>
        <w:tabs>
          <w:tab w:val="left" w:pos="567"/>
        </w:tabs>
        <w:rPr>
          <w:szCs w:val="22"/>
          <w:highlight w:val="yellow"/>
          <w:lang w:eastAsia="en-US"/>
        </w:rPr>
      </w:pPr>
    </w:p>
    <w:p w14:paraId="4466F3AD" w14:textId="281609DB" w:rsidR="0031500D" w:rsidRDefault="00161A33" w:rsidP="0031500D">
      <w:pPr>
        <w:pStyle w:val="Default"/>
        <w:rPr>
          <w:sz w:val="22"/>
          <w:szCs w:val="22"/>
        </w:rPr>
      </w:pPr>
      <w:r>
        <w:rPr>
          <w:sz w:val="22"/>
          <w:szCs w:val="22"/>
        </w:rPr>
        <w:t xml:space="preserve">Išspaudžiamos </w:t>
      </w:r>
      <w:r w:rsidR="0031500D">
        <w:rPr>
          <w:sz w:val="22"/>
          <w:szCs w:val="22"/>
        </w:rPr>
        <w:t>OPA</w:t>
      </w:r>
      <w:r w:rsidR="00E0439F">
        <w:rPr>
          <w:sz w:val="22"/>
          <w:szCs w:val="22"/>
        </w:rPr>
        <w:t>-</w:t>
      </w:r>
      <w:r w:rsidR="0031500D">
        <w:rPr>
          <w:sz w:val="22"/>
          <w:szCs w:val="22"/>
        </w:rPr>
        <w:t>Al</w:t>
      </w:r>
      <w:r w:rsidR="00E0439F">
        <w:rPr>
          <w:sz w:val="22"/>
          <w:szCs w:val="22"/>
        </w:rPr>
        <w:t>-</w:t>
      </w:r>
      <w:r w:rsidR="0031500D">
        <w:rPr>
          <w:sz w:val="22"/>
          <w:szCs w:val="22"/>
        </w:rPr>
        <w:t>PVC</w:t>
      </w:r>
      <w:r w:rsidR="00E0439F">
        <w:rPr>
          <w:sz w:val="22"/>
          <w:szCs w:val="22"/>
        </w:rPr>
        <w:t>/Al</w:t>
      </w:r>
      <w:r w:rsidR="0031500D">
        <w:rPr>
          <w:sz w:val="22"/>
          <w:szCs w:val="22"/>
        </w:rPr>
        <w:t xml:space="preserve"> </w:t>
      </w:r>
      <w:r w:rsidR="00E0439F">
        <w:rPr>
          <w:sz w:val="22"/>
          <w:szCs w:val="22"/>
        </w:rPr>
        <w:t xml:space="preserve">dalomosios </w:t>
      </w:r>
      <w:r w:rsidR="0031500D">
        <w:rPr>
          <w:sz w:val="22"/>
          <w:szCs w:val="22"/>
        </w:rPr>
        <w:t xml:space="preserve">lizdinės plokštelės. </w:t>
      </w:r>
    </w:p>
    <w:p w14:paraId="3C9F15C8" w14:textId="77777777" w:rsidR="0031500D" w:rsidRDefault="00D04FE6" w:rsidP="0031500D">
      <w:pPr>
        <w:pStyle w:val="Default"/>
        <w:rPr>
          <w:sz w:val="22"/>
          <w:szCs w:val="22"/>
        </w:rPr>
      </w:pPr>
      <w:r>
        <w:rPr>
          <w:sz w:val="22"/>
          <w:szCs w:val="22"/>
        </w:rPr>
        <w:t>Pakuotės dydžiai</w:t>
      </w:r>
      <w:r w:rsidR="0065776B">
        <w:rPr>
          <w:sz w:val="22"/>
          <w:szCs w:val="22"/>
        </w:rPr>
        <w:t>:</w:t>
      </w:r>
      <w:r w:rsidR="00BF064A">
        <w:rPr>
          <w:sz w:val="22"/>
          <w:szCs w:val="22"/>
        </w:rPr>
        <w:t xml:space="preserve"> </w:t>
      </w:r>
      <w:r w:rsidR="0031500D">
        <w:rPr>
          <w:sz w:val="22"/>
          <w:szCs w:val="22"/>
        </w:rPr>
        <w:t>30</w:t>
      </w:r>
      <w:r w:rsidR="00161A33">
        <w:rPr>
          <w:sz w:val="22"/>
          <w:szCs w:val="22"/>
        </w:rPr>
        <w:t>x1</w:t>
      </w:r>
      <w:r w:rsidR="0031500D">
        <w:rPr>
          <w:sz w:val="22"/>
          <w:szCs w:val="22"/>
        </w:rPr>
        <w:t>, 60</w:t>
      </w:r>
      <w:r w:rsidR="00161A33">
        <w:rPr>
          <w:sz w:val="22"/>
          <w:szCs w:val="22"/>
        </w:rPr>
        <w:t>x1</w:t>
      </w:r>
      <w:r>
        <w:rPr>
          <w:sz w:val="22"/>
          <w:szCs w:val="22"/>
        </w:rPr>
        <w:t xml:space="preserve"> arba 90</w:t>
      </w:r>
      <w:r w:rsidR="00161A33">
        <w:rPr>
          <w:sz w:val="22"/>
          <w:szCs w:val="22"/>
        </w:rPr>
        <w:t>x1</w:t>
      </w:r>
      <w:r w:rsidR="0031500D">
        <w:rPr>
          <w:sz w:val="22"/>
          <w:szCs w:val="22"/>
        </w:rPr>
        <w:t xml:space="preserve"> plėvele dengtų tablečių</w:t>
      </w:r>
      <w:r w:rsidR="00161A33">
        <w:rPr>
          <w:sz w:val="22"/>
          <w:szCs w:val="22"/>
        </w:rPr>
        <w:t>.</w:t>
      </w:r>
    </w:p>
    <w:p w14:paraId="3E135CA5" w14:textId="77777777" w:rsidR="0031500D" w:rsidRDefault="0031500D" w:rsidP="0031500D">
      <w:pPr>
        <w:pStyle w:val="Default"/>
        <w:rPr>
          <w:sz w:val="22"/>
          <w:szCs w:val="22"/>
        </w:rPr>
      </w:pPr>
    </w:p>
    <w:p w14:paraId="07D5E842" w14:textId="7084E06F" w:rsidR="00F047CF" w:rsidRDefault="00D04FE6" w:rsidP="0031500D">
      <w:pPr>
        <w:pStyle w:val="Default"/>
        <w:rPr>
          <w:sz w:val="22"/>
          <w:szCs w:val="22"/>
        </w:rPr>
      </w:pPr>
      <w:r>
        <w:rPr>
          <w:sz w:val="22"/>
          <w:szCs w:val="22"/>
        </w:rPr>
        <w:t xml:space="preserve">Baltas matinis </w:t>
      </w:r>
      <w:r w:rsidR="00F047CF">
        <w:rPr>
          <w:sz w:val="22"/>
          <w:szCs w:val="22"/>
        </w:rPr>
        <w:t xml:space="preserve">DTPE </w:t>
      </w:r>
      <w:r>
        <w:rPr>
          <w:sz w:val="22"/>
          <w:szCs w:val="22"/>
        </w:rPr>
        <w:t>buteliukas</w:t>
      </w:r>
      <w:r w:rsidR="00F047CF">
        <w:rPr>
          <w:sz w:val="22"/>
          <w:szCs w:val="22"/>
        </w:rPr>
        <w:t xml:space="preserve"> su vaikų sunkiai atidaromu </w:t>
      </w:r>
      <w:r w:rsidR="007200A5">
        <w:rPr>
          <w:sz w:val="22"/>
          <w:szCs w:val="22"/>
        </w:rPr>
        <w:t xml:space="preserve">baltu </w:t>
      </w:r>
      <w:r w:rsidR="00F047CF">
        <w:rPr>
          <w:sz w:val="22"/>
          <w:szCs w:val="22"/>
        </w:rPr>
        <w:t>polipropileniniu užsukamuoju dangteliu, kuriame yra sausiklio (silikagelio)</w:t>
      </w:r>
      <w:r w:rsidR="0065776B">
        <w:rPr>
          <w:sz w:val="22"/>
          <w:szCs w:val="22"/>
        </w:rPr>
        <w:t xml:space="preserve"> </w:t>
      </w:r>
      <w:r w:rsidR="00E0439F">
        <w:rPr>
          <w:sz w:val="22"/>
          <w:szCs w:val="22"/>
        </w:rPr>
        <w:t xml:space="preserve">talpyklė </w:t>
      </w:r>
      <w:r w:rsidR="0065776B">
        <w:rPr>
          <w:sz w:val="22"/>
          <w:szCs w:val="22"/>
        </w:rPr>
        <w:t>ir išgrynintos viskozės ritinys</w:t>
      </w:r>
      <w:r w:rsidR="00F047CF">
        <w:rPr>
          <w:sz w:val="22"/>
          <w:szCs w:val="22"/>
        </w:rPr>
        <w:t>.</w:t>
      </w:r>
    </w:p>
    <w:p w14:paraId="343BD5F0" w14:textId="77777777" w:rsidR="00F047CF" w:rsidRDefault="00F047CF" w:rsidP="00F047CF">
      <w:pPr>
        <w:pStyle w:val="Default"/>
        <w:rPr>
          <w:sz w:val="22"/>
          <w:szCs w:val="22"/>
        </w:rPr>
      </w:pPr>
      <w:r>
        <w:rPr>
          <w:sz w:val="22"/>
          <w:szCs w:val="22"/>
        </w:rPr>
        <w:t>Pakuotės dyd</w:t>
      </w:r>
      <w:r w:rsidR="0065776B">
        <w:rPr>
          <w:sz w:val="22"/>
          <w:szCs w:val="22"/>
        </w:rPr>
        <w:t>žiai: 30, 60 (2x30) arba 90 (3x30)</w:t>
      </w:r>
      <w:r>
        <w:rPr>
          <w:sz w:val="22"/>
          <w:szCs w:val="22"/>
        </w:rPr>
        <w:t xml:space="preserve"> plėvele dengtų tablečių.</w:t>
      </w:r>
    </w:p>
    <w:p w14:paraId="768B273C" w14:textId="77777777" w:rsidR="00F047CF" w:rsidRDefault="00F047CF" w:rsidP="0031500D">
      <w:pPr>
        <w:pStyle w:val="Default"/>
        <w:rPr>
          <w:sz w:val="22"/>
          <w:szCs w:val="22"/>
        </w:rPr>
      </w:pPr>
    </w:p>
    <w:p w14:paraId="536D1AD6" w14:textId="77777777" w:rsidR="00160716" w:rsidRPr="0046556E" w:rsidRDefault="0031500D" w:rsidP="0031500D">
      <w:pPr>
        <w:tabs>
          <w:tab w:val="left" w:pos="567"/>
        </w:tabs>
        <w:rPr>
          <w:szCs w:val="22"/>
          <w:lang w:eastAsia="en-US"/>
        </w:rPr>
      </w:pPr>
      <w:r>
        <w:rPr>
          <w:szCs w:val="22"/>
        </w:rPr>
        <w:t>Gali būti tiekiamos ne visų dydžių pakuotės.</w:t>
      </w:r>
    </w:p>
    <w:p w14:paraId="1BAB6F44" w14:textId="77777777" w:rsidR="00160716" w:rsidRPr="0046556E" w:rsidRDefault="00160716" w:rsidP="006D2D23">
      <w:pPr>
        <w:tabs>
          <w:tab w:val="left" w:pos="567"/>
        </w:tabs>
        <w:rPr>
          <w:szCs w:val="22"/>
          <w:lang w:eastAsia="en-US"/>
        </w:rPr>
      </w:pPr>
    </w:p>
    <w:p w14:paraId="1AD85048" w14:textId="77777777" w:rsidR="006D2D23" w:rsidRPr="0046556E" w:rsidRDefault="006D2D23" w:rsidP="006D2D23">
      <w:pPr>
        <w:tabs>
          <w:tab w:val="left" w:pos="567"/>
        </w:tabs>
        <w:ind w:left="567" w:hanging="567"/>
        <w:outlineLvl w:val="0"/>
        <w:rPr>
          <w:szCs w:val="22"/>
          <w:lang w:eastAsia="en-US"/>
        </w:rPr>
      </w:pPr>
      <w:r w:rsidRPr="0046556E">
        <w:rPr>
          <w:b/>
          <w:szCs w:val="22"/>
          <w:lang w:eastAsia="en-US"/>
        </w:rPr>
        <w:t>6.6</w:t>
      </w:r>
      <w:r w:rsidRPr="0046556E">
        <w:rPr>
          <w:b/>
          <w:szCs w:val="22"/>
          <w:lang w:eastAsia="en-US"/>
        </w:rPr>
        <w:tab/>
        <w:t>Specialūs reikalavimai atliekoms tvarkyti</w:t>
      </w:r>
    </w:p>
    <w:p w14:paraId="778CA60E" w14:textId="77777777" w:rsidR="006D2D23" w:rsidRPr="0046556E" w:rsidRDefault="006D2D23" w:rsidP="006D2D23">
      <w:pPr>
        <w:tabs>
          <w:tab w:val="left" w:pos="567"/>
        </w:tabs>
        <w:rPr>
          <w:i/>
          <w:szCs w:val="22"/>
          <w:lang w:eastAsia="en-US"/>
        </w:rPr>
      </w:pPr>
    </w:p>
    <w:p w14:paraId="69CB675C" w14:textId="77777777" w:rsidR="006D2D23" w:rsidRPr="0046556E" w:rsidRDefault="0065776B" w:rsidP="006D2D23">
      <w:pPr>
        <w:tabs>
          <w:tab w:val="left" w:pos="567"/>
        </w:tabs>
        <w:rPr>
          <w:szCs w:val="22"/>
          <w:lang w:eastAsia="en-US"/>
        </w:rPr>
      </w:pPr>
      <w:r w:rsidRPr="0065776B">
        <w:rPr>
          <w:szCs w:val="22"/>
          <w:lang w:eastAsia="en-US"/>
        </w:rPr>
        <w:t>Nesuvartotą vaistinį preparatą ar atliekas reikia tvarkyti laikantis vietinių reikalavimų</w:t>
      </w:r>
      <w:r w:rsidR="006D2D23" w:rsidRPr="0046556E">
        <w:rPr>
          <w:szCs w:val="22"/>
          <w:lang w:eastAsia="en-US"/>
        </w:rPr>
        <w:t>.</w:t>
      </w:r>
    </w:p>
    <w:p w14:paraId="3B49336D" w14:textId="77777777" w:rsidR="006D2D23" w:rsidRPr="0046556E" w:rsidRDefault="006D2D23" w:rsidP="006D2D23">
      <w:pPr>
        <w:tabs>
          <w:tab w:val="left" w:pos="567"/>
        </w:tabs>
        <w:rPr>
          <w:szCs w:val="22"/>
          <w:lang w:eastAsia="en-US"/>
        </w:rPr>
      </w:pPr>
    </w:p>
    <w:p w14:paraId="0246B1DF" w14:textId="77777777" w:rsidR="006D2D23" w:rsidRPr="0046556E" w:rsidRDefault="006D2D23" w:rsidP="006D2D23">
      <w:pPr>
        <w:tabs>
          <w:tab w:val="left" w:pos="567"/>
        </w:tabs>
        <w:rPr>
          <w:szCs w:val="22"/>
          <w:lang w:eastAsia="en-US"/>
        </w:rPr>
      </w:pPr>
    </w:p>
    <w:p w14:paraId="6D22603F" w14:textId="77777777" w:rsidR="006D2D23" w:rsidRPr="0046556E" w:rsidRDefault="006D2D23" w:rsidP="006D2D23">
      <w:pPr>
        <w:tabs>
          <w:tab w:val="left" w:pos="567"/>
        </w:tabs>
        <w:ind w:left="567" w:hanging="567"/>
        <w:rPr>
          <w:szCs w:val="22"/>
          <w:lang w:eastAsia="en-US"/>
        </w:rPr>
      </w:pPr>
      <w:r w:rsidRPr="0046556E">
        <w:rPr>
          <w:b/>
          <w:szCs w:val="22"/>
          <w:lang w:eastAsia="en-US"/>
        </w:rPr>
        <w:t>7.</w:t>
      </w:r>
      <w:r w:rsidRPr="0046556E">
        <w:rPr>
          <w:b/>
          <w:szCs w:val="22"/>
          <w:lang w:eastAsia="en-US"/>
        </w:rPr>
        <w:tab/>
        <w:t>REGISTRUOTOJAS</w:t>
      </w:r>
    </w:p>
    <w:p w14:paraId="5AD33F7B" w14:textId="77777777" w:rsidR="003A4874" w:rsidRPr="0046556E" w:rsidRDefault="003A4874" w:rsidP="003A4874">
      <w:pPr>
        <w:tabs>
          <w:tab w:val="left" w:pos="567"/>
        </w:tabs>
        <w:rPr>
          <w:b/>
          <w:caps/>
          <w:szCs w:val="22"/>
        </w:rPr>
      </w:pPr>
    </w:p>
    <w:p w14:paraId="7537467E" w14:textId="77777777" w:rsidR="003A4874" w:rsidRPr="0046556E" w:rsidRDefault="003A4874" w:rsidP="003A4874">
      <w:pPr>
        <w:tabs>
          <w:tab w:val="left" w:pos="567"/>
        </w:tabs>
        <w:rPr>
          <w:szCs w:val="22"/>
          <w:lang w:eastAsia="en-US"/>
        </w:rPr>
      </w:pPr>
      <w:r w:rsidRPr="0046556E">
        <w:rPr>
          <w:szCs w:val="22"/>
          <w:lang w:eastAsia="en-US"/>
        </w:rPr>
        <w:t xml:space="preserve">Sandoz d.d. </w:t>
      </w:r>
      <w:r w:rsidRPr="0046556E">
        <w:rPr>
          <w:szCs w:val="22"/>
          <w:lang w:eastAsia="en-US"/>
        </w:rPr>
        <w:br/>
        <w:t xml:space="preserve">Verovškova 57 </w:t>
      </w:r>
      <w:r w:rsidRPr="0046556E">
        <w:rPr>
          <w:szCs w:val="22"/>
          <w:lang w:eastAsia="en-US"/>
        </w:rPr>
        <w:br/>
        <w:t xml:space="preserve">SI-1000 Ljubljana </w:t>
      </w:r>
      <w:r w:rsidRPr="0046556E">
        <w:rPr>
          <w:szCs w:val="22"/>
          <w:lang w:eastAsia="en-US"/>
        </w:rPr>
        <w:br/>
        <w:t>Slovėnija</w:t>
      </w:r>
    </w:p>
    <w:p w14:paraId="649856CB" w14:textId="77777777" w:rsidR="006D2D23" w:rsidRPr="0046556E" w:rsidRDefault="006D2D23" w:rsidP="006D2D23">
      <w:pPr>
        <w:tabs>
          <w:tab w:val="left" w:pos="567"/>
        </w:tabs>
        <w:rPr>
          <w:szCs w:val="22"/>
          <w:lang w:eastAsia="en-US"/>
        </w:rPr>
      </w:pPr>
    </w:p>
    <w:p w14:paraId="43468FE0" w14:textId="77777777" w:rsidR="006D2D23" w:rsidRPr="0046556E" w:rsidRDefault="006D2D23" w:rsidP="006D2D23">
      <w:pPr>
        <w:tabs>
          <w:tab w:val="left" w:pos="567"/>
        </w:tabs>
        <w:rPr>
          <w:szCs w:val="22"/>
          <w:lang w:eastAsia="en-US"/>
        </w:rPr>
      </w:pPr>
    </w:p>
    <w:p w14:paraId="050A4DF5" w14:textId="77777777" w:rsidR="006D2D23" w:rsidRPr="0046556E" w:rsidRDefault="006D2D23" w:rsidP="006D2D23">
      <w:pPr>
        <w:tabs>
          <w:tab w:val="left" w:pos="567"/>
        </w:tabs>
        <w:ind w:left="567" w:hanging="567"/>
        <w:rPr>
          <w:b/>
          <w:szCs w:val="22"/>
          <w:lang w:eastAsia="en-US"/>
        </w:rPr>
      </w:pPr>
      <w:r w:rsidRPr="0046556E">
        <w:rPr>
          <w:b/>
          <w:szCs w:val="22"/>
          <w:lang w:eastAsia="en-US"/>
        </w:rPr>
        <w:t>8.</w:t>
      </w:r>
      <w:r w:rsidRPr="0046556E">
        <w:rPr>
          <w:b/>
          <w:szCs w:val="22"/>
          <w:lang w:eastAsia="en-US"/>
        </w:rPr>
        <w:tab/>
        <w:t xml:space="preserve">REGISTRACIJOS PAŽYMĖJIMO NUMERIS (-AI) </w:t>
      </w:r>
    </w:p>
    <w:p w14:paraId="775D71B7" w14:textId="77777777" w:rsidR="006D2D23" w:rsidRDefault="006D2D23" w:rsidP="006D2D23">
      <w:pPr>
        <w:tabs>
          <w:tab w:val="left" w:pos="567"/>
        </w:tabs>
        <w:rPr>
          <w:szCs w:val="22"/>
          <w:lang w:eastAsia="en-US"/>
        </w:rPr>
      </w:pPr>
    </w:p>
    <w:p w14:paraId="07EC04D7" w14:textId="1905FA3B" w:rsidR="006110C7" w:rsidRPr="006110C7" w:rsidRDefault="006110C7" w:rsidP="006D2D23">
      <w:pPr>
        <w:tabs>
          <w:tab w:val="left" w:pos="567"/>
        </w:tabs>
        <w:rPr>
          <w:szCs w:val="22"/>
          <w:u w:val="single"/>
          <w:lang w:eastAsia="en-US"/>
        </w:rPr>
      </w:pPr>
      <w:r w:rsidRPr="006110C7">
        <w:rPr>
          <w:bCs/>
          <w:szCs w:val="22"/>
          <w:u w:val="single"/>
          <w:lang w:eastAsia="en-US"/>
        </w:rPr>
        <w:t>Dalomoji lizdinė plokštelė:</w:t>
      </w:r>
    </w:p>
    <w:p w14:paraId="1C6BEB3E" w14:textId="3B165055" w:rsidR="006110C7" w:rsidRPr="006110C7" w:rsidRDefault="006110C7" w:rsidP="006110C7">
      <w:pPr>
        <w:rPr>
          <w:bCs/>
          <w:szCs w:val="22"/>
          <w:lang w:eastAsia="en-US"/>
        </w:rPr>
      </w:pPr>
      <w:r>
        <w:rPr>
          <w:szCs w:val="22"/>
          <w:lang w:eastAsia="en-US"/>
        </w:rPr>
        <w:t xml:space="preserve">N30x1 - </w:t>
      </w:r>
      <w:r w:rsidRPr="006110C7">
        <w:rPr>
          <w:szCs w:val="22"/>
          <w:lang w:eastAsia="en-US"/>
        </w:rPr>
        <w:t>LT/1/17/4038/001</w:t>
      </w:r>
      <w:r w:rsidRPr="006110C7">
        <w:rPr>
          <w:bCs/>
          <w:szCs w:val="22"/>
          <w:lang w:eastAsia="en-US"/>
        </w:rPr>
        <w:t xml:space="preserve"> </w:t>
      </w:r>
    </w:p>
    <w:p w14:paraId="732C7BA4" w14:textId="6214AF09" w:rsidR="006110C7" w:rsidRPr="006110C7" w:rsidRDefault="006110C7" w:rsidP="006110C7">
      <w:pPr>
        <w:rPr>
          <w:bCs/>
          <w:szCs w:val="22"/>
          <w:lang w:eastAsia="en-US"/>
        </w:rPr>
      </w:pPr>
      <w:r>
        <w:rPr>
          <w:szCs w:val="22"/>
          <w:lang w:eastAsia="en-US"/>
        </w:rPr>
        <w:t xml:space="preserve">N60x1 - </w:t>
      </w:r>
      <w:r w:rsidRPr="006110C7">
        <w:rPr>
          <w:szCs w:val="22"/>
          <w:lang w:eastAsia="en-US"/>
        </w:rPr>
        <w:t>LT/1/17/4038/002</w:t>
      </w:r>
      <w:r w:rsidRPr="006110C7">
        <w:rPr>
          <w:bCs/>
          <w:szCs w:val="22"/>
          <w:lang w:eastAsia="en-US"/>
        </w:rPr>
        <w:t xml:space="preserve"> </w:t>
      </w:r>
    </w:p>
    <w:p w14:paraId="0C9045C8" w14:textId="4E8BC429" w:rsidR="006110C7" w:rsidRDefault="006110C7" w:rsidP="006110C7">
      <w:pPr>
        <w:rPr>
          <w:bCs/>
          <w:szCs w:val="22"/>
          <w:lang w:eastAsia="en-US"/>
        </w:rPr>
      </w:pPr>
      <w:r>
        <w:rPr>
          <w:szCs w:val="22"/>
          <w:lang w:eastAsia="en-US"/>
        </w:rPr>
        <w:t xml:space="preserve">N90x1 - </w:t>
      </w:r>
      <w:r w:rsidRPr="006110C7">
        <w:rPr>
          <w:szCs w:val="22"/>
          <w:lang w:eastAsia="en-US"/>
        </w:rPr>
        <w:t>LT/1/17/4038/003</w:t>
      </w:r>
      <w:r w:rsidRPr="006110C7">
        <w:rPr>
          <w:bCs/>
          <w:szCs w:val="22"/>
          <w:lang w:eastAsia="en-US"/>
        </w:rPr>
        <w:t xml:space="preserve"> </w:t>
      </w:r>
    </w:p>
    <w:p w14:paraId="1B1CB471" w14:textId="4FEEE137" w:rsidR="006110C7" w:rsidRPr="006110C7" w:rsidRDefault="006110C7" w:rsidP="006110C7">
      <w:pPr>
        <w:rPr>
          <w:bCs/>
          <w:szCs w:val="22"/>
          <w:u w:val="single"/>
          <w:lang w:eastAsia="en-US"/>
        </w:rPr>
      </w:pPr>
      <w:r w:rsidRPr="006110C7">
        <w:rPr>
          <w:bCs/>
          <w:szCs w:val="22"/>
          <w:u w:val="single"/>
          <w:lang w:eastAsia="en-US"/>
        </w:rPr>
        <w:t>Buteliukas:</w:t>
      </w:r>
    </w:p>
    <w:p w14:paraId="15D1BF3C" w14:textId="21A1AFDD" w:rsidR="006110C7" w:rsidRPr="006110C7" w:rsidRDefault="006110C7" w:rsidP="006110C7">
      <w:pPr>
        <w:rPr>
          <w:bCs/>
          <w:szCs w:val="22"/>
          <w:lang w:eastAsia="en-US"/>
        </w:rPr>
      </w:pPr>
      <w:r>
        <w:rPr>
          <w:szCs w:val="22"/>
          <w:lang w:eastAsia="en-US"/>
        </w:rPr>
        <w:t xml:space="preserve">N30 - </w:t>
      </w:r>
      <w:r w:rsidRPr="006110C7">
        <w:rPr>
          <w:szCs w:val="22"/>
          <w:lang w:eastAsia="en-US"/>
        </w:rPr>
        <w:t>LT/1/17/403</w:t>
      </w:r>
      <w:r w:rsidR="00572CD9">
        <w:rPr>
          <w:szCs w:val="22"/>
          <w:lang w:eastAsia="en-US"/>
        </w:rPr>
        <w:t>8</w:t>
      </w:r>
      <w:r w:rsidR="00F56E4B">
        <w:rPr>
          <w:szCs w:val="22"/>
          <w:lang w:eastAsia="en-US"/>
        </w:rPr>
        <w:t>/</w:t>
      </w:r>
      <w:r w:rsidRPr="006110C7">
        <w:rPr>
          <w:szCs w:val="22"/>
          <w:lang w:eastAsia="en-US"/>
        </w:rPr>
        <w:t>004</w:t>
      </w:r>
      <w:r w:rsidRPr="006110C7">
        <w:rPr>
          <w:bCs/>
          <w:szCs w:val="22"/>
          <w:lang w:eastAsia="en-US"/>
        </w:rPr>
        <w:t xml:space="preserve"> </w:t>
      </w:r>
    </w:p>
    <w:p w14:paraId="2AA20F67" w14:textId="4511B654" w:rsidR="006110C7" w:rsidRPr="006110C7" w:rsidRDefault="006110C7" w:rsidP="006110C7">
      <w:pPr>
        <w:rPr>
          <w:bCs/>
          <w:szCs w:val="22"/>
          <w:lang w:eastAsia="en-US"/>
        </w:rPr>
      </w:pPr>
      <w:r>
        <w:rPr>
          <w:szCs w:val="22"/>
          <w:lang w:eastAsia="en-US"/>
        </w:rPr>
        <w:t xml:space="preserve">N60 (2x30) - </w:t>
      </w:r>
      <w:r w:rsidRPr="006110C7">
        <w:rPr>
          <w:szCs w:val="22"/>
          <w:lang w:eastAsia="en-US"/>
        </w:rPr>
        <w:t>LT/1/17/403</w:t>
      </w:r>
      <w:r w:rsidR="00572CD9">
        <w:rPr>
          <w:szCs w:val="22"/>
          <w:lang w:eastAsia="en-US"/>
        </w:rPr>
        <w:t>8</w:t>
      </w:r>
      <w:r w:rsidRPr="006110C7">
        <w:rPr>
          <w:szCs w:val="22"/>
          <w:lang w:eastAsia="en-US"/>
        </w:rPr>
        <w:t>/005</w:t>
      </w:r>
      <w:r w:rsidRPr="006110C7">
        <w:rPr>
          <w:bCs/>
          <w:szCs w:val="22"/>
          <w:lang w:eastAsia="en-US"/>
        </w:rPr>
        <w:t xml:space="preserve"> </w:t>
      </w:r>
    </w:p>
    <w:p w14:paraId="083D507D" w14:textId="41CC347B" w:rsidR="006110C7" w:rsidRDefault="006110C7" w:rsidP="006110C7">
      <w:pPr>
        <w:tabs>
          <w:tab w:val="left" w:pos="567"/>
        </w:tabs>
        <w:rPr>
          <w:bCs/>
          <w:szCs w:val="22"/>
          <w:lang w:eastAsia="en-US"/>
        </w:rPr>
      </w:pPr>
      <w:r>
        <w:rPr>
          <w:szCs w:val="22"/>
          <w:lang w:eastAsia="en-US"/>
        </w:rPr>
        <w:t xml:space="preserve">N90 (3x30) - </w:t>
      </w:r>
      <w:r w:rsidRPr="006110C7">
        <w:rPr>
          <w:szCs w:val="22"/>
          <w:lang w:eastAsia="en-US"/>
        </w:rPr>
        <w:t>LT/1/17/403</w:t>
      </w:r>
      <w:r w:rsidR="00572CD9">
        <w:rPr>
          <w:szCs w:val="22"/>
          <w:lang w:eastAsia="en-US"/>
        </w:rPr>
        <w:t>8</w:t>
      </w:r>
      <w:r w:rsidR="00F56E4B">
        <w:rPr>
          <w:szCs w:val="22"/>
          <w:lang w:eastAsia="en-US"/>
        </w:rPr>
        <w:t>/</w:t>
      </w:r>
      <w:r w:rsidRPr="006110C7">
        <w:rPr>
          <w:szCs w:val="22"/>
          <w:lang w:eastAsia="en-US"/>
        </w:rPr>
        <w:t>/006</w:t>
      </w:r>
      <w:r w:rsidRPr="006110C7">
        <w:rPr>
          <w:bCs/>
          <w:szCs w:val="22"/>
          <w:lang w:eastAsia="en-US"/>
        </w:rPr>
        <w:t xml:space="preserve"> </w:t>
      </w:r>
    </w:p>
    <w:p w14:paraId="766742F0" w14:textId="77777777" w:rsidR="006110C7" w:rsidRPr="0046556E" w:rsidRDefault="006110C7" w:rsidP="006110C7">
      <w:pPr>
        <w:tabs>
          <w:tab w:val="left" w:pos="567"/>
        </w:tabs>
        <w:rPr>
          <w:szCs w:val="22"/>
          <w:lang w:eastAsia="en-US"/>
        </w:rPr>
      </w:pPr>
    </w:p>
    <w:p w14:paraId="56E05EC8" w14:textId="77777777" w:rsidR="006D2D23" w:rsidRPr="0046556E" w:rsidRDefault="006D2D23" w:rsidP="006D2D23">
      <w:pPr>
        <w:tabs>
          <w:tab w:val="left" w:pos="567"/>
        </w:tabs>
        <w:rPr>
          <w:szCs w:val="22"/>
          <w:lang w:eastAsia="en-US"/>
        </w:rPr>
      </w:pPr>
    </w:p>
    <w:p w14:paraId="78A10EAC" w14:textId="77777777" w:rsidR="006D2D23" w:rsidRPr="0046556E" w:rsidRDefault="006D2D23" w:rsidP="006D2D23">
      <w:pPr>
        <w:tabs>
          <w:tab w:val="left" w:pos="567"/>
        </w:tabs>
        <w:ind w:left="567" w:hanging="567"/>
        <w:rPr>
          <w:szCs w:val="22"/>
          <w:lang w:eastAsia="en-US"/>
        </w:rPr>
      </w:pPr>
      <w:r w:rsidRPr="0046556E">
        <w:rPr>
          <w:b/>
          <w:szCs w:val="22"/>
          <w:lang w:eastAsia="en-US"/>
        </w:rPr>
        <w:t>9.</w:t>
      </w:r>
      <w:r w:rsidRPr="0046556E">
        <w:rPr>
          <w:b/>
          <w:szCs w:val="22"/>
          <w:lang w:eastAsia="en-US"/>
        </w:rPr>
        <w:tab/>
      </w:r>
      <w:r w:rsidRPr="0046556E">
        <w:rPr>
          <w:b/>
          <w:bCs/>
          <w:szCs w:val="22"/>
          <w:lang w:eastAsia="en-US"/>
        </w:rPr>
        <w:t>REGISTRAVIMO / PERREGISTRAVIMO DATA</w:t>
      </w:r>
    </w:p>
    <w:p w14:paraId="55BCCB87" w14:textId="77777777" w:rsidR="006D2D23" w:rsidRPr="0046556E" w:rsidRDefault="006D2D23" w:rsidP="006D2D23">
      <w:pPr>
        <w:tabs>
          <w:tab w:val="left" w:pos="567"/>
        </w:tabs>
        <w:rPr>
          <w:i/>
          <w:szCs w:val="22"/>
          <w:lang w:eastAsia="en-US"/>
        </w:rPr>
      </w:pPr>
    </w:p>
    <w:p w14:paraId="379BBAD4" w14:textId="722159BD" w:rsidR="006110C7" w:rsidRPr="006110C7" w:rsidRDefault="006110C7" w:rsidP="006110C7">
      <w:pPr>
        <w:widowControl w:val="0"/>
        <w:tabs>
          <w:tab w:val="left" w:pos="567"/>
        </w:tabs>
        <w:rPr>
          <w:szCs w:val="22"/>
          <w:lang w:eastAsia="en-US"/>
        </w:rPr>
      </w:pPr>
      <w:r w:rsidRPr="006110C7">
        <w:rPr>
          <w:szCs w:val="22"/>
          <w:lang w:eastAsia="en-US"/>
        </w:rPr>
        <w:t>Registravimo data 2017 m. sausio 26 d.</w:t>
      </w:r>
    </w:p>
    <w:p w14:paraId="0864C9D8" w14:textId="77777777" w:rsidR="006D2D23" w:rsidRPr="0046556E" w:rsidRDefault="006D2D23" w:rsidP="006D2D23">
      <w:pPr>
        <w:tabs>
          <w:tab w:val="left" w:pos="567"/>
        </w:tabs>
        <w:rPr>
          <w:szCs w:val="22"/>
          <w:lang w:eastAsia="en-US"/>
        </w:rPr>
      </w:pPr>
    </w:p>
    <w:p w14:paraId="1DA02063" w14:textId="77777777" w:rsidR="006D2D23" w:rsidRPr="0046556E" w:rsidRDefault="006D2D23" w:rsidP="006D2D23">
      <w:pPr>
        <w:tabs>
          <w:tab w:val="left" w:pos="567"/>
        </w:tabs>
        <w:rPr>
          <w:szCs w:val="22"/>
          <w:lang w:eastAsia="en-US"/>
        </w:rPr>
      </w:pPr>
    </w:p>
    <w:p w14:paraId="2307434B" w14:textId="77777777" w:rsidR="006D2D23" w:rsidRPr="0046556E" w:rsidRDefault="006D2D23" w:rsidP="006D2D23">
      <w:pPr>
        <w:tabs>
          <w:tab w:val="left" w:pos="567"/>
        </w:tabs>
        <w:ind w:left="567" w:hanging="567"/>
        <w:rPr>
          <w:b/>
          <w:szCs w:val="22"/>
          <w:lang w:eastAsia="en-US"/>
        </w:rPr>
      </w:pPr>
      <w:r w:rsidRPr="0046556E">
        <w:rPr>
          <w:b/>
          <w:szCs w:val="22"/>
          <w:lang w:eastAsia="en-US"/>
        </w:rPr>
        <w:t>10.</w:t>
      </w:r>
      <w:r w:rsidRPr="0046556E">
        <w:rPr>
          <w:b/>
          <w:szCs w:val="22"/>
          <w:lang w:eastAsia="en-US"/>
        </w:rPr>
        <w:tab/>
        <w:t>TEKSTO PERŽIŪROS DATA</w:t>
      </w:r>
    </w:p>
    <w:p w14:paraId="68AD591A" w14:textId="77777777" w:rsidR="006D2D23" w:rsidRPr="0046556E" w:rsidRDefault="006D2D23" w:rsidP="006D2D23">
      <w:pPr>
        <w:tabs>
          <w:tab w:val="left" w:pos="567"/>
        </w:tabs>
        <w:rPr>
          <w:szCs w:val="22"/>
          <w:lang w:eastAsia="en-US"/>
        </w:rPr>
      </w:pPr>
    </w:p>
    <w:p w14:paraId="03AC68C4" w14:textId="3C01B747" w:rsidR="00331D43" w:rsidRDefault="007A0DB9" w:rsidP="00EE7979">
      <w:pPr>
        <w:tabs>
          <w:tab w:val="left" w:pos="567"/>
        </w:tabs>
      </w:pPr>
      <w:r>
        <w:t>2020 m. gegužės 14 d.</w:t>
      </w:r>
    </w:p>
    <w:p w14:paraId="083BD942" w14:textId="77777777" w:rsidR="00331D43" w:rsidRPr="0046556E" w:rsidRDefault="00331D43" w:rsidP="006D2D23">
      <w:pPr>
        <w:tabs>
          <w:tab w:val="left" w:pos="567"/>
        </w:tabs>
        <w:rPr>
          <w:szCs w:val="22"/>
          <w:lang w:eastAsia="en-US"/>
        </w:rPr>
      </w:pPr>
    </w:p>
    <w:p w14:paraId="7B0A7956" w14:textId="17A319FC" w:rsidR="006D2D23" w:rsidRPr="0046556E" w:rsidRDefault="006D2D23" w:rsidP="006D2D23">
      <w:pPr>
        <w:tabs>
          <w:tab w:val="left" w:pos="567"/>
        </w:tabs>
        <w:rPr>
          <w:szCs w:val="22"/>
          <w:lang w:eastAsia="en-US"/>
        </w:rPr>
      </w:pPr>
      <w:r w:rsidRPr="0046556E">
        <w:rPr>
          <w:szCs w:val="22"/>
          <w:lang w:eastAsia="en-US"/>
        </w:rPr>
        <w:t>Išsami informacija apie šį vaistinį preparatą pateikiama Valstybinės vaistų kontrolės tarnybos prie Lietuvos Respublikos sveikatos apsaugos ministerijos tinklalapyje</w:t>
      </w:r>
      <w:r w:rsidRPr="0046556E">
        <w:rPr>
          <w:i/>
          <w:szCs w:val="22"/>
          <w:lang w:eastAsia="en-US"/>
        </w:rPr>
        <w:t xml:space="preserve"> </w:t>
      </w:r>
      <w:hyperlink r:id="rId11" w:history="1">
        <w:r w:rsidRPr="0046556E">
          <w:rPr>
            <w:color w:val="0000FF"/>
            <w:szCs w:val="22"/>
            <w:u w:val="single"/>
            <w:lang w:eastAsia="en-US"/>
          </w:rPr>
          <w:t>http://www.vvkt.lt</w:t>
        </w:r>
      </w:hyperlink>
    </w:p>
    <w:p w14:paraId="68F07D4B" w14:textId="77777777" w:rsidR="006D2D23" w:rsidRPr="0046556E" w:rsidRDefault="006D2D23" w:rsidP="006D2D23">
      <w:pPr>
        <w:tabs>
          <w:tab w:val="left" w:pos="567"/>
        </w:tabs>
        <w:rPr>
          <w:szCs w:val="22"/>
          <w:lang w:eastAsia="en-US"/>
        </w:rPr>
      </w:pPr>
    </w:p>
    <w:p w14:paraId="6D039C7B" w14:textId="77777777" w:rsidR="006D2D23" w:rsidRPr="003E6859" w:rsidRDefault="006D2D23" w:rsidP="003E6859">
      <w:pPr>
        <w:tabs>
          <w:tab w:val="left" w:pos="567"/>
          <w:tab w:val="left" w:pos="5954"/>
          <w:tab w:val="left" w:pos="6237"/>
          <w:tab w:val="left" w:pos="6663"/>
          <w:tab w:val="left" w:pos="6946"/>
        </w:tabs>
        <w:spacing w:line="260" w:lineRule="exact"/>
        <w:ind w:left="5103"/>
        <w:rPr>
          <w:rFonts w:ascii="Courier New" w:eastAsia="SimSun" w:hAnsi="Courier New"/>
          <w:color w:val="000000"/>
          <w:sz w:val="24"/>
        </w:rPr>
      </w:pPr>
      <w:r w:rsidRPr="0046556E">
        <w:rPr>
          <w:rFonts w:ascii="Courier New" w:hAnsi="Courier New" w:cs="Courier New"/>
          <w:b/>
          <w:sz w:val="20"/>
          <w:szCs w:val="22"/>
          <w:lang w:eastAsia="en-US"/>
        </w:rPr>
        <w:br w:type="page"/>
      </w:r>
    </w:p>
    <w:p w14:paraId="3E970CA6" w14:textId="77777777" w:rsidR="006D2D23" w:rsidRPr="0046556E" w:rsidRDefault="006D2D23" w:rsidP="006D2D23">
      <w:pPr>
        <w:tabs>
          <w:tab w:val="left" w:pos="567"/>
        </w:tabs>
        <w:spacing w:line="260" w:lineRule="exact"/>
        <w:rPr>
          <w:snapToGrid w:val="0"/>
          <w:szCs w:val="24"/>
          <w:lang w:eastAsia="en-US"/>
        </w:rPr>
      </w:pPr>
    </w:p>
    <w:p w14:paraId="43CD20C9" w14:textId="77777777" w:rsidR="006D2D23" w:rsidRPr="0046556E" w:rsidRDefault="006D2D23" w:rsidP="006D2D23">
      <w:pPr>
        <w:tabs>
          <w:tab w:val="left" w:pos="567"/>
        </w:tabs>
        <w:spacing w:line="260" w:lineRule="exact"/>
        <w:rPr>
          <w:snapToGrid w:val="0"/>
          <w:szCs w:val="24"/>
          <w:lang w:eastAsia="en-US"/>
        </w:rPr>
      </w:pPr>
    </w:p>
    <w:p w14:paraId="2F6F88C0" w14:textId="77777777" w:rsidR="006D2D23" w:rsidRPr="0046556E" w:rsidRDefault="006D2D23" w:rsidP="006D2D23">
      <w:pPr>
        <w:tabs>
          <w:tab w:val="left" w:pos="567"/>
        </w:tabs>
        <w:spacing w:line="260" w:lineRule="exact"/>
        <w:rPr>
          <w:snapToGrid w:val="0"/>
          <w:szCs w:val="24"/>
          <w:lang w:eastAsia="en-US"/>
        </w:rPr>
      </w:pPr>
    </w:p>
    <w:p w14:paraId="64DDFD66" w14:textId="77777777" w:rsidR="006D2D23" w:rsidRPr="0046556E" w:rsidRDefault="006D2D23" w:rsidP="006D2D23">
      <w:pPr>
        <w:tabs>
          <w:tab w:val="left" w:pos="567"/>
        </w:tabs>
        <w:spacing w:line="260" w:lineRule="exact"/>
        <w:rPr>
          <w:snapToGrid w:val="0"/>
          <w:szCs w:val="24"/>
          <w:lang w:eastAsia="en-US"/>
        </w:rPr>
      </w:pPr>
    </w:p>
    <w:p w14:paraId="334F0F1E" w14:textId="77777777" w:rsidR="006D2D23" w:rsidRPr="0046556E" w:rsidRDefault="006D2D23" w:rsidP="006D2D23">
      <w:pPr>
        <w:tabs>
          <w:tab w:val="left" w:pos="567"/>
        </w:tabs>
        <w:spacing w:line="260" w:lineRule="exact"/>
        <w:rPr>
          <w:snapToGrid w:val="0"/>
          <w:szCs w:val="24"/>
          <w:lang w:eastAsia="en-US"/>
        </w:rPr>
      </w:pPr>
    </w:p>
    <w:p w14:paraId="7B03BC4D" w14:textId="77777777" w:rsidR="006D2D23" w:rsidRPr="0046556E" w:rsidRDefault="006D2D23" w:rsidP="006D2D23">
      <w:pPr>
        <w:tabs>
          <w:tab w:val="left" w:pos="567"/>
        </w:tabs>
        <w:spacing w:line="260" w:lineRule="exact"/>
        <w:rPr>
          <w:snapToGrid w:val="0"/>
          <w:szCs w:val="24"/>
          <w:lang w:eastAsia="en-US"/>
        </w:rPr>
      </w:pPr>
    </w:p>
    <w:p w14:paraId="595BBDF9" w14:textId="77777777" w:rsidR="006D2D23" w:rsidRPr="0046556E" w:rsidRDefault="006D2D23" w:rsidP="006D2D23">
      <w:pPr>
        <w:tabs>
          <w:tab w:val="left" w:pos="567"/>
        </w:tabs>
        <w:spacing w:line="260" w:lineRule="exact"/>
        <w:rPr>
          <w:snapToGrid w:val="0"/>
          <w:szCs w:val="24"/>
          <w:lang w:eastAsia="en-US"/>
        </w:rPr>
      </w:pPr>
    </w:p>
    <w:p w14:paraId="2F93D7CB" w14:textId="77777777" w:rsidR="006D2D23" w:rsidRPr="0046556E" w:rsidRDefault="006D2D23" w:rsidP="006D2D23">
      <w:pPr>
        <w:tabs>
          <w:tab w:val="left" w:pos="567"/>
        </w:tabs>
        <w:spacing w:line="260" w:lineRule="exact"/>
        <w:rPr>
          <w:snapToGrid w:val="0"/>
          <w:szCs w:val="24"/>
          <w:lang w:eastAsia="en-US"/>
        </w:rPr>
      </w:pPr>
    </w:p>
    <w:p w14:paraId="55CA5485" w14:textId="77777777" w:rsidR="006D2D23" w:rsidRPr="0046556E" w:rsidRDefault="006D2D23" w:rsidP="006D2D23">
      <w:pPr>
        <w:tabs>
          <w:tab w:val="left" w:pos="567"/>
        </w:tabs>
        <w:spacing w:line="260" w:lineRule="exact"/>
        <w:rPr>
          <w:snapToGrid w:val="0"/>
          <w:szCs w:val="24"/>
          <w:lang w:eastAsia="en-US"/>
        </w:rPr>
      </w:pPr>
    </w:p>
    <w:p w14:paraId="4E1960FC" w14:textId="77777777" w:rsidR="006D2D23" w:rsidRPr="0046556E" w:rsidRDefault="006D2D23" w:rsidP="006D2D23">
      <w:pPr>
        <w:tabs>
          <w:tab w:val="left" w:pos="567"/>
        </w:tabs>
        <w:spacing w:line="260" w:lineRule="exact"/>
        <w:rPr>
          <w:snapToGrid w:val="0"/>
          <w:szCs w:val="24"/>
          <w:lang w:eastAsia="en-US"/>
        </w:rPr>
      </w:pPr>
    </w:p>
    <w:p w14:paraId="3EAA8840" w14:textId="77777777" w:rsidR="006D2D23" w:rsidRPr="0046556E" w:rsidRDefault="006D2D23" w:rsidP="006D2D23">
      <w:pPr>
        <w:tabs>
          <w:tab w:val="left" w:pos="567"/>
        </w:tabs>
        <w:spacing w:line="260" w:lineRule="exact"/>
        <w:rPr>
          <w:snapToGrid w:val="0"/>
          <w:szCs w:val="24"/>
          <w:lang w:eastAsia="en-US"/>
        </w:rPr>
      </w:pPr>
    </w:p>
    <w:p w14:paraId="2F39DDE3" w14:textId="77777777" w:rsidR="006D2D23" w:rsidRPr="0046556E" w:rsidRDefault="006D2D23" w:rsidP="006D2D23">
      <w:pPr>
        <w:tabs>
          <w:tab w:val="left" w:pos="567"/>
        </w:tabs>
        <w:spacing w:line="260" w:lineRule="exact"/>
        <w:rPr>
          <w:snapToGrid w:val="0"/>
          <w:szCs w:val="24"/>
          <w:lang w:eastAsia="en-US"/>
        </w:rPr>
      </w:pPr>
    </w:p>
    <w:p w14:paraId="5A0210C0" w14:textId="77777777" w:rsidR="006D2D23" w:rsidRPr="0046556E" w:rsidRDefault="006D2D23" w:rsidP="006D2D23">
      <w:pPr>
        <w:tabs>
          <w:tab w:val="left" w:pos="567"/>
        </w:tabs>
        <w:spacing w:line="260" w:lineRule="exact"/>
        <w:rPr>
          <w:snapToGrid w:val="0"/>
          <w:szCs w:val="24"/>
          <w:lang w:eastAsia="en-US"/>
        </w:rPr>
      </w:pPr>
    </w:p>
    <w:p w14:paraId="1C4973F0" w14:textId="77777777" w:rsidR="006D2D23" w:rsidRPr="0046556E" w:rsidRDefault="006D2D23" w:rsidP="006D2D23">
      <w:pPr>
        <w:tabs>
          <w:tab w:val="left" w:pos="567"/>
        </w:tabs>
        <w:spacing w:line="260" w:lineRule="exact"/>
        <w:rPr>
          <w:snapToGrid w:val="0"/>
          <w:szCs w:val="24"/>
          <w:lang w:eastAsia="en-US"/>
        </w:rPr>
      </w:pPr>
    </w:p>
    <w:p w14:paraId="48F17E07" w14:textId="77777777" w:rsidR="006D2D23" w:rsidRPr="0046556E" w:rsidRDefault="006D2D23" w:rsidP="006D2D23">
      <w:pPr>
        <w:tabs>
          <w:tab w:val="left" w:pos="567"/>
        </w:tabs>
        <w:spacing w:line="260" w:lineRule="exact"/>
        <w:rPr>
          <w:snapToGrid w:val="0"/>
          <w:szCs w:val="24"/>
          <w:lang w:eastAsia="en-US"/>
        </w:rPr>
      </w:pPr>
    </w:p>
    <w:p w14:paraId="737CA317" w14:textId="77777777" w:rsidR="006D2D23" w:rsidRPr="0046556E" w:rsidRDefault="006D2D23" w:rsidP="006D2D23">
      <w:pPr>
        <w:tabs>
          <w:tab w:val="left" w:pos="567"/>
        </w:tabs>
        <w:spacing w:line="260" w:lineRule="exact"/>
        <w:rPr>
          <w:snapToGrid w:val="0"/>
          <w:szCs w:val="24"/>
          <w:lang w:eastAsia="en-US"/>
        </w:rPr>
      </w:pPr>
    </w:p>
    <w:p w14:paraId="0F898D50" w14:textId="77777777" w:rsidR="006D2D23" w:rsidRPr="0046556E" w:rsidRDefault="006D2D23" w:rsidP="006D2D23">
      <w:pPr>
        <w:tabs>
          <w:tab w:val="left" w:pos="567"/>
        </w:tabs>
        <w:spacing w:line="260" w:lineRule="exact"/>
        <w:rPr>
          <w:snapToGrid w:val="0"/>
          <w:szCs w:val="24"/>
          <w:lang w:eastAsia="en-US"/>
        </w:rPr>
      </w:pPr>
    </w:p>
    <w:p w14:paraId="2AFEF587" w14:textId="77777777" w:rsidR="006D2D23" w:rsidRPr="0046556E" w:rsidRDefault="006D2D23" w:rsidP="006D2D23">
      <w:pPr>
        <w:tabs>
          <w:tab w:val="left" w:pos="567"/>
        </w:tabs>
        <w:spacing w:line="260" w:lineRule="exact"/>
        <w:rPr>
          <w:snapToGrid w:val="0"/>
          <w:szCs w:val="24"/>
          <w:lang w:eastAsia="en-US"/>
        </w:rPr>
      </w:pPr>
    </w:p>
    <w:p w14:paraId="121E101E" w14:textId="77777777" w:rsidR="006D2D23" w:rsidRPr="0046556E" w:rsidRDefault="006D2D23" w:rsidP="006D2D23">
      <w:pPr>
        <w:tabs>
          <w:tab w:val="left" w:pos="567"/>
        </w:tabs>
        <w:spacing w:line="260" w:lineRule="exact"/>
        <w:rPr>
          <w:snapToGrid w:val="0"/>
          <w:szCs w:val="24"/>
          <w:lang w:eastAsia="en-US"/>
        </w:rPr>
      </w:pPr>
    </w:p>
    <w:p w14:paraId="265CFABC" w14:textId="77777777" w:rsidR="006D2D23" w:rsidRPr="0046556E" w:rsidRDefault="006D2D23" w:rsidP="006D2D23">
      <w:pPr>
        <w:tabs>
          <w:tab w:val="left" w:pos="567"/>
        </w:tabs>
        <w:spacing w:line="260" w:lineRule="exact"/>
        <w:jc w:val="center"/>
        <w:rPr>
          <w:b/>
          <w:snapToGrid w:val="0"/>
          <w:lang w:eastAsia="en-US"/>
        </w:rPr>
      </w:pPr>
    </w:p>
    <w:p w14:paraId="580BBBBD" w14:textId="77777777" w:rsidR="006D2D23" w:rsidRPr="0046556E" w:rsidRDefault="006D2D23" w:rsidP="006D2D23">
      <w:pPr>
        <w:tabs>
          <w:tab w:val="left" w:pos="567"/>
        </w:tabs>
        <w:spacing w:line="260" w:lineRule="exact"/>
        <w:jc w:val="center"/>
        <w:rPr>
          <w:b/>
          <w:snapToGrid w:val="0"/>
          <w:lang w:eastAsia="en-US"/>
        </w:rPr>
      </w:pPr>
    </w:p>
    <w:p w14:paraId="552E1966" w14:textId="77777777" w:rsidR="006D2D23" w:rsidRDefault="006D2D23" w:rsidP="006D2D23">
      <w:pPr>
        <w:tabs>
          <w:tab w:val="left" w:pos="567"/>
        </w:tabs>
        <w:spacing w:line="260" w:lineRule="exact"/>
        <w:jc w:val="center"/>
        <w:rPr>
          <w:b/>
          <w:snapToGrid w:val="0"/>
          <w:lang w:eastAsia="en-US"/>
        </w:rPr>
      </w:pPr>
    </w:p>
    <w:p w14:paraId="27A0475D" w14:textId="77777777" w:rsidR="006110C7" w:rsidRPr="0046556E" w:rsidRDefault="006110C7" w:rsidP="006D2D23">
      <w:pPr>
        <w:tabs>
          <w:tab w:val="left" w:pos="567"/>
        </w:tabs>
        <w:spacing w:line="260" w:lineRule="exact"/>
        <w:jc w:val="center"/>
        <w:rPr>
          <w:b/>
          <w:snapToGrid w:val="0"/>
          <w:lang w:eastAsia="en-US"/>
        </w:rPr>
      </w:pPr>
    </w:p>
    <w:p w14:paraId="36220F70" w14:textId="77777777" w:rsidR="006D2D23" w:rsidRPr="0046556E" w:rsidRDefault="006D2D23" w:rsidP="006D2D23">
      <w:pPr>
        <w:tabs>
          <w:tab w:val="left" w:pos="567"/>
        </w:tabs>
        <w:spacing w:line="260" w:lineRule="exact"/>
        <w:jc w:val="center"/>
        <w:rPr>
          <w:b/>
          <w:snapToGrid w:val="0"/>
          <w:lang w:eastAsia="en-US"/>
        </w:rPr>
      </w:pPr>
      <w:r w:rsidRPr="0046556E">
        <w:rPr>
          <w:b/>
          <w:snapToGrid w:val="0"/>
          <w:lang w:eastAsia="en-US"/>
        </w:rPr>
        <w:t>II PRIEDAS</w:t>
      </w:r>
    </w:p>
    <w:p w14:paraId="53B6FF6C" w14:textId="77777777" w:rsidR="006D2D23" w:rsidRPr="0046556E" w:rsidRDefault="006D2D23" w:rsidP="006D2D23">
      <w:pPr>
        <w:tabs>
          <w:tab w:val="left" w:pos="567"/>
        </w:tabs>
        <w:spacing w:line="260" w:lineRule="exact"/>
        <w:ind w:left="1701" w:right="1416" w:hanging="567"/>
        <w:rPr>
          <w:snapToGrid w:val="0"/>
          <w:lang w:eastAsia="en-US"/>
        </w:rPr>
      </w:pPr>
    </w:p>
    <w:p w14:paraId="2E71B3DE" w14:textId="77777777" w:rsidR="006D2D23" w:rsidRPr="0046556E" w:rsidRDefault="006D2D23" w:rsidP="006D2D23">
      <w:pPr>
        <w:tabs>
          <w:tab w:val="left" w:pos="567"/>
        </w:tabs>
        <w:spacing w:line="260" w:lineRule="exact"/>
        <w:jc w:val="center"/>
        <w:rPr>
          <w:i/>
          <w:snapToGrid w:val="0"/>
          <w:lang w:eastAsia="en-US"/>
        </w:rPr>
      </w:pPr>
      <w:r w:rsidRPr="0046556E">
        <w:rPr>
          <w:b/>
          <w:snapToGrid w:val="0"/>
          <w:lang w:eastAsia="en-US"/>
        </w:rPr>
        <w:t>REGISTRACIJOS SĄLYGOS</w:t>
      </w:r>
    </w:p>
    <w:p w14:paraId="5B0E191F" w14:textId="77777777" w:rsidR="006D2D23" w:rsidRPr="0046556E" w:rsidRDefault="006D2D23" w:rsidP="006D2D23">
      <w:pPr>
        <w:tabs>
          <w:tab w:val="left" w:pos="567"/>
        </w:tabs>
        <w:spacing w:line="260" w:lineRule="exact"/>
        <w:rPr>
          <w:snapToGrid w:val="0"/>
          <w:lang w:eastAsia="en-US"/>
        </w:rPr>
      </w:pPr>
    </w:p>
    <w:p w14:paraId="46E6B36C" w14:textId="77777777" w:rsidR="006D2D23" w:rsidRPr="0046556E" w:rsidRDefault="006D2D23" w:rsidP="006D2D23">
      <w:pPr>
        <w:tabs>
          <w:tab w:val="left" w:pos="567"/>
          <w:tab w:val="left" w:pos="1701"/>
        </w:tabs>
        <w:spacing w:line="260" w:lineRule="exact"/>
        <w:ind w:left="1701" w:right="567" w:hanging="567"/>
        <w:rPr>
          <w:b/>
          <w:snapToGrid w:val="0"/>
          <w:szCs w:val="24"/>
          <w:lang w:eastAsia="en-US"/>
        </w:rPr>
      </w:pPr>
      <w:r w:rsidRPr="0046556E">
        <w:rPr>
          <w:b/>
          <w:snapToGrid w:val="0"/>
          <w:szCs w:val="24"/>
          <w:lang w:eastAsia="en-US"/>
        </w:rPr>
        <w:t>A.</w:t>
      </w:r>
      <w:r w:rsidRPr="0046556E">
        <w:rPr>
          <w:b/>
          <w:snapToGrid w:val="0"/>
          <w:szCs w:val="24"/>
          <w:lang w:eastAsia="en-US"/>
        </w:rPr>
        <w:tab/>
        <w:t>GAMINTOJAS (-AI), ATSAKINGAS (-I) UŽ SERIJŲ IŠLEIDIMĄ</w:t>
      </w:r>
    </w:p>
    <w:p w14:paraId="1B7E0510" w14:textId="77777777" w:rsidR="006D2D23" w:rsidRPr="0046556E" w:rsidRDefault="006D2D23" w:rsidP="006D2D23">
      <w:pPr>
        <w:tabs>
          <w:tab w:val="left" w:pos="567"/>
          <w:tab w:val="left" w:pos="1701"/>
        </w:tabs>
        <w:spacing w:line="260" w:lineRule="exact"/>
        <w:ind w:left="567" w:right="567" w:hanging="567"/>
        <w:rPr>
          <w:snapToGrid w:val="0"/>
          <w:szCs w:val="24"/>
          <w:lang w:eastAsia="en-US"/>
        </w:rPr>
      </w:pPr>
    </w:p>
    <w:p w14:paraId="4C94ED96" w14:textId="77777777" w:rsidR="006D2D23" w:rsidRPr="0046556E" w:rsidRDefault="006D2D23" w:rsidP="006D2D23">
      <w:pPr>
        <w:tabs>
          <w:tab w:val="left" w:pos="567"/>
          <w:tab w:val="left" w:pos="1701"/>
        </w:tabs>
        <w:spacing w:line="260" w:lineRule="exact"/>
        <w:ind w:left="1701" w:right="567" w:hanging="567"/>
        <w:rPr>
          <w:b/>
          <w:snapToGrid w:val="0"/>
          <w:lang w:eastAsia="en-US"/>
        </w:rPr>
      </w:pPr>
      <w:r w:rsidRPr="0046556E">
        <w:rPr>
          <w:b/>
          <w:snapToGrid w:val="0"/>
          <w:lang w:eastAsia="en-US"/>
        </w:rPr>
        <w:t>B.</w:t>
      </w:r>
      <w:r w:rsidRPr="0046556E">
        <w:rPr>
          <w:b/>
          <w:snapToGrid w:val="0"/>
          <w:lang w:eastAsia="en-US"/>
        </w:rPr>
        <w:tab/>
        <w:t>TIEKIMO IR VARTOJIMO SĄLYGOS AR APRIBOJIMAI</w:t>
      </w:r>
    </w:p>
    <w:p w14:paraId="086B64DE" w14:textId="77777777" w:rsidR="006D2D23" w:rsidRPr="0046556E" w:rsidRDefault="006D2D23" w:rsidP="006D2D23">
      <w:pPr>
        <w:tabs>
          <w:tab w:val="left" w:pos="567"/>
          <w:tab w:val="left" w:pos="1701"/>
        </w:tabs>
        <w:spacing w:line="260" w:lineRule="exact"/>
        <w:ind w:right="567"/>
        <w:rPr>
          <w:b/>
          <w:snapToGrid w:val="0"/>
          <w:szCs w:val="24"/>
          <w:lang w:eastAsia="en-US"/>
        </w:rPr>
      </w:pPr>
      <w:r w:rsidRPr="0046556E">
        <w:rPr>
          <w:snapToGrid w:val="0"/>
          <w:lang w:eastAsia="en-US"/>
        </w:rPr>
        <w:br w:type="page"/>
      </w:r>
      <w:r w:rsidRPr="0046556E">
        <w:rPr>
          <w:b/>
          <w:snapToGrid w:val="0"/>
          <w:lang w:eastAsia="en-US"/>
        </w:rPr>
        <w:lastRenderedPageBreak/>
        <w:t>A.</w:t>
      </w:r>
      <w:r w:rsidRPr="0046556E">
        <w:rPr>
          <w:b/>
          <w:snapToGrid w:val="0"/>
          <w:szCs w:val="24"/>
          <w:lang w:eastAsia="en-US"/>
        </w:rPr>
        <w:tab/>
      </w:r>
      <w:r w:rsidRPr="0046556E">
        <w:rPr>
          <w:b/>
          <w:snapToGrid w:val="0"/>
          <w:lang w:eastAsia="en-US"/>
        </w:rPr>
        <w:t>GAMINTOJAS (-AI), ATSAKINGAS (-I) UŽ SERIJŲ IŠLEIDIMĄ</w:t>
      </w:r>
    </w:p>
    <w:p w14:paraId="1B09562B" w14:textId="77777777" w:rsidR="006D2D23" w:rsidRPr="0046556E" w:rsidRDefault="006D2D23" w:rsidP="006D2D23">
      <w:pPr>
        <w:tabs>
          <w:tab w:val="left" w:pos="567"/>
        </w:tabs>
        <w:spacing w:line="260" w:lineRule="exact"/>
        <w:rPr>
          <w:snapToGrid w:val="0"/>
          <w:szCs w:val="24"/>
          <w:lang w:eastAsia="en-US"/>
        </w:rPr>
      </w:pPr>
    </w:p>
    <w:p w14:paraId="503B67F7" w14:textId="77777777" w:rsidR="006D2D23" w:rsidRPr="0046556E" w:rsidRDefault="006D2D23" w:rsidP="006D2D23">
      <w:pPr>
        <w:tabs>
          <w:tab w:val="left" w:pos="567"/>
        </w:tabs>
        <w:jc w:val="both"/>
        <w:rPr>
          <w:snapToGrid w:val="0"/>
          <w:szCs w:val="24"/>
          <w:lang w:eastAsia="en-US"/>
        </w:rPr>
      </w:pPr>
      <w:r w:rsidRPr="0046556E">
        <w:rPr>
          <w:snapToGrid w:val="0"/>
          <w:szCs w:val="24"/>
          <w:u w:val="single"/>
          <w:lang w:eastAsia="en-US"/>
        </w:rPr>
        <w:t>Gamintojų, atsakingų už serijų išleidimą, pavadinimai ir adresa</w:t>
      </w:r>
      <w:r w:rsidR="005579C1">
        <w:rPr>
          <w:snapToGrid w:val="0"/>
          <w:szCs w:val="24"/>
          <w:u w:val="single"/>
          <w:lang w:eastAsia="en-US"/>
        </w:rPr>
        <w:t>i</w:t>
      </w:r>
    </w:p>
    <w:p w14:paraId="12105F5A" w14:textId="77777777" w:rsidR="00762E49" w:rsidRPr="0046556E" w:rsidRDefault="00762E49" w:rsidP="003A4874">
      <w:pPr>
        <w:tabs>
          <w:tab w:val="left" w:pos="567"/>
        </w:tabs>
        <w:rPr>
          <w:szCs w:val="22"/>
          <w:lang w:eastAsia="en-US"/>
        </w:rPr>
      </w:pPr>
    </w:p>
    <w:p w14:paraId="1926B366" w14:textId="77777777" w:rsidR="003A4874" w:rsidRPr="0046556E" w:rsidRDefault="003A4874" w:rsidP="003A4874">
      <w:pPr>
        <w:tabs>
          <w:tab w:val="left" w:pos="567"/>
        </w:tabs>
        <w:rPr>
          <w:szCs w:val="22"/>
          <w:lang w:eastAsia="en-US"/>
        </w:rPr>
      </w:pPr>
      <w:r w:rsidRPr="0046556E">
        <w:rPr>
          <w:szCs w:val="22"/>
          <w:lang w:eastAsia="en-US"/>
        </w:rPr>
        <w:t xml:space="preserve">Salutas Pharma GmbH </w:t>
      </w:r>
    </w:p>
    <w:p w14:paraId="7CBD1044" w14:textId="77777777" w:rsidR="003A4874" w:rsidRPr="0046556E" w:rsidRDefault="00463046" w:rsidP="003A4874">
      <w:pPr>
        <w:tabs>
          <w:tab w:val="left" w:pos="567"/>
        </w:tabs>
        <w:rPr>
          <w:rFonts w:eastAsia="Calibri"/>
          <w:szCs w:val="22"/>
          <w:lang w:eastAsia="en-US"/>
        </w:rPr>
      </w:pPr>
      <w:r>
        <w:rPr>
          <w:rFonts w:eastAsia="Calibri"/>
          <w:szCs w:val="22"/>
          <w:lang w:eastAsia="en-US"/>
        </w:rPr>
        <w:t>Otto-von-Gueri</w:t>
      </w:r>
      <w:r w:rsidR="00D12BB1">
        <w:rPr>
          <w:rFonts w:eastAsia="Calibri"/>
          <w:szCs w:val="22"/>
          <w:lang w:eastAsia="en-US"/>
        </w:rPr>
        <w:t>c</w:t>
      </w:r>
      <w:r>
        <w:rPr>
          <w:rFonts w:eastAsia="Calibri"/>
          <w:szCs w:val="22"/>
          <w:lang w:eastAsia="en-US"/>
        </w:rPr>
        <w:t>ke</w:t>
      </w:r>
      <w:r w:rsidR="00D12BB1">
        <w:rPr>
          <w:rFonts w:eastAsia="Calibri"/>
          <w:szCs w:val="22"/>
          <w:lang w:eastAsia="en-US"/>
        </w:rPr>
        <w:t>-Alee</w:t>
      </w:r>
      <w:r w:rsidR="003A4874" w:rsidRPr="0046556E">
        <w:rPr>
          <w:rFonts w:eastAsia="Calibri"/>
          <w:szCs w:val="22"/>
          <w:lang w:eastAsia="en-US"/>
        </w:rPr>
        <w:t xml:space="preserve"> </w:t>
      </w:r>
      <w:r w:rsidR="00D12BB1">
        <w:rPr>
          <w:rFonts w:eastAsia="Calibri"/>
          <w:szCs w:val="22"/>
          <w:lang w:eastAsia="en-US"/>
        </w:rPr>
        <w:t>1</w:t>
      </w:r>
      <w:r w:rsidR="003A4874" w:rsidRPr="0046556E">
        <w:rPr>
          <w:rFonts w:eastAsia="Calibri"/>
          <w:szCs w:val="22"/>
          <w:lang w:eastAsia="en-US"/>
        </w:rPr>
        <w:br/>
      </w:r>
      <w:r w:rsidR="00D12BB1">
        <w:rPr>
          <w:rFonts w:eastAsia="Calibri"/>
          <w:szCs w:val="22"/>
          <w:lang w:eastAsia="en-US"/>
        </w:rPr>
        <w:t>Sachsen-Anhalt, 39179 Barleben</w:t>
      </w:r>
      <w:r w:rsidR="003A4874" w:rsidRPr="0046556E">
        <w:rPr>
          <w:rFonts w:eastAsia="Calibri"/>
          <w:szCs w:val="22"/>
          <w:lang w:eastAsia="en-US"/>
        </w:rPr>
        <w:br/>
        <w:t>Vokietija</w:t>
      </w:r>
    </w:p>
    <w:p w14:paraId="7C25F417" w14:textId="77777777" w:rsidR="00762E49" w:rsidRDefault="00762E49" w:rsidP="006D2D23">
      <w:pPr>
        <w:tabs>
          <w:tab w:val="left" w:pos="567"/>
        </w:tabs>
        <w:spacing w:line="260" w:lineRule="exact"/>
        <w:rPr>
          <w:snapToGrid w:val="0"/>
          <w:szCs w:val="24"/>
          <w:lang w:eastAsia="en-US"/>
        </w:rPr>
      </w:pPr>
    </w:p>
    <w:p w14:paraId="57120C11" w14:textId="77777777" w:rsidR="0065776B" w:rsidRDefault="0065776B" w:rsidP="006D2D23">
      <w:pPr>
        <w:tabs>
          <w:tab w:val="left" w:pos="567"/>
        </w:tabs>
        <w:spacing w:line="260" w:lineRule="exact"/>
        <w:rPr>
          <w:snapToGrid w:val="0"/>
          <w:szCs w:val="24"/>
          <w:lang w:eastAsia="en-US"/>
        </w:rPr>
      </w:pPr>
      <w:r>
        <w:rPr>
          <w:snapToGrid w:val="0"/>
          <w:szCs w:val="24"/>
          <w:lang w:eastAsia="en-US"/>
        </w:rPr>
        <w:t>arba</w:t>
      </w:r>
    </w:p>
    <w:p w14:paraId="6A65CFCD" w14:textId="77777777" w:rsidR="0065776B" w:rsidRDefault="0065776B" w:rsidP="006D2D23">
      <w:pPr>
        <w:tabs>
          <w:tab w:val="left" w:pos="567"/>
        </w:tabs>
        <w:spacing w:line="260" w:lineRule="exact"/>
        <w:rPr>
          <w:snapToGrid w:val="0"/>
          <w:szCs w:val="24"/>
          <w:lang w:eastAsia="en-US"/>
        </w:rPr>
      </w:pPr>
    </w:p>
    <w:p w14:paraId="5EE1CD54" w14:textId="77777777" w:rsidR="0065776B" w:rsidRDefault="0065776B" w:rsidP="006D2D23">
      <w:pPr>
        <w:tabs>
          <w:tab w:val="left" w:pos="567"/>
        </w:tabs>
        <w:spacing w:line="260" w:lineRule="exact"/>
        <w:rPr>
          <w:snapToGrid w:val="0"/>
          <w:szCs w:val="24"/>
          <w:lang w:eastAsia="en-US"/>
        </w:rPr>
      </w:pPr>
      <w:r>
        <w:rPr>
          <w:snapToGrid w:val="0"/>
          <w:szCs w:val="24"/>
          <w:lang w:eastAsia="en-US"/>
        </w:rPr>
        <w:t xml:space="preserve">Pharmadox </w:t>
      </w:r>
      <w:r w:rsidR="001C653F" w:rsidRPr="001C653F">
        <w:rPr>
          <w:snapToGrid w:val="0"/>
          <w:szCs w:val="24"/>
          <w:lang w:eastAsia="en-US"/>
        </w:rPr>
        <w:t>Healthcare</w:t>
      </w:r>
      <w:r w:rsidR="001C653F">
        <w:rPr>
          <w:snapToGrid w:val="0"/>
          <w:szCs w:val="24"/>
          <w:lang w:eastAsia="en-US"/>
        </w:rPr>
        <w:t xml:space="preserve"> </w:t>
      </w:r>
      <w:r>
        <w:rPr>
          <w:snapToGrid w:val="0"/>
          <w:szCs w:val="24"/>
          <w:lang w:eastAsia="en-US"/>
        </w:rPr>
        <w:t>Ltd.</w:t>
      </w:r>
    </w:p>
    <w:p w14:paraId="178EF1E6" w14:textId="77777777" w:rsidR="0065776B" w:rsidRDefault="0065776B" w:rsidP="006D2D23">
      <w:pPr>
        <w:tabs>
          <w:tab w:val="left" w:pos="567"/>
        </w:tabs>
        <w:spacing w:line="260" w:lineRule="exact"/>
        <w:rPr>
          <w:snapToGrid w:val="0"/>
          <w:szCs w:val="24"/>
          <w:lang w:eastAsia="en-US"/>
        </w:rPr>
      </w:pPr>
      <w:r>
        <w:rPr>
          <w:snapToGrid w:val="0"/>
          <w:szCs w:val="24"/>
          <w:lang w:eastAsia="en-US"/>
        </w:rPr>
        <w:t>KW20A Kordin Industrial Park</w:t>
      </w:r>
    </w:p>
    <w:p w14:paraId="61E2CAFC" w14:textId="77777777" w:rsidR="0065776B" w:rsidRDefault="0065776B" w:rsidP="006D2D23">
      <w:pPr>
        <w:tabs>
          <w:tab w:val="left" w:pos="567"/>
        </w:tabs>
        <w:spacing w:line="260" w:lineRule="exact"/>
        <w:rPr>
          <w:snapToGrid w:val="0"/>
          <w:szCs w:val="24"/>
          <w:lang w:eastAsia="en-US"/>
        </w:rPr>
      </w:pPr>
      <w:r>
        <w:rPr>
          <w:snapToGrid w:val="0"/>
          <w:szCs w:val="24"/>
          <w:lang w:eastAsia="en-US"/>
        </w:rPr>
        <w:t>Paola PLA 3000</w:t>
      </w:r>
    </w:p>
    <w:p w14:paraId="54921BDC" w14:textId="77777777" w:rsidR="0065776B" w:rsidRDefault="0065776B" w:rsidP="006D2D23">
      <w:pPr>
        <w:tabs>
          <w:tab w:val="left" w:pos="567"/>
        </w:tabs>
        <w:spacing w:line="260" w:lineRule="exact"/>
        <w:rPr>
          <w:snapToGrid w:val="0"/>
          <w:szCs w:val="24"/>
          <w:lang w:eastAsia="en-US"/>
        </w:rPr>
      </w:pPr>
      <w:r>
        <w:rPr>
          <w:snapToGrid w:val="0"/>
          <w:szCs w:val="24"/>
          <w:lang w:eastAsia="en-US"/>
        </w:rPr>
        <w:t>Malta</w:t>
      </w:r>
    </w:p>
    <w:p w14:paraId="0443997F" w14:textId="77777777" w:rsidR="0065776B" w:rsidRDefault="0065776B" w:rsidP="006D2D23">
      <w:pPr>
        <w:tabs>
          <w:tab w:val="left" w:pos="567"/>
        </w:tabs>
        <w:spacing w:line="260" w:lineRule="exact"/>
        <w:rPr>
          <w:snapToGrid w:val="0"/>
          <w:szCs w:val="24"/>
          <w:lang w:eastAsia="en-US"/>
        </w:rPr>
      </w:pPr>
    </w:p>
    <w:p w14:paraId="3064570F" w14:textId="77777777" w:rsidR="00CC3FE2" w:rsidRDefault="00331D43" w:rsidP="006D2D23">
      <w:pPr>
        <w:tabs>
          <w:tab w:val="left" w:pos="567"/>
        </w:tabs>
        <w:spacing w:line="260" w:lineRule="exact"/>
        <w:rPr>
          <w:snapToGrid w:val="0"/>
          <w:szCs w:val="24"/>
          <w:lang w:eastAsia="en-US"/>
        </w:rPr>
      </w:pPr>
      <w:r w:rsidRPr="00331D43">
        <w:rPr>
          <w:snapToGrid w:val="0"/>
          <w:szCs w:val="24"/>
          <w:lang w:eastAsia="en-US"/>
        </w:rPr>
        <w:t>Su pakuote pateikiamame lapelyje nurodomas gamintojo, atsakingo už konkrečios serijos išleidimą, pavadinimas ir adresas.</w:t>
      </w:r>
    </w:p>
    <w:p w14:paraId="146C9D97" w14:textId="77777777" w:rsidR="00331D43" w:rsidRPr="0046556E" w:rsidRDefault="00331D43" w:rsidP="006D2D23">
      <w:pPr>
        <w:tabs>
          <w:tab w:val="left" w:pos="567"/>
        </w:tabs>
        <w:spacing w:line="260" w:lineRule="exact"/>
        <w:rPr>
          <w:snapToGrid w:val="0"/>
          <w:szCs w:val="24"/>
          <w:lang w:eastAsia="en-US"/>
        </w:rPr>
      </w:pPr>
    </w:p>
    <w:p w14:paraId="25E653BE" w14:textId="77777777" w:rsidR="00762E49" w:rsidRPr="0046556E" w:rsidRDefault="00762E49" w:rsidP="006D2D23">
      <w:pPr>
        <w:tabs>
          <w:tab w:val="left" w:pos="567"/>
        </w:tabs>
        <w:spacing w:line="260" w:lineRule="exact"/>
        <w:rPr>
          <w:snapToGrid w:val="0"/>
          <w:szCs w:val="24"/>
          <w:lang w:eastAsia="en-US"/>
        </w:rPr>
      </w:pPr>
    </w:p>
    <w:p w14:paraId="1027681C" w14:textId="77777777" w:rsidR="006D2D23" w:rsidRPr="0046556E" w:rsidRDefault="006D2D23" w:rsidP="006D2D23">
      <w:pPr>
        <w:tabs>
          <w:tab w:val="left" w:pos="567"/>
        </w:tabs>
        <w:ind w:left="567" w:hanging="567"/>
        <w:rPr>
          <w:snapToGrid w:val="0"/>
          <w:szCs w:val="24"/>
          <w:lang w:eastAsia="en-US"/>
        </w:rPr>
      </w:pPr>
      <w:r w:rsidRPr="0046556E">
        <w:rPr>
          <w:b/>
          <w:snapToGrid w:val="0"/>
          <w:szCs w:val="24"/>
          <w:lang w:eastAsia="en-US"/>
        </w:rPr>
        <w:t>B.</w:t>
      </w:r>
      <w:r w:rsidRPr="0046556E">
        <w:rPr>
          <w:b/>
          <w:snapToGrid w:val="0"/>
          <w:szCs w:val="24"/>
          <w:lang w:eastAsia="en-US"/>
        </w:rPr>
        <w:tab/>
        <w:t>TIEKIMO IR VARTOJIMO SĄLYGOS AR APRIBOJIMAI</w:t>
      </w:r>
    </w:p>
    <w:p w14:paraId="52D1A39B" w14:textId="77777777" w:rsidR="006D2D23" w:rsidRPr="0046556E" w:rsidRDefault="006D2D23" w:rsidP="006D2D23">
      <w:pPr>
        <w:tabs>
          <w:tab w:val="left" w:pos="567"/>
        </w:tabs>
        <w:spacing w:line="260" w:lineRule="exact"/>
        <w:rPr>
          <w:snapToGrid w:val="0"/>
          <w:szCs w:val="24"/>
          <w:lang w:eastAsia="en-US"/>
        </w:rPr>
      </w:pPr>
    </w:p>
    <w:p w14:paraId="4F7E5C4E" w14:textId="77777777" w:rsidR="006D2D23" w:rsidRPr="0046556E" w:rsidRDefault="006D2D23" w:rsidP="006D2D23">
      <w:pPr>
        <w:shd w:val="clear" w:color="auto" w:fill="FFFFFF"/>
        <w:tabs>
          <w:tab w:val="left" w:pos="567"/>
        </w:tabs>
        <w:rPr>
          <w:snapToGrid w:val="0"/>
          <w:lang w:eastAsia="en-US"/>
        </w:rPr>
      </w:pPr>
      <w:r w:rsidRPr="0046556E">
        <w:rPr>
          <w:snapToGrid w:val="0"/>
          <w:lang w:eastAsia="en-US"/>
        </w:rPr>
        <w:t>Receptinis vaistinis preparatas.</w:t>
      </w:r>
    </w:p>
    <w:p w14:paraId="3DA804DD" w14:textId="77777777" w:rsidR="006D2D23" w:rsidRPr="0046556E" w:rsidRDefault="006D2D23" w:rsidP="006D2D23">
      <w:pPr>
        <w:shd w:val="clear" w:color="auto" w:fill="FFFFFF"/>
        <w:tabs>
          <w:tab w:val="left" w:pos="567"/>
        </w:tabs>
        <w:rPr>
          <w:snapToGrid w:val="0"/>
          <w:lang w:eastAsia="en-US"/>
        </w:rPr>
      </w:pPr>
      <w:r w:rsidRPr="0046556E">
        <w:rPr>
          <w:snapToGrid w:val="0"/>
          <w:lang w:eastAsia="en-US"/>
        </w:rPr>
        <w:br w:type="page"/>
      </w:r>
    </w:p>
    <w:p w14:paraId="71CF54AB" w14:textId="77777777" w:rsidR="006D2D23" w:rsidRPr="0046556E" w:rsidRDefault="006D2D23" w:rsidP="006D2D23">
      <w:pPr>
        <w:shd w:val="clear" w:color="auto" w:fill="FFFFFF"/>
        <w:tabs>
          <w:tab w:val="left" w:pos="567"/>
        </w:tabs>
        <w:rPr>
          <w:snapToGrid w:val="0"/>
          <w:lang w:eastAsia="en-US"/>
        </w:rPr>
      </w:pPr>
    </w:p>
    <w:p w14:paraId="39F021C7" w14:textId="77777777" w:rsidR="006D2D23" w:rsidRPr="0046556E" w:rsidRDefault="006D2D23" w:rsidP="006D2D23">
      <w:pPr>
        <w:shd w:val="clear" w:color="auto" w:fill="FFFFFF"/>
        <w:tabs>
          <w:tab w:val="left" w:pos="567"/>
        </w:tabs>
        <w:rPr>
          <w:snapToGrid w:val="0"/>
          <w:lang w:eastAsia="en-US"/>
        </w:rPr>
      </w:pPr>
    </w:p>
    <w:p w14:paraId="4C4C9A4C" w14:textId="77777777" w:rsidR="006D2D23" w:rsidRPr="0046556E" w:rsidRDefault="006D2D23" w:rsidP="006D2D23">
      <w:pPr>
        <w:shd w:val="clear" w:color="auto" w:fill="FFFFFF"/>
        <w:tabs>
          <w:tab w:val="left" w:pos="567"/>
        </w:tabs>
        <w:rPr>
          <w:snapToGrid w:val="0"/>
          <w:lang w:eastAsia="en-US"/>
        </w:rPr>
      </w:pPr>
    </w:p>
    <w:p w14:paraId="31C828A2" w14:textId="77777777" w:rsidR="006D2D23" w:rsidRPr="0046556E" w:rsidRDefault="006D2D23" w:rsidP="006D2D23">
      <w:pPr>
        <w:shd w:val="clear" w:color="auto" w:fill="FFFFFF"/>
        <w:tabs>
          <w:tab w:val="left" w:pos="567"/>
        </w:tabs>
        <w:rPr>
          <w:snapToGrid w:val="0"/>
          <w:lang w:eastAsia="en-US"/>
        </w:rPr>
      </w:pPr>
    </w:p>
    <w:p w14:paraId="66CB8C37" w14:textId="77777777" w:rsidR="006D2D23" w:rsidRPr="0046556E" w:rsidRDefault="006D2D23" w:rsidP="006D2D23">
      <w:pPr>
        <w:shd w:val="clear" w:color="auto" w:fill="FFFFFF"/>
        <w:tabs>
          <w:tab w:val="left" w:pos="567"/>
        </w:tabs>
        <w:rPr>
          <w:snapToGrid w:val="0"/>
          <w:lang w:eastAsia="en-US"/>
        </w:rPr>
      </w:pPr>
    </w:p>
    <w:p w14:paraId="29CF111E" w14:textId="77777777" w:rsidR="006D2D23" w:rsidRPr="0046556E" w:rsidRDefault="006D2D23" w:rsidP="006D2D23">
      <w:pPr>
        <w:shd w:val="clear" w:color="auto" w:fill="FFFFFF"/>
        <w:tabs>
          <w:tab w:val="left" w:pos="567"/>
        </w:tabs>
        <w:rPr>
          <w:snapToGrid w:val="0"/>
          <w:lang w:eastAsia="en-US"/>
        </w:rPr>
      </w:pPr>
    </w:p>
    <w:p w14:paraId="07D07E66" w14:textId="77777777" w:rsidR="006D2D23" w:rsidRPr="0046556E" w:rsidRDefault="006D2D23" w:rsidP="006D2D23">
      <w:pPr>
        <w:shd w:val="clear" w:color="auto" w:fill="FFFFFF"/>
        <w:tabs>
          <w:tab w:val="left" w:pos="567"/>
        </w:tabs>
        <w:rPr>
          <w:snapToGrid w:val="0"/>
          <w:lang w:eastAsia="en-US"/>
        </w:rPr>
      </w:pPr>
    </w:p>
    <w:p w14:paraId="648DC201" w14:textId="77777777" w:rsidR="006D2D23" w:rsidRPr="0046556E" w:rsidRDefault="006D2D23" w:rsidP="006D2D23">
      <w:pPr>
        <w:shd w:val="clear" w:color="auto" w:fill="FFFFFF"/>
        <w:tabs>
          <w:tab w:val="left" w:pos="567"/>
        </w:tabs>
        <w:rPr>
          <w:snapToGrid w:val="0"/>
          <w:lang w:eastAsia="en-US"/>
        </w:rPr>
      </w:pPr>
    </w:p>
    <w:p w14:paraId="2D588DFC" w14:textId="77777777" w:rsidR="006D2D23" w:rsidRPr="0046556E" w:rsidRDefault="006D2D23" w:rsidP="006D2D23">
      <w:pPr>
        <w:shd w:val="clear" w:color="auto" w:fill="FFFFFF"/>
        <w:tabs>
          <w:tab w:val="left" w:pos="567"/>
        </w:tabs>
        <w:rPr>
          <w:snapToGrid w:val="0"/>
          <w:lang w:eastAsia="en-US"/>
        </w:rPr>
      </w:pPr>
    </w:p>
    <w:p w14:paraId="394BCC6C" w14:textId="77777777" w:rsidR="006D2D23" w:rsidRPr="0046556E" w:rsidRDefault="006D2D23" w:rsidP="006D2D23">
      <w:pPr>
        <w:shd w:val="clear" w:color="auto" w:fill="FFFFFF"/>
        <w:tabs>
          <w:tab w:val="left" w:pos="567"/>
        </w:tabs>
        <w:rPr>
          <w:snapToGrid w:val="0"/>
          <w:lang w:eastAsia="en-US"/>
        </w:rPr>
      </w:pPr>
    </w:p>
    <w:p w14:paraId="2BEE16D7" w14:textId="77777777" w:rsidR="006D2D23" w:rsidRPr="0046556E" w:rsidRDefault="006D2D23" w:rsidP="006D2D23">
      <w:pPr>
        <w:shd w:val="clear" w:color="auto" w:fill="FFFFFF"/>
        <w:tabs>
          <w:tab w:val="left" w:pos="567"/>
        </w:tabs>
        <w:rPr>
          <w:snapToGrid w:val="0"/>
          <w:lang w:eastAsia="en-US"/>
        </w:rPr>
      </w:pPr>
    </w:p>
    <w:p w14:paraId="67EEF425" w14:textId="77777777" w:rsidR="006D2D23" w:rsidRPr="0046556E" w:rsidRDefault="006D2D23" w:rsidP="006D2D23">
      <w:pPr>
        <w:shd w:val="clear" w:color="auto" w:fill="FFFFFF"/>
        <w:tabs>
          <w:tab w:val="left" w:pos="567"/>
        </w:tabs>
        <w:rPr>
          <w:snapToGrid w:val="0"/>
          <w:lang w:eastAsia="en-US"/>
        </w:rPr>
      </w:pPr>
    </w:p>
    <w:p w14:paraId="55191891" w14:textId="77777777" w:rsidR="006D2D23" w:rsidRPr="0046556E" w:rsidRDefault="006D2D23" w:rsidP="006D2D23">
      <w:pPr>
        <w:shd w:val="clear" w:color="auto" w:fill="FFFFFF"/>
        <w:tabs>
          <w:tab w:val="left" w:pos="567"/>
        </w:tabs>
        <w:rPr>
          <w:snapToGrid w:val="0"/>
          <w:lang w:eastAsia="en-US"/>
        </w:rPr>
      </w:pPr>
    </w:p>
    <w:p w14:paraId="3ED04672" w14:textId="77777777" w:rsidR="006D2D23" w:rsidRPr="0046556E" w:rsidRDefault="006D2D23" w:rsidP="006D2D23">
      <w:pPr>
        <w:shd w:val="clear" w:color="auto" w:fill="FFFFFF"/>
        <w:tabs>
          <w:tab w:val="left" w:pos="567"/>
        </w:tabs>
        <w:rPr>
          <w:snapToGrid w:val="0"/>
          <w:lang w:eastAsia="en-US"/>
        </w:rPr>
      </w:pPr>
    </w:p>
    <w:p w14:paraId="572B6019" w14:textId="77777777" w:rsidR="006D2D23" w:rsidRPr="0046556E" w:rsidRDefault="006D2D23" w:rsidP="006D2D23">
      <w:pPr>
        <w:shd w:val="clear" w:color="auto" w:fill="FFFFFF"/>
        <w:tabs>
          <w:tab w:val="left" w:pos="567"/>
        </w:tabs>
        <w:rPr>
          <w:snapToGrid w:val="0"/>
          <w:lang w:eastAsia="en-US"/>
        </w:rPr>
      </w:pPr>
    </w:p>
    <w:p w14:paraId="3612935F" w14:textId="77777777" w:rsidR="006D2D23" w:rsidRPr="0046556E" w:rsidRDefault="006D2D23" w:rsidP="006D2D23">
      <w:pPr>
        <w:shd w:val="clear" w:color="auto" w:fill="FFFFFF"/>
        <w:tabs>
          <w:tab w:val="left" w:pos="567"/>
        </w:tabs>
        <w:rPr>
          <w:snapToGrid w:val="0"/>
          <w:lang w:eastAsia="en-US"/>
        </w:rPr>
      </w:pPr>
    </w:p>
    <w:p w14:paraId="01AC79C2" w14:textId="77777777" w:rsidR="006D2D23" w:rsidRPr="0046556E" w:rsidRDefault="006D2D23" w:rsidP="006D2D23">
      <w:pPr>
        <w:shd w:val="clear" w:color="auto" w:fill="FFFFFF"/>
        <w:tabs>
          <w:tab w:val="left" w:pos="567"/>
        </w:tabs>
        <w:rPr>
          <w:b/>
          <w:snapToGrid w:val="0"/>
          <w:lang w:eastAsia="en-US"/>
        </w:rPr>
      </w:pPr>
    </w:p>
    <w:p w14:paraId="50C7BD93" w14:textId="77777777" w:rsidR="006D2D23" w:rsidRPr="0046556E" w:rsidRDefault="006D2D23" w:rsidP="006D2D23">
      <w:pPr>
        <w:shd w:val="clear" w:color="auto" w:fill="FFFFFF"/>
        <w:tabs>
          <w:tab w:val="left" w:pos="567"/>
        </w:tabs>
        <w:rPr>
          <w:b/>
          <w:snapToGrid w:val="0"/>
          <w:lang w:eastAsia="en-US"/>
        </w:rPr>
      </w:pPr>
    </w:p>
    <w:p w14:paraId="19C08FCB" w14:textId="77777777" w:rsidR="006D2D23" w:rsidRPr="0046556E" w:rsidRDefault="006D2D23" w:rsidP="006D2D23">
      <w:pPr>
        <w:shd w:val="clear" w:color="auto" w:fill="FFFFFF"/>
        <w:tabs>
          <w:tab w:val="left" w:pos="567"/>
        </w:tabs>
        <w:rPr>
          <w:b/>
          <w:snapToGrid w:val="0"/>
          <w:lang w:eastAsia="en-US"/>
        </w:rPr>
      </w:pPr>
    </w:p>
    <w:p w14:paraId="0B590BA2" w14:textId="77777777" w:rsidR="006D2D23" w:rsidRPr="0046556E" w:rsidRDefault="006D2D23" w:rsidP="006D2D23">
      <w:pPr>
        <w:shd w:val="clear" w:color="auto" w:fill="FFFFFF"/>
        <w:tabs>
          <w:tab w:val="left" w:pos="567"/>
        </w:tabs>
        <w:rPr>
          <w:b/>
          <w:snapToGrid w:val="0"/>
          <w:lang w:eastAsia="en-US"/>
        </w:rPr>
      </w:pPr>
    </w:p>
    <w:p w14:paraId="721FF1C2" w14:textId="77777777" w:rsidR="006D2D23" w:rsidRPr="0046556E" w:rsidRDefault="006D2D23" w:rsidP="006D2D23">
      <w:pPr>
        <w:shd w:val="clear" w:color="auto" w:fill="FFFFFF"/>
        <w:tabs>
          <w:tab w:val="left" w:pos="567"/>
        </w:tabs>
        <w:rPr>
          <w:b/>
          <w:snapToGrid w:val="0"/>
          <w:lang w:eastAsia="en-US"/>
        </w:rPr>
      </w:pPr>
    </w:p>
    <w:p w14:paraId="4E8A8A40" w14:textId="77777777" w:rsidR="006D2D23" w:rsidRDefault="006D2D23" w:rsidP="006D2D23">
      <w:pPr>
        <w:shd w:val="clear" w:color="auto" w:fill="FFFFFF"/>
        <w:tabs>
          <w:tab w:val="left" w:pos="567"/>
        </w:tabs>
        <w:rPr>
          <w:b/>
          <w:snapToGrid w:val="0"/>
          <w:lang w:eastAsia="en-US"/>
        </w:rPr>
      </w:pPr>
    </w:p>
    <w:p w14:paraId="4ADE7754" w14:textId="77777777" w:rsidR="006110C7" w:rsidRPr="0046556E" w:rsidRDefault="006110C7" w:rsidP="006D2D23">
      <w:pPr>
        <w:shd w:val="clear" w:color="auto" w:fill="FFFFFF"/>
        <w:tabs>
          <w:tab w:val="left" w:pos="567"/>
        </w:tabs>
        <w:rPr>
          <w:b/>
          <w:snapToGrid w:val="0"/>
          <w:lang w:eastAsia="en-US"/>
        </w:rPr>
      </w:pPr>
    </w:p>
    <w:p w14:paraId="2EB9F5A2" w14:textId="77777777" w:rsidR="006D2D23" w:rsidRPr="0046556E" w:rsidRDefault="006D2D23" w:rsidP="006D2D23">
      <w:pPr>
        <w:shd w:val="clear" w:color="auto" w:fill="FFFFFF"/>
        <w:tabs>
          <w:tab w:val="left" w:pos="567"/>
        </w:tabs>
        <w:jc w:val="center"/>
        <w:rPr>
          <w:b/>
          <w:snapToGrid w:val="0"/>
          <w:lang w:eastAsia="en-US"/>
        </w:rPr>
      </w:pPr>
      <w:r w:rsidRPr="0046556E">
        <w:rPr>
          <w:b/>
          <w:bCs/>
          <w:iCs/>
          <w:snapToGrid w:val="0"/>
          <w:lang w:eastAsia="en-US"/>
        </w:rPr>
        <w:t>III PRIEDAS</w:t>
      </w:r>
    </w:p>
    <w:p w14:paraId="2F1119E6" w14:textId="77777777" w:rsidR="006D2D23" w:rsidRPr="0046556E" w:rsidRDefault="006D2D23" w:rsidP="006D2D23">
      <w:pPr>
        <w:shd w:val="clear" w:color="auto" w:fill="FFFFFF"/>
        <w:tabs>
          <w:tab w:val="left" w:pos="567"/>
        </w:tabs>
        <w:jc w:val="center"/>
        <w:rPr>
          <w:snapToGrid w:val="0"/>
          <w:lang w:eastAsia="en-US"/>
        </w:rPr>
      </w:pPr>
    </w:p>
    <w:p w14:paraId="3E1B626C" w14:textId="77777777" w:rsidR="006D2D23" w:rsidRPr="0046556E" w:rsidRDefault="006D2D23" w:rsidP="006D2D23">
      <w:pPr>
        <w:shd w:val="clear" w:color="auto" w:fill="FFFFFF"/>
        <w:tabs>
          <w:tab w:val="left" w:pos="567"/>
        </w:tabs>
        <w:jc w:val="center"/>
        <w:rPr>
          <w:b/>
          <w:snapToGrid w:val="0"/>
          <w:lang w:eastAsia="en-US"/>
        </w:rPr>
      </w:pPr>
      <w:r w:rsidRPr="0046556E">
        <w:rPr>
          <w:b/>
          <w:bCs/>
          <w:iCs/>
          <w:snapToGrid w:val="0"/>
          <w:lang w:eastAsia="en-US"/>
        </w:rPr>
        <w:t>ŽENKLINIMAS IR PAKUOTĖS LAPELIS</w:t>
      </w:r>
    </w:p>
    <w:p w14:paraId="3B9BA938" w14:textId="77777777" w:rsidR="006D2D23" w:rsidRPr="0046556E" w:rsidRDefault="006D2D23" w:rsidP="006D2D23">
      <w:pPr>
        <w:shd w:val="clear" w:color="auto" w:fill="FFFFFF"/>
        <w:tabs>
          <w:tab w:val="left" w:pos="567"/>
        </w:tabs>
        <w:rPr>
          <w:snapToGrid w:val="0"/>
          <w:lang w:eastAsia="en-US"/>
        </w:rPr>
      </w:pPr>
      <w:r w:rsidRPr="0046556E">
        <w:rPr>
          <w:snapToGrid w:val="0"/>
          <w:lang w:eastAsia="en-US"/>
        </w:rPr>
        <w:br w:type="page"/>
      </w:r>
    </w:p>
    <w:p w14:paraId="5DB796F8" w14:textId="77777777" w:rsidR="006D2D23" w:rsidRPr="0046556E" w:rsidRDefault="006D2D23" w:rsidP="006D2D23">
      <w:pPr>
        <w:shd w:val="clear" w:color="auto" w:fill="FFFFFF"/>
        <w:tabs>
          <w:tab w:val="left" w:pos="567"/>
        </w:tabs>
        <w:rPr>
          <w:snapToGrid w:val="0"/>
          <w:lang w:eastAsia="en-US"/>
        </w:rPr>
      </w:pPr>
    </w:p>
    <w:p w14:paraId="672788D3" w14:textId="77777777" w:rsidR="006D2D23" w:rsidRPr="0046556E" w:rsidRDefault="006D2D23" w:rsidP="006D2D23">
      <w:pPr>
        <w:shd w:val="clear" w:color="auto" w:fill="FFFFFF"/>
        <w:tabs>
          <w:tab w:val="left" w:pos="567"/>
        </w:tabs>
        <w:rPr>
          <w:snapToGrid w:val="0"/>
          <w:lang w:eastAsia="en-US"/>
        </w:rPr>
      </w:pPr>
    </w:p>
    <w:p w14:paraId="72B8F398" w14:textId="77777777" w:rsidR="006D2D23" w:rsidRPr="0046556E" w:rsidRDefault="006D2D23" w:rsidP="006D2D23">
      <w:pPr>
        <w:shd w:val="clear" w:color="auto" w:fill="FFFFFF"/>
        <w:tabs>
          <w:tab w:val="left" w:pos="567"/>
        </w:tabs>
        <w:rPr>
          <w:snapToGrid w:val="0"/>
          <w:lang w:eastAsia="en-US"/>
        </w:rPr>
      </w:pPr>
    </w:p>
    <w:p w14:paraId="3C661278" w14:textId="77777777" w:rsidR="006D2D23" w:rsidRPr="0046556E" w:rsidRDefault="006D2D23" w:rsidP="006D2D23">
      <w:pPr>
        <w:shd w:val="clear" w:color="auto" w:fill="FFFFFF"/>
        <w:tabs>
          <w:tab w:val="left" w:pos="567"/>
        </w:tabs>
        <w:rPr>
          <w:snapToGrid w:val="0"/>
          <w:lang w:eastAsia="en-US"/>
        </w:rPr>
      </w:pPr>
    </w:p>
    <w:p w14:paraId="32DF5000" w14:textId="77777777" w:rsidR="006D2D23" w:rsidRPr="0046556E" w:rsidRDefault="006D2D23" w:rsidP="006D2D23">
      <w:pPr>
        <w:shd w:val="clear" w:color="auto" w:fill="FFFFFF"/>
        <w:tabs>
          <w:tab w:val="left" w:pos="567"/>
        </w:tabs>
        <w:rPr>
          <w:snapToGrid w:val="0"/>
          <w:lang w:eastAsia="en-US"/>
        </w:rPr>
      </w:pPr>
    </w:p>
    <w:p w14:paraId="3C0CD1A3" w14:textId="77777777" w:rsidR="006D2D23" w:rsidRPr="0046556E" w:rsidRDefault="006D2D23" w:rsidP="006D2D23">
      <w:pPr>
        <w:shd w:val="clear" w:color="auto" w:fill="FFFFFF"/>
        <w:tabs>
          <w:tab w:val="left" w:pos="567"/>
        </w:tabs>
        <w:rPr>
          <w:snapToGrid w:val="0"/>
          <w:lang w:eastAsia="en-US"/>
        </w:rPr>
      </w:pPr>
    </w:p>
    <w:p w14:paraId="52D3388C" w14:textId="77777777" w:rsidR="006D2D23" w:rsidRPr="0046556E" w:rsidRDefault="006D2D23" w:rsidP="006D2D23">
      <w:pPr>
        <w:shd w:val="clear" w:color="auto" w:fill="FFFFFF"/>
        <w:tabs>
          <w:tab w:val="left" w:pos="567"/>
        </w:tabs>
        <w:rPr>
          <w:snapToGrid w:val="0"/>
          <w:lang w:eastAsia="en-US"/>
        </w:rPr>
      </w:pPr>
    </w:p>
    <w:p w14:paraId="0C2D4700" w14:textId="77777777" w:rsidR="006D2D23" w:rsidRPr="0046556E" w:rsidRDefault="006D2D23" w:rsidP="006D2D23">
      <w:pPr>
        <w:shd w:val="clear" w:color="auto" w:fill="FFFFFF"/>
        <w:tabs>
          <w:tab w:val="left" w:pos="567"/>
        </w:tabs>
        <w:rPr>
          <w:snapToGrid w:val="0"/>
          <w:lang w:eastAsia="en-US"/>
        </w:rPr>
      </w:pPr>
    </w:p>
    <w:p w14:paraId="4009934E" w14:textId="77777777" w:rsidR="006D2D23" w:rsidRPr="0046556E" w:rsidRDefault="006D2D23" w:rsidP="006D2D23">
      <w:pPr>
        <w:shd w:val="clear" w:color="auto" w:fill="FFFFFF"/>
        <w:tabs>
          <w:tab w:val="left" w:pos="567"/>
        </w:tabs>
        <w:rPr>
          <w:snapToGrid w:val="0"/>
          <w:lang w:eastAsia="en-US"/>
        </w:rPr>
      </w:pPr>
    </w:p>
    <w:p w14:paraId="4A64FC0A" w14:textId="77777777" w:rsidR="006D2D23" w:rsidRPr="0046556E" w:rsidRDefault="006D2D23" w:rsidP="006D2D23">
      <w:pPr>
        <w:shd w:val="clear" w:color="auto" w:fill="FFFFFF"/>
        <w:tabs>
          <w:tab w:val="left" w:pos="567"/>
        </w:tabs>
        <w:rPr>
          <w:snapToGrid w:val="0"/>
          <w:lang w:eastAsia="en-US"/>
        </w:rPr>
      </w:pPr>
    </w:p>
    <w:p w14:paraId="1F25EA45" w14:textId="77777777" w:rsidR="006D2D23" w:rsidRPr="0046556E" w:rsidRDefault="006D2D23" w:rsidP="006D2D23">
      <w:pPr>
        <w:shd w:val="clear" w:color="auto" w:fill="FFFFFF"/>
        <w:tabs>
          <w:tab w:val="left" w:pos="567"/>
        </w:tabs>
        <w:rPr>
          <w:snapToGrid w:val="0"/>
          <w:lang w:eastAsia="en-US"/>
        </w:rPr>
      </w:pPr>
    </w:p>
    <w:p w14:paraId="0C991C5B" w14:textId="77777777" w:rsidR="006D2D23" w:rsidRPr="0046556E" w:rsidRDefault="006D2D23" w:rsidP="006D2D23">
      <w:pPr>
        <w:shd w:val="clear" w:color="auto" w:fill="FFFFFF"/>
        <w:tabs>
          <w:tab w:val="left" w:pos="567"/>
        </w:tabs>
        <w:rPr>
          <w:snapToGrid w:val="0"/>
          <w:lang w:eastAsia="en-US"/>
        </w:rPr>
      </w:pPr>
    </w:p>
    <w:p w14:paraId="68E186E1" w14:textId="77777777" w:rsidR="006D2D23" w:rsidRPr="0046556E" w:rsidRDefault="006D2D23" w:rsidP="006D2D23">
      <w:pPr>
        <w:shd w:val="clear" w:color="auto" w:fill="FFFFFF"/>
        <w:tabs>
          <w:tab w:val="left" w:pos="567"/>
        </w:tabs>
        <w:rPr>
          <w:snapToGrid w:val="0"/>
          <w:lang w:eastAsia="en-US"/>
        </w:rPr>
      </w:pPr>
    </w:p>
    <w:p w14:paraId="2F004BF1" w14:textId="77777777" w:rsidR="006D2D23" w:rsidRPr="0046556E" w:rsidRDefault="006D2D23" w:rsidP="006D2D23">
      <w:pPr>
        <w:shd w:val="clear" w:color="auto" w:fill="FFFFFF"/>
        <w:tabs>
          <w:tab w:val="left" w:pos="567"/>
        </w:tabs>
        <w:rPr>
          <w:snapToGrid w:val="0"/>
          <w:lang w:eastAsia="en-US"/>
        </w:rPr>
      </w:pPr>
    </w:p>
    <w:p w14:paraId="396E2D19" w14:textId="77777777" w:rsidR="006D2D23" w:rsidRPr="0046556E" w:rsidRDefault="006D2D23" w:rsidP="006D2D23">
      <w:pPr>
        <w:shd w:val="clear" w:color="auto" w:fill="FFFFFF"/>
        <w:tabs>
          <w:tab w:val="left" w:pos="567"/>
        </w:tabs>
        <w:rPr>
          <w:snapToGrid w:val="0"/>
          <w:lang w:eastAsia="en-US"/>
        </w:rPr>
      </w:pPr>
    </w:p>
    <w:p w14:paraId="52C4FC09" w14:textId="77777777" w:rsidR="006D2D23" w:rsidRPr="0046556E" w:rsidRDefault="006D2D23" w:rsidP="006D2D23">
      <w:pPr>
        <w:shd w:val="clear" w:color="auto" w:fill="FFFFFF"/>
        <w:tabs>
          <w:tab w:val="left" w:pos="567"/>
        </w:tabs>
        <w:rPr>
          <w:snapToGrid w:val="0"/>
          <w:lang w:eastAsia="en-US"/>
        </w:rPr>
      </w:pPr>
    </w:p>
    <w:p w14:paraId="6A05CAF2" w14:textId="77777777" w:rsidR="006D2D23" w:rsidRPr="0046556E" w:rsidRDefault="006D2D23" w:rsidP="006D2D23">
      <w:pPr>
        <w:shd w:val="clear" w:color="auto" w:fill="FFFFFF"/>
        <w:tabs>
          <w:tab w:val="left" w:pos="567"/>
        </w:tabs>
        <w:rPr>
          <w:snapToGrid w:val="0"/>
          <w:lang w:eastAsia="en-US"/>
        </w:rPr>
      </w:pPr>
    </w:p>
    <w:p w14:paraId="7B479268" w14:textId="77777777" w:rsidR="006D2D23" w:rsidRPr="0046556E" w:rsidRDefault="006D2D23" w:rsidP="006D2D23">
      <w:pPr>
        <w:shd w:val="clear" w:color="auto" w:fill="FFFFFF"/>
        <w:tabs>
          <w:tab w:val="left" w:pos="567"/>
        </w:tabs>
        <w:rPr>
          <w:snapToGrid w:val="0"/>
          <w:lang w:eastAsia="en-US"/>
        </w:rPr>
      </w:pPr>
    </w:p>
    <w:p w14:paraId="03C8A096" w14:textId="77777777" w:rsidR="006D2D23" w:rsidRPr="0046556E" w:rsidRDefault="006D2D23" w:rsidP="006D2D23">
      <w:pPr>
        <w:shd w:val="clear" w:color="auto" w:fill="FFFFFF"/>
        <w:tabs>
          <w:tab w:val="left" w:pos="567"/>
        </w:tabs>
        <w:rPr>
          <w:snapToGrid w:val="0"/>
          <w:lang w:eastAsia="en-US"/>
        </w:rPr>
      </w:pPr>
    </w:p>
    <w:p w14:paraId="42C55742" w14:textId="77777777" w:rsidR="006D2D23" w:rsidRPr="0046556E" w:rsidRDefault="006D2D23" w:rsidP="006D2D23">
      <w:pPr>
        <w:shd w:val="clear" w:color="auto" w:fill="FFFFFF"/>
        <w:tabs>
          <w:tab w:val="left" w:pos="567"/>
        </w:tabs>
        <w:rPr>
          <w:snapToGrid w:val="0"/>
          <w:lang w:eastAsia="en-US"/>
        </w:rPr>
      </w:pPr>
    </w:p>
    <w:p w14:paraId="27B164BB" w14:textId="77777777" w:rsidR="006D2D23" w:rsidRPr="0046556E" w:rsidRDefault="006D2D23" w:rsidP="006D2D23">
      <w:pPr>
        <w:shd w:val="clear" w:color="auto" w:fill="FFFFFF"/>
        <w:tabs>
          <w:tab w:val="left" w:pos="567"/>
        </w:tabs>
        <w:rPr>
          <w:snapToGrid w:val="0"/>
          <w:lang w:eastAsia="en-US"/>
        </w:rPr>
      </w:pPr>
    </w:p>
    <w:p w14:paraId="5B722709" w14:textId="77777777" w:rsidR="006D2D23" w:rsidRDefault="006D2D23" w:rsidP="006D2D23">
      <w:pPr>
        <w:shd w:val="clear" w:color="auto" w:fill="FFFFFF"/>
        <w:tabs>
          <w:tab w:val="left" w:pos="567"/>
        </w:tabs>
        <w:rPr>
          <w:snapToGrid w:val="0"/>
          <w:lang w:eastAsia="en-US"/>
        </w:rPr>
      </w:pPr>
    </w:p>
    <w:p w14:paraId="5394A25D" w14:textId="77777777" w:rsidR="006110C7" w:rsidRPr="0046556E" w:rsidRDefault="006110C7" w:rsidP="006D2D23">
      <w:pPr>
        <w:shd w:val="clear" w:color="auto" w:fill="FFFFFF"/>
        <w:tabs>
          <w:tab w:val="left" w:pos="567"/>
        </w:tabs>
        <w:rPr>
          <w:snapToGrid w:val="0"/>
          <w:lang w:eastAsia="en-US"/>
        </w:rPr>
      </w:pPr>
    </w:p>
    <w:p w14:paraId="36B00FEC" w14:textId="77777777" w:rsidR="006D2D23" w:rsidRPr="0046556E" w:rsidRDefault="006D2D23" w:rsidP="006D2D23">
      <w:pPr>
        <w:shd w:val="clear" w:color="auto" w:fill="FFFFFF"/>
        <w:tabs>
          <w:tab w:val="left" w:pos="567"/>
        </w:tabs>
        <w:jc w:val="center"/>
        <w:rPr>
          <w:b/>
          <w:snapToGrid w:val="0"/>
          <w:lang w:eastAsia="en-US"/>
        </w:rPr>
      </w:pPr>
      <w:r w:rsidRPr="0046556E">
        <w:rPr>
          <w:b/>
          <w:bCs/>
          <w:iCs/>
          <w:snapToGrid w:val="0"/>
          <w:lang w:eastAsia="en-US"/>
        </w:rPr>
        <w:t>A. ŽENKLINIMAS</w:t>
      </w:r>
    </w:p>
    <w:p w14:paraId="1B5FAC00" w14:textId="77777777" w:rsidR="00533AA2" w:rsidRPr="0046556E" w:rsidRDefault="006D2D23" w:rsidP="00533AA2">
      <w:pPr>
        <w:rPr>
          <w:szCs w:val="22"/>
          <w:lang w:eastAsia="en-US"/>
        </w:rPr>
      </w:pPr>
      <w:r w:rsidRPr="0046556E">
        <w:rPr>
          <w:snapToGrid w:val="0"/>
          <w:lang w:eastAsia="en-US"/>
        </w:rPr>
        <w:br w:type="page"/>
      </w:r>
    </w:p>
    <w:p w14:paraId="4056389E"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46556E">
        <w:rPr>
          <w:b/>
          <w:bCs/>
          <w:szCs w:val="22"/>
          <w:lang w:eastAsia="en-US"/>
        </w:rPr>
        <w:lastRenderedPageBreak/>
        <w:t xml:space="preserve">INFORMACIJA ANT </w:t>
      </w:r>
      <w:r>
        <w:rPr>
          <w:b/>
          <w:bCs/>
          <w:szCs w:val="22"/>
          <w:lang w:eastAsia="en-US"/>
        </w:rPr>
        <w:t xml:space="preserve">IŠORINĖS </w:t>
      </w:r>
      <w:r w:rsidRPr="0046556E">
        <w:rPr>
          <w:b/>
          <w:bCs/>
          <w:szCs w:val="22"/>
          <w:lang w:eastAsia="en-US"/>
        </w:rPr>
        <w:t>PAKUOTĖS</w:t>
      </w:r>
    </w:p>
    <w:p w14:paraId="46C6DD37"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p>
    <w:p w14:paraId="56215C53" w14:textId="0D398B38" w:rsidR="00533AA2" w:rsidRPr="0046556E" w:rsidRDefault="0062303B"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Pr>
          <w:b/>
          <w:bCs/>
          <w:szCs w:val="22"/>
          <w:lang w:eastAsia="en-US"/>
        </w:rPr>
        <w:t>KARTON</w:t>
      </w:r>
      <w:r w:rsidR="00161A33">
        <w:rPr>
          <w:b/>
          <w:bCs/>
          <w:szCs w:val="22"/>
          <w:lang w:eastAsia="en-US"/>
        </w:rPr>
        <w:t>O</w:t>
      </w:r>
      <w:r>
        <w:rPr>
          <w:b/>
          <w:bCs/>
          <w:szCs w:val="22"/>
          <w:lang w:eastAsia="en-US"/>
        </w:rPr>
        <w:t xml:space="preserve"> DĖŽUTĖ</w:t>
      </w:r>
      <w:r w:rsidR="009011B4">
        <w:rPr>
          <w:b/>
          <w:bCs/>
          <w:szCs w:val="22"/>
          <w:lang w:eastAsia="en-US"/>
        </w:rPr>
        <w:t xml:space="preserve"> </w:t>
      </w:r>
      <w:r w:rsidR="009011B4" w:rsidRPr="00945A0C">
        <w:rPr>
          <w:b/>
          <w:bCs/>
          <w:szCs w:val="22"/>
          <w:lang w:eastAsia="en-US"/>
        </w:rPr>
        <w:t xml:space="preserve">OPA-Al-PVC/Al </w:t>
      </w:r>
      <w:r w:rsidR="009011B4" w:rsidRPr="00896D51">
        <w:rPr>
          <w:b/>
          <w:sz w:val="24"/>
        </w:rPr>
        <w:t>DALOMOSIOMS  LIZDINĖMS PLOKŠTELEMS</w:t>
      </w:r>
    </w:p>
    <w:p w14:paraId="58DFB1B8" w14:textId="77777777" w:rsidR="00533AA2" w:rsidRPr="00945A0C" w:rsidRDefault="00533AA2" w:rsidP="00533AA2">
      <w:pPr>
        <w:tabs>
          <w:tab w:val="left" w:pos="567"/>
          <w:tab w:val="left" w:pos="5954"/>
          <w:tab w:val="left" w:pos="7938"/>
        </w:tabs>
        <w:ind w:right="-2"/>
        <w:rPr>
          <w:sz w:val="24"/>
          <w:szCs w:val="22"/>
          <w:lang w:eastAsia="en-US"/>
        </w:rPr>
      </w:pPr>
    </w:p>
    <w:p w14:paraId="18B1CA52" w14:textId="77777777" w:rsidR="00533AA2" w:rsidRPr="0046556E" w:rsidRDefault="00533AA2" w:rsidP="00533AA2">
      <w:pPr>
        <w:tabs>
          <w:tab w:val="left" w:pos="567"/>
          <w:tab w:val="left" w:pos="5954"/>
          <w:tab w:val="left" w:pos="7938"/>
        </w:tabs>
        <w:ind w:right="-2"/>
        <w:rPr>
          <w:szCs w:val="22"/>
          <w:lang w:eastAsia="en-US"/>
        </w:rPr>
      </w:pPr>
    </w:p>
    <w:p w14:paraId="77AB6388"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1.</w:t>
      </w:r>
      <w:r w:rsidRPr="0046556E">
        <w:rPr>
          <w:b/>
          <w:szCs w:val="22"/>
          <w:lang w:eastAsia="en-US"/>
        </w:rPr>
        <w:tab/>
        <w:t>VAISTINIO PRAPARATO PAVADINIMAS</w:t>
      </w:r>
    </w:p>
    <w:p w14:paraId="05165E02" w14:textId="77777777" w:rsidR="00533AA2" w:rsidRPr="0046556E" w:rsidRDefault="00533AA2" w:rsidP="00533AA2">
      <w:pPr>
        <w:tabs>
          <w:tab w:val="left" w:pos="567"/>
          <w:tab w:val="left" w:pos="5954"/>
          <w:tab w:val="left" w:pos="7938"/>
        </w:tabs>
        <w:ind w:right="-2"/>
        <w:rPr>
          <w:szCs w:val="22"/>
          <w:lang w:eastAsia="en-US"/>
        </w:rPr>
      </w:pPr>
    </w:p>
    <w:p w14:paraId="4621211B" w14:textId="77777777" w:rsidR="00533AA2" w:rsidRPr="0062303B" w:rsidRDefault="000C3DCC" w:rsidP="00533AA2">
      <w:pPr>
        <w:tabs>
          <w:tab w:val="left" w:pos="567"/>
          <w:tab w:val="left" w:pos="5954"/>
          <w:tab w:val="left" w:pos="7938"/>
        </w:tabs>
        <w:spacing w:line="260" w:lineRule="exact"/>
        <w:ind w:right="-2"/>
        <w:rPr>
          <w:szCs w:val="22"/>
          <w:lang w:eastAsia="en-US"/>
        </w:rPr>
      </w:pPr>
      <w:r>
        <w:rPr>
          <w:szCs w:val="22"/>
          <w:lang w:eastAsia="en-US"/>
        </w:rPr>
        <w:t>T</w:t>
      </w:r>
      <w:r w:rsidR="00306B4D">
        <w:rPr>
          <w:szCs w:val="22"/>
          <w:lang w:eastAsia="en-US"/>
        </w:rPr>
        <w:t>enofovir disoproxil Sandoz</w:t>
      </w:r>
      <w:r w:rsidR="00533AA2" w:rsidRPr="0046556E">
        <w:rPr>
          <w:szCs w:val="22"/>
          <w:lang w:eastAsia="en-US"/>
        </w:rPr>
        <w:t xml:space="preserve"> </w:t>
      </w:r>
      <w:r w:rsidR="00306B4D">
        <w:rPr>
          <w:szCs w:val="22"/>
          <w:lang w:eastAsia="en-US"/>
        </w:rPr>
        <w:t>24</w:t>
      </w:r>
      <w:r w:rsidR="00533AA2">
        <w:rPr>
          <w:szCs w:val="22"/>
          <w:lang w:eastAsia="en-US"/>
        </w:rPr>
        <w:t>5</w:t>
      </w:r>
      <w:r w:rsidR="00533AA2" w:rsidRPr="0046556E">
        <w:rPr>
          <w:szCs w:val="22"/>
          <w:lang w:eastAsia="en-US"/>
        </w:rPr>
        <w:t xml:space="preserve"> mg </w:t>
      </w:r>
      <w:r w:rsidR="00533AA2" w:rsidRPr="0062303B">
        <w:rPr>
          <w:szCs w:val="22"/>
          <w:lang w:eastAsia="en-US"/>
        </w:rPr>
        <w:t>plėvele dengtos tabletės</w:t>
      </w:r>
    </w:p>
    <w:p w14:paraId="7FFFF35A" w14:textId="77777777" w:rsidR="00306B4D" w:rsidRDefault="00306B4D" w:rsidP="00533AA2">
      <w:pPr>
        <w:tabs>
          <w:tab w:val="left" w:pos="567"/>
          <w:tab w:val="left" w:pos="5954"/>
          <w:tab w:val="left" w:pos="7938"/>
        </w:tabs>
        <w:spacing w:line="260" w:lineRule="exact"/>
        <w:ind w:right="-2"/>
        <w:rPr>
          <w:szCs w:val="22"/>
          <w:lang w:eastAsia="en-US"/>
        </w:rPr>
      </w:pPr>
    </w:p>
    <w:p w14:paraId="1927CF24" w14:textId="77777777" w:rsidR="00533AA2" w:rsidRPr="0046556E" w:rsidRDefault="00306B4D" w:rsidP="00533AA2">
      <w:pPr>
        <w:tabs>
          <w:tab w:val="left" w:pos="567"/>
          <w:tab w:val="left" w:pos="5954"/>
          <w:tab w:val="left" w:pos="7938"/>
        </w:tabs>
        <w:spacing w:line="260" w:lineRule="exact"/>
        <w:ind w:right="-2"/>
        <w:rPr>
          <w:szCs w:val="22"/>
          <w:lang w:eastAsia="en-US"/>
        </w:rPr>
      </w:pPr>
      <w:r>
        <w:rPr>
          <w:szCs w:val="22"/>
          <w:lang w:eastAsia="en-US"/>
        </w:rPr>
        <w:t>Tenofovirum disoproxilum</w:t>
      </w:r>
    </w:p>
    <w:p w14:paraId="27424CE8" w14:textId="77777777" w:rsidR="00533AA2" w:rsidRPr="0046556E" w:rsidRDefault="00533AA2" w:rsidP="00533AA2">
      <w:pPr>
        <w:tabs>
          <w:tab w:val="left" w:pos="567"/>
          <w:tab w:val="left" w:pos="5954"/>
          <w:tab w:val="left" w:pos="7938"/>
        </w:tabs>
        <w:spacing w:line="260" w:lineRule="exact"/>
        <w:ind w:right="-2"/>
        <w:rPr>
          <w:szCs w:val="22"/>
          <w:lang w:eastAsia="en-US"/>
        </w:rPr>
      </w:pPr>
    </w:p>
    <w:p w14:paraId="358D15EE" w14:textId="77777777" w:rsidR="00533AA2" w:rsidRPr="0046556E" w:rsidRDefault="00533AA2" w:rsidP="00533AA2">
      <w:pPr>
        <w:tabs>
          <w:tab w:val="left" w:pos="567"/>
          <w:tab w:val="left" w:pos="5954"/>
          <w:tab w:val="left" w:pos="7938"/>
        </w:tabs>
        <w:spacing w:line="260" w:lineRule="exact"/>
        <w:ind w:right="-2"/>
        <w:rPr>
          <w:szCs w:val="22"/>
          <w:lang w:eastAsia="en-US"/>
        </w:rPr>
      </w:pPr>
    </w:p>
    <w:p w14:paraId="008F2767"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b/>
          <w:szCs w:val="22"/>
          <w:lang w:eastAsia="en-US"/>
        </w:rPr>
      </w:pPr>
      <w:r w:rsidRPr="0046556E">
        <w:rPr>
          <w:b/>
          <w:szCs w:val="22"/>
          <w:lang w:eastAsia="en-US"/>
        </w:rPr>
        <w:t>2.</w:t>
      </w:r>
      <w:r w:rsidRPr="0046556E">
        <w:rPr>
          <w:b/>
          <w:szCs w:val="22"/>
          <w:lang w:eastAsia="en-US"/>
        </w:rPr>
        <w:tab/>
        <w:t>VEIKLIOJI (-IOS) MEDŽIAGA (-OS) IR JOS (-Ų) KIEKIS (-IAI)</w:t>
      </w:r>
    </w:p>
    <w:p w14:paraId="0EE74907" w14:textId="77777777" w:rsidR="00533AA2" w:rsidRPr="0046556E" w:rsidRDefault="00533AA2" w:rsidP="00533AA2">
      <w:pPr>
        <w:tabs>
          <w:tab w:val="left" w:pos="567"/>
          <w:tab w:val="left" w:pos="5954"/>
          <w:tab w:val="left" w:pos="7938"/>
        </w:tabs>
        <w:ind w:right="-2"/>
        <w:rPr>
          <w:szCs w:val="22"/>
          <w:lang w:eastAsia="en-US"/>
        </w:rPr>
      </w:pPr>
    </w:p>
    <w:p w14:paraId="59E94445" w14:textId="77777777" w:rsidR="00533AA2" w:rsidRPr="00914222" w:rsidRDefault="00533AA2" w:rsidP="00533AA2">
      <w:pPr>
        <w:tabs>
          <w:tab w:val="left" w:pos="567"/>
        </w:tabs>
        <w:rPr>
          <w:szCs w:val="22"/>
          <w:lang w:eastAsia="en-US"/>
        </w:rPr>
      </w:pPr>
      <w:r>
        <w:rPr>
          <w:szCs w:val="22"/>
          <w:lang w:eastAsia="en-US"/>
        </w:rPr>
        <w:t>Kiekvi</w:t>
      </w:r>
      <w:r w:rsidRPr="00914222">
        <w:rPr>
          <w:szCs w:val="22"/>
          <w:lang w:eastAsia="en-US"/>
        </w:rPr>
        <w:t xml:space="preserve">enoje </w:t>
      </w:r>
      <w:r>
        <w:rPr>
          <w:szCs w:val="22"/>
          <w:lang w:eastAsia="en-US"/>
        </w:rPr>
        <w:t xml:space="preserve">plėvele dengtoje </w:t>
      </w:r>
      <w:r w:rsidRPr="00914222">
        <w:rPr>
          <w:szCs w:val="22"/>
          <w:lang w:eastAsia="en-US"/>
        </w:rPr>
        <w:t xml:space="preserve">tabletėje yra </w:t>
      </w:r>
      <w:r w:rsidR="00306B4D">
        <w:rPr>
          <w:szCs w:val="22"/>
          <w:lang w:eastAsia="en-US"/>
        </w:rPr>
        <w:t>245</w:t>
      </w:r>
      <w:r w:rsidR="00161A33">
        <w:rPr>
          <w:szCs w:val="22"/>
          <w:lang w:eastAsia="en-US"/>
        </w:rPr>
        <w:t> </w:t>
      </w:r>
      <w:r w:rsidRPr="00914222">
        <w:rPr>
          <w:szCs w:val="22"/>
          <w:lang w:eastAsia="en-US"/>
        </w:rPr>
        <w:t xml:space="preserve">mg </w:t>
      </w:r>
      <w:r w:rsidR="00306B4D">
        <w:rPr>
          <w:szCs w:val="22"/>
          <w:lang w:eastAsia="en-US"/>
        </w:rPr>
        <w:t>tenofoviro dizoproksilio</w:t>
      </w:r>
      <w:r w:rsidRPr="00914222">
        <w:rPr>
          <w:szCs w:val="22"/>
          <w:lang w:eastAsia="en-US"/>
        </w:rPr>
        <w:t xml:space="preserve">. </w:t>
      </w:r>
    </w:p>
    <w:p w14:paraId="64ECEF48" w14:textId="77777777" w:rsidR="00533AA2" w:rsidRPr="0046556E" w:rsidRDefault="00533AA2" w:rsidP="00533AA2">
      <w:pPr>
        <w:tabs>
          <w:tab w:val="left" w:pos="567"/>
          <w:tab w:val="left" w:pos="5954"/>
          <w:tab w:val="left" w:pos="7938"/>
        </w:tabs>
        <w:ind w:right="-2"/>
        <w:rPr>
          <w:szCs w:val="22"/>
          <w:lang w:eastAsia="en-US"/>
        </w:rPr>
      </w:pPr>
    </w:p>
    <w:p w14:paraId="70A48800" w14:textId="77777777" w:rsidR="00533AA2" w:rsidRPr="0046556E" w:rsidRDefault="00533AA2" w:rsidP="00533AA2">
      <w:pPr>
        <w:tabs>
          <w:tab w:val="left" w:pos="567"/>
          <w:tab w:val="left" w:pos="5954"/>
          <w:tab w:val="left" w:pos="7938"/>
        </w:tabs>
        <w:ind w:right="-2"/>
        <w:rPr>
          <w:szCs w:val="22"/>
          <w:lang w:eastAsia="en-US"/>
        </w:rPr>
      </w:pPr>
    </w:p>
    <w:p w14:paraId="730268F3"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3.</w:t>
      </w:r>
      <w:r w:rsidRPr="0046556E">
        <w:rPr>
          <w:b/>
          <w:szCs w:val="22"/>
          <w:lang w:eastAsia="en-US"/>
        </w:rPr>
        <w:tab/>
        <w:t>PAGALBINIŲ MEDŽIAGŲ SĄRAŠAS</w:t>
      </w:r>
    </w:p>
    <w:p w14:paraId="3E812358" w14:textId="77777777" w:rsidR="00533AA2" w:rsidRPr="0046556E" w:rsidRDefault="00533AA2" w:rsidP="00533AA2">
      <w:pPr>
        <w:tabs>
          <w:tab w:val="left" w:pos="567"/>
          <w:tab w:val="left" w:pos="5954"/>
          <w:tab w:val="left" w:pos="7938"/>
        </w:tabs>
        <w:ind w:right="-2"/>
        <w:rPr>
          <w:szCs w:val="22"/>
          <w:lang w:eastAsia="en-US"/>
        </w:rPr>
      </w:pPr>
    </w:p>
    <w:p w14:paraId="7B35C48D" w14:textId="77777777" w:rsidR="00533AA2" w:rsidRPr="0046556E" w:rsidRDefault="00533AA2" w:rsidP="00533AA2">
      <w:pPr>
        <w:tabs>
          <w:tab w:val="left" w:pos="567"/>
        </w:tabs>
        <w:rPr>
          <w:szCs w:val="22"/>
          <w:lang w:eastAsia="en-US"/>
        </w:rPr>
      </w:pPr>
      <w:r w:rsidRPr="0046556E">
        <w:rPr>
          <w:szCs w:val="22"/>
          <w:lang w:eastAsia="en-US"/>
        </w:rPr>
        <w:t>Sudėtyje yra laktozės.</w:t>
      </w:r>
    </w:p>
    <w:p w14:paraId="319370EF" w14:textId="77777777" w:rsidR="00533AA2" w:rsidRPr="0046556E" w:rsidRDefault="00533AA2" w:rsidP="00533AA2">
      <w:pPr>
        <w:tabs>
          <w:tab w:val="left" w:pos="567"/>
        </w:tabs>
        <w:rPr>
          <w:szCs w:val="22"/>
          <w:lang w:eastAsia="en-US"/>
        </w:rPr>
      </w:pPr>
    </w:p>
    <w:p w14:paraId="006061C9" w14:textId="77777777" w:rsidR="00533AA2" w:rsidRPr="0046556E" w:rsidRDefault="00533AA2" w:rsidP="00533AA2">
      <w:pPr>
        <w:tabs>
          <w:tab w:val="left" w:pos="567"/>
          <w:tab w:val="left" w:pos="5954"/>
          <w:tab w:val="left" w:pos="7938"/>
        </w:tabs>
        <w:ind w:right="-2"/>
        <w:rPr>
          <w:szCs w:val="22"/>
          <w:lang w:eastAsia="en-US"/>
        </w:rPr>
      </w:pPr>
    </w:p>
    <w:p w14:paraId="0C941126"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4.</w:t>
      </w:r>
      <w:r w:rsidRPr="0046556E">
        <w:rPr>
          <w:b/>
          <w:szCs w:val="22"/>
          <w:lang w:eastAsia="en-US"/>
        </w:rPr>
        <w:tab/>
        <w:t>FARMACINĖ FORMA IR KIEKIS PAKUOTĖJE</w:t>
      </w:r>
    </w:p>
    <w:p w14:paraId="276289F7" w14:textId="77777777" w:rsidR="00533AA2" w:rsidRPr="0046556E" w:rsidRDefault="00533AA2" w:rsidP="00533AA2">
      <w:pPr>
        <w:tabs>
          <w:tab w:val="left" w:pos="567"/>
          <w:tab w:val="left" w:pos="5954"/>
          <w:tab w:val="left" w:pos="7938"/>
        </w:tabs>
        <w:ind w:right="-2"/>
        <w:rPr>
          <w:szCs w:val="22"/>
          <w:lang w:eastAsia="en-US"/>
        </w:rPr>
      </w:pPr>
    </w:p>
    <w:p w14:paraId="0A53A290" w14:textId="77777777" w:rsidR="00533AA2" w:rsidRPr="0046556E" w:rsidRDefault="00533AA2" w:rsidP="00533AA2">
      <w:pPr>
        <w:tabs>
          <w:tab w:val="left" w:pos="567"/>
          <w:tab w:val="left" w:pos="5954"/>
          <w:tab w:val="left" w:pos="7938"/>
        </w:tabs>
        <w:ind w:right="-2"/>
        <w:rPr>
          <w:szCs w:val="22"/>
          <w:lang w:eastAsia="en-US"/>
        </w:rPr>
      </w:pPr>
      <w:r w:rsidRPr="00306B4D">
        <w:rPr>
          <w:szCs w:val="22"/>
          <w:highlight w:val="lightGray"/>
          <w:lang w:eastAsia="en-US"/>
        </w:rPr>
        <w:t>Plėvele dengta tabletė</w:t>
      </w:r>
    </w:p>
    <w:p w14:paraId="459030BD" w14:textId="77777777" w:rsidR="004F0F70" w:rsidRDefault="004F0F70" w:rsidP="0062303B">
      <w:pPr>
        <w:widowControl w:val="0"/>
        <w:rPr>
          <w:rFonts w:eastAsia="Calibri" w:hAnsi="Calibri"/>
          <w:spacing w:val="-1"/>
          <w:szCs w:val="22"/>
          <w:lang w:eastAsia="en-US"/>
        </w:rPr>
      </w:pPr>
    </w:p>
    <w:p w14:paraId="47AA8A41" w14:textId="77777777" w:rsidR="00533AA2" w:rsidRPr="0062303B" w:rsidRDefault="00306B4D" w:rsidP="0062303B">
      <w:pPr>
        <w:widowControl w:val="0"/>
        <w:rPr>
          <w:rFonts w:eastAsia="Calibri"/>
          <w:szCs w:val="22"/>
          <w:lang w:eastAsia="en-US"/>
        </w:rPr>
      </w:pPr>
      <w:r>
        <w:rPr>
          <w:rFonts w:eastAsia="Calibri" w:hAnsi="Calibri"/>
          <w:spacing w:val="-1"/>
          <w:szCs w:val="22"/>
          <w:lang w:eastAsia="en-US"/>
        </w:rPr>
        <w:t>3</w:t>
      </w:r>
      <w:r w:rsidR="00533AA2" w:rsidRPr="0062303B">
        <w:rPr>
          <w:rFonts w:eastAsia="Calibri" w:hAnsi="Calibri"/>
          <w:spacing w:val="-1"/>
          <w:szCs w:val="22"/>
          <w:lang w:eastAsia="en-US"/>
        </w:rPr>
        <w:t xml:space="preserve">0 </w:t>
      </w:r>
      <w:r w:rsidR="00533AA2" w:rsidRPr="003A73F2">
        <w:rPr>
          <w:rFonts w:eastAsia="Calibri"/>
          <w:spacing w:val="-1"/>
          <w:szCs w:val="22"/>
          <w:highlight w:val="lightGray"/>
          <w:lang w:eastAsia="en-US"/>
        </w:rPr>
        <w:t>plėvele dengtų</w:t>
      </w:r>
      <w:r w:rsidR="00533AA2" w:rsidRPr="0062303B">
        <w:rPr>
          <w:rFonts w:eastAsia="Calibri"/>
          <w:spacing w:val="-1"/>
          <w:szCs w:val="22"/>
          <w:lang w:eastAsia="en-US"/>
        </w:rPr>
        <w:t xml:space="preserve"> tablečių</w:t>
      </w:r>
    </w:p>
    <w:p w14:paraId="7486BB9F" w14:textId="77777777" w:rsidR="0062303B" w:rsidRPr="00306B4D" w:rsidRDefault="00306B4D" w:rsidP="0062303B">
      <w:pPr>
        <w:tabs>
          <w:tab w:val="left" w:pos="567"/>
          <w:tab w:val="left" w:pos="5954"/>
          <w:tab w:val="left" w:pos="7938"/>
        </w:tabs>
        <w:ind w:right="-2"/>
        <w:rPr>
          <w:rFonts w:eastAsia="Calibri"/>
          <w:spacing w:val="-1"/>
          <w:szCs w:val="22"/>
          <w:highlight w:val="lightGray"/>
          <w:lang w:eastAsia="en-US"/>
        </w:rPr>
      </w:pPr>
      <w:r w:rsidRPr="00306B4D">
        <w:rPr>
          <w:rFonts w:eastAsia="Calibri"/>
          <w:spacing w:val="-1"/>
          <w:szCs w:val="22"/>
          <w:highlight w:val="lightGray"/>
          <w:lang w:eastAsia="en-US"/>
        </w:rPr>
        <w:t>6</w:t>
      </w:r>
      <w:r w:rsidR="0062303B" w:rsidRPr="00306B4D">
        <w:rPr>
          <w:rFonts w:eastAsia="Calibri"/>
          <w:spacing w:val="-1"/>
          <w:szCs w:val="22"/>
          <w:highlight w:val="lightGray"/>
          <w:lang w:eastAsia="en-US"/>
        </w:rPr>
        <w:t>0 plėvele dengtų tablečių</w:t>
      </w:r>
    </w:p>
    <w:p w14:paraId="6FD8C50F" w14:textId="77777777" w:rsidR="0062303B" w:rsidRPr="00306B4D" w:rsidRDefault="00306B4D" w:rsidP="004E443A">
      <w:pPr>
        <w:tabs>
          <w:tab w:val="left" w:pos="567"/>
          <w:tab w:val="left" w:pos="5954"/>
          <w:tab w:val="left" w:pos="7938"/>
        </w:tabs>
        <w:ind w:right="-2"/>
        <w:rPr>
          <w:rFonts w:eastAsia="Calibri"/>
          <w:spacing w:val="-1"/>
          <w:szCs w:val="22"/>
          <w:highlight w:val="lightGray"/>
          <w:lang w:eastAsia="en-US"/>
        </w:rPr>
      </w:pPr>
      <w:r>
        <w:rPr>
          <w:rFonts w:eastAsia="Calibri"/>
          <w:spacing w:val="-1"/>
          <w:szCs w:val="22"/>
          <w:highlight w:val="lightGray"/>
          <w:lang w:eastAsia="en-US"/>
        </w:rPr>
        <w:t>9</w:t>
      </w:r>
      <w:r w:rsidR="0062303B" w:rsidRPr="00306B4D">
        <w:rPr>
          <w:rFonts w:eastAsia="Calibri"/>
          <w:spacing w:val="-1"/>
          <w:szCs w:val="22"/>
          <w:highlight w:val="lightGray"/>
          <w:lang w:eastAsia="en-US"/>
        </w:rPr>
        <w:t>0 plėvele dengtų tablečių</w:t>
      </w:r>
    </w:p>
    <w:p w14:paraId="6A0CCBDB" w14:textId="77777777" w:rsidR="00533AA2" w:rsidRDefault="00533AA2" w:rsidP="00533AA2">
      <w:pPr>
        <w:tabs>
          <w:tab w:val="left" w:pos="567"/>
          <w:tab w:val="left" w:pos="5954"/>
          <w:tab w:val="left" w:pos="7938"/>
        </w:tabs>
        <w:ind w:right="-2"/>
        <w:rPr>
          <w:szCs w:val="22"/>
          <w:lang w:eastAsia="en-US"/>
        </w:rPr>
      </w:pPr>
    </w:p>
    <w:p w14:paraId="07F570B2" w14:textId="77777777" w:rsidR="00533AA2" w:rsidRPr="0046556E" w:rsidRDefault="00533AA2" w:rsidP="00533AA2">
      <w:pPr>
        <w:tabs>
          <w:tab w:val="left" w:pos="567"/>
          <w:tab w:val="left" w:pos="5954"/>
          <w:tab w:val="left" w:pos="7938"/>
        </w:tabs>
        <w:ind w:right="-2"/>
        <w:rPr>
          <w:szCs w:val="22"/>
          <w:lang w:eastAsia="en-US"/>
        </w:rPr>
      </w:pPr>
    </w:p>
    <w:p w14:paraId="6DF111DC"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5.</w:t>
      </w:r>
      <w:r w:rsidRPr="0046556E">
        <w:rPr>
          <w:b/>
          <w:szCs w:val="22"/>
          <w:lang w:eastAsia="en-US"/>
        </w:rPr>
        <w:tab/>
        <w:t>VARTOJIMO METODAS IR BŪDAS (-AI)</w:t>
      </w:r>
    </w:p>
    <w:p w14:paraId="544723C6" w14:textId="77777777" w:rsidR="00533AA2" w:rsidRPr="0046556E" w:rsidRDefault="00533AA2" w:rsidP="00533AA2">
      <w:pPr>
        <w:tabs>
          <w:tab w:val="left" w:pos="567"/>
          <w:tab w:val="left" w:pos="5954"/>
          <w:tab w:val="left" w:pos="7938"/>
        </w:tabs>
        <w:ind w:right="-2"/>
        <w:rPr>
          <w:i/>
          <w:szCs w:val="22"/>
          <w:lang w:eastAsia="en-US"/>
        </w:rPr>
      </w:pPr>
    </w:p>
    <w:p w14:paraId="483450B3" w14:textId="77777777" w:rsidR="00533AA2" w:rsidRPr="0046556E" w:rsidRDefault="00533AA2" w:rsidP="00533AA2">
      <w:pPr>
        <w:tabs>
          <w:tab w:val="left" w:pos="567"/>
          <w:tab w:val="left" w:pos="5954"/>
          <w:tab w:val="left" w:pos="7938"/>
        </w:tabs>
        <w:autoSpaceDE w:val="0"/>
        <w:autoSpaceDN w:val="0"/>
        <w:adjustRightInd w:val="0"/>
        <w:ind w:right="-2"/>
        <w:rPr>
          <w:szCs w:val="22"/>
          <w:lang w:eastAsia="is-IS"/>
        </w:rPr>
      </w:pPr>
      <w:r w:rsidRPr="0046556E">
        <w:rPr>
          <w:szCs w:val="22"/>
          <w:lang w:eastAsia="is-IS"/>
        </w:rPr>
        <w:t>Vartoti per burną.</w:t>
      </w:r>
    </w:p>
    <w:p w14:paraId="1A08C0D7" w14:textId="77777777" w:rsidR="00533AA2" w:rsidRPr="0046556E" w:rsidRDefault="00533AA2" w:rsidP="00533AA2">
      <w:pPr>
        <w:tabs>
          <w:tab w:val="left" w:pos="567"/>
          <w:tab w:val="left" w:pos="5954"/>
          <w:tab w:val="left" w:pos="7938"/>
        </w:tabs>
        <w:autoSpaceDE w:val="0"/>
        <w:autoSpaceDN w:val="0"/>
        <w:adjustRightInd w:val="0"/>
        <w:ind w:right="-2"/>
        <w:rPr>
          <w:szCs w:val="22"/>
          <w:lang w:eastAsia="is-IS"/>
        </w:rPr>
      </w:pPr>
      <w:r w:rsidRPr="0046556E">
        <w:rPr>
          <w:szCs w:val="22"/>
          <w:lang w:eastAsia="is-IS"/>
        </w:rPr>
        <w:t>Prieš vartojimą perskaitykite pakuotės lapelį.</w:t>
      </w:r>
    </w:p>
    <w:p w14:paraId="5CDABB77" w14:textId="77777777" w:rsidR="00533AA2" w:rsidRPr="0046556E" w:rsidRDefault="00533AA2" w:rsidP="00533AA2">
      <w:pPr>
        <w:tabs>
          <w:tab w:val="left" w:pos="567"/>
          <w:tab w:val="left" w:pos="5954"/>
          <w:tab w:val="left" w:pos="7938"/>
        </w:tabs>
        <w:autoSpaceDE w:val="0"/>
        <w:autoSpaceDN w:val="0"/>
        <w:adjustRightInd w:val="0"/>
        <w:ind w:right="-2"/>
        <w:rPr>
          <w:szCs w:val="22"/>
          <w:lang w:eastAsia="is-IS"/>
        </w:rPr>
      </w:pPr>
    </w:p>
    <w:p w14:paraId="4E56A962" w14:textId="77777777" w:rsidR="00533AA2" w:rsidRPr="0046556E" w:rsidRDefault="00533AA2" w:rsidP="00533AA2">
      <w:pPr>
        <w:tabs>
          <w:tab w:val="left" w:pos="567"/>
          <w:tab w:val="left" w:pos="5954"/>
          <w:tab w:val="left" w:pos="7938"/>
        </w:tabs>
        <w:ind w:right="-2"/>
        <w:rPr>
          <w:szCs w:val="22"/>
          <w:lang w:eastAsia="en-US"/>
        </w:rPr>
      </w:pPr>
    </w:p>
    <w:p w14:paraId="6DACF6AE"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6.</w:t>
      </w:r>
      <w:r w:rsidRPr="0046556E">
        <w:rPr>
          <w:b/>
          <w:szCs w:val="22"/>
          <w:lang w:eastAsia="en-US"/>
        </w:rPr>
        <w:tab/>
      </w:r>
      <w:r w:rsidR="00064965" w:rsidRPr="00064965">
        <w:rPr>
          <w:b/>
          <w:szCs w:val="22"/>
          <w:lang w:eastAsia="en-US"/>
        </w:rPr>
        <w:t>SPECIALUS ĮSPĖJIMAS, KAD VAISTINĮ PREPARATĄ BŪTINA LAIKYTI VAIKAMS NEPASTEBIMOJE IR  NEPASIEKIAMOJE VIETOJE</w:t>
      </w:r>
    </w:p>
    <w:p w14:paraId="1F806880" w14:textId="77777777" w:rsidR="00533AA2" w:rsidRPr="0046556E" w:rsidRDefault="00533AA2" w:rsidP="00533AA2">
      <w:pPr>
        <w:tabs>
          <w:tab w:val="left" w:pos="567"/>
          <w:tab w:val="left" w:pos="5954"/>
          <w:tab w:val="left" w:pos="7938"/>
        </w:tabs>
        <w:ind w:right="-2"/>
        <w:rPr>
          <w:szCs w:val="22"/>
          <w:lang w:eastAsia="en-US"/>
        </w:rPr>
      </w:pPr>
    </w:p>
    <w:p w14:paraId="1C35B092" w14:textId="77777777" w:rsidR="00533AA2" w:rsidRPr="0046556E" w:rsidRDefault="00533AA2" w:rsidP="00533AA2">
      <w:pPr>
        <w:tabs>
          <w:tab w:val="left" w:pos="567"/>
          <w:tab w:val="left" w:pos="5954"/>
          <w:tab w:val="left" w:pos="7938"/>
        </w:tabs>
        <w:ind w:right="-2"/>
        <w:rPr>
          <w:szCs w:val="22"/>
          <w:lang w:eastAsia="en-US"/>
        </w:rPr>
      </w:pPr>
      <w:r w:rsidRPr="0046556E">
        <w:rPr>
          <w:szCs w:val="22"/>
          <w:lang w:eastAsia="en-US"/>
        </w:rPr>
        <w:t>Laikyti vaikams nepastebimoje ir nepasiekiamoje vietoje.</w:t>
      </w:r>
    </w:p>
    <w:p w14:paraId="52C3A21C" w14:textId="77777777" w:rsidR="00533AA2" w:rsidRPr="0046556E" w:rsidRDefault="00533AA2" w:rsidP="00533AA2">
      <w:pPr>
        <w:tabs>
          <w:tab w:val="left" w:pos="567"/>
          <w:tab w:val="left" w:pos="5954"/>
          <w:tab w:val="left" w:pos="7938"/>
        </w:tabs>
        <w:ind w:right="-2"/>
        <w:rPr>
          <w:szCs w:val="22"/>
          <w:lang w:eastAsia="en-US"/>
        </w:rPr>
      </w:pPr>
    </w:p>
    <w:p w14:paraId="362EFA8B" w14:textId="77777777" w:rsidR="00533AA2" w:rsidRPr="0046556E" w:rsidRDefault="00533AA2" w:rsidP="00533AA2">
      <w:pPr>
        <w:tabs>
          <w:tab w:val="left" w:pos="567"/>
          <w:tab w:val="left" w:pos="5954"/>
          <w:tab w:val="left" w:pos="7938"/>
        </w:tabs>
        <w:ind w:right="-2"/>
        <w:rPr>
          <w:szCs w:val="22"/>
          <w:lang w:eastAsia="en-US"/>
        </w:rPr>
      </w:pPr>
    </w:p>
    <w:p w14:paraId="434E6F54"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7.</w:t>
      </w:r>
      <w:r w:rsidRPr="0046556E">
        <w:rPr>
          <w:b/>
          <w:szCs w:val="22"/>
          <w:lang w:eastAsia="en-US"/>
        </w:rPr>
        <w:tab/>
        <w:t>KITAS (-I) SPECIALUS (-ŪS) ĮSPĖJIMAS (-AI) (JEI REIKIA)</w:t>
      </w:r>
    </w:p>
    <w:p w14:paraId="3311B246" w14:textId="77777777" w:rsidR="00533AA2" w:rsidRPr="0046556E" w:rsidRDefault="00533AA2" w:rsidP="00533AA2">
      <w:pPr>
        <w:tabs>
          <w:tab w:val="left" w:pos="567"/>
          <w:tab w:val="left" w:pos="5954"/>
          <w:tab w:val="left" w:pos="7938"/>
        </w:tabs>
        <w:ind w:right="-2"/>
        <w:rPr>
          <w:szCs w:val="22"/>
          <w:lang w:eastAsia="en-US"/>
        </w:rPr>
      </w:pPr>
    </w:p>
    <w:p w14:paraId="48F0E937" w14:textId="77777777" w:rsidR="00533AA2" w:rsidRPr="0046556E" w:rsidRDefault="00533AA2" w:rsidP="00533AA2">
      <w:pPr>
        <w:tabs>
          <w:tab w:val="left" w:pos="567"/>
          <w:tab w:val="left" w:pos="5954"/>
          <w:tab w:val="left" w:pos="7938"/>
        </w:tabs>
        <w:ind w:right="-2"/>
        <w:rPr>
          <w:szCs w:val="22"/>
          <w:lang w:eastAsia="en-US"/>
        </w:rPr>
      </w:pPr>
    </w:p>
    <w:p w14:paraId="5D2FCF40"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8.</w:t>
      </w:r>
      <w:r w:rsidRPr="0046556E">
        <w:rPr>
          <w:b/>
          <w:szCs w:val="22"/>
          <w:lang w:eastAsia="en-US"/>
        </w:rPr>
        <w:tab/>
        <w:t>TINKAMUMO LAIKAS</w:t>
      </w:r>
    </w:p>
    <w:p w14:paraId="0E2EB626" w14:textId="77777777" w:rsidR="00533AA2" w:rsidRPr="0046556E" w:rsidRDefault="00533AA2" w:rsidP="00533AA2">
      <w:pPr>
        <w:tabs>
          <w:tab w:val="left" w:pos="567"/>
          <w:tab w:val="left" w:pos="5954"/>
          <w:tab w:val="left" w:pos="7938"/>
        </w:tabs>
        <w:ind w:right="-2"/>
        <w:rPr>
          <w:szCs w:val="22"/>
          <w:lang w:eastAsia="en-US"/>
        </w:rPr>
      </w:pPr>
    </w:p>
    <w:p w14:paraId="310E98DC" w14:textId="739EAE45" w:rsidR="00533AA2" w:rsidRPr="0046556E" w:rsidRDefault="009011B4" w:rsidP="00533AA2">
      <w:pPr>
        <w:tabs>
          <w:tab w:val="left" w:pos="567"/>
          <w:tab w:val="left" w:pos="5954"/>
          <w:tab w:val="left" w:pos="7938"/>
        </w:tabs>
        <w:ind w:right="-2"/>
        <w:rPr>
          <w:szCs w:val="22"/>
          <w:lang w:eastAsia="en-US"/>
        </w:rPr>
      </w:pPr>
      <w:r>
        <w:rPr>
          <w:szCs w:val="22"/>
          <w:lang w:eastAsia="en-US"/>
        </w:rPr>
        <w:t xml:space="preserve">EXP </w:t>
      </w:r>
      <w:r w:rsidR="00533AA2" w:rsidRPr="0046556E">
        <w:rPr>
          <w:szCs w:val="22"/>
          <w:lang w:eastAsia="en-US"/>
        </w:rPr>
        <w:t>{mm.MMMM}</w:t>
      </w:r>
    </w:p>
    <w:p w14:paraId="180B0D96" w14:textId="77777777" w:rsidR="00533AA2" w:rsidRPr="0046556E" w:rsidRDefault="00533AA2" w:rsidP="00533AA2">
      <w:pPr>
        <w:tabs>
          <w:tab w:val="left" w:pos="567"/>
          <w:tab w:val="left" w:pos="5954"/>
          <w:tab w:val="left" w:pos="7938"/>
        </w:tabs>
        <w:ind w:right="-2"/>
        <w:rPr>
          <w:szCs w:val="22"/>
          <w:lang w:eastAsia="en-US"/>
        </w:rPr>
      </w:pPr>
    </w:p>
    <w:p w14:paraId="7B14E8EA" w14:textId="77777777" w:rsidR="00533AA2" w:rsidRPr="0046556E" w:rsidRDefault="00533AA2" w:rsidP="00533AA2">
      <w:pPr>
        <w:tabs>
          <w:tab w:val="left" w:pos="567"/>
          <w:tab w:val="left" w:pos="5954"/>
          <w:tab w:val="left" w:pos="7938"/>
        </w:tabs>
        <w:ind w:right="-2"/>
        <w:rPr>
          <w:szCs w:val="22"/>
          <w:lang w:eastAsia="en-US"/>
        </w:rPr>
      </w:pPr>
    </w:p>
    <w:p w14:paraId="6C384667"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9.</w:t>
      </w:r>
      <w:r w:rsidRPr="0046556E">
        <w:rPr>
          <w:b/>
          <w:szCs w:val="22"/>
          <w:lang w:eastAsia="en-US"/>
        </w:rPr>
        <w:tab/>
        <w:t>SPECIALIOS LAIKYMO SĄLYGOS</w:t>
      </w:r>
    </w:p>
    <w:p w14:paraId="45F1BEC0" w14:textId="77777777" w:rsidR="00533AA2" w:rsidRPr="0046556E" w:rsidRDefault="00533AA2" w:rsidP="00533AA2">
      <w:pPr>
        <w:tabs>
          <w:tab w:val="left" w:pos="567"/>
          <w:tab w:val="left" w:pos="5954"/>
          <w:tab w:val="left" w:pos="7938"/>
        </w:tabs>
        <w:autoSpaceDE w:val="0"/>
        <w:autoSpaceDN w:val="0"/>
        <w:adjustRightInd w:val="0"/>
        <w:ind w:right="-2"/>
        <w:rPr>
          <w:szCs w:val="22"/>
          <w:lang w:eastAsia="is-IS"/>
        </w:rPr>
      </w:pPr>
    </w:p>
    <w:p w14:paraId="662FA3CA" w14:textId="77777777" w:rsidR="00533AA2" w:rsidRPr="0046556E" w:rsidRDefault="00533AA2" w:rsidP="0062303B">
      <w:pPr>
        <w:tabs>
          <w:tab w:val="left" w:pos="567"/>
          <w:tab w:val="left" w:pos="5954"/>
          <w:tab w:val="left" w:pos="7938"/>
        </w:tabs>
        <w:ind w:right="-2"/>
        <w:rPr>
          <w:szCs w:val="22"/>
          <w:lang w:eastAsia="en-US"/>
        </w:rPr>
      </w:pPr>
    </w:p>
    <w:p w14:paraId="4CAB66A1"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s>
        <w:ind w:left="567" w:right="-2" w:hanging="567"/>
        <w:outlineLvl w:val="0"/>
        <w:rPr>
          <w:b/>
          <w:szCs w:val="22"/>
          <w:lang w:eastAsia="en-US"/>
        </w:rPr>
      </w:pPr>
      <w:r w:rsidRPr="0046556E">
        <w:rPr>
          <w:b/>
          <w:szCs w:val="22"/>
          <w:lang w:eastAsia="en-US"/>
        </w:rPr>
        <w:lastRenderedPageBreak/>
        <w:t>10.</w:t>
      </w:r>
      <w:r w:rsidRPr="0046556E">
        <w:rPr>
          <w:b/>
          <w:szCs w:val="22"/>
          <w:lang w:eastAsia="en-US"/>
        </w:rPr>
        <w:tab/>
        <w:t>SPECIALIOS ATSARGUMO PRIEMONĖS DĖL NESUVARTOTO VAISTINIO PREPARATO AR JO ATLIEKŲ TVARKYMO (JEI REIKIA)</w:t>
      </w:r>
    </w:p>
    <w:p w14:paraId="668D1E0E" w14:textId="77777777" w:rsidR="00533AA2" w:rsidRPr="0046556E" w:rsidRDefault="00533AA2" w:rsidP="00533AA2">
      <w:pPr>
        <w:tabs>
          <w:tab w:val="left" w:pos="567"/>
          <w:tab w:val="left" w:pos="5954"/>
          <w:tab w:val="left" w:pos="7938"/>
        </w:tabs>
        <w:ind w:right="-2"/>
        <w:rPr>
          <w:szCs w:val="22"/>
          <w:lang w:eastAsia="en-US"/>
        </w:rPr>
      </w:pPr>
    </w:p>
    <w:p w14:paraId="4EC6EAAF" w14:textId="77777777" w:rsidR="00533AA2" w:rsidRPr="0046556E" w:rsidRDefault="00533AA2" w:rsidP="00533AA2">
      <w:pPr>
        <w:tabs>
          <w:tab w:val="left" w:pos="567"/>
          <w:tab w:val="left" w:pos="5954"/>
          <w:tab w:val="left" w:pos="7938"/>
        </w:tabs>
        <w:ind w:right="-2"/>
        <w:rPr>
          <w:szCs w:val="22"/>
          <w:lang w:eastAsia="en-US"/>
        </w:rPr>
      </w:pPr>
    </w:p>
    <w:p w14:paraId="40260F1F"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46556E">
        <w:rPr>
          <w:b/>
          <w:szCs w:val="22"/>
          <w:lang w:eastAsia="en-US"/>
        </w:rPr>
        <w:t>11.</w:t>
      </w:r>
      <w:r w:rsidRPr="0046556E">
        <w:rPr>
          <w:b/>
          <w:szCs w:val="22"/>
          <w:lang w:eastAsia="en-US"/>
        </w:rPr>
        <w:tab/>
        <w:t>REGISTRUOTOJO PAVADINIMAS IR ADRESAS</w:t>
      </w:r>
    </w:p>
    <w:p w14:paraId="0F1EE00C" w14:textId="77777777" w:rsidR="00533AA2" w:rsidRPr="0046556E" w:rsidRDefault="00533AA2" w:rsidP="00533AA2">
      <w:pPr>
        <w:tabs>
          <w:tab w:val="left" w:pos="567"/>
          <w:tab w:val="left" w:pos="5954"/>
          <w:tab w:val="left" w:pos="7938"/>
        </w:tabs>
        <w:ind w:right="-2"/>
        <w:rPr>
          <w:szCs w:val="22"/>
          <w:lang w:eastAsia="en-US"/>
        </w:rPr>
      </w:pPr>
    </w:p>
    <w:p w14:paraId="2E85E049" w14:textId="77777777" w:rsidR="00533AA2" w:rsidRPr="0046556E" w:rsidRDefault="00533AA2" w:rsidP="00533AA2">
      <w:pPr>
        <w:tabs>
          <w:tab w:val="left" w:pos="567"/>
        </w:tabs>
        <w:rPr>
          <w:szCs w:val="22"/>
          <w:lang w:eastAsia="en-US"/>
        </w:rPr>
      </w:pPr>
      <w:r w:rsidRPr="0046556E">
        <w:rPr>
          <w:szCs w:val="22"/>
          <w:lang w:eastAsia="en-US"/>
        </w:rPr>
        <w:t xml:space="preserve">Sandoz d.d. </w:t>
      </w:r>
      <w:r w:rsidRPr="0046556E">
        <w:rPr>
          <w:szCs w:val="22"/>
          <w:lang w:eastAsia="en-US"/>
        </w:rPr>
        <w:br/>
        <w:t xml:space="preserve">Verovškova 57 </w:t>
      </w:r>
      <w:r w:rsidRPr="0046556E">
        <w:rPr>
          <w:szCs w:val="22"/>
          <w:lang w:eastAsia="en-US"/>
        </w:rPr>
        <w:br/>
        <w:t xml:space="preserve">SI-1000 Ljubljana </w:t>
      </w:r>
      <w:r w:rsidRPr="0046556E">
        <w:rPr>
          <w:szCs w:val="22"/>
          <w:lang w:eastAsia="en-US"/>
        </w:rPr>
        <w:br/>
        <w:t>Slovėnija</w:t>
      </w:r>
    </w:p>
    <w:p w14:paraId="60FA25A3" w14:textId="77777777" w:rsidR="00533AA2" w:rsidRPr="0046556E" w:rsidRDefault="00533AA2" w:rsidP="00533AA2">
      <w:pPr>
        <w:tabs>
          <w:tab w:val="left" w:pos="567"/>
          <w:tab w:val="left" w:pos="5954"/>
          <w:tab w:val="left" w:pos="7938"/>
        </w:tabs>
        <w:ind w:right="-2"/>
        <w:rPr>
          <w:szCs w:val="22"/>
          <w:lang w:eastAsia="en-US"/>
        </w:rPr>
      </w:pPr>
    </w:p>
    <w:p w14:paraId="7782C53D" w14:textId="77777777" w:rsidR="00533AA2" w:rsidRPr="0046556E" w:rsidRDefault="00533AA2" w:rsidP="00533AA2">
      <w:pPr>
        <w:tabs>
          <w:tab w:val="left" w:pos="567"/>
          <w:tab w:val="left" w:pos="5954"/>
          <w:tab w:val="left" w:pos="7938"/>
        </w:tabs>
        <w:ind w:right="-2"/>
        <w:rPr>
          <w:szCs w:val="22"/>
          <w:lang w:eastAsia="en-US"/>
        </w:rPr>
      </w:pPr>
    </w:p>
    <w:p w14:paraId="6ED5ABFE"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46556E">
        <w:rPr>
          <w:b/>
          <w:szCs w:val="22"/>
          <w:lang w:eastAsia="en-US"/>
        </w:rPr>
        <w:t>12.</w:t>
      </w:r>
      <w:r w:rsidRPr="0046556E">
        <w:rPr>
          <w:b/>
          <w:szCs w:val="22"/>
          <w:lang w:eastAsia="en-US"/>
        </w:rPr>
        <w:tab/>
        <w:t>REGISTRACIJOS PAŽYMĖJIMO NUMERIS (-IAI)</w:t>
      </w:r>
    </w:p>
    <w:p w14:paraId="163432C7" w14:textId="77777777" w:rsidR="00533AA2" w:rsidRDefault="00533AA2" w:rsidP="00533AA2">
      <w:pPr>
        <w:tabs>
          <w:tab w:val="left" w:pos="567"/>
          <w:tab w:val="left" w:pos="5954"/>
          <w:tab w:val="left" w:pos="7938"/>
        </w:tabs>
        <w:ind w:right="-2"/>
        <w:rPr>
          <w:szCs w:val="22"/>
          <w:lang w:eastAsia="en-US"/>
        </w:rPr>
      </w:pPr>
    </w:p>
    <w:p w14:paraId="122F140C" w14:textId="77777777" w:rsidR="006110C7" w:rsidRPr="006110C7" w:rsidRDefault="006110C7" w:rsidP="006110C7">
      <w:pPr>
        <w:rPr>
          <w:bCs/>
          <w:szCs w:val="22"/>
          <w:lang w:eastAsia="en-US"/>
        </w:rPr>
      </w:pPr>
      <w:r>
        <w:rPr>
          <w:szCs w:val="22"/>
          <w:lang w:eastAsia="en-US"/>
        </w:rPr>
        <w:t xml:space="preserve">N30x1 - </w:t>
      </w:r>
      <w:r w:rsidRPr="006110C7">
        <w:rPr>
          <w:szCs w:val="22"/>
          <w:lang w:eastAsia="en-US"/>
        </w:rPr>
        <w:t>LT/1/17/4038/001</w:t>
      </w:r>
      <w:r w:rsidRPr="006110C7">
        <w:rPr>
          <w:bCs/>
          <w:szCs w:val="22"/>
          <w:lang w:eastAsia="en-US"/>
        </w:rPr>
        <w:t xml:space="preserve"> </w:t>
      </w:r>
    </w:p>
    <w:p w14:paraId="3320DCB6" w14:textId="77777777" w:rsidR="006110C7" w:rsidRPr="006110C7" w:rsidRDefault="006110C7" w:rsidP="006110C7">
      <w:pPr>
        <w:rPr>
          <w:bCs/>
          <w:szCs w:val="22"/>
          <w:lang w:eastAsia="en-US"/>
        </w:rPr>
      </w:pPr>
      <w:r>
        <w:rPr>
          <w:szCs w:val="22"/>
          <w:lang w:eastAsia="en-US"/>
        </w:rPr>
        <w:t xml:space="preserve">N60x1 - </w:t>
      </w:r>
      <w:r w:rsidRPr="006110C7">
        <w:rPr>
          <w:szCs w:val="22"/>
          <w:lang w:eastAsia="en-US"/>
        </w:rPr>
        <w:t>LT/1/17/4038/002</w:t>
      </w:r>
      <w:r w:rsidRPr="006110C7">
        <w:rPr>
          <w:bCs/>
          <w:szCs w:val="22"/>
          <w:lang w:eastAsia="en-US"/>
        </w:rPr>
        <w:t xml:space="preserve"> </w:t>
      </w:r>
    </w:p>
    <w:p w14:paraId="0EC00F7B" w14:textId="77777777" w:rsidR="006110C7" w:rsidRDefault="006110C7" w:rsidP="006110C7">
      <w:pPr>
        <w:rPr>
          <w:bCs/>
          <w:szCs w:val="22"/>
          <w:lang w:eastAsia="en-US"/>
        </w:rPr>
      </w:pPr>
      <w:r>
        <w:rPr>
          <w:szCs w:val="22"/>
          <w:lang w:eastAsia="en-US"/>
        </w:rPr>
        <w:t xml:space="preserve">N90x1 - </w:t>
      </w:r>
      <w:r w:rsidRPr="006110C7">
        <w:rPr>
          <w:szCs w:val="22"/>
          <w:lang w:eastAsia="en-US"/>
        </w:rPr>
        <w:t>LT/1/17/4038/003</w:t>
      </w:r>
      <w:r w:rsidRPr="006110C7">
        <w:rPr>
          <w:bCs/>
          <w:szCs w:val="22"/>
          <w:lang w:eastAsia="en-US"/>
        </w:rPr>
        <w:t xml:space="preserve"> </w:t>
      </w:r>
    </w:p>
    <w:p w14:paraId="0825A341" w14:textId="77777777" w:rsidR="006110C7" w:rsidRPr="0046556E" w:rsidRDefault="006110C7" w:rsidP="00533AA2">
      <w:pPr>
        <w:tabs>
          <w:tab w:val="left" w:pos="567"/>
          <w:tab w:val="left" w:pos="5954"/>
          <w:tab w:val="left" w:pos="7938"/>
        </w:tabs>
        <w:ind w:right="-2"/>
        <w:rPr>
          <w:szCs w:val="22"/>
          <w:lang w:eastAsia="en-US"/>
        </w:rPr>
      </w:pPr>
    </w:p>
    <w:p w14:paraId="6B8CA760" w14:textId="77777777" w:rsidR="00533AA2" w:rsidRPr="0046556E" w:rsidRDefault="00533AA2" w:rsidP="00533AA2">
      <w:pPr>
        <w:tabs>
          <w:tab w:val="left" w:pos="567"/>
          <w:tab w:val="left" w:pos="5954"/>
          <w:tab w:val="left" w:pos="7938"/>
        </w:tabs>
        <w:ind w:right="-2"/>
        <w:rPr>
          <w:szCs w:val="22"/>
          <w:lang w:eastAsia="en-US"/>
        </w:rPr>
      </w:pPr>
    </w:p>
    <w:p w14:paraId="0DFDF8BA"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46556E">
        <w:rPr>
          <w:b/>
          <w:szCs w:val="22"/>
          <w:lang w:eastAsia="en-US"/>
        </w:rPr>
        <w:t>13.</w:t>
      </w:r>
      <w:r w:rsidRPr="0046556E">
        <w:rPr>
          <w:b/>
          <w:szCs w:val="22"/>
          <w:lang w:eastAsia="en-US"/>
        </w:rPr>
        <w:tab/>
        <w:t>SERIJOS NUMERIS</w:t>
      </w:r>
    </w:p>
    <w:p w14:paraId="633BABF2" w14:textId="77777777" w:rsidR="00533AA2" w:rsidRPr="0046556E" w:rsidRDefault="00533AA2" w:rsidP="00533AA2">
      <w:pPr>
        <w:tabs>
          <w:tab w:val="left" w:pos="567"/>
          <w:tab w:val="left" w:pos="5954"/>
          <w:tab w:val="left" w:pos="7938"/>
        </w:tabs>
        <w:ind w:right="-2"/>
        <w:rPr>
          <w:szCs w:val="22"/>
          <w:lang w:eastAsia="en-US"/>
        </w:rPr>
      </w:pPr>
    </w:p>
    <w:p w14:paraId="03403B7C" w14:textId="29907F7C" w:rsidR="00533AA2" w:rsidRPr="0046556E" w:rsidRDefault="009011B4" w:rsidP="00533AA2">
      <w:pPr>
        <w:tabs>
          <w:tab w:val="left" w:pos="567"/>
          <w:tab w:val="left" w:pos="5954"/>
          <w:tab w:val="left" w:pos="7938"/>
        </w:tabs>
        <w:ind w:right="-2"/>
        <w:rPr>
          <w:szCs w:val="22"/>
          <w:lang w:eastAsia="en-US"/>
        </w:rPr>
      </w:pPr>
      <w:r>
        <w:rPr>
          <w:szCs w:val="22"/>
          <w:lang w:eastAsia="en-US"/>
        </w:rPr>
        <w:t>Lot</w:t>
      </w:r>
    </w:p>
    <w:p w14:paraId="5236ABFC" w14:textId="77777777" w:rsidR="00533AA2" w:rsidRPr="0046556E" w:rsidRDefault="00533AA2" w:rsidP="00533AA2">
      <w:pPr>
        <w:tabs>
          <w:tab w:val="left" w:pos="567"/>
          <w:tab w:val="left" w:pos="5954"/>
          <w:tab w:val="left" w:pos="7938"/>
        </w:tabs>
        <w:ind w:right="-2"/>
        <w:rPr>
          <w:szCs w:val="22"/>
          <w:lang w:eastAsia="en-US"/>
        </w:rPr>
      </w:pPr>
    </w:p>
    <w:p w14:paraId="1670B546" w14:textId="77777777" w:rsidR="00533AA2" w:rsidRPr="0046556E" w:rsidRDefault="00533AA2" w:rsidP="00533AA2">
      <w:pPr>
        <w:tabs>
          <w:tab w:val="left" w:pos="567"/>
          <w:tab w:val="left" w:pos="5954"/>
          <w:tab w:val="left" w:pos="7938"/>
        </w:tabs>
        <w:ind w:right="-2"/>
        <w:rPr>
          <w:szCs w:val="22"/>
          <w:lang w:eastAsia="en-US"/>
        </w:rPr>
      </w:pPr>
    </w:p>
    <w:p w14:paraId="7CE6F6EC"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46556E">
        <w:rPr>
          <w:b/>
          <w:szCs w:val="22"/>
          <w:lang w:eastAsia="en-US"/>
        </w:rPr>
        <w:t>14.</w:t>
      </w:r>
      <w:r w:rsidRPr="0046556E">
        <w:rPr>
          <w:b/>
          <w:szCs w:val="22"/>
          <w:lang w:eastAsia="en-US"/>
        </w:rPr>
        <w:tab/>
        <w:t>PARDAVIMO (IŠDAVIMO) TVARKA</w:t>
      </w:r>
    </w:p>
    <w:p w14:paraId="439BBA4A" w14:textId="77777777" w:rsidR="00533AA2" w:rsidRPr="0046556E" w:rsidRDefault="00533AA2" w:rsidP="00533AA2">
      <w:pPr>
        <w:tabs>
          <w:tab w:val="left" w:pos="567"/>
          <w:tab w:val="left" w:pos="5954"/>
          <w:tab w:val="left" w:pos="7938"/>
        </w:tabs>
        <w:ind w:right="-2"/>
        <w:rPr>
          <w:szCs w:val="22"/>
          <w:lang w:eastAsia="en-US"/>
        </w:rPr>
      </w:pPr>
    </w:p>
    <w:p w14:paraId="48467AC7" w14:textId="108149F5" w:rsidR="00533AA2" w:rsidRPr="0046556E" w:rsidRDefault="00533AA2" w:rsidP="00533AA2">
      <w:pPr>
        <w:tabs>
          <w:tab w:val="left" w:pos="567"/>
          <w:tab w:val="left" w:pos="5954"/>
          <w:tab w:val="left" w:pos="7938"/>
        </w:tabs>
        <w:ind w:right="-2"/>
        <w:rPr>
          <w:szCs w:val="22"/>
          <w:lang w:eastAsia="en-US"/>
        </w:rPr>
      </w:pPr>
      <w:r w:rsidRPr="0046556E">
        <w:rPr>
          <w:szCs w:val="22"/>
          <w:lang w:eastAsia="en-US"/>
        </w:rPr>
        <w:t>Receptinis vaistas</w:t>
      </w:r>
      <w:r w:rsidR="00161A33">
        <w:rPr>
          <w:szCs w:val="22"/>
          <w:lang w:eastAsia="en-US"/>
        </w:rPr>
        <w:t>.</w:t>
      </w:r>
    </w:p>
    <w:p w14:paraId="52E11296" w14:textId="77777777" w:rsidR="00533AA2" w:rsidRPr="0046556E" w:rsidRDefault="00533AA2" w:rsidP="00533AA2">
      <w:pPr>
        <w:tabs>
          <w:tab w:val="left" w:pos="567"/>
          <w:tab w:val="left" w:pos="5954"/>
          <w:tab w:val="left" w:pos="7938"/>
        </w:tabs>
        <w:ind w:right="-2"/>
        <w:rPr>
          <w:szCs w:val="22"/>
          <w:lang w:eastAsia="en-US"/>
        </w:rPr>
      </w:pPr>
    </w:p>
    <w:p w14:paraId="1F92ECB8" w14:textId="77777777" w:rsidR="00533AA2" w:rsidRPr="0046556E" w:rsidRDefault="00533AA2" w:rsidP="00533AA2">
      <w:pPr>
        <w:tabs>
          <w:tab w:val="left" w:pos="567"/>
          <w:tab w:val="left" w:pos="5954"/>
          <w:tab w:val="left" w:pos="7938"/>
        </w:tabs>
        <w:ind w:right="-2"/>
        <w:rPr>
          <w:szCs w:val="22"/>
          <w:lang w:eastAsia="en-US"/>
        </w:rPr>
      </w:pPr>
    </w:p>
    <w:p w14:paraId="62901BB8"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46556E">
        <w:rPr>
          <w:b/>
          <w:szCs w:val="22"/>
          <w:lang w:eastAsia="en-US"/>
        </w:rPr>
        <w:t>15.</w:t>
      </w:r>
      <w:r w:rsidRPr="0046556E">
        <w:rPr>
          <w:b/>
          <w:szCs w:val="22"/>
          <w:lang w:eastAsia="en-US"/>
        </w:rPr>
        <w:tab/>
        <w:t>VARTOJIMO INSTRUKCIJA</w:t>
      </w:r>
    </w:p>
    <w:p w14:paraId="4D84499E" w14:textId="77777777" w:rsidR="002A1534" w:rsidRDefault="002A1534" w:rsidP="00533AA2">
      <w:pPr>
        <w:tabs>
          <w:tab w:val="left" w:pos="567"/>
          <w:tab w:val="left" w:pos="5954"/>
          <w:tab w:val="left" w:pos="7938"/>
        </w:tabs>
        <w:ind w:right="-2"/>
        <w:rPr>
          <w:szCs w:val="22"/>
          <w:lang w:eastAsia="en-US"/>
        </w:rPr>
      </w:pPr>
    </w:p>
    <w:p w14:paraId="67092230" w14:textId="77777777" w:rsidR="00306B4D" w:rsidRPr="0046556E" w:rsidRDefault="00306B4D" w:rsidP="00533AA2">
      <w:pPr>
        <w:tabs>
          <w:tab w:val="left" w:pos="567"/>
          <w:tab w:val="left" w:pos="5954"/>
          <w:tab w:val="left" w:pos="7938"/>
        </w:tabs>
        <w:ind w:right="-2"/>
        <w:rPr>
          <w:szCs w:val="22"/>
          <w:lang w:eastAsia="en-US"/>
        </w:rPr>
      </w:pPr>
    </w:p>
    <w:p w14:paraId="64718BF0" w14:textId="77777777" w:rsidR="00533AA2" w:rsidRPr="0046556E" w:rsidRDefault="00533AA2" w:rsidP="00533AA2">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46556E">
        <w:rPr>
          <w:b/>
          <w:szCs w:val="22"/>
          <w:lang w:eastAsia="en-US"/>
        </w:rPr>
        <w:t>16.</w:t>
      </w:r>
      <w:r w:rsidRPr="0046556E">
        <w:rPr>
          <w:b/>
          <w:szCs w:val="22"/>
          <w:lang w:eastAsia="en-US"/>
        </w:rPr>
        <w:tab/>
        <w:t>INFORMACIJA BRAILIO RAŠTU</w:t>
      </w:r>
    </w:p>
    <w:p w14:paraId="731263BB" w14:textId="77777777" w:rsidR="00533AA2" w:rsidRPr="0046556E" w:rsidRDefault="00533AA2" w:rsidP="00533AA2">
      <w:pPr>
        <w:tabs>
          <w:tab w:val="left" w:pos="567"/>
          <w:tab w:val="left" w:pos="5954"/>
          <w:tab w:val="left" w:pos="7938"/>
        </w:tabs>
        <w:ind w:right="-2"/>
        <w:rPr>
          <w:szCs w:val="22"/>
          <w:lang w:eastAsia="en-US"/>
        </w:rPr>
      </w:pPr>
    </w:p>
    <w:p w14:paraId="2388EC34" w14:textId="77777777" w:rsidR="00533AA2" w:rsidRPr="00306B4D" w:rsidRDefault="000C3DCC" w:rsidP="00533AA2">
      <w:pPr>
        <w:tabs>
          <w:tab w:val="left" w:pos="567"/>
          <w:tab w:val="left" w:pos="5954"/>
          <w:tab w:val="left" w:pos="7938"/>
        </w:tabs>
        <w:spacing w:line="260" w:lineRule="exact"/>
        <w:ind w:right="-2"/>
        <w:rPr>
          <w:szCs w:val="22"/>
          <w:lang w:eastAsia="en-US"/>
        </w:rPr>
      </w:pPr>
      <w:r w:rsidRPr="00306B4D">
        <w:rPr>
          <w:szCs w:val="22"/>
          <w:lang w:eastAsia="en-US"/>
        </w:rPr>
        <w:t>T</w:t>
      </w:r>
      <w:r w:rsidR="00306B4D" w:rsidRPr="00306B4D">
        <w:rPr>
          <w:szCs w:val="22"/>
          <w:lang w:eastAsia="en-US"/>
        </w:rPr>
        <w:t xml:space="preserve">enofovir disoproxil Sandoz </w:t>
      </w:r>
      <w:r w:rsidR="00533AA2" w:rsidRPr="00306B4D">
        <w:rPr>
          <w:szCs w:val="22"/>
          <w:lang w:eastAsia="en-US"/>
        </w:rPr>
        <w:t xml:space="preserve"> </w:t>
      </w:r>
    </w:p>
    <w:p w14:paraId="56DA56B0" w14:textId="77777777" w:rsidR="00533AA2" w:rsidRDefault="00533AA2" w:rsidP="00533AA2">
      <w:pPr>
        <w:tabs>
          <w:tab w:val="left" w:pos="567"/>
        </w:tabs>
        <w:rPr>
          <w:szCs w:val="22"/>
          <w:lang w:eastAsia="en-US"/>
        </w:rPr>
      </w:pPr>
    </w:p>
    <w:p w14:paraId="113C88F0" w14:textId="77777777" w:rsidR="00533AA2" w:rsidRDefault="00533AA2" w:rsidP="00533AA2">
      <w:pPr>
        <w:tabs>
          <w:tab w:val="left" w:pos="567"/>
        </w:tabs>
        <w:rPr>
          <w:szCs w:val="22"/>
          <w:lang w:eastAsia="en-US"/>
        </w:rPr>
      </w:pPr>
    </w:p>
    <w:p w14:paraId="5A5E2159" w14:textId="77777777" w:rsidR="00533AA2" w:rsidRPr="00AF0F9E" w:rsidRDefault="00533AA2" w:rsidP="00533AA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F0F9E">
        <w:rPr>
          <w:b/>
          <w:noProof/>
          <w:snapToGrid w:val="0"/>
          <w:lang w:eastAsia="en-US" w:bidi="lt-LT"/>
        </w:rPr>
        <w:t>17.</w:t>
      </w:r>
      <w:r w:rsidRPr="00AF0F9E">
        <w:rPr>
          <w:b/>
          <w:noProof/>
          <w:snapToGrid w:val="0"/>
          <w:lang w:eastAsia="en-US" w:bidi="lt-LT"/>
        </w:rPr>
        <w:tab/>
        <w:t>UNIKALUS IDENTIFIKATORIUS – 2D BRŪKŠNINIS KODAS</w:t>
      </w:r>
    </w:p>
    <w:p w14:paraId="68323C14" w14:textId="77777777" w:rsidR="00533AA2" w:rsidRPr="00AF0F9E" w:rsidRDefault="00533AA2" w:rsidP="00533AA2">
      <w:pPr>
        <w:tabs>
          <w:tab w:val="left" w:pos="567"/>
        </w:tabs>
        <w:spacing w:line="260" w:lineRule="exact"/>
        <w:rPr>
          <w:noProof/>
          <w:snapToGrid w:val="0"/>
          <w:lang w:eastAsia="en-US" w:bidi="lt-LT"/>
        </w:rPr>
      </w:pPr>
    </w:p>
    <w:p w14:paraId="6A37C8EB" w14:textId="77777777" w:rsidR="00533AA2" w:rsidRPr="00AF0F9E" w:rsidRDefault="00533AA2" w:rsidP="00533AA2">
      <w:pPr>
        <w:tabs>
          <w:tab w:val="left" w:pos="567"/>
        </w:tabs>
        <w:spacing w:line="260" w:lineRule="exact"/>
        <w:rPr>
          <w:noProof/>
          <w:snapToGrid w:val="0"/>
          <w:szCs w:val="22"/>
          <w:shd w:val="clear" w:color="auto" w:fill="CCCCCC"/>
          <w:lang w:eastAsia="en-US" w:bidi="lt-LT"/>
        </w:rPr>
      </w:pPr>
      <w:r w:rsidRPr="00306B4D">
        <w:rPr>
          <w:noProof/>
          <w:snapToGrid w:val="0"/>
          <w:highlight w:val="lightGray"/>
          <w:lang w:eastAsia="en-US" w:bidi="lt-LT"/>
        </w:rPr>
        <w:t>2D brūkšninis kodas su nurodytu unikaliu identifikatoriumi.</w:t>
      </w:r>
    </w:p>
    <w:p w14:paraId="7923D0A9" w14:textId="77777777" w:rsidR="00533AA2" w:rsidRPr="00AF0F9E" w:rsidRDefault="00533AA2" w:rsidP="00533AA2">
      <w:pPr>
        <w:tabs>
          <w:tab w:val="left" w:pos="567"/>
        </w:tabs>
        <w:spacing w:line="260" w:lineRule="exact"/>
        <w:rPr>
          <w:noProof/>
          <w:snapToGrid w:val="0"/>
          <w:lang w:eastAsia="en-US" w:bidi="lt-LT"/>
        </w:rPr>
      </w:pPr>
    </w:p>
    <w:p w14:paraId="6E08D5CF" w14:textId="77777777" w:rsidR="00533AA2" w:rsidRPr="00AF0F9E" w:rsidRDefault="00533AA2" w:rsidP="00533AA2">
      <w:pPr>
        <w:tabs>
          <w:tab w:val="left" w:pos="567"/>
        </w:tabs>
        <w:spacing w:line="260" w:lineRule="exact"/>
        <w:rPr>
          <w:noProof/>
          <w:snapToGrid w:val="0"/>
          <w:lang w:eastAsia="en-US" w:bidi="lt-LT"/>
        </w:rPr>
      </w:pPr>
    </w:p>
    <w:p w14:paraId="63FF4E1F" w14:textId="77777777" w:rsidR="00533AA2" w:rsidRPr="00AF0F9E" w:rsidRDefault="00533AA2" w:rsidP="00533AA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F0F9E">
        <w:rPr>
          <w:b/>
          <w:noProof/>
          <w:snapToGrid w:val="0"/>
          <w:lang w:eastAsia="en-US" w:bidi="lt-LT"/>
        </w:rPr>
        <w:t>18.</w:t>
      </w:r>
      <w:r w:rsidRPr="00AF0F9E">
        <w:rPr>
          <w:b/>
          <w:noProof/>
          <w:snapToGrid w:val="0"/>
          <w:lang w:eastAsia="en-US" w:bidi="lt-LT"/>
        </w:rPr>
        <w:tab/>
        <w:t>UNIKALUS IDENTIFIKATORIUS – ŽMONĖMS SUPRANTAMI DUOMENYS</w:t>
      </w:r>
    </w:p>
    <w:p w14:paraId="5464F911" w14:textId="77777777" w:rsidR="00533AA2" w:rsidRPr="00AF0F9E" w:rsidRDefault="00533AA2" w:rsidP="00533AA2">
      <w:pPr>
        <w:tabs>
          <w:tab w:val="left" w:pos="567"/>
        </w:tabs>
        <w:spacing w:line="260" w:lineRule="exact"/>
        <w:rPr>
          <w:noProof/>
          <w:snapToGrid w:val="0"/>
          <w:lang w:eastAsia="en-US" w:bidi="lt-LT"/>
        </w:rPr>
      </w:pPr>
    </w:p>
    <w:p w14:paraId="40B3DA0B" w14:textId="77777777" w:rsidR="00533AA2" w:rsidRPr="00AF0F9E" w:rsidRDefault="00533AA2" w:rsidP="00533AA2">
      <w:pPr>
        <w:tabs>
          <w:tab w:val="left" w:pos="567"/>
        </w:tabs>
        <w:spacing w:line="260" w:lineRule="exact"/>
        <w:rPr>
          <w:snapToGrid w:val="0"/>
          <w:color w:val="008000"/>
          <w:szCs w:val="22"/>
          <w:lang w:eastAsia="en-US" w:bidi="lt-LT"/>
        </w:rPr>
      </w:pPr>
      <w:r w:rsidRPr="00AF0F9E">
        <w:rPr>
          <w:snapToGrid w:val="0"/>
          <w:lang w:eastAsia="en-US" w:bidi="lt-LT"/>
        </w:rPr>
        <w:t>PC: {numeris}</w:t>
      </w:r>
    </w:p>
    <w:p w14:paraId="4EC09BCE" w14:textId="77777777" w:rsidR="00533AA2" w:rsidRPr="00AF0F9E" w:rsidRDefault="00533AA2" w:rsidP="00533AA2">
      <w:pPr>
        <w:tabs>
          <w:tab w:val="left" w:pos="567"/>
        </w:tabs>
        <w:spacing w:line="260" w:lineRule="exact"/>
        <w:rPr>
          <w:snapToGrid w:val="0"/>
          <w:szCs w:val="22"/>
          <w:lang w:eastAsia="en-US" w:bidi="lt-LT"/>
        </w:rPr>
      </w:pPr>
      <w:r w:rsidRPr="00AF0F9E">
        <w:rPr>
          <w:snapToGrid w:val="0"/>
          <w:lang w:eastAsia="en-US" w:bidi="lt-LT"/>
        </w:rPr>
        <w:t>SN: {numeris}</w:t>
      </w:r>
    </w:p>
    <w:p w14:paraId="4E26166F" w14:textId="77777777" w:rsidR="00533AA2" w:rsidRPr="00AF0F9E" w:rsidRDefault="00533AA2" w:rsidP="00533AA2">
      <w:pPr>
        <w:tabs>
          <w:tab w:val="left" w:pos="567"/>
        </w:tabs>
        <w:spacing w:line="260" w:lineRule="exact"/>
        <w:rPr>
          <w:snapToGrid w:val="0"/>
          <w:szCs w:val="22"/>
          <w:lang w:eastAsia="en-US"/>
        </w:rPr>
      </w:pPr>
      <w:r w:rsidRPr="00AF0F9E">
        <w:rPr>
          <w:snapToGrid w:val="0"/>
          <w:lang w:eastAsia="en-US" w:bidi="lt-LT"/>
        </w:rPr>
        <w:t>NN: {numeris}</w:t>
      </w:r>
    </w:p>
    <w:p w14:paraId="2637900B" w14:textId="77777777" w:rsidR="00533AA2" w:rsidRPr="0046556E" w:rsidRDefault="00533AA2" w:rsidP="00533AA2">
      <w:pPr>
        <w:tabs>
          <w:tab w:val="left" w:pos="567"/>
        </w:tabs>
        <w:rPr>
          <w:szCs w:val="22"/>
          <w:lang w:eastAsia="en-US"/>
        </w:rPr>
      </w:pPr>
    </w:p>
    <w:p w14:paraId="3C9DC92B" w14:textId="77777777" w:rsidR="004F0F70" w:rsidRPr="0046556E" w:rsidRDefault="00533AA2" w:rsidP="004F0F70">
      <w:pPr>
        <w:rPr>
          <w:szCs w:val="22"/>
          <w:lang w:eastAsia="en-US"/>
        </w:rPr>
      </w:pPr>
      <w:r w:rsidRPr="0046556E">
        <w:rPr>
          <w:szCs w:val="22"/>
          <w:lang w:eastAsia="en-US"/>
        </w:rPr>
        <w:br w:type="page"/>
      </w:r>
    </w:p>
    <w:p w14:paraId="0C3B41ED"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46556E">
        <w:rPr>
          <w:b/>
          <w:bCs/>
          <w:szCs w:val="22"/>
          <w:lang w:eastAsia="en-US"/>
        </w:rPr>
        <w:lastRenderedPageBreak/>
        <w:t xml:space="preserve">INFORMACIJA ANT </w:t>
      </w:r>
      <w:r>
        <w:rPr>
          <w:b/>
          <w:bCs/>
          <w:szCs w:val="22"/>
          <w:lang w:eastAsia="en-US"/>
        </w:rPr>
        <w:t xml:space="preserve">IŠORINĖS </w:t>
      </w:r>
      <w:r w:rsidRPr="0046556E">
        <w:rPr>
          <w:b/>
          <w:bCs/>
          <w:szCs w:val="22"/>
          <w:lang w:eastAsia="en-US"/>
        </w:rPr>
        <w:t>PAKUOTĖS</w:t>
      </w:r>
    </w:p>
    <w:p w14:paraId="585CE9A1"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p>
    <w:p w14:paraId="7F7B98BB"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Pr>
          <w:b/>
          <w:bCs/>
          <w:szCs w:val="22"/>
          <w:lang w:eastAsia="en-US"/>
        </w:rPr>
        <w:t>BUTELIUKO KARTON</w:t>
      </w:r>
      <w:r w:rsidR="00161A33">
        <w:rPr>
          <w:b/>
          <w:bCs/>
          <w:szCs w:val="22"/>
          <w:lang w:eastAsia="en-US"/>
        </w:rPr>
        <w:t>O</w:t>
      </w:r>
      <w:r>
        <w:rPr>
          <w:b/>
          <w:bCs/>
          <w:szCs w:val="22"/>
          <w:lang w:eastAsia="en-US"/>
        </w:rPr>
        <w:t xml:space="preserve"> DĖŽUTĖ IR BUTELIUKO ETIKETĖ</w:t>
      </w:r>
    </w:p>
    <w:p w14:paraId="439F3691" w14:textId="77777777" w:rsidR="004F0F70" w:rsidRPr="0046556E" w:rsidRDefault="004F0F70" w:rsidP="004F0F70">
      <w:pPr>
        <w:tabs>
          <w:tab w:val="left" w:pos="567"/>
          <w:tab w:val="left" w:pos="5954"/>
          <w:tab w:val="left" w:pos="7938"/>
        </w:tabs>
        <w:ind w:right="-2"/>
        <w:rPr>
          <w:szCs w:val="22"/>
          <w:lang w:eastAsia="en-US"/>
        </w:rPr>
      </w:pPr>
    </w:p>
    <w:p w14:paraId="4DFD4399" w14:textId="77777777" w:rsidR="004F0F70" w:rsidRPr="0046556E" w:rsidRDefault="004F0F70" w:rsidP="004F0F70">
      <w:pPr>
        <w:tabs>
          <w:tab w:val="left" w:pos="567"/>
          <w:tab w:val="left" w:pos="5954"/>
          <w:tab w:val="left" w:pos="7938"/>
        </w:tabs>
        <w:ind w:right="-2"/>
        <w:rPr>
          <w:szCs w:val="22"/>
          <w:lang w:eastAsia="en-US"/>
        </w:rPr>
      </w:pPr>
    </w:p>
    <w:p w14:paraId="08172624"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1.</w:t>
      </w:r>
      <w:r w:rsidRPr="0046556E">
        <w:rPr>
          <w:b/>
          <w:szCs w:val="22"/>
          <w:lang w:eastAsia="en-US"/>
        </w:rPr>
        <w:tab/>
        <w:t>VAISTINIO PRAPARATO PAVADINIMAS</w:t>
      </w:r>
    </w:p>
    <w:p w14:paraId="7B1EF995" w14:textId="77777777" w:rsidR="004F0F70" w:rsidRPr="0046556E" w:rsidRDefault="004F0F70" w:rsidP="004F0F70">
      <w:pPr>
        <w:tabs>
          <w:tab w:val="left" w:pos="567"/>
          <w:tab w:val="left" w:pos="5954"/>
          <w:tab w:val="left" w:pos="7938"/>
        </w:tabs>
        <w:ind w:right="-2"/>
        <w:rPr>
          <w:szCs w:val="22"/>
          <w:lang w:eastAsia="en-US"/>
        </w:rPr>
      </w:pPr>
    </w:p>
    <w:p w14:paraId="6E59C668" w14:textId="77777777" w:rsidR="004F0F70" w:rsidRPr="0062303B" w:rsidRDefault="004F0F70" w:rsidP="004F0F70">
      <w:pPr>
        <w:tabs>
          <w:tab w:val="left" w:pos="567"/>
          <w:tab w:val="left" w:pos="5954"/>
          <w:tab w:val="left" w:pos="7938"/>
        </w:tabs>
        <w:spacing w:line="260" w:lineRule="exact"/>
        <w:ind w:right="-2"/>
        <w:rPr>
          <w:szCs w:val="22"/>
          <w:lang w:eastAsia="en-US"/>
        </w:rPr>
      </w:pPr>
      <w:r>
        <w:rPr>
          <w:szCs w:val="22"/>
          <w:lang w:eastAsia="en-US"/>
        </w:rPr>
        <w:t>Tenofovir disoproxil Sandoz</w:t>
      </w:r>
      <w:r w:rsidRPr="0046556E">
        <w:rPr>
          <w:szCs w:val="22"/>
          <w:lang w:eastAsia="en-US"/>
        </w:rPr>
        <w:t xml:space="preserve"> </w:t>
      </w:r>
      <w:r>
        <w:rPr>
          <w:szCs w:val="22"/>
          <w:lang w:eastAsia="en-US"/>
        </w:rPr>
        <w:t>245</w:t>
      </w:r>
      <w:r w:rsidRPr="0046556E">
        <w:rPr>
          <w:szCs w:val="22"/>
          <w:lang w:eastAsia="en-US"/>
        </w:rPr>
        <w:t xml:space="preserve"> mg </w:t>
      </w:r>
      <w:r w:rsidRPr="0062303B">
        <w:rPr>
          <w:szCs w:val="22"/>
          <w:lang w:eastAsia="en-US"/>
        </w:rPr>
        <w:t>plėvele dengtos tabletės</w:t>
      </w:r>
    </w:p>
    <w:p w14:paraId="051D7899" w14:textId="77777777" w:rsidR="004F0F70" w:rsidRDefault="004F0F70" w:rsidP="004F0F70">
      <w:pPr>
        <w:tabs>
          <w:tab w:val="left" w:pos="567"/>
          <w:tab w:val="left" w:pos="5954"/>
          <w:tab w:val="left" w:pos="7938"/>
        </w:tabs>
        <w:spacing w:line="260" w:lineRule="exact"/>
        <w:ind w:right="-2"/>
        <w:rPr>
          <w:szCs w:val="22"/>
          <w:lang w:eastAsia="en-US"/>
        </w:rPr>
      </w:pPr>
    </w:p>
    <w:p w14:paraId="56A83FF3" w14:textId="77777777" w:rsidR="004F0F70" w:rsidRPr="0046556E" w:rsidRDefault="004F0F70" w:rsidP="004F0F70">
      <w:pPr>
        <w:tabs>
          <w:tab w:val="left" w:pos="567"/>
          <w:tab w:val="left" w:pos="5954"/>
          <w:tab w:val="left" w:pos="7938"/>
        </w:tabs>
        <w:spacing w:line="260" w:lineRule="exact"/>
        <w:ind w:right="-2"/>
        <w:rPr>
          <w:szCs w:val="22"/>
          <w:lang w:eastAsia="en-US"/>
        </w:rPr>
      </w:pPr>
      <w:r>
        <w:rPr>
          <w:szCs w:val="22"/>
          <w:lang w:eastAsia="en-US"/>
        </w:rPr>
        <w:t>Tenofovirum disoproxilum</w:t>
      </w:r>
    </w:p>
    <w:p w14:paraId="0FAA3A3A" w14:textId="77777777" w:rsidR="004F0F70" w:rsidRPr="0046556E" w:rsidRDefault="004F0F70" w:rsidP="004F0F70">
      <w:pPr>
        <w:tabs>
          <w:tab w:val="left" w:pos="567"/>
          <w:tab w:val="left" w:pos="5954"/>
          <w:tab w:val="left" w:pos="7938"/>
        </w:tabs>
        <w:spacing w:line="260" w:lineRule="exact"/>
        <w:ind w:right="-2"/>
        <w:rPr>
          <w:szCs w:val="22"/>
          <w:lang w:eastAsia="en-US"/>
        </w:rPr>
      </w:pPr>
    </w:p>
    <w:p w14:paraId="10887A98" w14:textId="77777777" w:rsidR="004F0F70" w:rsidRPr="0046556E" w:rsidRDefault="004F0F70" w:rsidP="004F0F70">
      <w:pPr>
        <w:tabs>
          <w:tab w:val="left" w:pos="567"/>
          <w:tab w:val="left" w:pos="5954"/>
          <w:tab w:val="left" w:pos="7938"/>
        </w:tabs>
        <w:spacing w:line="260" w:lineRule="exact"/>
        <w:ind w:right="-2"/>
        <w:rPr>
          <w:szCs w:val="22"/>
          <w:lang w:eastAsia="en-US"/>
        </w:rPr>
      </w:pPr>
    </w:p>
    <w:p w14:paraId="5ED3E38C"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b/>
          <w:szCs w:val="22"/>
          <w:lang w:eastAsia="en-US"/>
        </w:rPr>
      </w:pPr>
      <w:r w:rsidRPr="0046556E">
        <w:rPr>
          <w:b/>
          <w:szCs w:val="22"/>
          <w:lang w:eastAsia="en-US"/>
        </w:rPr>
        <w:t>2.</w:t>
      </w:r>
      <w:r w:rsidRPr="0046556E">
        <w:rPr>
          <w:b/>
          <w:szCs w:val="22"/>
          <w:lang w:eastAsia="en-US"/>
        </w:rPr>
        <w:tab/>
        <w:t>VEIKLIOJI (-IOS) MEDŽIAGA (-OS) IR JOS (-Ų) KIEKIS (-IAI)</w:t>
      </w:r>
    </w:p>
    <w:p w14:paraId="01CD52E5" w14:textId="77777777" w:rsidR="004F0F70" w:rsidRPr="0046556E" w:rsidRDefault="004F0F70" w:rsidP="004F0F70">
      <w:pPr>
        <w:tabs>
          <w:tab w:val="left" w:pos="567"/>
          <w:tab w:val="left" w:pos="5954"/>
          <w:tab w:val="left" w:pos="7938"/>
        </w:tabs>
        <w:ind w:right="-2"/>
        <w:rPr>
          <w:szCs w:val="22"/>
          <w:lang w:eastAsia="en-US"/>
        </w:rPr>
      </w:pPr>
    </w:p>
    <w:p w14:paraId="3CF1D749" w14:textId="77777777" w:rsidR="00E053DC" w:rsidRDefault="00120BE7" w:rsidP="004F0F70">
      <w:pPr>
        <w:tabs>
          <w:tab w:val="left" w:pos="567"/>
        </w:tabs>
        <w:rPr>
          <w:szCs w:val="22"/>
          <w:lang w:eastAsia="en-US"/>
        </w:rPr>
      </w:pPr>
      <w:r w:rsidRPr="00164838">
        <w:rPr>
          <w:szCs w:val="22"/>
          <w:highlight w:val="lightGray"/>
          <w:lang w:eastAsia="en-US"/>
        </w:rPr>
        <w:t>Dėžutė</w:t>
      </w:r>
    </w:p>
    <w:p w14:paraId="24DCD8ED" w14:textId="7E44D417" w:rsidR="004F0F70" w:rsidRDefault="004F0F70" w:rsidP="004F0F70">
      <w:pPr>
        <w:tabs>
          <w:tab w:val="left" w:pos="567"/>
        </w:tabs>
        <w:rPr>
          <w:szCs w:val="22"/>
          <w:lang w:eastAsia="en-US"/>
        </w:rPr>
      </w:pPr>
      <w:r w:rsidRPr="00E053DC">
        <w:rPr>
          <w:szCs w:val="22"/>
          <w:lang w:eastAsia="en-US"/>
        </w:rPr>
        <w:t>Kiekvienoje plėvele dengtoje tabletėje yra 245 mg tenofoviro dizoproksilio</w:t>
      </w:r>
      <w:r w:rsidRPr="00914222">
        <w:rPr>
          <w:szCs w:val="22"/>
          <w:lang w:eastAsia="en-US"/>
        </w:rPr>
        <w:t xml:space="preserve">. </w:t>
      </w:r>
    </w:p>
    <w:p w14:paraId="477AB891" w14:textId="77777777" w:rsidR="00E053DC" w:rsidRDefault="00E053DC" w:rsidP="004F0F70">
      <w:pPr>
        <w:tabs>
          <w:tab w:val="left" w:pos="567"/>
        </w:tabs>
        <w:rPr>
          <w:szCs w:val="22"/>
          <w:lang w:eastAsia="en-US"/>
        </w:rPr>
      </w:pPr>
      <w:r w:rsidRPr="00164838">
        <w:rPr>
          <w:szCs w:val="22"/>
          <w:highlight w:val="lightGray"/>
          <w:lang w:eastAsia="en-US"/>
        </w:rPr>
        <w:t>Etiketė</w:t>
      </w:r>
    </w:p>
    <w:p w14:paraId="4A075C8E" w14:textId="77777777" w:rsidR="00E053DC" w:rsidRPr="00E053DC" w:rsidRDefault="00E053DC" w:rsidP="004F0F70">
      <w:pPr>
        <w:tabs>
          <w:tab w:val="left" w:pos="567"/>
        </w:tabs>
        <w:rPr>
          <w:szCs w:val="22"/>
          <w:lang w:eastAsia="en-US"/>
        </w:rPr>
      </w:pPr>
      <w:r w:rsidRPr="00164838">
        <w:rPr>
          <w:szCs w:val="22"/>
          <w:highlight w:val="lightGray"/>
          <w:lang w:eastAsia="en-US"/>
        </w:rPr>
        <w:t>Kiekvienoje plėvele dengtoje tabletėje yra 245 mg tenofoviro dizoproksilio</w:t>
      </w:r>
    </w:p>
    <w:p w14:paraId="1776912D" w14:textId="77777777" w:rsidR="004F0F70" w:rsidRPr="0046556E" w:rsidRDefault="004F0F70" w:rsidP="004F0F70">
      <w:pPr>
        <w:tabs>
          <w:tab w:val="left" w:pos="567"/>
          <w:tab w:val="left" w:pos="5954"/>
          <w:tab w:val="left" w:pos="7938"/>
        </w:tabs>
        <w:ind w:right="-2"/>
        <w:rPr>
          <w:szCs w:val="22"/>
          <w:lang w:eastAsia="en-US"/>
        </w:rPr>
      </w:pPr>
    </w:p>
    <w:p w14:paraId="3AAC19CE" w14:textId="77777777" w:rsidR="004F0F70" w:rsidRPr="0046556E" w:rsidRDefault="004F0F70" w:rsidP="004F0F70">
      <w:pPr>
        <w:tabs>
          <w:tab w:val="left" w:pos="567"/>
          <w:tab w:val="left" w:pos="5954"/>
          <w:tab w:val="left" w:pos="7938"/>
        </w:tabs>
        <w:ind w:right="-2"/>
        <w:rPr>
          <w:szCs w:val="22"/>
          <w:lang w:eastAsia="en-US"/>
        </w:rPr>
      </w:pPr>
    </w:p>
    <w:p w14:paraId="7766BEFC"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3.</w:t>
      </w:r>
      <w:r w:rsidRPr="0046556E">
        <w:rPr>
          <w:b/>
          <w:szCs w:val="22"/>
          <w:lang w:eastAsia="en-US"/>
        </w:rPr>
        <w:tab/>
        <w:t>PAGALBINIŲ MEDŽIAGŲ SĄRAŠAS</w:t>
      </w:r>
    </w:p>
    <w:p w14:paraId="3BB9D0DE" w14:textId="77777777" w:rsidR="004F0F70" w:rsidRPr="0046556E" w:rsidRDefault="004F0F70" w:rsidP="004F0F70">
      <w:pPr>
        <w:tabs>
          <w:tab w:val="left" w:pos="567"/>
          <w:tab w:val="left" w:pos="5954"/>
          <w:tab w:val="left" w:pos="7938"/>
        </w:tabs>
        <w:ind w:right="-2"/>
        <w:rPr>
          <w:szCs w:val="22"/>
          <w:lang w:eastAsia="en-US"/>
        </w:rPr>
      </w:pPr>
    </w:p>
    <w:p w14:paraId="628EB049" w14:textId="77777777" w:rsidR="00120BE7" w:rsidRDefault="00120BE7" w:rsidP="00120BE7">
      <w:pPr>
        <w:tabs>
          <w:tab w:val="left" w:pos="567"/>
        </w:tabs>
        <w:rPr>
          <w:szCs w:val="22"/>
          <w:lang w:eastAsia="en-US"/>
        </w:rPr>
      </w:pPr>
      <w:r w:rsidRPr="008473DF">
        <w:rPr>
          <w:szCs w:val="22"/>
          <w:highlight w:val="lightGray"/>
          <w:lang w:eastAsia="en-US"/>
        </w:rPr>
        <w:t>Dėžutė</w:t>
      </w:r>
    </w:p>
    <w:p w14:paraId="170DBFFB" w14:textId="77777777" w:rsidR="004F0F70" w:rsidRPr="0046556E" w:rsidRDefault="004F0F70" w:rsidP="004F0F70">
      <w:pPr>
        <w:tabs>
          <w:tab w:val="left" w:pos="567"/>
        </w:tabs>
        <w:rPr>
          <w:szCs w:val="22"/>
          <w:lang w:eastAsia="en-US"/>
        </w:rPr>
      </w:pPr>
      <w:r w:rsidRPr="0046556E">
        <w:rPr>
          <w:szCs w:val="22"/>
          <w:lang w:eastAsia="en-US"/>
        </w:rPr>
        <w:t>Sudėtyje yra laktozės.</w:t>
      </w:r>
    </w:p>
    <w:p w14:paraId="3776D0E9" w14:textId="77777777" w:rsidR="00E053DC" w:rsidRPr="00164838" w:rsidRDefault="00E053DC" w:rsidP="00E053DC">
      <w:pPr>
        <w:tabs>
          <w:tab w:val="left" w:pos="567"/>
        </w:tabs>
        <w:rPr>
          <w:szCs w:val="22"/>
          <w:highlight w:val="lightGray"/>
          <w:lang w:eastAsia="en-US"/>
        </w:rPr>
      </w:pPr>
      <w:r w:rsidRPr="00164838">
        <w:rPr>
          <w:szCs w:val="22"/>
          <w:highlight w:val="lightGray"/>
          <w:lang w:eastAsia="en-US"/>
        </w:rPr>
        <w:t>Etiketė</w:t>
      </w:r>
    </w:p>
    <w:p w14:paraId="64393E9A" w14:textId="77777777" w:rsidR="00E053DC" w:rsidRPr="00CA49A8" w:rsidRDefault="00E053DC" w:rsidP="00E053DC">
      <w:pPr>
        <w:tabs>
          <w:tab w:val="left" w:pos="567"/>
        </w:tabs>
        <w:rPr>
          <w:highlight w:val="lightGray"/>
        </w:rPr>
      </w:pPr>
      <w:r w:rsidRPr="00CA49A8">
        <w:rPr>
          <w:highlight w:val="lightGray"/>
        </w:rPr>
        <w:t>Sudėtyje yra laktozės.</w:t>
      </w:r>
    </w:p>
    <w:p w14:paraId="0323907C" w14:textId="77777777" w:rsidR="00E053DC" w:rsidRPr="0046556E" w:rsidRDefault="00E053DC" w:rsidP="00E053DC">
      <w:pPr>
        <w:tabs>
          <w:tab w:val="left" w:pos="567"/>
        </w:tabs>
        <w:rPr>
          <w:szCs w:val="22"/>
          <w:lang w:eastAsia="en-US"/>
        </w:rPr>
      </w:pPr>
      <w:r w:rsidRPr="00CA49A8">
        <w:rPr>
          <w:highlight w:val="lightGray"/>
        </w:rPr>
        <w:t>Daugiau informacijos žr. pakuotės lapelyje</w:t>
      </w:r>
      <w:r>
        <w:rPr>
          <w:szCs w:val="22"/>
          <w:lang w:eastAsia="en-US"/>
        </w:rPr>
        <w:t>.</w:t>
      </w:r>
    </w:p>
    <w:p w14:paraId="066AA62A" w14:textId="77777777" w:rsidR="004F0F70" w:rsidRPr="0046556E" w:rsidRDefault="004F0F70" w:rsidP="004F0F70">
      <w:pPr>
        <w:tabs>
          <w:tab w:val="left" w:pos="567"/>
        </w:tabs>
        <w:rPr>
          <w:szCs w:val="22"/>
          <w:lang w:eastAsia="en-US"/>
        </w:rPr>
      </w:pPr>
    </w:p>
    <w:p w14:paraId="447546D1" w14:textId="77777777" w:rsidR="004F0F70" w:rsidRPr="0046556E" w:rsidRDefault="004F0F70" w:rsidP="004F0F70">
      <w:pPr>
        <w:tabs>
          <w:tab w:val="left" w:pos="567"/>
          <w:tab w:val="left" w:pos="5954"/>
          <w:tab w:val="left" w:pos="7938"/>
        </w:tabs>
        <w:ind w:right="-2"/>
        <w:rPr>
          <w:szCs w:val="22"/>
          <w:lang w:eastAsia="en-US"/>
        </w:rPr>
      </w:pPr>
    </w:p>
    <w:p w14:paraId="622A9B2D"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4.</w:t>
      </w:r>
      <w:r w:rsidRPr="0046556E">
        <w:rPr>
          <w:b/>
          <w:szCs w:val="22"/>
          <w:lang w:eastAsia="en-US"/>
        </w:rPr>
        <w:tab/>
        <w:t>FARMACINĖ FORMA IR KIEKIS PAKUOTĖJE</w:t>
      </w:r>
    </w:p>
    <w:p w14:paraId="17900769" w14:textId="77777777" w:rsidR="004F0F70" w:rsidRPr="0046556E" w:rsidRDefault="004F0F70" w:rsidP="004F0F70">
      <w:pPr>
        <w:tabs>
          <w:tab w:val="left" w:pos="567"/>
          <w:tab w:val="left" w:pos="5954"/>
          <w:tab w:val="left" w:pos="7938"/>
        </w:tabs>
        <w:ind w:right="-2"/>
        <w:rPr>
          <w:szCs w:val="22"/>
          <w:lang w:eastAsia="en-US"/>
        </w:rPr>
      </w:pPr>
    </w:p>
    <w:p w14:paraId="0B78F681" w14:textId="77777777" w:rsidR="004F0F70" w:rsidRPr="0046556E" w:rsidRDefault="004F0F70" w:rsidP="004F0F70">
      <w:pPr>
        <w:tabs>
          <w:tab w:val="left" w:pos="567"/>
          <w:tab w:val="left" w:pos="5954"/>
          <w:tab w:val="left" w:pos="7938"/>
        </w:tabs>
        <w:ind w:right="-2"/>
        <w:rPr>
          <w:szCs w:val="22"/>
          <w:lang w:eastAsia="en-US"/>
        </w:rPr>
      </w:pPr>
      <w:r w:rsidRPr="00306B4D">
        <w:rPr>
          <w:szCs w:val="22"/>
          <w:highlight w:val="lightGray"/>
          <w:lang w:eastAsia="en-US"/>
        </w:rPr>
        <w:t>Plėvele dengta tabletė</w:t>
      </w:r>
    </w:p>
    <w:p w14:paraId="3A955E8C" w14:textId="77777777" w:rsidR="004F0F70" w:rsidRDefault="004F0F70" w:rsidP="004F0F70">
      <w:pPr>
        <w:widowControl w:val="0"/>
        <w:rPr>
          <w:rFonts w:eastAsia="Calibri" w:hAnsi="Calibri"/>
          <w:spacing w:val="-1"/>
          <w:szCs w:val="22"/>
          <w:lang w:eastAsia="en-US"/>
        </w:rPr>
      </w:pPr>
    </w:p>
    <w:p w14:paraId="0F58F6BB" w14:textId="77777777" w:rsidR="004F0F70" w:rsidRPr="0062303B" w:rsidRDefault="004F0F70" w:rsidP="004F0F70">
      <w:pPr>
        <w:widowControl w:val="0"/>
        <w:rPr>
          <w:rFonts w:eastAsia="Calibri"/>
          <w:szCs w:val="22"/>
          <w:lang w:eastAsia="en-US"/>
        </w:rPr>
      </w:pPr>
      <w:r>
        <w:rPr>
          <w:rFonts w:eastAsia="Calibri" w:hAnsi="Calibri"/>
          <w:spacing w:val="-1"/>
          <w:szCs w:val="22"/>
          <w:lang w:eastAsia="en-US"/>
        </w:rPr>
        <w:t>3</w:t>
      </w:r>
      <w:r w:rsidRPr="0062303B">
        <w:rPr>
          <w:rFonts w:eastAsia="Calibri" w:hAnsi="Calibri"/>
          <w:spacing w:val="-1"/>
          <w:szCs w:val="22"/>
          <w:lang w:eastAsia="en-US"/>
        </w:rPr>
        <w:t xml:space="preserve">0 </w:t>
      </w:r>
      <w:r w:rsidRPr="003A73F2">
        <w:rPr>
          <w:rFonts w:eastAsia="Calibri"/>
          <w:spacing w:val="-1"/>
          <w:szCs w:val="22"/>
          <w:highlight w:val="lightGray"/>
          <w:lang w:eastAsia="en-US"/>
        </w:rPr>
        <w:t>plėvele dengtų</w:t>
      </w:r>
      <w:r w:rsidRPr="0062303B">
        <w:rPr>
          <w:rFonts w:eastAsia="Calibri"/>
          <w:spacing w:val="-1"/>
          <w:szCs w:val="22"/>
          <w:lang w:eastAsia="en-US"/>
        </w:rPr>
        <w:t xml:space="preserve"> tablečių</w:t>
      </w:r>
    </w:p>
    <w:p w14:paraId="62FE1D8D" w14:textId="77777777" w:rsidR="004F0F70" w:rsidRPr="00306B4D" w:rsidRDefault="004F0F70" w:rsidP="004F0F70">
      <w:pPr>
        <w:tabs>
          <w:tab w:val="left" w:pos="567"/>
          <w:tab w:val="left" w:pos="5954"/>
          <w:tab w:val="left" w:pos="7938"/>
        </w:tabs>
        <w:ind w:right="-2"/>
        <w:rPr>
          <w:rFonts w:eastAsia="Calibri"/>
          <w:spacing w:val="-1"/>
          <w:szCs w:val="22"/>
          <w:highlight w:val="lightGray"/>
          <w:lang w:eastAsia="en-US"/>
        </w:rPr>
      </w:pPr>
      <w:r w:rsidRPr="00306B4D">
        <w:rPr>
          <w:rFonts w:eastAsia="Calibri"/>
          <w:spacing w:val="-1"/>
          <w:szCs w:val="22"/>
          <w:highlight w:val="lightGray"/>
          <w:lang w:eastAsia="en-US"/>
        </w:rPr>
        <w:t xml:space="preserve">60 </w:t>
      </w:r>
      <w:r>
        <w:rPr>
          <w:rFonts w:eastAsia="Calibri"/>
          <w:spacing w:val="-1"/>
          <w:szCs w:val="22"/>
          <w:highlight w:val="lightGray"/>
          <w:lang w:eastAsia="en-US"/>
        </w:rPr>
        <w:t xml:space="preserve">(2 buteliukai po 30) </w:t>
      </w:r>
      <w:r w:rsidRPr="00306B4D">
        <w:rPr>
          <w:rFonts w:eastAsia="Calibri"/>
          <w:spacing w:val="-1"/>
          <w:szCs w:val="22"/>
          <w:highlight w:val="lightGray"/>
          <w:lang w:eastAsia="en-US"/>
        </w:rPr>
        <w:t>plėvele dengtų tablečių</w:t>
      </w:r>
    </w:p>
    <w:p w14:paraId="49C09E36" w14:textId="77777777" w:rsidR="004F0F70" w:rsidRPr="00306B4D" w:rsidRDefault="004F0F70" w:rsidP="004F0F70">
      <w:pPr>
        <w:tabs>
          <w:tab w:val="left" w:pos="567"/>
          <w:tab w:val="left" w:pos="5954"/>
          <w:tab w:val="left" w:pos="7938"/>
        </w:tabs>
        <w:ind w:right="-2"/>
        <w:rPr>
          <w:rFonts w:eastAsia="Calibri"/>
          <w:spacing w:val="-1"/>
          <w:szCs w:val="22"/>
          <w:highlight w:val="lightGray"/>
          <w:lang w:eastAsia="en-US"/>
        </w:rPr>
      </w:pPr>
      <w:r>
        <w:rPr>
          <w:rFonts w:eastAsia="Calibri"/>
          <w:spacing w:val="-1"/>
          <w:szCs w:val="22"/>
          <w:highlight w:val="lightGray"/>
          <w:lang w:eastAsia="en-US"/>
        </w:rPr>
        <w:t>9</w:t>
      </w:r>
      <w:r w:rsidRPr="00306B4D">
        <w:rPr>
          <w:rFonts w:eastAsia="Calibri"/>
          <w:spacing w:val="-1"/>
          <w:szCs w:val="22"/>
          <w:highlight w:val="lightGray"/>
          <w:lang w:eastAsia="en-US"/>
        </w:rPr>
        <w:t xml:space="preserve">0 </w:t>
      </w:r>
      <w:r>
        <w:rPr>
          <w:rFonts w:eastAsia="Calibri"/>
          <w:spacing w:val="-1"/>
          <w:szCs w:val="22"/>
          <w:highlight w:val="lightGray"/>
          <w:lang w:eastAsia="en-US"/>
        </w:rPr>
        <w:t xml:space="preserve">(3 buteliukai po 30) </w:t>
      </w:r>
      <w:r w:rsidRPr="00306B4D">
        <w:rPr>
          <w:rFonts w:eastAsia="Calibri"/>
          <w:spacing w:val="-1"/>
          <w:szCs w:val="22"/>
          <w:highlight w:val="lightGray"/>
          <w:lang w:eastAsia="en-US"/>
        </w:rPr>
        <w:t>plėvele dengtų tablečių</w:t>
      </w:r>
    </w:p>
    <w:p w14:paraId="7D825E59" w14:textId="77777777" w:rsidR="004F0F70" w:rsidRDefault="004F0F70" w:rsidP="004F0F70">
      <w:pPr>
        <w:tabs>
          <w:tab w:val="left" w:pos="567"/>
          <w:tab w:val="left" w:pos="5954"/>
          <w:tab w:val="left" w:pos="7938"/>
        </w:tabs>
        <w:ind w:right="-2"/>
        <w:rPr>
          <w:szCs w:val="22"/>
          <w:lang w:eastAsia="en-US"/>
        </w:rPr>
      </w:pPr>
    </w:p>
    <w:p w14:paraId="0D6A6948" w14:textId="77777777" w:rsidR="004F0F70" w:rsidRPr="0046556E" w:rsidRDefault="004F0F70" w:rsidP="004F0F70">
      <w:pPr>
        <w:tabs>
          <w:tab w:val="left" w:pos="567"/>
          <w:tab w:val="left" w:pos="5954"/>
          <w:tab w:val="left" w:pos="7938"/>
        </w:tabs>
        <w:ind w:right="-2"/>
        <w:rPr>
          <w:szCs w:val="22"/>
          <w:lang w:eastAsia="en-US"/>
        </w:rPr>
      </w:pPr>
    </w:p>
    <w:p w14:paraId="4655A6D4"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5.</w:t>
      </w:r>
      <w:r w:rsidRPr="0046556E">
        <w:rPr>
          <w:b/>
          <w:szCs w:val="22"/>
          <w:lang w:eastAsia="en-US"/>
        </w:rPr>
        <w:tab/>
        <w:t>VARTOJIMO METODAS IR BŪDAS (-AI)</w:t>
      </w:r>
    </w:p>
    <w:p w14:paraId="5EEDEB48" w14:textId="77777777" w:rsidR="004F0F70" w:rsidRPr="0046556E" w:rsidRDefault="004F0F70" w:rsidP="004F0F70">
      <w:pPr>
        <w:tabs>
          <w:tab w:val="left" w:pos="567"/>
          <w:tab w:val="left" w:pos="5954"/>
          <w:tab w:val="left" w:pos="7938"/>
        </w:tabs>
        <w:ind w:right="-2"/>
        <w:rPr>
          <w:i/>
          <w:szCs w:val="22"/>
          <w:lang w:eastAsia="en-US"/>
        </w:rPr>
      </w:pPr>
    </w:p>
    <w:p w14:paraId="6D68E6F1" w14:textId="5529A3D5" w:rsidR="00A62F86" w:rsidRPr="00A62F86" w:rsidRDefault="004F0F70" w:rsidP="00A62F86">
      <w:pPr>
        <w:tabs>
          <w:tab w:val="left" w:pos="567"/>
          <w:tab w:val="left" w:pos="5954"/>
          <w:tab w:val="left" w:pos="7938"/>
        </w:tabs>
        <w:autoSpaceDE w:val="0"/>
        <w:autoSpaceDN w:val="0"/>
        <w:adjustRightInd w:val="0"/>
        <w:ind w:right="-2"/>
        <w:rPr>
          <w:szCs w:val="22"/>
          <w:lang w:eastAsia="en-US"/>
        </w:rPr>
      </w:pPr>
      <w:r w:rsidRPr="0046556E">
        <w:rPr>
          <w:szCs w:val="22"/>
          <w:lang w:eastAsia="is-IS"/>
        </w:rPr>
        <w:t>Vartoti per burną.</w:t>
      </w:r>
    </w:p>
    <w:p w14:paraId="791F841E" w14:textId="10C23D6D" w:rsidR="004F0F70" w:rsidRPr="0046556E" w:rsidRDefault="004F0F70" w:rsidP="004F0F70">
      <w:pPr>
        <w:tabs>
          <w:tab w:val="left" w:pos="567"/>
          <w:tab w:val="left" w:pos="5954"/>
          <w:tab w:val="left" w:pos="7938"/>
        </w:tabs>
        <w:autoSpaceDE w:val="0"/>
        <w:autoSpaceDN w:val="0"/>
        <w:adjustRightInd w:val="0"/>
        <w:ind w:right="-2"/>
        <w:rPr>
          <w:szCs w:val="22"/>
          <w:lang w:eastAsia="is-IS"/>
        </w:rPr>
      </w:pPr>
      <w:r w:rsidRPr="00A62F86">
        <w:t>Prieš vartojimą perskaitykite pakuotės lapelį.</w:t>
      </w:r>
      <w:r w:rsidR="00A62F86">
        <w:t xml:space="preserve"> </w:t>
      </w:r>
      <w:r w:rsidR="00A62F86" w:rsidRPr="004F0F70">
        <w:rPr>
          <w:szCs w:val="22"/>
          <w:highlight w:val="lightGray"/>
          <w:lang w:eastAsia="en-US"/>
        </w:rPr>
        <w:t>[Tik buteliuko kartono dėžutei]</w:t>
      </w:r>
    </w:p>
    <w:p w14:paraId="491C5F9F" w14:textId="77777777" w:rsidR="004F0F70" w:rsidRPr="0046556E" w:rsidRDefault="004F0F70" w:rsidP="004F0F70">
      <w:pPr>
        <w:tabs>
          <w:tab w:val="left" w:pos="567"/>
          <w:tab w:val="left" w:pos="5954"/>
          <w:tab w:val="left" w:pos="7938"/>
        </w:tabs>
        <w:autoSpaceDE w:val="0"/>
        <w:autoSpaceDN w:val="0"/>
        <w:adjustRightInd w:val="0"/>
        <w:ind w:right="-2"/>
        <w:rPr>
          <w:szCs w:val="22"/>
          <w:lang w:eastAsia="is-IS"/>
        </w:rPr>
      </w:pPr>
    </w:p>
    <w:p w14:paraId="608D1FD1" w14:textId="77777777" w:rsidR="004F0F70" w:rsidRPr="0046556E" w:rsidRDefault="004F0F70" w:rsidP="004F0F70">
      <w:pPr>
        <w:tabs>
          <w:tab w:val="left" w:pos="567"/>
          <w:tab w:val="left" w:pos="5954"/>
          <w:tab w:val="left" w:pos="7938"/>
        </w:tabs>
        <w:ind w:right="-2"/>
        <w:rPr>
          <w:szCs w:val="22"/>
          <w:lang w:eastAsia="en-US"/>
        </w:rPr>
      </w:pPr>
    </w:p>
    <w:p w14:paraId="210A7297"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6.</w:t>
      </w:r>
      <w:r w:rsidRPr="0046556E">
        <w:rPr>
          <w:b/>
          <w:szCs w:val="22"/>
          <w:lang w:eastAsia="en-US"/>
        </w:rPr>
        <w:tab/>
      </w:r>
      <w:r w:rsidR="00064965" w:rsidRPr="00064965">
        <w:rPr>
          <w:b/>
          <w:szCs w:val="22"/>
          <w:lang w:eastAsia="en-US"/>
        </w:rPr>
        <w:t>SPECIALUS ĮSPĖJIMAS, KAD VAISTINĮ PREPARATĄ BŪTINA LAIKYTI VAIKAMS NEPASTEBIMOJE IR  NEPASIEKIAMOJE VIETOJE</w:t>
      </w:r>
    </w:p>
    <w:p w14:paraId="28DAC048" w14:textId="77777777" w:rsidR="004F0F70" w:rsidRPr="0046556E" w:rsidRDefault="004F0F70" w:rsidP="004F0F70">
      <w:pPr>
        <w:tabs>
          <w:tab w:val="left" w:pos="567"/>
          <w:tab w:val="left" w:pos="5954"/>
          <w:tab w:val="left" w:pos="7938"/>
        </w:tabs>
        <w:ind w:right="-2"/>
        <w:rPr>
          <w:szCs w:val="22"/>
          <w:lang w:eastAsia="en-US"/>
        </w:rPr>
      </w:pPr>
    </w:p>
    <w:p w14:paraId="6B0F5130" w14:textId="77777777" w:rsidR="004F0F70" w:rsidRPr="0046556E" w:rsidRDefault="004F0F70" w:rsidP="004F0F70">
      <w:pPr>
        <w:tabs>
          <w:tab w:val="left" w:pos="567"/>
          <w:tab w:val="left" w:pos="5954"/>
          <w:tab w:val="left" w:pos="7938"/>
        </w:tabs>
        <w:ind w:right="-2"/>
        <w:rPr>
          <w:szCs w:val="22"/>
          <w:lang w:eastAsia="en-US"/>
        </w:rPr>
      </w:pPr>
      <w:r w:rsidRPr="0046556E">
        <w:rPr>
          <w:szCs w:val="22"/>
          <w:lang w:eastAsia="en-US"/>
        </w:rPr>
        <w:t>Laikyti vaikams nepastebimoje ir nepasiekiamoje vietoje.</w:t>
      </w:r>
    </w:p>
    <w:p w14:paraId="45AA7FC5" w14:textId="77777777" w:rsidR="004F0F70" w:rsidRPr="0046556E" w:rsidRDefault="004F0F70" w:rsidP="004F0F70">
      <w:pPr>
        <w:tabs>
          <w:tab w:val="left" w:pos="567"/>
          <w:tab w:val="left" w:pos="5954"/>
          <w:tab w:val="left" w:pos="7938"/>
        </w:tabs>
        <w:ind w:right="-2"/>
        <w:rPr>
          <w:szCs w:val="22"/>
          <w:lang w:eastAsia="en-US"/>
        </w:rPr>
      </w:pPr>
    </w:p>
    <w:p w14:paraId="38F4809C" w14:textId="77777777" w:rsidR="004F0F70" w:rsidRPr="0046556E" w:rsidRDefault="004F0F70" w:rsidP="004F0F70">
      <w:pPr>
        <w:tabs>
          <w:tab w:val="left" w:pos="567"/>
          <w:tab w:val="left" w:pos="5954"/>
          <w:tab w:val="left" w:pos="7938"/>
        </w:tabs>
        <w:ind w:right="-2"/>
        <w:rPr>
          <w:szCs w:val="22"/>
          <w:lang w:eastAsia="en-US"/>
        </w:rPr>
      </w:pPr>
    </w:p>
    <w:p w14:paraId="16F6A48F"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7.</w:t>
      </w:r>
      <w:r w:rsidRPr="0046556E">
        <w:rPr>
          <w:b/>
          <w:szCs w:val="22"/>
          <w:lang w:eastAsia="en-US"/>
        </w:rPr>
        <w:tab/>
        <w:t>KITAS (-I) SPECIALUS (-ŪS) ĮSPĖJIMAS (-AI) (JEI REIKIA)</w:t>
      </w:r>
    </w:p>
    <w:p w14:paraId="0F13CB28" w14:textId="77777777" w:rsidR="004F0F70" w:rsidRPr="0046556E" w:rsidRDefault="004F0F70" w:rsidP="004F0F70">
      <w:pPr>
        <w:tabs>
          <w:tab w:val="left" w:pos="567"/>
          <w:tab w:val="left" w:pos="5954"/>
          <w:tab w:val="left" w:pos="7938"/>
        </w:tabs>
        <w:ind w:right="-2"/>
        <w:rPr>
          <w:szCs w:val="22"/>
          <w:lang w:eastAsia="en-US"/>
        </w:rPr>
      </w:pPr>
    </w:p>
    <w:p w14:paraId="056582C5" w14:textId="77777777" w:rsidR="004F0F70" w:rsidRPr="0046556E" w:rsidRDefault="004F0F70" w:rsidP="004F0F70">
      <w:pPr>
        <w:tabs>
          <w:tab w:val="left" w:pos="567"/>
          <w:tab w:val="left" w:pos="5954"/>
          <w:tab w:val="left" w:pos="7938"/>
        </w:tabs>
        <w:ind w:right="-2"/>
        <w:rPr>
          <w:szCs w:val="22"/>
          <w:lang w:eastAsia="en-US"/>
        </w:rPr>
      </w:pPr>
    </w:p>
    <w:p w14:paraId="22566CC0"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highlight w:val="lightGray"/>
          <w:lang w:eastAsia="en-US"/>
        </w:rPr>
      </w:pPr>
      <w:r w:rsidRPr="0046556E">
        <w:rPr>
          <w:b/>
          <w:szCs w:val="22"/>
          <w:lang w:eastAsia="en-US"/>
        </w:rPr>
        <w:t>8.</w:t>
      </w:r>
      <w:r w:rsidRPr="0046556E">
        <w:rPr>
          <w:b/>
          <w:szCs w:val="22"/>
          <w:lang w:eastAsia="en-US"/>
        </w:rPr>
        <w:tab/>
        <w:t>TINKAMUMO LAIKAS</w:t>
      </w:r>
    </w:p>
    <w:p w14:paraId="6896C987" w14:textId="77777777" w:rsidR="004F0F70" w:rsidRPr="0046556E" w:rsidRDefault="004F0F70" w:rsidP="004F0F70">
      <w:pPr>
        <w:tabs>
          <w:tab w:val="left" w:pos="567"/>
          <w:tab w:val="left" w:pos="5954"/>
          <w:tab w:val="left" w:pos="7938"/>
        </w:tabs>
        <w:ind w:right="-2"/>
        <w:rPr>
          <w:szCs w:val="22"/>
          <w:lang w:eastAsia="en-US"/>
        </w:rPr>
      </w:pPr>
    </w:p>
    <w:p w14:paraId="7BBE40B1" w14:textId="2777799C" w:rsidR="004F0F70" w:rsidRPr="0046556E" w:rsidRDefault="009011B4" w:rsidP="004F0F70">
      <w:pPr>
        <w:tabs>
          <w:tab w:val="left" w:pos="567"/>
          <w:tab w:val="left" w:pos="5954"/>
          <w:tab w:val="left" w:pos="7938"/>
        </w:tabs>
        <w:ind w:right="-2"/>
        <w:rPr>
          <w:szCs w:val="22"/>
          <w:lang w:eastAsia="en-US"/>
        </w:rPr>
      </w:pPr>
      <w:r>
        <w:rPr>
          <w:szCs w:val="22"/>
          <w:lang w:eastAsia="en-US"/>
        </w:rPr>
        <w:lastRenderedPageBreak/>
        <w:t>EXP</w:t>
      </w:r>
      <w:r w:rsidR="004F0F70" w:rsidRPr="0046556E">
        <w:rPr>
          <w:szCs w:val="22"/>
          <w:lang w:eastAsia="en-US"/>
        </w:rPr>
        <w:t xml:space="preserve"> {mm.MMMM}</w:t>
      </w:r>
    </w:p>
    <w:p w14:paraId="4CC4C1C8" w14:textId="77777777" w:rsidR="004F0F70" w:rsidRPr="0046556E" w:rsidRDefault="004F0F70" w:rsidP="004F0F70">
      <w:pPr>
        <w:tabs>
          <w:tab w:val="left" w:pos="567"/>
          <w:tab w:val="left" w:pos="5954"/>
          <w:tab w:val="left" w:pos="7938"/>
        </w:tabs>
        <w:ind w:right="-2"/>
        <w:rPr>
          <w:szCs w:val="22"/>
          <w:lang w:eastAsia="en-US"/>
        </w:rPr>
      </w:pPr>
      <w:r>
        <w:rPr>
          <w:szCs w:val="22"/>
          <w:lang w:eastAsia="en-US"/>
        </w:rPr>
        <w:t>Po pirmojo atidarymo: vartoti ne ilgiau kaip 30 parų.</w:t>
      </w:r>
    </w:p>
    <w:p w14:paraId="334AFCAF" w14:textId="77777777" w:rsidR="004F0F70" w:rsidRDefault="004F0F70" w:rsidP="004F0F70">
      <w:pPr>
        <w:tabs>
          <w:tab w:val="left" w:pos="567"/>
          <w:tab w:val="left" w:pos="5954"/>
          <w:tab w:val="left" w:pos="7938"/>
        </w:tabs>
        <w:ind w:right="-2"/>
        <w:rPr>
          <w:szCs w:val="22"/>
          <w:lang w:eastAsia="en-US"/>
        </w:rPr>
      </w:pPr>
    </w:p>
    <w:p w14:paraId="5ECC960C" w14:textId="77777777" w:rsidR="004F0F70" w:rsidRPr="0046556E" w:rsidRDefault="004F0F70" w:rsidP="004F0F70">
      <w:pPr>
        <w:tabs>
          <w:tab w:val="left" w:pos="567"/>
          <w:tab w:val="left" w:pos="5954"/>
          <w:tab w:val="left" w:pos="7938"/>
        </w:tabs>
        <w:ind w:right="-2"/>
        <w:rPr>
          <w:szCs w:val="22"/>
          <w:lang w:eastAsia="en-US"/>
        </w:rPr>
      </w:pPr>
    </w:p>
    <w:p w14:paraId="69A52758"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46556E">
        <w:rPr>
          <w:b/>
          <w:szCs w:val="22"/>
          <w:lang w:eastAsia="en-US"/>
        </w:rPr>
        <w:t>9.</w:t>
      </w:r>
      <w:r w:rsidRPr="0046556E">
        <w:rPr>
          <w:b/>
          <w:szCs w:val="22"/>
          <w:lang w:eastAsia="en-US"/>
        </w:rPr>
        <w:tab/>
        <w:t>SPECIALIOS LAIKYMO SĄLYGOS</w:t>
      </w:r>
    </w:p>
    <w:p w14:paraId="7FE344C4" w14:textId="77777777" w:rsidR="004F0F70" w:rsidRPr="0046556E" w:rsidRDefault="004F0F70" w:rsidP="004F0F70">
      <w:pPr>
        <w:tabs>
          <w:tab w:val="left" w:pos="567"/>
          <w:tab w:val="left" w:pos="5954"/>
          <w:tab w:val="left" w:pos="7938"/>
        </w:tabs>
        <w:autoSpaceDE w:val="0"/>
        <w:autoSpaceDN w:val="0"/>
        <w:adjustRightInd w:val="0"/>
        <w:ind w:right="-2"/>
        <w:rPr>
          <w:szCs w:val="22"/>
          <w:lang w:eastAsia="is-IS"/>
        </w:rPr>
      </w:pPr>
    </w:p>
    <w:p w14:paraId="4CD1FF53" w14:textId="77777777" w:rsidR="004F0F70" w:rsidRPr="0046556E" w:rsidRDefault="004F0F70" w:rsidP="004F0F70">
      <w:pPr>
        <w:tabs>
          <w:tab w:val="left" w:pos="567"/>
          <w:tab w:val="left" w:pos="5954"/>
          <w:tab w:val="left" w:pos="7938"/>
        </w:tabs>
        <w:ind w:right="-2"/>
        <w:rPr>
          <w:szCs w:val="22"/>
          <w:lang w:eastAsia="en-US"/>
        </w:rPr>
      </w:pPr>
    </w:p>
    <w:p w14:paraId="2F3CF130"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s>
        <w:ind w:left="567" w:right="-2" w:hanging="567"/>
        <w:outlineLvl w:val="0"/>
        <w:rPr>
          <w:b/>
          <w:szCs w:val="22"/>
          <w:lang w:eastAsia="en-US"/>
        </w:rPr>
      </w:pPr>
      <w:r w:rsidRPr="0046556E">
        <w:rPr>
          <w:b/>
          <w:szCs w:val="22"/>
          <w:lang w:eastAsia="en-US"/>
        </w:rPr>
        <w:t>10.</w:t>
      </w:r>
      <w:r w:rsidRPr="0046556E">
        <w:rPr>
          <w:b/>
          <w:szCs w:val="22"/>
          <w:lang w:eastAsia="en-US"/>
        </w:rPr>
        <w:tab/>
        <w:t>SPECIALIOS ATSARGUMO PRIEMONĖS DĖL NESUVARTOTO VAISTINIO PREPARATO AR JO ATLIEKŲ TVARKYMO (JEI REIKIA)</w:t>
      </w:r>
    </w:p>
    <w:p w14:paraId="4FFD96B4" w14:textId="77777777" w:rsidR="004F0F70" w:rsidRPr="0046556E" w:rsidRDefault="004F0F70" w:rsidP="004F0F70">
      <w:pPr>
        <w:tabs>
          <w:tab w:val="left" w:pos="567"/>
          <w:tab w:val="left" w:pos="5954"/>
          <w:tab w:val="left" w:pos="7938"/>
        </w:tabs>
        <w:ind w:right="-2"/>
        <w:rPr>
          <w:szCs w:val="22"/>
          <w:lang w:eastAsia="en-US"/>
        </w:rPr>
      </w:pPr>
    </w:p>
    <w:p w14:paraId="4E8B502E" w14:textId="77777777" w:rsidR="004F0F70" w:rsidRPr="0046556E" w:rsidRDefault="004F0F70" w:rsidP="004F0F70">
      <w:pPr>
        <w:tabs>
          <w:tab w:val="left" w:pos="567"/>
          <w:tab w:val="left" w:pos="5954"/>
          <w:tab w:val="left" w:pos="7938"/>
        </w:tabs>
        <w:ind w:right="-2"/>
        <w:rPr>
          <w:szCs w:val="22"/>
          <w:lang w:eastAsia="en-US"/>
        </w:rPr>
      </w:pPr>
    </w:p>
    <w:p w14:paraId="518FD7EA"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46556E">
        <w:rPr>
          <w:b/>
          <w:szCs w:val="22"/>
          <w:lang w:eastAsia="en-US"/>
        </w:rPr>
        <w:t>11.</w:t>
      </w:r>
      <w:r w:rsidRPr="0046556E">
        <w:rPr>
          <w:b/>
          <w:szCs w:val="22"/>
          <w:lang w:eastAsia="en-US"/>
        </w:rPr>
        <w:tab/>
        <w:t>REGISTRUOTOJO PAVADINIMAS IR ADRESAS</w:t>
      </w:r>
    </w:p>
    <w:p w14:paraId="165B18BB" w14:textId="77777777" w:rsidR="004F0F70" w:rsidRPr="0046556E" w:rsidRDefault="004F0F70" w:rsidP="004F0F70">
      <w:pPr>
        <w:tabs>
          <w:tab w:val="left" w:pos="567"/>
          <w:tab w:val="left" w:pos="5954"/>
          <w:tab w:val="left" w:pos="7938"/>
        </w:tabs>
        <w:ind w:right="-2"/>
        <w:rPr>
          <w:szCs w:val="22"/>
          <w:lang w:eastAsia="en-US"/>
        </w:rPr>
      </w:pPr>
    </w:p>
    <w:p w14:paraId="3FD086EA" w14:textId="77777777" w:rsidR="00120BE7" w:rsidRDefault="00120BE7" w:rsidP="00120BE7">
      <w:pPr>
        <w:tabs>
          <w:tab w:val="left" w:pos="567"/>
        </w:tabs>
        <w:rPr>
          <w:szCs w:val="22"/>
          <w:lang w:eastAsia="en-US"/>
        </w:rPr>
      </w:pPr>
      <w:r w:rsidRPr="008473DF">
        <w:rPr>
          <w:szCs w:val="22"/>
          <w:highlight w:val="lightGray"/>
          <w:lang w:eastAsia="en-US"/>
        </w:rPr>
        <w:t>Dėžutė</w:t>
      </w:r>
    </w:p>
    <w:p w14:paraId="3DD495B3" w14:textId="77777777" w:rsidR="004F0F70" w:rsidRPr="0046556E" w:rsidRDefault="004F0F70" w:rsidP="004F0F70">
      <w:pPr>
        <w:tabs>
          <w:tab w:val="left" w:pos="567"/>
        </w:tabs>
        <w:rPr>
          <w:szCs w:val="22"/>
          <w:lang w:eastAsia="en-US"/>
        </w:rPr>
      </w:pPr>
      <w:r w:rsidRPr="0046556E">
        <w:rPr>
          <w:szCs w:val="22"/>
          <w:lang w:eastAsia="en-US"/>
        </w:rPr>
        <w:t xml:space="preserve">Sandoz d.d. </w:t>
      </w:r>
      <w:r w:rsidRPr="0046556E">
        <w:rPr>
          <w:szCs w:val="22"/>
          <w:lang w:eastAsia="en-US"/>
        </w:rPr>
        <w:br/>
        <w:t xml:space="preserve">Verovškova 57 </w:t>
      </w:r>
      <w:r w:rsidRPr="0046556E">
        <w:rPr>
          <w:szCs w:val="22"/>
          <w:lang w:eastAsia="en-US"/>
        </w:rPr>
        <w:br/>
        <w:t xml:space="preserve">SI-1000 Ljubljana </w:t>
      </w:r>
      <w:r w:rsidRPr="0046556E">
        <w:rPr>
          <w:szCs w:val="22"/>
          <w:lang w:eastAsia="en-US"/>
        </w:rPr>
        <w:br/>
        <w:t>Slovėnija</w:t>
      </w:r>
    </w:p>
    <w:p w14:paraId="1F7FD3F0" w14:textId="013385B7" w:rsidR="004F0F70" w:rsidRDefault="00120BE7" w:rsidP="004F0F70">
      <w:pPr>
        <w:tabs>
          <w:tab w:val="left" w:pos="567"/>
          <w:tab w:val="left" w:pos="5954"/>
          <w:tab w:val="left" w:pos="7938"/>
        </w:tabs>
        <w:ind w:right="-2"/>
        <w:rPr>
          <w:szCs w:val="22"/>
          <w:lang w:eastAsia="en-US"/>
        </w:rPr>
      </w:pPr>
      <w:r w:rsidRPr="00164838">
        <w:rPr>
          <w:szCs w:val="22"/>
          <w:highlight w:val="lightGray"/>
          <w:lang w:eastAsia="en-US"/>
        </w:rPr>
        <w:t xml:space="preserve">Buteliuko </w:t>
      </w:r>
      <w:r w:rsidRPr="00120BE7">
        <w:rPr>
          <w:szCs w:val="22"/>
          <w:highlight w:val="lightGray"/>
          <w:lang w:eastAsia="en-US"/>
        </w:rPr>
        <w:t>etiket</w:t>
      </w:r>
      <w:r w:rsidR="003F42E1">
        <w:rPr>
          <w:szCs w:val="22"/>
          <w:highlight w:val="lightGray"/>
          <w:lang w:eastAsia="en-US"/>
        </w:rPr>
        <w:t>ė</w:t>
      </w:r>
    </w:p>
    <w:p w14:paraId="05F264D9" w14:textId="77777777" w:rsidR="00120BE7" w:rsidRPr="0046556E" w:rsidRDefault="00120BE7" w:rsidP="004F0F70">
      <w:pPr>
        <w:tabs>
          <w:tab w:val="left" w:pos="567"/>
          <w:tab w:val="left" w:pos="5954"/>
          <w:tab w:val="left" w:pos="7938"/>
        </w:tabs>
        <w:ind w:right="-2"/>
        <w:rPr>
          <w:szCs w:val="22"/>
          <w:lang w:eastAsia="en-US"/>
        </w:rPr>
      </w:pPr>
      <w:r>
        <w:rPr>
          <w:szCs w:val="22"/>
          <w:lang w:eastAsia="en-US"/>
        </w:rPr>
        <w:t>SANDOZ</w:t>
      </w:r>
    </w:p>
    <w:p w14:paraId="3F139753" w14:textId="77777777" w:rsidR="004F0F70" w:rsidRDefault="004F0F70" w:rsidP="004F0F70">
      <w:pPr>
        <w:tabs>
          <w:tab w:val="left" w:pos="567"/>
          <w:tab w:val="left" w:pos="5954"/>
          <w:tab w:val="left" w:pos="7938"/>
        </w:tabs>
        <w:ind w:right="-2"/>
        <w:rPr>
          <w:szCs w:val="22"/>
          <w:lang w:eastAsia="en-US"/>
        </w:rPr>
      </w:pPr>
    </w:p>
    <w:p w14:paraId="6DA1115C" w14:textId="77777777" w:rsidR="007200A5" w:rsidRPr="0046556E" w:rsidRDefault="007200A5" w:rsidP="004F0F70">
      <w:pPr>
        <w:tabs>
          <w:tab w:val="left" w:pos="567"/>
          <w:tab w:val="left" w:pos="5954"/>
          <w:tab w:val="left" w:pos="7938"/>
        </w:tabs>
        <w:ind w:right="-2"/>
        <w:rPr>
          <w:szCs w:val="22"/>
          <w:lang w:eastAsia="en-US"/>
        </w:rPr>
      </w:pPr>
    </w:p>
    <w:p w14:paraId="5723D7D4"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46556E">
        <w:rPr>
          <w:b/>
          <w:szCs w:val="22"/>
          <w:lang w:eastAsia="en-US"/>
        </w:rPr>
        <w:t>12.</w:t>
      </w:r>
      <w:r w:rsidRPr="0046556E">
        <w:rPr>
          <w:b/>
          <w:szCs w:val="22"/>
          <w:lang w:eastAsia="en-US"/>
        </w:rPr>
        <w:tab/>
        <w:t>REGISTRACIJOS PAŽYMĖJIMO NUMERIS (-IAI)</w:t>
      </w:r>
    </w:p>
    <w:p w14:paraId="151BBEF4" w14:textId="77777777" w:rsidR="004F0F70" w:rsidRDefault="004F0F70" w:rsidP="004F0F70">
      <w:pPr>
        <w:tabs>
          <w:tab w:val="left" w:pos="567"/>
          <w:tab w:val="left" w:pos="5954"/>
          <w:tab w:val="left" w:pos="7938"/>
        </w:tabs>
        <w:ind w:right="-2"/>
        <w:rPr>
          <w:szCs w:val="22"/>
          <w:lang w:eastAsia="en-US"/>
        </w:rPr>
      </w:pPr>
    </w:p>
    <w:p w14:paraId="5C681AAC" w14:textId="1E35A9F0" w:rsidR="006110C7" w:rsidRPr="006110C7" w:rsidRDefault="006110C7" w:rsidP="006110C7">
      <w:pPr>
        <w:rPr>
          <w:bCs/>
          <w:szCs w:val="22"/>
          <w:lang w:eastAsia="en-US"/>
        </w:rPr>
      </w:pPr>
      <w:r>
        <w:rPr>
          <w:szCs w:val="22"/>
          <w:lang w:eastAsia="en-US"/>
        </w:rPr>
        <w:t xml:space="preserve">N30 - </w:t>
      </w:r>
      <w:r w:rsidRPr="006110C7">
        <w:rPr>
          <w:szCs w:val="22"/>
          <w:lang w:eastAsia="en-US"/>
        </w:rPr>
        <w:t>LT/1/17/403</w:t>
      </w:r>
      <w:r w:rsidR="00572CD9">
        <w:rPr>
          <w:szCs w:val="22"/>
          <w:lang w:eastAsia="en-US"/>
        </w:rPr>
        <w:t>8</w:t>
      </w:r>
      <w:r w:rsidRPr="006110C7">
        <w:rPr>
          <w:szCs w:val="22"/>
          <w:lang w:eastAsia="en-US"/>
        </w:rPr>
        <w:t>/004</w:t>
      </w:r>
      <w:r w:rsidRPr="006110C7">
        <w:rPr>
          <w:bCs/>
          <w:szCs w:val="22"/>
          <w:lang w:eastAsia="en-US"/>
        </w:rPr>
        <w:t xml:space="preserve"> </w:t>
      </w:r>
    </w:p>
    <w:p w14:paraId="20D417F2" w14:textId="40580580" w:rsidR="006110C7" w:rsidRPr="006110C7" w:rsidRDefault="006110C7" w:rsidP="006110C7">
      <w:pPr>
        <w:rPr>
          <w:bCs/>
          <w:szCs w:val="22"/>
          <w:lang w:eastAsia="en-US"/>
        </w:rPr>
      </w:pPr>
      <w:r>
        <w:rPr>
          <w:szCs w:val="22"/>
          <w:lang w:eastAsia="en-US"/>
        </w:rPr>
        <w:t xml:space="preserve">N60 (2x30) - </w:t>
      </w:r>
      <w:r w:rsidRPr="006110C7">
        <w:rPr>
          <w:szCs w:val="22"/>
          <w:lang w:eastAsia="en-US"/>
        </w:rPr>
        <w:t>LT/1/17/403</w:t>
      </w:r>
      <w:r w:rsidR="00572CD9">
        <w:rPr>
          <w:szCs w:val="22"/>
          <w:lang w:eastAsia="en-US"/>
        </w:rPr>
        <w:t>8</w:t>
      </w:r>
      <w:r w:rsidRPr="006110C7">
        <w:rPr>
          <w:szCs w:val="22"/>
          <w:lang w:eastAsia="en-US"/>
        </w:rPr>
        <w:t>/005</w:t>
      </w:r>
      <w:r w:rsidRPr="006110C7">
        <w:rPr>
          <w:bCs/>
          <w:szCs w:val="22"/>
          <w:lang w:eastAsia="en-US"/>
        </w:rPr>
        <w:t xml:space="preserve"> </w:t>
      </w:r>
    </w:p>
    <w:p w14:paraId="03A76221" w14:textId="3508A3CC" w:rsidR="006110C7" w:rsidRDefault="006110C7" w:rsidP="006110C7">
      <w:pPr>
        <w:tabs>
          <w:tab w:val="left" w:pos="567"/>
        </w:tabs>
        <w:rPr>
          <w:bCs/>
          <w:szCs w:val="22"/>
          <w:lang w:eastAsia="en-US"/>
        </w:rPr>
      </w:pPr>
      <w:r>
        <w:rPr>
          <w:szCs w:val="22"/>
          <w:lang w:eastAsia="en-US"/>
        </w:rPr>
        <w:t xml:space="preserve">N90 (3x30) - </w:t>
      </w:r>
      <w:r w:rsidRPr="006110C7">
        <w:rPr>
          <w:szCs w:val="22"/>
          <w:lang w:eastAsia="en-US"/>
        </w:rPr>
        <w:t>LT/1/17/403</w:t>
      </w:r>
      <w:r w:rsidR="00572CD9">
        <w:rPr>
          <w:szCs w:val="22"/>
          <w:lang w:eastAsia="en-US"/>
        </w:rPr>
        <w:t>8</w:t>
      </w:r>
      <w:r w:rsidRPr="006110C7">
        <w:rPr>
          <w:szCs w:val="22"/>
          <w:lang w:eastAsia="en-US"/>
        </w:rPr>
        <w:t>/006</w:t>
      </w:r>
      <w:r w:rsidRPr="006110C7">
        <w:rPr>
          <w:bCs/>
          <w:szCs w:val="22"/>
          <w:lang w:eastAsia="en-US"/>
        </w:rPr>
        <w:t xml:space="preserve"> </w:t>
      </w:r>
    </w:p>
    <w:p w14:paraId="2E3B3B6D" w14:textId="77777777" w:rsidR="006110C7" w:rsidRPr="0046556E" w:rsidRDefault="006110C7" w:rsidP="004F0F70">
      <w:pPr>
        <w:tabs>
          <w:tab w:val="left" w:pos="567"/>
          <w:tab w:val="left" w:pos="5954"/>
          <w:tab w:val="left" w:pos="7938"/>
        </w:tabs>
        <w:ind w:right="-2"/>
        <w:rPr>
          <w:szCs w:val="22"/>
          <w:lang w:eastAsia="en-US"/>
        </w:rPr>
      </w:pPr>
    </w:p>
    <w:p w14:paraId="64794F6F" w14:textId="77777777" w:rsidR="004F0F70" w:rsidRPr="0046556E" w:rsidRDefault="004F0F70" w:rsidP="004F0F70">
      <w:pPr>
        <w:tabs>
          <w:tab w:val="left" w:pos="567"/>
          <w:tab w:val="left" w:pos="5954"/>
          <w:tab w:val="left" w:pos="7938"/>
        </w:tabs>
        <w:ind w:right="-2"/>
        <w:rPr>
          <w:szCs w:val="22"/>
          <w:lang w:eastAsia="en-US"/>
        </w:rPr>
      </w:pPr>
    </w:p>
    <w:p w14:paraId="1CE94964"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46556E">
        <w:rPr>
          <w:b/>
          <w:szCs w:val="22"/>
          <w:lang w:eastAsia="en-US"/>
        </w:rPr>
        <w:t>13.</w:t>
      </w:r>
      <w:r w:rsidRPr="0046556E">
        <w:rPr>
          <w:b/>
          <w:szCs w:val="22"/>
          <w:lang w:eastAsia="en-US"/>
        </w:rPr>
        <w:tab/>
        <w:t>SERIJOS NUMERIS</w:t>
      </w:r>
    </w:p>
    <w:p w14:paraId="3CB142AB" w14:textId="77777777" w:rsidR="004F0F70" w:rsidRPr="0046556E" w:rsidRDefault="004F0F70" w:rsidP="004F0F70">
      <w:pPr>
        <w:tabs>
          <w:tab w:val="left" w:pos="567"/>
          <w:tab w:val="left" w:pos="5954"/>
          <w:tab w:val="left" w:pos="7938"/>
        </w:tabs>
        <w:ind w:right="-2"/>
        <w:rPr>
          <w:szCs w:val="22"/>
          <w:lang w:eastAsia="en-US"/>
        </w:rPr>
      </w:pPr>
    </w:p>
    <w:p w14:paraId="77575C94" w14:textId="2D812D0A" w:rsidR="004F0F70" w:rsidRPr="0046556E" w:rsidRDefault="009011B4" w:rsidP="004F0F70">
      <w:pPr>
        <w:tabs>
          <w:tab w:val="left" w:pos="567"/>
          <w:tab w:val="left" w:pos="5954"/>
          <w:tab w:val="left" w:pos="7938"/>
        </w:tabs>
        <w:ind w:right="-2"/>
        <w:rPr>
          <w:szCs w:val="22"/>
          <w:lang w:eastAsia="en-US"/>
        </w:rPr>
      </w:pPr>
      <w:r>
        <w:rPr>
          <w:szCs w:val="22"/>
          <w:lang w:eastAsia="en-US"/>
        </w:rPr>
        <w:t>Lot</w:t>
      </w:r>
    </w:p>
    <w:p w14:paraId="6D879E63" w14:textId="77777777" w:rsidR="004F0F70" w:rsidRPr="0046556E" w:rsidRDefault="004F0F70" w:rsidP="004F0F70">
      <w:pPr>
        <w:tabs>
          <w:tab w:val="left" w:pos="567"/>
          <w:tab w:val="left" w:pos="5954"/>
          <w:tab w:val="left" w:pos="7938"/>
        </w:tabs>
        <w:ind w:right="-2"/>
        <w:rPr>
          <w:szCs w:val="22"/>
          <w:lang w:eastAsia="en-US"/>
        </w:rPr>
      </w:pPr>
    </w:p>
    <w:p w14:paraId="06D4294A" w14:textId="77777777" w:rsidR="004F0F70" w:rsidRPr="0046556E" w:rsidRDefault="004F0F70" w:rsidP="004F0F70">
      <w:pPr>
        <w:tabs>
          <w:tab w:val="left" w:pos="567"/>
          <w:tab w:val="left" w:pos="5954"/>
          <w:tab w:val="left" w:pos="7938"/>
        </w:tabs>
        <w:ind w:right="-2"/>
        <w:rPr>
          <w:szCs w:val="22"/>
          <w:lang w:eastAsia="en-US"/>
        </w:rPr>
      </w:pPr>
    </w:p>
    <w:p w14:paraId="1440AFF6"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46556E">
        <w:rPr>
          <w:b/>
          <w:szCs w:val="22"/>
          <w:lang w:eastAsia="en-US"/>
        </w:rPr>
        <w:t>14.</w:t>
      </w:r>
      <w:r w:rsidRPr="0046556E">
        <w:rPr>
          <w:b/>
          <w:szCs w:val="22"/>
          <w:lang w:eastAsia="en-US"/>
        </w:rPr>
        <w:tab/>
        <w:t>PARDAVIMO (IŠDAVIMO) TVARKA</w:t>
      </w:r>
    </w:p>
    <w:p w14:paraId="10AB2D10" w14:textId="77777777" w:rsidR="004F0F70" w:rsidRPr="0046556E" w:rsidRDefault="004F0F70" w:rsidP="004F0F70">
      <w:pPr>
        <w:tabs>
          <w:tab w:val="left" w:pos="567"/>
          <w:tab w:val="left" w:pos="5954"/>
          <w:tab w:val="left" w:pos="7938"/>
        </w:tabs>
        <w:ind w:right="-2"/>
        <w:rPr>
          <w:szCs w:val="22"/>
          <w:lang w:eastAsia="en-US"/>
        </w:rPr>
      </w:pPr>
    </w:p>
    <w:p w14:paraId="11EC773D" w14:textId="77777777" w:rsidR="00120BE7" w:rsidRDefault="00120BE7" w:rsidP="00120BE7">
      <w:pPr>
        <w:tabs>
          <w:tab w:val="left" w:pos="567"/>
        </w:tabs>
        <w:rPr>
          <w:szCs w:val="22"/>
          <w:lang w:eastAsia="en-US"/>
        </w:rPr>
      </w:pPr>
      <w:r w:rsidRPr="008473DF">
        <w:rPr>
          <w:szCs w:val="22"/>
          <w:highlight w:val="lightGray"/>
          <w:lang w:eastAsia="en-US"/>
        </w:rPr>
        <w:t>Dėžutė</w:t>
      </w:r>
    </w:p>
    <w:p w14:paraId="37A70A05" w14:textId="309D7A8C" w:rsidR="004F0F70" w:rsidRPr="0046556E" w:rsidRDefault="004F0F70" w:rsidP="004F0F70">
      <w:pPr>
        <w:tabs>
          <w:tab w:val="left" w:pos="567"/>
          <w:tab w:val="left" w:pos="5954"/>
          <w:tab w:val="left" w:pos="7938"/>
        </w:tabs>
        <w:ind w:right="-2"/>
        <w:rPr>
          <w:szCs w:val="22"/>
          <w:lang w:eastAsia="en-US"/>
        </w:rPr>
      </w:pPr>
      <w:r w:rsidRPr="00E053DC">
        <w:rPr>
          <w:szCs w:val="22"/>
          <w:lang w:eastAsia="en-US"/>
        </w:rPr>
        <w:t>Receptinis vaistas</w:t>
      </w:r>
    </w:p>
    <w:p w14:paraId="1E3837C3" w14:textId="24732820" w:rsidR="00E053DC" w:rsidRPr="0046556E" w:rsidRDefault="00E053DC" w:rsidP="00E053DC">
      <w:pPr>
        <w:tabs>
          <w:tab w:val="left" w:pos="567"/>
          <w:tab w:val="left" w:pos="5954"/>
          <w:tab w:val="left" w:pos="7938"/>
        </w:tabs>
        <w:ind w:right="-2"/>
        <w:rPr>
          <w:szCs w:val="22"/>
          <w:lang w:eastAsia="en-US"/>
        </w:rPr>
      </w:pPr>
      <w:r w:rsidRPr="00164838">
        <w:rPr>
          <w:szCs w:val="22"/>
          <w:highlight w:val="lightGray"/>
          <w:lang w:eastAsia="en-US"/>
        </w:rPr>
        <w:t>Etiketė</w:t>
      </w:r>
      <w:r>
        <w:rPr>
          <w:szCs w:val="22"/>
          <w:lang w:eastAsia="en-US"/>
        </w:rPr>
        <w:br/>
      </w:r>
      <w:r w:rsidRPr="00AF2342">
        <w:rPr>
          <w:szCs w:val="22"/>
          <w:highlight w:val="lightGray"/>
          <w:lang w:eastAsia="en-US"/>
        </w:rPr>
        <w:t>Receptinis vaistas</w:t>
      </w:r>
      <w:r>
        <w:rPr>
          <w:szCs w:val="22"/>
          <w:lang w:eastAsia="en-US"/>
        </w:rPr>
        <w:t>.</w:t>
      </w:r>
    </w:p>
    <w:p w14:paraId="6DBFF46D" w14:textId="77777777" w:rsidR="00E053DC" w:rsidRPr="0046556E" w:rsidRDefault="00E053DC" w:rsidP="00E053DC">
      <w:pPr>
        <w:tabs>
          <w:tab w:val="left" w:pos="567"/>
          <w:tab w:val="left" w:pos="5954"/>
          <w:tab w:val="left" w:pos="7938"/>
        </w:tabs>
        <w:ind w:right="-2"/>
        <w:rPr>
          <w:szCs w:val="22"/>
          <w:lang w:eastAsia="en-US"/>
        </w:rPr>
      </w:pPr>
    </w:p>
    <w:p w14:paraId="7810E976" w14:textId="77777777" w:rsidR="004F0F70" w:rsidRPr="0046556E" w:rsidRDefault="004F0F70" w:rsidP="004F0F70">
      <w:pPr>
        <w:tabs>
          <w:tab w:val="left" w:pos="567"/>
          <w:tab w:val="left" w:pos="5954"/>
          <w:tab w:val="left" w:pos="7938"/>
        </w:tabs>
        <w:ind w:right="-2"/>
        <w:rPr>
          <w:szCs w:val="22"/>
          <w:lang w:eastAsia="en-US"/>
        </w:rPr>
      </w:pPr>
    </w:p>
    <w:p w14:paraId="3BD95B6A" w14:textId="77777777" w:rsidR="004F0F70" w:rsidRPr="0046556E" w:rsidRDefault="004F0F70" w:rsidP="004F0F70">
      <w:pPr>
        <w:tabs>
          <w:tab w:val="left" w:pos="567"/>
          <w:tab w:val="left" w:pos="5954"/>
          <w:tab w:val="left" w:pos="7938"/>
        </w:tabs>
        <w:ind w:right="-2"/>
        <w:rPr>
          <w:szCs w:val="22"/>
          <w:lang w:eastAsia="en-US"/>
        </w:rPr>
      </w:pPr>
    </w:p>
    <w:p w14:paraId="1C94BB9D"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46556E">
        <w:rPr>
          <w:b/>
          <w:szCs w:val="22"/>
          <w:lang w:eastAsia="en-US"/>
        </w:rPr>
        <w:t>15.</w:t>
      </w:r>
      <w:r w:rsidRPr="0046556E">
        <w:rPr>
          <w:b/>
          <w:szCs w:val="22"/>
          <w:lang w:eastAsia="en-US"/>
        </w:rPr>
        <w:tab/>
        <w:t>VARTOJIMO INSTRUKCIJA</w:t>
      </w:r>
    </w:p>
    <w:p w14:paraId="10EE422A" w14:textId="77777777" w:rsidR="004F0F70" w:rsidRDefault="004F0F70" w:rsidP="004F0F70">
      <w:pPr>
        <w:tabs>
          <w:tab w:val="left" w:pos="567"/>
          <w:tab w:val="left" w:pos="5954"/>
          <w:tab w:val="left" w:pos="7938"/>
        </w:tabs>
        <w:ind w:right="-2"/>
        <w:rPr>
          <w:szCs w:val="22"/>
          <w:lang w:eastAsia="en-US"/>
        </w:rPr>
      </w:pPr>
    </w:p>
    <w:p w14:paraId="1F6D0DB7" w14:textId="77777777" w:rsidR="004F0F70" w:rsidRPr="0046556E" w:rsidRDefault="004F0F70" w:rsidP="004F0F70">
      <w:pPr>
        <w:tabs>
          <w:tab w:val="left" w:pos="567"/>
          <w:tab w:val="left" w:pos="5954"/>
          <w:tab w:val="left" w:pos="7938"/>
        </w:tabs>
        <w:ind w:right="-2"/>
        <w:rPr>
          <w:szCs w:val="22"/>
          <w:lang w:eastAsia="en-US"/>
        </w:rPr>
      </w:pPr>
    </w:p>
    <w:p w14:paraId="35B3F1C2" w14:textId="77777777" w:rsidR="004F0F70" w:rsidRPr="0046556E" w:rsidRDefault="004F0F70" w:rsidP="004F0F70">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46556E">
        <w:rPr>
          <w:b/>
          <w:szCs w:val="22"/>
          <w:lang w:eastAsia="en-US"/>
        </w:rPr>
        <w:t>16.</w:t>
      </w:r>
      <w:r w:rsidRPr="0046556E">
        <w:rPr>
          <w:b/>
          <w:szCs w:val="22"/>
          <w:lang w:eastAsia="en-US"/>
        </w:rPr>
        <w:tab/>
        <w:t>INFORMACIJA BRAILIO RAŠTU</w:t>
      </w:r>
    </w:p>
    <w:p w14:paraId="534E75DE" w14:textId="77777777" w:rsidR="004F0F70" w:rsidRPr="0046556E" w:rsidRDefault="004F0F70" w:rsidP="004F0F70">
      <w:pPr>
        <w:tabs>
          <w:tab w:val="left" w:pos="567"/>
          <w:tab w:val="left" w:pos="5954"/>
          <w:tab w:val="left" w:pos="7938"/>
        </w:tabs>
        <w:ind w:right="-2"/>
        <w:rPr>
          <w:szCs w:val="22"/>
          <w:lang w:eastAsia="en-US"/>
        </w:rPr>
      </w:pPr>
    </w:p>
    <w:p w14:paraId="040CB00D" w14:textId="77777777" w:rsidR="004F0F70" w:rsidRPr="00306B4D" w:rsidRDefault="004F0F70" w:rsidP="004F0F70">
      <w:pPr>
        <w:tabs>
          <w:tab w:val="left" w:pos="567"/>
          <w:tab w:val="left" w:pos="5954"/>
          <w:tab w:val="left" w:pos="7938"/>
        </w:tabs>
        <w:spacing w:line="260" w:lineRule="exact"/>
        <w:ind w:right="-2"/>
        <w:rPr>
          <w:szCs w:val="22"/>
          <w:lang w:eastAsia="en-US"/>
        </w:rPr>
      </w:pPr>
      <w:r w:rsidRPr="00306B4D">
        <w:rPr>
          <w:szCs w:val="22"/>
          <w:lang w:eastAsia="en-US"/>
        </w:rPr>
        <w:t xml:space="preserve">Tenofovir disoproxil Sandoz </w:t>
      </w:r>
      <w:r w:rsidRPr="004F0F70">
        <w:rPr>
          <w:szCs w:val="22"/>
          <w:highlight w:val="lightGray"/>
          <w:lang w:eastAsia="en-US"/>
        </w:rPr>
        <w:t>[Tik buteliuko kartono dėžutei]</w:t>
      </w:r>
    </w:p>
    <w:p w14:paraId="75CA937F" w14:textId="77777777" w:rsidR="004F0F70" w:rsidRDefault="004F0F70" w:rsidP="004F0F70">
      <w:pPr>
        <w:tabs>
          <w:tab w:val="left" w:pos="567"/>
        </w:tabs>
        <w:rPr>
          <w:szCs w:val="22"/>
          <w:lang w:eastAsia="en-US"/>
        </w:rPr>
      </w:pPr>
    </w:p>
    <w:p w14:paraId="778978DA" w14:textId="77777777" w:rsidR="004F0F70" w:rsidRDefault="004F0F70" w:rsidP="004F0F70">
      <w:pPr>
        <w:tabs>
          <w:tab w:val="left" w:pos="567"/>
        </w:tabs>
        <w:rPr>
          <w:szCs w:val="22"/>
          <w:lang w:eastAsia="en-US"/>
        </w:rPr>
      </w:pPr>
    </w:p>
    <w:p w14:paraId="6FEE3E00" w14:textId="77777777" w:rsidR="004F0F70" w:rsidRPr="00AF0F9E" w:rsidRDefault="004F0F70" w:rsidP="004F0F7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F0F9E">
        <w:rPr>
          <w:b/>
          <w:noProof/>
          <w:snapToGrid w:val="0"/>
          <w:lang w:eastAsia="en-US" w:bidi="lt-LT"/>
        </w:rPr>
        <w:t>17.</w:t>
      </w:r>
      <w:r w:rsidRPr="00AF0F9E">
        <w:rPr>
          <w:b/>
          <w:noProof/>
          <w:snapToGrid w:val="0"/>
          <w:lang w:eastAsia="en-US" w:bidi="lt-LT"/>
        </w:rPr>
        <w:tab/>
        <w:t>UNIKALUS IDENTIFIKATORIUS – 2D BRŪKŠNINIS KODAS</w:t>
      </w:r>
    </w:p>
    <w:p w14:paraId="21CD7B1D" w14:textId="77777777" w:rsidR="004F0F70" w:rsidRPr="00AF0F9E" w:rsidRDefault="004F0F70" w:rsidP="004F0F70">
      <w:pPr>
        <w:tabs>
          <w:tab w:val="left" w:pos="567"/>
        </w:tabs>
        <w:spacing w:line="260" w:lineRule="exact"/>
        <w:rPr>
          <w:noProof/>
          <w:snapToGrid w:val="0"/>
          <w:lang w:eastAsia="en-US" w:bidi="lt-LT"/>
        </w:rPr>
      </w:pPr>
    </w:p>
    <w:p w14:paraId="62F8DDC7" w14:textId="77777777" w:rsidR="004F0F70" w:rsidRDefault="004F0F70" w:rsidP="004F0F70">
      <w:pPr>
        <w:tabs>
          <w:tab w:val="left" w:pos="567"/>
        </w:tabs>
        <w:spacing w:line="260" w:lineRule="exact"/>
        <w:rPr>
          <w:noProof/>
          <w:snapToGrid w:val="0"/>
          <w:highlight w:val="lightGray"/>
          <w:lang w:eastAsia="en-US" w:bidi="lt-LT"/>
        </w:rPr>
      </w:pPr>
      <w:r w:rsidRPr="004F0F70">
        <w:rPr>
          <w:szCs w:val="22"/>
          <w:highlight w:val="lightGray"/>
          <w:lang w:eastAsia="en-US"/>
        </w:rPr>
        <w:t>[Tik buteliuko kartono dėžutei]</w:t>
      </w:r>
    </w:p>
    <w:p w14:paraId="0060F7C2" w14:textId="77777777" w:rsidR="004F0F70" w:rsidRPr="00AF0F9E" w:rsidRDefault="004F0F70" w:rsidP="004F0F70">
      <w:pPr>
        <w:tabs>
          <w:tab w:val="left" w:pos="567"/>
        </w:tabs>
        <w:spacing w:line="260" w:lineRule="exact"/>
        <w:rPr>
          <w:noProof/>
          <w:snapToGrid w:val="0"/>
          <w:szCs w:val="22"/>
          <w:shd w:val="clear" w:color="auto" w:fill="CCCCCC"/>
          <w:lang w:eastAsia="en-US" w:bidi="lt-LT"/>
        </w:rPr>
      </w:pPr>
      <w:r w:rsidRPr="00306B4D">
        <w:rPr>
          <w:noProof/>
          <w:snapToGrid w:val="0"/>
          <w:highlight w:val="lightGray"/>
          <w:lang w:eastAsia="en-US" w:bidi="lt-LT"/>
        </w:rPr>
        <w:t>2D brūkšninis kodas su nurodytu unikaliu identifikatoriumi.</w:t>
      </w:r>
    </w:p>
    <w:p w14:paraId="230D8680" w14:textId="77777777" w:rsidR="004F0F70" w:rsidRPr="00AF0F9E" w:rsidRDefault="004F0F70" w:rsidP="004F0F70">
      <w:pPr>
        <w:tabs>
          <w:tab w:val="left" w:pos="567"/>
        </w:tabs>
        <w:spacing w:line="260" w:lineRule="exact"/>
        <w:rPr>
          <w:noProof/>
          <w:snapToGrid w:val="0"/>
          <w:lang w:eastAsia="en-US" w:bidi="lt-LT"/>
        </w:rPr>
      </w:pPr>
    </w:p>
    <w:p w14:paraId="58ED98BE" w14:textId="77777777" w:rsidR="004F0F70" w:rsidRPr="00AF0F9E" w:rsidRDefault="004F0F70" w:rsidP="004F0F70">
      <w:pPr>
        <w:tabs>
          <w:tab w:val="left" w:pos="567"/>
        </w:tabs>
        <w:spacing w:line="260" w:lineRule="exact"/>
        <w:rPr>
          <w:noProof/>
          <w:snapToGrid w:val="0"/>
          <w:lang w:eastAsia="en-US" w:bidi="lt-LT"/>
        </w:rPr>
      </w:pPr>
    </w:p>
    <w:p w14:paraId="2E099AC0" w14:textId="77777777" w:rsidR="004F0F70" w:rsidRPr="00AF0F9E" w:rsidRDefault="004F0F70" w:rsidP="004F0F7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AF0F9E">
        <w:rPr>
          <w:b/>
          <w:noProof/>
          <w:snapToGrid w:val="0"/>
          <w:lang w:eastAsia="en-US" w:bidi="lt-LT"/>
        </w:rPr>
        <w:t>18.</w:t>
      </w:r>
      <w:r w:rsidRPr="00AF0F9E">
        <w:rPr>
          <w:b/>
          <w:noProof/>
          <w:snapToGrid w:val="0"/>
          <w:lang w:eastAsia="en-US" w:bidi="lt-LT"/>
        </w:rPr>
        <w:tab/>
        <w:t>UNIKALUS IDENTIFIKATORIUS – ŽMONĖMS SUPRANTAMI DUOMENYS</w:t>
      </w:r>
    </w:p>
    <w:p w14:paraId="4182768A" w14:textId="77777777" w:rsidR="004F0F70" w:rsidRDefault="004F0F70" w:rsidP="004F0F70">
      <w:pPr>
        <w:tabs>
          <w:tab w:val="left" w:pos="567"/>
        </w:tabs>
        <w:spacing w:line="260" w:lineRule="exact"/>
        <w:rPr>
          <w:noProof/>
          <w:snapToGrid w:val="0"/>
          <w:lang w:eastAsia="en-US" w:bidi="lt-LT"/>
        </w:rPr>
      </w:pPr>
    </w:p>
    <w:p w14:paraId="450A6E37" w14:textId="77777777" w:rsidR="004F0F70" w:rsidRPr="00AF0F9E" w:rsidRDefault="004F0F70" w:rsidP="004F0F70">
      <w:pPr>
        <w:tabs>
          <w:tab w:val="left" w:pos="567"/>
        </w:tabs>
        <w:spacing w:line="260" w:lineRule="exact"/>
        <w:rPr>
          <w:noProof/>
          <w:snapToGrid w:val="0"/>
          <w:lang w:eastAsia="en-US" w:bidi="lt-LT"/>
        </w:rPr>
      </w:pPr>
      <w:r w:rsidRPr="004F0F70">
        <w:rPr>
          <w:szCs w:val="22"/>
          <w:highlight w:val="lightGray"/>
          <w:lang w:eastAsia="en-US"/>
        </w:rPr>
        <w:t>[Tik buteliuko kartono dėžutei]</w:t>
      </w:r>
    </w:p>
    <w:p w14:paraId="3C3304E7" w14:textId="77777777" w:rsidR="004F0F70" w:rsidRPr="00AF0F9E" w:rsidRDefault="004F0F70" w:rsidP="004F0F70">
      <w:pPr>
        <w:tabs>
          <w:tab w:val="left" w:pos="567"/>
        </w:tabs>
        <w:spacing w:line="260" w:lineRule="exact"/>
        <w:rPr>
          <w:snapToGrid w:val="0"/>
          <w:color w:val="008000"/>
          <w:szCs w:val="22"/>
          <w:lang w:eastAsia="en-US" w:bidi="lt-LT"/>
        </w:rPr>
      </w:pPr>
      <w:r w:rsidRPr="00AF0F9E">
        <w:rPr>
          <w:snapToGrid w:val="0"/>
          <w:lang w:eastAsia="en-US" w:bidi="lt-LT"/>
        </w:rPr>
        <w:t>PC: {numeris}</w:t>
      </w:r>
    </w:p>
    <w:p w14:paraId="0C4FF25B" w14:textId="77777777" w:rsidR="004F0F70" w:rsidRPr="00AF0F9E" w:rsidRDefault="004F0F70" w:rsidP="004F0F70">
      <w:pPr>
        <w:tabs>
          <w:tab w:val="left" w:pos="567"/>
        </w:tabs>
        <w:spacing w:line="260" w:lineRule="exact"/>
        <w:rPr>
          <w:snapToGrid w:val="0"/>
          <w:szCs w:val="22"/>
          <w:lang w:eastAsia="en-US" w:bidi="lt-LT"/>
        </w:rPr>
      </w:pPr>
      <w:r w:rsidRPr="00AF0F9E">
        <w:rPr>
          <w:snapToGrid w:val="0"/>
          <w:lang w:eastAsia="en-US" w:bidi="lt-LT"/>
        </w:rPr>
        <w:t>SN: {numeris}</w:t>
      </w:r>
    </w:p>
    <w:p w14:paraId="721137C4" w14:textId="77777777" w:rsidR="004F0F70" w:rsidRPr="00AF0F9E" w:rsidRDefault="004F0F70" w:rsidP="004F0F70">
      <w:pPr>
        <w:tabs>
          <w:tab w:val="left" w:pos="567"/>
        </w:tabs>
        <w:spacing w:line="260" w:lineRule="exact"/>
        <w:rPr>
          <w:snapToGrid w:val="0"/>
          <w:szCs w:val="22"/>
          <w:lang w:eastAsia="en-US"/>
        </w:rPr>
      </w:pPr>
      <w:r w:rsidRPr="00AF0F9E">
        <w:rPr>
          <w:snapToGrid w:val="0"/>
          <w:lang w:eastAsia="en-US" w:bidi="lt-LT"/>
        </w:rPr>
        <w:t>NN: {numeris}</w:t>
      </w:r>
    </w:p>
    <w:p w14:paraId="19954893" w14:textId="77777777" w:rsidR="004F0F70" w:rsidRPr="0046556E" w:rsidRDefault="004F0F70" w:rsidP="004F0F70">
      <w:pPr>
        <w:tabs>
          <w:tab w:val="left" w:pos="567"/>
        </w:tabs>
        <w:rPr>
          <w:szCs w:val="22"/>
          <w:lang w:eastAsia="en-US"/>
        </w:rPr>
      </w:pPr>
    </w:p>
    <w:p w14:paraId="0F0DF850" w14:textId="77777777" w:rsidR="004F0F70" w:rsidRPr="0046556E" w:rsidRDefault="004F0F70" w:rsidP="002A1534">
      <w:pPr>
        <w:tabs>
          <w:tab w:val="left" w:pos="567"/>
        </w:tabs>
        <w:rPr>
          <w:snapToGrid w:val="0"/>
          <w:szCs w:val="24"/>
          <w:lang w:eastAsia="en-US"/>
        </w:rPr>
      </w:pPr>
      <w:r>
        <w:rPr>
          <w:szCs w:val="22"/>
          <w:lang w:eastAsia="en-US"/>
        </w:rPr>
        <w:br w:type="page"/>
      </w:r>
    </w:p>
    <w:p w14:paraId="25FBBE6D" w14:textId="77777777" w:rsidR="00432DF2" w:rsidRPr="0046556E" w:rsidRDefault="00432DF2" w:rsidP="00432DF2">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46556E">
        <w:rPr>
          <w:b/>
          <w:noProof/>
          <w:snapToGrid w:val="0"/>
          <w:szCs w:val="24"/>
          <w:lang w:eastAsia="en-US"/>
        </w:rPr>
        <w:lastRenderedPageBreak/>
        <w:t>MINIMALI INFORMACIJA ANT LIZDINIŲ PLOKŠTELIŲ ARBA DVISLUOKSNIŲ JUOSTELIŲ</w:t>
      </w:r>
    </w:p>
    <w:p w14:paraId="45C51943" w14:textId="77777777" w:rsidR="00432DF2" w:rsidRPr="0046556E" w:rsidRDefault="00432DF2" w:rsidP="00432DF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35670BFD" w14:textId="7FBB91C9" w:rsidR="00432DF2" w:rsidRPr="0046556E" w:rsidRDefault="00161A33" w:rsidP="00432DF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Pr>
          <w:b/>
          <w:snapToGrid w:val="0"/>
          <w:lang w:eastAsia="en-US"/>
        </w:rPr>
        <w:t>A</w:t>
      </w:r>
      <w:r w:rsidR="005917C9">
        <w:rPr>
          <w:b/>
          <w:snapToGrid w:val="0"/>
          <w:lang w:eastAsia="en-US"/>
        </w:rPr>
        <w:t>l</w:t>
      </w:r>
      <w:r>
        <w:rPr>
          <w:b/>
          <w:snapToGrid w:val="0"/>
          <w:lang w:eastAsia="en-US"/>
        </w:rPr>
        <w:t>/A</w:t>
      </w:r>
      <w:r w:rsidR="005917C9">
        <w:rPr>
          <w:b/>
          <w:snapToGrid w:val="0"/>
          <w:lang w:eastAsia="en-US"/>
        </w:rPr>
        <w:t>l</w:t>
      </w:r>
      <w:r>
        <w:rPr>
          <w:b/>
          <w:snapToGrid w:val="0"/>
          <w:lang w:eastAsia="en-US"/>
        </w:rPr>
        <w:t xml:space="preserve"> LIZDINĖ PLOKŠTELĖ</w:t>
      </w:r>
    </w:p>
    <w:p w14:paraId="4D43AAEC" w14:textId="77777777" w:rsidR="00432DF2" w:rsidRPr="0046556E" w:rsidRDefault="00432DF2" w:rsidP="00432DF2">
      <w:pPr>
        <w:tabs>
          <w:tab w:val="left" w:pos="567"/>
        </w:tabs>
        <w:spacing w:line="260" w:lineRule="exact"/>
        <w:rPr>
          <w:snapToGrid w:val="0"/>
          <w:szCs w:val="24"/>
          <w:lang w:eastAsia="en-US"/>
        </w:rPr>
      </w:pPr>
    </w:p>
    <w:p w14:paraId="3800FA8C" w14:textId="77777777" w:rsidR="00432DF2" w:rsidRPr="0046556E" w:rsidRDefault="00432DF2" w:rsidP="00432DF2">
      <w:pPr>
        <w:tabs>
          <w:tab w:val="left" w:pos="567"/>
        </w:tabs>
        <w:spacing w:line="260" w:lineRule="exact"/>
        <w:rPr>
          <w:snapToGrid w:val="0"/>
          <w:szCs w:val="24"/>
          <w:lang w:eastAsia="en-US"/>
        </w:rPr>
      </w:pPr>
    </w:p>
    <w:p w14:paraId="1898AC65" w14:textId="77777777" w:rsidR="00432DF2" w:rsidRPr="0046556E" w:rsidRDefault="00432DF2" w:rsidP="00432DF2">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6556E">
        <w:rPr>
          <w:b/>
          <w:snapToGrid w:val="0"/>
          <w:szCs w:val="24"/>
          <w:lang w:eastAsia="en-US"/>
        </w:rPr>
        <w:t>1.</w:t>
      </w:r>
      <w:r w:rsidRPr="0046556E">
        <w:rPr>
          <w:b/>
          <w:snapToGrid w:val="0"/>
          <w:szCs w:val="24"/>
          <w:lang w:eastAsia="en-US"/>
        </w:rPr>
        <w:tab/>
      </w:r>
      <w:r w:rsidRPr="0046556E">
        <w:rPr>
          <w:b/>
          <w:caps/>
          <w:noProof/>
          <w:snapToGrid w:val="0"/>
          <w:szCs w:val="24"/>
          <w:lang w:eastAsia="en-US"/>
        </w:rPr>
        <w:t>VAISTINIO</w:t>
      </w:r>
      <w:r w:rsidRPr="0046556E">
        <w:rPr>
          <w:b/>
          <w:noProof/>
          <w:snapToGrid w:val="0"/>
          <w:szCs w:val="24"/>
          <w:lang w:eastAsia="en-US"/>
        </w:rPr>
        <w:t xml:space="preserve"> PREPARATO PAVADINIMAS</w:t>
      </w:r>
    </w:p>
    <w:p w14:paraId="341A68DF" w14:textId="77777777" w:rsidR="00432DF2" w:rsidRPr="0046556E" w:rsidRDefault="00432DF2" w:rsidP="00432DF2">
      <w:pPr>
        <w:tabs>
          <w:tab w:val="left" w:pos="567"/>
          <w:tab w:val="left" w:pos="5954"/>
          <w:tab w:val="left" w:pos="7938"/>
        </w:tabs>
        <w:ind w:right="-2"/>
        <w:rPr>
          <w:szCs w:val="22"/>
          <w:lang w:eastAsia="en-US"/>
        </w:rPr>
      </w:pPr>
    </w:p>
    <w:p w14:paraId="7436061B" w14:textId="77777777" w:rsidR="00432DF2" w:rsidRPr="0046556E" w:rsidRDefault="000C3DCC" w:rsidP="00432DF2">
      <w:pPr>
        <w:tabs>
          <w:tab w:val="left" w:pos="567"/>
          <w:tab w:val="left" w:pos="5954"/>
          <w:tab w:val="left" w:pos="7938"/>
        </w:tabs>
        <w:spacing w:line="260" w:lineRule="exact"/>
        <w:ind w:right="-2"/>
        <w:rPr>
          <w:szCs w:val="22"/>
          <w:lang w:eastAsia="en-US"/>
        </w:rPr>
      </w:pPr>
      <w:r>
        <w:rPr>
          <w:szCs w:val="22"/>
          <w:lang w:eastAsia="en-US"/>
        </w:rPr>
        <w:t xml:space="preserve">Tenofovir disoproxil </w:t>
      </w:r>
      <w:r w:rsidR="00116E51">
        <w:rPr>
          <w:szCs w:val="22"/>
          <w:lang w:eastAsia="en-US"/>
        </w:rPr>
        <w:t>Sandoz</w:t>
      </w:r>
      <w:r w:rsidR="00432DF2" w:rsidRPr="0046556E">
        <w:rPr>
          <w:szCs w:val="22"/>
          <w:lang w:eastAsia="en-US"/>
        </w:rPr>
        <w:t xml:space="preserve"> </w:t>
      </w:r>
      <w:r w:rsidR="004F0F70">
        <w:rPr>
          <w:szCs w:val="22"/>
          <w:lang w:eastAsia="en-US"/>
        </w:rPr>
        <w:t>24</w:t>
      </w:r>
      <w:r w:rsidR="00432DF2">
        <w:rPr>
          <w:szCs w:val="22"/>
          <w:lang w:eastAsia="en-US"/>
        </w:rPr>
        <w:t>5</w:t>
      </w:r>
      <w:r w:rsidR="00432DF2" w:rsidRPr="0046556E">
        <w:rPr>
          <w:szCs w:val="22"/>
          <w:lang w:eastAsia="en-US"/>
        </w:rPr>
        <w:t xml:space="preserve"> mg </w:t>
      </w:r>
      <w:r w:rsidR="00432DF2" w:rsidRPr="00CA49A8">
        <w:rPr>
          <w:highlight w:val="lightGray"/>
        </w:rPr>
        <w:t>plėvele dengtos</w:t>
      </w:r>
      <w:r w:rsidR="00432DF2">
        <w:rPr>
          <w:szCs w:val="22"/>
          <w:lang w:eastAsia="en-US"/>
        </w:rPr>
        <w:t xml:space="preserve"> tabletės</w:t>
      </w:r>
    </w:p>
    <w:p w14:paraId="57952481" w14:textId="77777777" w:rsidR="004F0F70" w:rsidRDefault="004F0F70" w:rsidP="00432DF2">
      <w:pPr>
        <w:tabs>
          <w:tab w:val="left" w:pos="567"/>
          <w:tab w:val="left" w:pos="5954"/>
          <w:tab w:val="left" w:pos="7938"/>
        </w:tabs>
        <w:spacing w:line="260" w:lineRule="exact"/>
        <w:ind w:right="-2"/>
        <w:rPr>
          <w:szCs w:val="22"/>
          <w:lang w:eastAsia="en-US"/>
        </w:rPr>
      </w:pPr>
    </w:p>
    <w:p w14:paraId="0FA65BE2" w14:textId="77777777" w:rsidR="004F0F70" w:rsidRDefault="000C3DCC" w:rsidP="00432DF2">
      <w:pPr>
        <w:tabs>
          <w:tab w:val="left" w:pos="567"/>
          <w:tab w:val="left" w:pos="5954"/>
          <w:tab w:val="left" w:pos="7938"/>
        </w:tabs>
        <w:spacing w:line="260" w:lineRule="exact"/>
        <w:ind w:right="-2"/>
        <w:rPr>
          <w:szCs w:val="22"/>
          <w:lang w:eastAsia="en-US"/>
        </w:rPr>
      </w:pPr>
      <w:r>
        <w:rPr>
          <w:szCs w:val="22"/>
          <w:lang w:eastAsia="en-US"/>
        </w:rPr>
        <w:t>Tenofovir</w:t>
      </w:r>
      <w:r w:rsidR="004F0F70">
        <w:rPr>
          <w:szCs w:val="22"/>
          <w:lang w:eastAsia="en-US"/>
        </w:rPr>
        <w:t>um</w:t>
      </w:r>
      <w:r>
        <w:rPr>
          <w:szCs w:val="22"/>
          <w:lang w:eastAsia="en-US"/>
        </w:rPr>
        <w:t xml:space="preserve"> disoproxil</w:t>
      </w:r>
      <w:r w:rsidR="004F0F70">
        <w:rPr>
          <w:szCs w:val="22"/>
          <w:lang w:eastAsia="en-US"/>
        </w:rPr>
        <w:t>um</w:t>
      </w:r>
    </w:p>
    <w:p w14:paraId="7C1F999B" w14:textId="77777777" w:rsidR="00432DF2" w:rsidRPr="0046556E" w:rsidRDefault="00432DF2" w:rsidP="00432DF2">
      <w:pPr>
        <w:tabs>
          <w:tab w:val="left" w:pos="567"/>
        </w:tabs>
        <w:spacing w:line="260" w:lineRule="exact"/>
        <w:rPr>
          <w:snapToGrid w:val="0"/>
          <w:szCs w:val="24"/>
          <w:lang w:eastAsia="en-US"/>
        </w:rPr>
      </w:pPr>
    </w:p>
    <w:p w14:paraId="6354CB77" w14:textId="77777777" w:rsidR="00432DF2" w:rsidRPr="0046556E" w:rsidRDefault="00432DF2" w:rsidP="00432DF2">
      <w:pPr>
        <w:tabs>
          <w:tab w:val="left" w:pos="567"/>
        </w:tabs>
        <w:spacing w:line="260" w:lineRule="exact"/>
        <w:rPr>
          <w:snapToGrid w:val="0"/>
          <w:szCs w:val="24"/>
          <w:lang w:eastAsia="en-US"/>
        </w:rPr>
      </w:pPr>
    </w:p>
    <w:p w14:paraId="470E6D52" w14:textId="77777777" w:rsidR="00432DF2" w:rsidRPr="0046556E" w:rsidRDefault="00432DF2" w:rsidP="00432DF2">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6556E">
        <w:rPr>
          <w:b/>
          <w:snapToGrid w:val="0"/>
          <w:szCs w:val="24"/>
          <w:lang w:eastAsia="en-US"/>
        </w:rPr>
        <w:t>2.</w:t>
      </w:r>
      <w:r w:rsidRPr="0046556E">
        <w:rPr>
          <w:b/>
          <w:snapToGrid w:val="0"/>
          <w:szCs w:val="24"/>
          <w:lang w:eastAsia="en-US"/>
        </w:rPr>
        <w:tab/>
      </w:r>
      <w:r w:rsidRPr="0046556E">
        <w:rPr>
          <w:b/>
          <w:caps/>
          <w:noProof/>
          <w:snapToGrid w:val="0"/>
          <w:szCs w:val="24"/>
          <w:lang w:eastAsia="en-US"/>
        </w:rPr>
        <w:t>REGISTRUOTOJO pavadinimas</w:t>
      </w:r>
    </w:p>
    <w:p w14:paraId="0F84BB82" w14:textId="77777777" w:rsidR="00432DF2" w:rsidRPr="0046556E" w:rsidRDefault="00432DF2" w:rsidP="00432DF2">
      <w:pPr>
        <w:tabs>
          <w:tab w:val="left" w:pos="567"/>
        </w:tabs>
        <w:spacing w:line="260" w:lineRule="exact"/>
        <w:rPr>
          <w:snapToGrid w:val="0"/>
          <w:szCs w:val="24"/>
          <w:lang w:eastAsia="en-US"/>
        </w:rPr>
      </w:pPr>
    </w:p>
    <w:p w14:paraId="721A2019" w14:textId="77777777" w:rsidR="00432DF2" w:rsidRPr="0046556E" w:rsidRDefault="00432DF2" w:rsidP="00432DF2">
      <w:pPr>
        <w:tabs>
          <w:tab w:val="left" w:pos="567"/>
        </w:tabs>
        <w:spacing w:line="260" w:lineRule="exact"/>
        <w:rPr>
          <w:snapToGrid w:val="0"/>
          <w:szCs w:val="24"/>
          <w:lang w:eastAsia="en-US"/>
        </w:rPr>
      </w:pPr>
      <w:r w:rsidRPr="0046556E">
        <w:rPr>
          <w:noProof/>
          <w:snapToGrid w:val="0"/>
          <w:szCs w:val="24"/>
          <w:lang w:eastAsia="en-US"/>
        </w:rPr>
        <w:t>S</w:t>
      </w:r>
      <w:r w:rsidR="00130CC9">
        <w:rPr>
          <w:noProof/>
          <w:snapToGrid w:val="0"/>
          <w:szCs w:val="24"/>
          <w:lang w:eastAsia="en-US"/>
        </w:rPr>
        <w:t>ANDOZ</w:t>
      </w:r>
    </w:p>
    <w:p w14:paraId="6F4E4FEC" w14:textId="77777777" w:rsidR="00432DF2" w:rsidRPr="0046556E" w:rsidRDefault="00432DF2" w:rsidP="00432DF2">
      <w:pPr>
        <w:tabs>
          <w:tab w:val="left" w:pos="567"/>
        </w:tabs>
        <w:spacing w:line="260" w:lineRule="exact"/>
        <w:rPr>
          <w:snapToGrid w:val="0"/>
          <w:szCs w:val="24"/>
          <w:lang w:eastAsia="en-US"/>
        </w:rPr>
      </w:pPr>
    </w:p>
    <w:p w14:paraId="2A5CFFDB" w14:textId="77777777" w:rsidR="00432DF2" w:rsidRPr="0046556E" w:rsidRDefault="00432DF2" w:rsidP="00432DF2">
      <w:pPr>
        <w:tabs>
          <w:tab w:val="left" w:pos="567"/>
        </w:tabs>
        <w:spacing w:line="260" w:lineRule="exact"/>
        <w:rPr>
          <w:snapToGrid w:val="0"/>
          <w:szCs w:val="24"/>
          <w:lang w:eastAsia="en-US"/>
        </w:rPr>
      </w:pPr>
    </w:p>
    <w:p w14:paraId="4CD0366C" w14:textId="77777777" w:rsidR="00432DF2" w:rsidRPr="0046556E" w:rsidRDefault="00432DF2" w:rsidP="00432DF2">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46556E">
        <w:rPr>
          <w:b/>
          <w:snapToGrid w:val="0"/>
          <w:szCs w:val="24"/>
          <w:lang w:eastAsia="en-US"/>
        </w:rPr>
        <w:t>3.</w:t>
      </w:r>
      <w:r w:rsidRPr="0046556E">
        <w:rPr>
          <w:b/>
          <w:snapToGrid w:val="0"/>
          <w:szCs w:val="24"/>
          <w:lang w:eastAsia="en-US"/>
        </w:rPr>
        <w:tab/>
      </w:r>
      <w:r w:rsidRPr="0046556E">
        <w:rPr>
          <w:b/>
          <w:noProof/>
          <w:snapToGrid w:val="0"/>
          <w:szCs w:val="24"/>
          <w:lang w:eastAsia="en-US"/>
        </w:rPr>
        <w:t>TINKAMUMO LAIKAS</w:t>
      </w:r>
    </w:p>
    <w:p w14:paraId="6AC49A1C" w14:textId="77777777" w:rsidR="00432DF2" w:rsidRPr="0046556E" w:rsidRDefault="00432DF2" w:rsidP="00432DF2">
      <w:pPr>
        <w:tabs>
          <w:tab w:val="left" w:pos="567"/>
        </w:tabs>
        <w:spacing w:line="260" w:lineRule="exact"/>
        <w:rPr>
          <w:snapToGrid w:val="0"/>
          <w:szCs w:val="24"/>
          <w:lang w:eastAsia="en-US"/>
        </w:rPr>
      </w:pPr>
    </w:p>
    <w:p w14:paraId="13590BF3" w14:textId="77777777" w:rsidR="00432DF2" w:rsidRPr="00F00A29" w:rsidRDefault="00432DF2" w:rsidP="00432DF2">
      <w:pPr>
        <w:tabs>
          <w:tab w:val="left" w:pos="567"/>
        </w:tabs>
        <w:spacing w:line="260" w:lineRule="exact"/>
        <w:rPr>
          <w:szCs w:val="22"/>
        </w:rPr>
      </w:pPr>
      <w:r w:rsidRPr="00CA49A8">
        <w:rPr>
          <w:highlight w:val="lightGray"/>
        </w:rPr>
        <w:t>EXP</w:t>
      </w:r>
      <w:r w:rsidRPr="00131447">
        <w:rPr>
          <w:szCs w:val="22"/>
        </w:rPr>
        <w:t xml:space="preserve"> {mm/MMMM}</w:t>
      </w:r>
    </w:p>
    <w:p w14:paraId="5A2C32C8" w14:textId="77777777" w:rsidR="00432DF2" w:rsidRPr="00F00A29" w:rsidRDefault="00432DF2" w:rsidP="00432DF2">
      <w:pPr>
        <w:tabs>
          <w:tab w:val="left" w:pos="567"/>
        </w:tabs>
        <w:spacing w:line="260" w:lineRule="exact"/>
        <w:rPr>
          <w:szCs w:val="22"/>
        </w:rPr>
      </w:pPr>
    </w:p>
    <w:p w14:paraId="6CA503C3" w14:textId="77777777" w:rsidR="00432DF2" w:rsidRPr="00F00A29" w:rsidRDefault="00432DF2" w:rsidP="00432DF2">
      <w:pPr>
        <w:tabs>
          <w:tab w:val="left" w:pos="567"/>
        </w:tabs>
        <w:spacing w:line="260" w:lineRule="exact"/>
        <w:rPr>
          <w:snapToGrid w:val="0"/>
          <w:lang w:eastAsia="en-US"/>
        </w:rPr>
      </w:pPr>
    </w:p>
    <w:p w14:paraId="118E3944" w14:textId="77777777" w:rsidR="00432DF2" w:rsidRPr="00F00A29" w:rsidRDefault="00432DF2" w:rsidP="00432DF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F00A29">
        <w:rPr>
          <w:b/>
          <w:snapToGrid w:val="0"/>
          <w:szCs w:val="24"/>
          <w:lang w:eastAsia="en-US"/>
        </w:rPr>
        <w:t>4.</w:t>
      </w:r>
      <w:r w:rsidRPr="00F00A29">
        <w:rPr>
          <w:b/>
          <w:snapToGrid w:val="0"/>
          <w:szCs w:val="24"/>
          <w:lang w:eastAsia="en-US"/>
        </w:rPr>
        <w:tab/>
      </w:r>
      <w:r w:rsidRPr="00F00A29">
        <w:rPr>
          <w:b/>
          <w:noProof/>
          <w:snapToGrid w:val="0"/>
          <w:szCs w:val="24"/>
          <w:lang w:eastAsia="en-US"/>
        </w:rPr>
        <w:t>SERIJOS NUMERIS</w:t>
      </w:r>
    </w:p>
    <w:p w14:paraId="1837AF10" w14:textId="77777777" w:rsidR="00432DF2" w:rsidRPr="00F00A29" w:rsidRDefault="00432DF2" w:rsidP="00432DF2">
      <w:pPr>
        <w:tabs>
          <w:tab w:val="left" w:pos="567"/>
        </w:tabs>
        <w:spacing w:line="260" w:lineRule="exact"/>
        <w:rPr>
          <w:snapToGrid w:val="0"/>
          <w:lang w:eastAsia="en-US"/>
        </w:rPr>
      </w:pPr>
    </w:p>
    <w:p w14:paraId="2B43A59F" w14:textId="77777777" w:rsidR="00432DF2" w:rsidRPr="0046556E" w:rsidRDefault="00432DF2" w:rsidP="00432DF2">
      <w:pPr>
        <w:tabs>
          <w:tab w:val="left" w:pos="567"/>
        </w:tabs>
        <w:spacing w:line="260" w:lineRule="exact"/>
        <w:rPr>
          <w:snapToGrid w:val="0"/>
          <w:lang w:eastAsia="en-US"/>
        </w:rPr>
      </w:pPr>
      <w:r w:rsidRPr="00CA49A8">
        <w:rPr>
          <w:highlight w:val="lightGray"/>
        </w:rPr>
        <w:t>L</w:t>
      </w:r>
      <w:r w:rsidR="00F00A29" w:rsidRPr="00CA49A8">
        <w:rPr>
          <w:highlight w:val="lightGray"/>
        </w:rPr>
        <w:t>ot</w:t>
      </w:r>
    </w:p>
    <w:p w14:paraId="5D359010" w14:textId="77777777" w:rsidR="00432DF2" w:rsidRPr="0046556E" w:rsidRDefault="00432DF2" w:rsidP="00432DF2">
      <w:pPr>
        <w:tabs>
          <w:tab w:val="left" w:pos="567"/>
        </w:tabs>
        <w:spacing w:line="260" w:lineRule="exact"/>
        <w:rPr>
          <w:snapToGrid w:val="0"/>
          <w:szCs w:val="24"/>
          <w:lang w:eastAsia="en-US"/>
        </w:rPr>
      </w:pPr>
    </w:p>
    <w:p w14:paraId="6AE4A4B4" w14:textId="77777777" w:rsidR="00432DF2" w:rsidRPr="0046556E" w:rsidRDefault="00432DF2" w:rsidP="00432DF2">
      <w:pPr>
        <w:tabs>
          <w:tab w:val="left" w:pos="567"/>
        </w:tabs>
        <w:spacing w:line="260" w:lineRule="exact"/>
        <w:rPr>
          <w:snapToGrid w:val="0"/>
          <w:szCs w:val="24"/>
          <w:lang w:eastAsia="en-US"/>
        </w:rPr>
      </w:pPr>
    </w:p>
    <w:p w14:paraId="608F86FF" w14:textId="77777777" w:rsidR="00432DF2" w:rsidRPr="0046556E" w:rsidRDefault="00432DF2" w:rsidP="00432DF2">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46556E">
        <w:rPr>
          <w:b/>
          <w:snapToGrid w:val="0"/>
          <w:szCs w:val="24"/>
          <w:lang w:eastAsia="en-US"/>
        </w:rPr>
        <w:t>5.</w:t>
      </w:r>
      <w:r w:rsidRPr="0046556E">
        <w:rPr>
          <w:b/>
          <w:snapToGrid w:val="0"/>
          <w:szCs w:val="24"/>
          <w:lang w:eastAsia="en-US"/>
        </w:rPr>
        <w:tab/>
      </w:r>
      <w:r w:rsidRPr="0046556E">
        <w:rPr>
          <w:b/>
          <w:noProof/>
          <w:snapToGrid w:val="0"/>
          <w:szCs w:val="24"/>
          <w:lang w:eastAsia="en-US"/>
        </w:rPr>
        <w:t>KITA</w:t>
      </w:r>
    </w:p>
    <w:p w14:paraId="7D3ADD58" w14:textId="77777777" w:rsidR="00432DF2" w:rsidRDefault="00432DF2" w:rsidP="00432DF2">
      <w:pPr>
        <w:tabs>
          <w:tab w:val="left" w:pos="567"/>
        </w:tabs>
        <w:spacing w:line="260" w:lineRule="exact"/>
        <w:rPr>
          <w:snapToGrid w:val="0"/>
          <w:szCs w:val="24"/>
          <w:lang w:eastAsia="en-US"/>
        </w:rPr>
      </w:pPr>
    </w:p>
    <w:p w14:paraId="564A6AB5" w14:textId="77777777" w:rsidR="006D2D23" w:rsidRPr="0046556E" w:rsidRDefault="006D2D23" w:rsidP="00164838">
      <w:pPr>
        <w:rPr>
          <w:szCs w:val="22"/>
          <w:lang w:eastAsia="en-US"/>
        </w:rPr>
      </w:pPr>
      <w:r w:rsidRPr="0046556E">
        <w:rPr>
          <w:szCs w:val="22"/>
          <w:lang w:eastAsia="en-US"/>
        </w:rPr>
        <w:br w:type="page"/>
      </w:r>
    </w:p>
    <w:p w14:paraId="7FEC97C3" w14:textId="77777777" w:rsidR="006D2D23" w:rsidRPr="0046556E" w:rsidRDefault="006D2D23" w:rsidP="006D2D23">
      <w:pPr>
        <w:tabs>
          <w:tab w:val="left" w:pos="567"/>
        </w:tabs>
        <w:ind w:right="113"/>
        <w:rPr>
          <w:szCs w:val="22"/>
          <w:lang w:eastAsia="en-US"/>
        </w:rPr>
      </w:pPr>
    </w:p>
    <w:p w14:paraId="32871744" w14:textId="77777777" w:rsidR="006D2D23" w:rsidRPr="0046556E" w:rsidRDefault="006D2D23" w:rsidP="006D2D23">
      <w:pPr>
        <w:tabs>
          <w:tab w:val="left" w:pos="567"/>
        </w:tabs>
        <w:rPr>
          <w:szCs w:val="22"/>
          <w:lang w:eastAsia="en-US"/>
        </w:rPr>
      </w:pPr>
    </w:p>
    <w:p w14:paraId="03945643" w14:textId="77777777" w:rsidR="006D2D23" w:rsidRPr="0046556E" w:rsidRDefault="006D2D23" w:rsidP="006D2D23">
      <w:pPr>
        <w:tabs>
          <w:tab w:val="left" w:pos="567"/>
        </w:tabs>
        <w:rPr>
          <w:szCs w:val="22"/>
          <w:lang w:eastAsia="en-US"/>
        </w:rPr>
      </w:pPr>
    </w:p>
    <w:p w14:paraId="6CBDF18C" w14:textId="77777777" w:rsidR="006D2D23" w:rsidRPr="0046556E" w:rsidRDefault="006D2D23" w:rsidP="006D2D23">
      <w:pPr>
        <w:tabs>
          <w:tab w:val="left" w:pos="567"/>
        </w:tabs>
        <w:rPr>
          <w:szCs w:val="22"/>
          <w:lang w:eastAsia="en-US"/>
        </w:rPr>
      </w:pPr>
    </w:p>
    <w:p w14:paraId="4DE88451" w14:textId="77777777" w:rsidR="006D2D23" w:rsidRPr="0046556E" w:rsidRDefault="006D2D23" w:rsidP="006D2D23">
      <w:pPr>
        <w:tabs>
          <w:tab w:val="left" w:pos="567"/>
        </w:tabs>
        <w:rPr>
          <w:szCs w:val="22"/>
          <w:lang w:eastAsia="en-US"/>
        </w:rPr>
      </w:pPr>
    </w:p>
    <w:p w14:paraId="6C28E606" w14:textId="77777777" w:rsidR="006D2D23" w:rsidRPr="0046556E" w:rsidRDefault="006D2D23" w:rsidP="006D2D23">
      <w:pPr>
        <w:tabs>
          <w:tab w:val="left" w:pos="567"/>
        </w:tabs>
        <w:rPr>
          <w:szCs w:val="22"/>
          <w:lang w:eastAsia="en-US"/>
        </w:rPr>
      </w:pPr>
    </w:p>
    <w:p w14:paraId="780D62C5" w14:textId="77777777" w:rsidR="006D2D23" w:rsidRPr="0046556E" w:rsidRDefault="006D2D23" w:rsidP="006D2D23">
      <w:pPr>
        <w:tabs>
          <w:tab w:val="left" w:pos="567"/>
        </w:tabs>
        <w:rPr>
          <w:szCs w:val="22"/>
          <w:lang w:eastAsia="en-US"/>
        </w:rPr>
      </w:pPr>
    </w:p>
    <w:p w14:paraId="349323AA" w14:textId="77777777" w:rsidR="006D2D23" w:rsidRPr="0046556E" w:rsidRDefault="006D2D23" w:rsidP="006D2D23">
      <w:pPr>
        <w:tabs>
          <w:tab w:val="left" w:pos="567"/>
        </w:tabs>
        <w:rPr>
          <w:szCs w:val="22"/>
          <w:lang w:eastAsia="en-US"/>
        </w:rPr>
      </w:pPr>
    </w:p>
    <w:p w14:paraId="0BCC1397" w14:textId="77777777" w:rsidR="006D2D23" w:rsidRPr="0046556E" w:rsidRDefault="006D2D23" w:rsidP="006D2D23">
      <w:pPr>
        <w:tabs>
          <w:tab w:val="left" w:pos="567"/>
        </w:tabs>
        <w:rPr>
          <w:szCs w:val="22"/>
          <w:lang w:eastAsia="en-US"/>
        </w:rPr>
      </w:pPr>
    </w:p>
    <w:p w14:paraId="2F1851BC" w14:textId="77777777" w:rsidR="006D2D23" w:rsidRPr="0046556E" w:rsidRDefault="006D2D23" w:rsidP="006D2D23">
      <w:pPr>
        <w:tabs>
          <w:tab w:val="left" w:pos="567"/>
        </w:tabs>
        <w:rPr>
          <w:szCs w:val="22"/>
          <w:lang w:eastAsia="en-US"/>
        </w:rPr>
      </w:pPr>
    </w:p>
    <w:p w14:paraId="530476E2" w14:textId="77777777" w:rsidR="006D2D23" w:rsidRPr="0046556E" w:rsidRDefault="006D2D23" w:rsidP="006D2D23">
      <w:pPr>
        <w:tabs>
          <w:tab w:val="left" w:pos="567"/>
        </w:tabs>
        <w:rPr>
          <w:szCs w:val="22"/>
          <w:lang w:eastAsia="en-US"/>
        </w:rPr>
      </w:pPr>
    </w:p>
    <w:p w14:paraId="6D5190EB" w14:textId="77777777" w:rsidR="006D2D23" w:rsidRPr="0046556E" w:rsidRDefault="006D2D23" w:rsidP="006D2D23">
      <w:pPr>
        <w:tabs>
          <w:tab w:val="left" w:pos="567"/>
        </w:tabs>
        <w:rPr>
          <w:szCs w:val="22"/>
          <w:lang w:eastAsia="en-US"/>
        </w:rPr>
      </w:pPr>
    </w:p>
    <w:p w14:paraId="6D3178E3" w14:textId="77777777" w:rsidR="006D2D23" w:rsidRPr="0046556E" w:rsidRDefault="006D2D23" w:rsidP="006D2D23">
      <w:pPr>
        <w:tabs>
          <w:tab w:val="left" w:pos="567"/>
        </w:tabs>
        <w:rPr>
          <w:szCs w:val="22"/>
          <w:lang w:eastAsia="en-US"/>
        </w:rPr>
      </w:pPr>
    </w:p>
    <w:p w14:paraId="1DF77D80" w14:textId="77777777" w:rsidR="006D2D23" w:rsidRPr="0046556E" w:rsidRDefault="006D2D23" w:rsidP="006D2D23">
      <w:pPr>
        <w:tabs>
          <w:tab w:val="left" w:pos="567"/>
        </w:tabs>
        <w:rPr>
          <w:szCs w:val="22"/>
          <w:lang w:eastAsia="en-US"/>
        </w:rPr>
      </w:pPr>
    </w:p>
    <w:p w14:paraId="3A9653AB" w14:textId="77777777" w:rsidR="006D2D23" w:rsidRPr="0046556E" w:rsidRDefault="006D2D23" w:rsidP="006D2D23">
      <w:pPr>
        <w:tabs>
          <w:tab w:val="left" w:pos="567"/>
        </w:tabs>
        <w:rPr>
          <w:szCs w:val="22"/>
          <w:lang w:eastAsia="en-US"/>
        </w:rPr>
      </w:pPr>
    </w:p>
    <w:p w14:paraId="34149B7E" w14:textId="77777777" w:rsidR="006D2D23" w:rsidRPr="0046556E" w:rsidRDefault="006D2D23" w:rsidP="006D2D23">
      <w:pPr>
        <w:tabs>
          <w:tab w:val="left" w:pos="567"/>
        </w:tabs>
        <w:rPr>
          <w:szCs w:val="22"/>
          <w:lang w:eastAsia="en-US"/>
        </w:rPr>
      </w:pPr>
    </w:p>
    <w:p w14:paraId="159DF87C" w14:textId="77777777" w:rsidR="006D2D23" w:rsidRPr="0046556E" w:rsidRDefault="006D2D23" w:rsidP="006D2D23">
      <w:pPr>
        <w:tabs>
          <w:tab w:val="left" w:pos="567"/>
        </w:tabs>
        <w:rPr>
          <w:szCs w:val="22"/>
          <w:lang w:eastAsia="en-US"/>
        </w:rPr>
      </w:pPr>
    </w:p>
    <w:p w14:paraId="68525A00" w14:textId="77777777" w:rsidR="006D2D23" w:rsidRPr="0046556E" w:rsidRDefault="006D2D23" w:rsidP="006D2D23">
      <w:pPr>
        <w:tabs>
          <w:tab w:val="left" w:pos="567"/>
        </w:tabs>
        <w:rPr>
          <w:szCs w:val="22"/>
          <w:lang w:eastAsia="en-US"/>
        </w:rPr>
      </w:pPr>
    </w:p>
    <w:p w14:paraId="3A53B19B" w14:textId="77777777" w:rsidR="006D2D23" w:rsidRPr="0046556E" w:rsidRDefault="006D2D23" w:rsidP="006D2D23">
      <w:pPr>
        <w:tabs>
          <w:tab w:val="left" w:pos="567"/>
        </w:tabs>
        <w:rPr>
          <w:szCs w:val="22"/>
          <w:lang w:eastAsia="en-US"/>
        </w:rPr>
      </w:pPr>
    </w:p>
    <w:p w14:paraId="37D14799" w14:textId="77777777" w:rsidR="006D2D23" w:rsidRPr="0046556E" w:rsidRDefault="006D2D23" w:rsidP="006D2D23">
      <w:pPr>
        <w:tabs>
          <w:tab w:val="left" w:pos="567"/>
        </w:tabs>
        <w:rPr>
          <w:szCs w:val="22"/>
          <w:lang w:eastAsia="en-US"/>
        </w:rPr>
      </w:pPr>
    </w:p>
    <w:p w14:paraId="72B48C93" w14:textId="77777777" w:rsidR="006D2D23" w:rsidRPr="0046556E" w:rsidRDefault="006D2D23" w:rsidP="006D2D23">
      <w:pPr>
        <w:tabs>
          <w:tab w:val="left" w:pos="567"/>
        </w:tabs>
        <w:rPr>
          <w:szCs w:val="22"/>
          <w:lang w:eastAsia="en-US"/>
        </w:rPr>
      </w:pPr>
    </w:p>
    <w:p w14:paraId="1381D4FF" w14:textId="77777777" w:rsidR="006D2D23" w:rsidRDefault="006D2D23" w:rsidP="006D2D23">
      <w:pPr>
        <w:tabs>
          <w:tab w:val="left" w:pos="567"/>
        </w:tabs>
        <w:rPr>
          <w:szCs w:val="22"/>
          <w:lang w:eastAsia="en-US"/>
        </w:rPr>
      </w:pPr>
    </w:p>
    <w:p w14:paraId="476C3CD7" w14:textId="77777777" w:rsidR="006110C7" w:rsidRPr="0046556E" w:rsidRDefault="006110C7" w:rsidP="006D2D23">
      <w:pPr>
        <w:tabs>
          <w:tab w:val="left" w:pos="567"/>
        </w:tabs>
        <w:rPr>
          <w:szCs w:val="22"/>
          <w:lang w:eastAsia="en-US"/>
        </w:rPr>
      </w:pPr>
    </w:p>
    <w:p w14:paraId="63DC07E4" w14:textId="77777777" w:rsidR="006D2D23" w:rsidRPr="0046556E" w:rsidRDefault="006D2D23" w:rsidP="006D2D23">
      <w:pPr>
        <w:tabs>
          <w:tab w:val="left" w:pos="567"/>
        </w:tabs>
        <w:jc w:val="center"/>
        <w:outlineLvl w:val="0"/>
        <w:rPr>
          <w:szCs w:val="22"/>
          <w:lang w:eastAsia="en-US"/>
        </w:rPr>
      </w:pPr>
      <w:r w:rsidRPr="0046556E">
        <w:rPr>
          <w:b/>
          <w:szCs w:val="22"/>
          <w:lang w:eastAsia="en-US"/>
        </w:rPr>
        <w:t>B. PAKUOTĖS LAPELIS</w:t>
      </w:r>
    </w:p>
    <w:p w14:paraId="0B27AE3E" w14:textId="59D4D237" w:rsidR="006D2D23" w:rsidRPr="0046556E" w:rsidRDefault="006D2D23" w:rsidP="006D2D23">
      <w:pPr>
        <w:tabs>
          <w:tab w:val="left" w:pos="567"/>
        </w:tabs>
        <w:jc w:val="center"/>
        <w:outlineLvl w:val="0"/>
        <w:rPr>
          <w:b/>
          <w:bCs/>
          <w:szCs w:val="22"/>
          <w:lang w:eastAsia="en-US"/>
        </w:rPr>
      </w:pPr>
      <w:r w:rsidRPr="0046556E">
        <w:rPr>
          <w:b/>
          <w:szCs w:val="22"/>
          <w:lang w:eastAsia="en-US"/>
        </w:rPr>
        <w:br w:type="page"/>
      </w:r>
      <w:r w:rsidRPr="0046556E">
        <w:rPr>
          <w:b/>
          <w:bCs/>
          <w:szCs w:val="22"/>
          <w:lang w:eastAsia="en-US"/>
        </w:rPr>
        <w:lastRenderedPageBreak/>
        <w:t xml:space="preserve">Pakuotės lapelis: informacija </w:t>
      </w:r>
      <w:r w:rsidR="005917C9">
        <w:rPr>
          <w:b/>
          <w:bCs/>
          <w:szCs w:val="22"/>
          <w:lang w:eastAsia="en-US"/>
        </w:rPr>
        <w:t>pacientui</w:t>
      </w:r>
    </w:p>
    <w:p w14:paraId="0C543008" w14:textId="77777777" w:rsidR="006D2D23" w:rsidRPr="0046556E" w:rsidRDefault="006D2D23" w:rsidP="006D2D23">
      <w:pPr>
        <w:tabs>
          <w:tab w:val="left" w:pos="567"/>
        </w:tabs>
        <w:jc w:val="center"/>
        <w:outlineLvl w:val="0"/>
        <w:rPr>
          <w:b/>
          <w:szCs w:val="22"/>
          <w:lang w:eastAsia="en-US"/>
        </w:rPr>
      </w:pPr>
    </w:p>
    <w:p w14:paraId="14C35C87" w14:textId="77777777" w:rsidR="00844863" w:rsidRPr="00844863" w:rsidRDefault="00844863" w:rsidP="00844863">
      <w:pPr>
        <w:tabs>
          <w:tab w:val="left" w:pos="567"/>
        </w:tabs>
        <w:jc w:val="center"/>
        <w:outlineLvl w:val="0"/>
        <w:rPr>
          <w:b/>
          <w:bCs/>
          <w:szCs w:val="22"/>
          <w:lang w:eastAsia="en-US"/>
        </w:rPr>
      </w:pPr>
      <w:r w:rsidRPr="00844863">
        <w:rPr>
          <w:b/>
          <w:bCs/>
          <w:szCs w:val="22"/>
          <w:lang w:eastAsia="en-US"/>
        </w:rPr>
        <w:t>Tenofovir disoproxil Sandoz 245</w:t>
      </w:r>
      <w:r w:rsidR="00161A33">
        <w:rPr>
          <w:b/>
          <w:bCs/>
          <w:szCs w:val="22"/>
          <w:lang w:eastAsia="en-US"/>
        </w:rPr>
        <w:t> </w:t>
      </w:r>
      <w:r w:rsidRPr="00844863">
        <w:rPr>
          <w:b/>
          <w:bCs/>
          <w:szCs w:val="22"/>
          <w:lang w:eastAsia="en-US"/>
        </w:rPr>
        <w:t>mg plėvele dengtos tabletės</w:t>
      </w:r>
    </w:p>
    <w:p w14:paraId="25C174AC" w14:textId="77777777" w:rsidR="00844863" w:rsidRDefault="00844863" w:rsidP="006D2D23">
      <w:pPr>
        <w:tabs>
          <w:tab w:val="left" w:pos="567"/>
        </w:tabs>
        <w:jc w:val="center"/>
        <w:outlineLvl w:val="0"/>
        <w:rPr>
          <w:szCs w:val="22"/>
          <w:lang w:eastAsia="en-US"/>
        </w:rPr>
      </w:pPr>
    </w:p>
    <w:p w14:paraId="09A5A4DB" w14:textId="54916E1B" w:rsidR="006D2D23" w:rsidRPr="0046556E" w:rsidRDefault="00844863" w:rsidP="006D2D23">
      <w:pPr>
        <w:tabs>
          <w:tab w:val="left" w:pos="567"/>
        </w:tabs>
        <w:jc w:val="center"/>
        <w:outlineLvl w:val="0"/>
        <w:rPr>
          <w:szCs w:val="22"/>
          <w:lang w:eastAsia="en-US"/>
        </w:rPr>
      </w:pPr>
      <w:r>
        <w:rPr>
          <w:szCs w:val="22"/>
          <w:lang w:eastAsia="en-US"/>
        </w:rPr>
        <w:t>Tenofovir</w:t>
      </w:r>
      <w:r w:rsidR="005917C9">
        <w:rPr>
          <w:szCs w:val="22"/>
          <w:lang w:eastAsia="en-US"/>
        </w:rPr>
        <w:t>as</w:t>
      </w:r>
      <w:r>
        <w:rPr>
          <w:szCs w:val="22"/>
          <w:lang w:eastAsia="en-US"/>
        </w:rPr>
        <w:t xml:space="preserve"> dizoproksilis</w:t>
      </w:r>
    </w:p>
    <w:p w14:paraId="32B22C24" w14:textId="77777777" w:rsidR="006D2D23" w:rsidRPr="0046556E" w:rsidRDefault="006D2D23" w:rsidP="006D2D23">
      <w:pPr>
        <w:tabs>
          <w:tab w:val="left" w:pos="567"/>
        </w:tabs>
        <w:jc w:val="center"/>
        <w:rPr>
          <w:szCs w:val="22"/>
          <w:lang w:eastAsia="en-US"/>
        </w:rPr>
      </w:pPr>
    </w:p>
    <w:p w14:paraId="78543EF6" w14:textId="77777777" w:rsidR="006D2D23" w:rsidRPr="0046556E" w:rsidRDefault="006D2D23" w:rsidP="006D2D23">
      <w:pPr>
        <w:tabs>
          <w:tab w:val="left" w:pos="567"/>
        </w:tabs>
        <w:suppressAutoHyphens/>
        <w:rPr>
          <w:snapToGrid w:val="0"/>
          <w:szCs w:val="24"/>
          <w:lang w:eastAsia="en-US"/>
        </w:rPr>
      </w:pPr>
      <w:r w:rsidRPr="0046556E">
        <w:rPr>
          <w:b/>
          <w:snapToGrid w:val="0"/>
          <w:szCs w:val="24"/>
          <w:lang w:eastAsia="en-US"/>
        </w:rPr>
        <w:t>Atidžiai perskaitykite visą šį lapelį, prieš pradėdami vartoti vaistą, nes jame pateikiama Jums svarbi informacija.</w:t>
      </w:r>
    </w:p>
    <w:p w14:paraId="5300540F" w14:textId="77777777" w:rsidR="006D2D23" w:rsidRPr="0046556E" w:rsidRDefault="006D2D23" w:rsidP="00F9423F">
      <w:pPr>
        <w:numPr>
          <w:ilvl w:val="0"/>
          <w:numId w:val="2"/>
        </w:numPr>
        <w:tabs>
          <w:tab w:val="left" w:pos="567"/>
        </w:tabs>
        <w:spacing w:line="260" w:lineRule="exact"/>
        <w:ind w:left="567" w:right="-2" w:hanging="567"/>
        <w:rPr>
          <w:snapToGrid w:val="0"/>
          <w:szCs w:val="24"/>
          <w:lang w:eastAsia="en-US"/>
        </w:rPr>
      </w:pPr>
      <w:r w:rsidRPr="0046556E">
        <w:rPr>
          <w:snapToGrid w:val="0"/>
          <w:szCs w:val="24"/>
          <w:lang w:eastAsia="en-US"/>
        </w:rPr>
        <w:t xml:space="preserve">Neišmeskite šio lapelio, nes vėl gali prireikti jį perskaityti. </w:t>
      </w:r>
    </w:p>
    <w:p w14:paraId="4EA5A47B" w14:textId="77777777" w:rsidR="006D2D23" w:rsidRPr="0046556E" w:rsidRDefault="006D2D23" w:rsidP="00F9423F">
      <w:pPr>
        <w:numPr>
          <w:ilvl w:val="0"/>
          <w:numId w:val="2"/>
        </w:numPr>
        <w:tabs>
          <w:tab w:val="left" w:pos="567"/>
        </w:tabs>
        <w:spacing w:line="260" w:lineRule="exact"/>
        <w:ind w:left="567" w:right="-2" w:hanging="567"/>
        <w:rPr>
          <w:snapToGrid w:val="0"/>
          <w:szCs w:val="24"/>
          <w:lang w:eastAsia="en-US"/>
        </w:rPr>
      </w:pPr>
      <w:r w:rsidRPr="0046556E">
        <w:rPr>
          <w:snapToGrid w:val="0"/>
          <w:szCs w:val="24"/>
          <w:lang w:eastAsia="en-US"/>
        </w:rPr>
        <w:t>Jeigu kiltų daugiau klausimų, kreipkitės į gydytoją arba vaistininką.</w:t>
      </w:r>
    </w:p>
    <w:p w14:paraId="43A3E524" w14:textId="77777777" w:rsidR="006D2D23" w:rsidRPr="0046556E" w:rsidRDefault="006D2D23" w:rsidP="006D2D23">
      <w:pPr>
        <w:tabs>
          <w:tab w:val="left" w:pos="567"/>
        </w:tabs>
        <w:ind w:left="567" w:right="-2" w:hanging="567"/>
        <w:rPr>
          <w:snapToGrid w:val="0"/>
          <w:szCs w:val="24"/>
          <w:lang w:eastAsia="en-US"/>
        </w:rPr>
      </w:pPr>
      <w:r w:rsidRPr="0046556E">
        <w:rPr>
          <w:snapToGrid w:val="0"/>
          <w:szCs w:val="24"/>
          <w:lang w:eastAsia="en-US"/>
        </w:rPr>
        <w:t>-</w:t>
      </w:r>
      <w:r w:rsidRPr="0046556E">
        <w:rPr>
          <w:snapToGrid w:val="0"/>
          <w:szCs w:val="24"/>
          <w:lang w:eastAsia="en-US"/>
        </w:rPr>
        <w:tab/>
        <w:t>Šis vaistas skirtas tik Jums, todėl kitiems žmonėms jo duoti negalima. Vaistas gali jiems pakenkti (net tiems, kurių ligos požymiai yra tokie patys kaip Jūsų).</w:t>
      </w:r>
    </w:p>
    <w:p w14:paraId="019A637C" w14:textId="77777777" w:rsidR="006D2D23" w:rsidRPr="0046556E" w:rsidRDefault="006D2D23" w:rsidP="00F9423F">
      <w:pPr>
        <w:numPr>
          <w:ilvl w:val="0"/>
          <w:numId w:val="2"/>
        </w:numPr>
        <w:tabs>
          <w:tab w:val="left" w:pos="567"/>
        </w:tabs>
        <w:spacing w:line="260" w:lineRule="exact"/>
        <w:ind w:left="567" w:hanging="567"/>
        <w:rPr>
          <w:snapToGrid w:val="0"/>
          <w:szCs w:val="24"/>
          <w:lang w:eastAsia="en-US"/>
        </w:rPr>
      </w:pPr>
      <w:r w:rsidRPr="0046556E">
        <w:rPr>
          <w:snapToGrid w:val="0"/>
          <w:szCs w:val="24"/>
          <w:lang w:eastAsia="en-US"/>
        </w:rPr>
        <w:t>Jeigu pasireiškė šalutinis poveikis (net jeigu jis šiame lapelyje nenurodytas), kreipkitės į gydytoją arba vaistininką. Žr. 4 skyrių.</w:t>
      </w:r>
    </w:p>
    <w:p w14:paraId="1AE73183" w14:textId="77777777" w:rsidR="006D2D23" w:rsidRPr="0046556E" w:rsidRDefault="006D2D23" w:rsidP="006D2D23">
      <w:pPr>
        <w:tabs>
          <w:tab w:val="left" w:pos="567"/>
        </w:tabs>
        <w:ind w:right="-2"/>
        <w:rPr>
          <w:szCs w:val="22"/>
          <w:lang w:eastAsia="en-US"/>
        </w:rPr>
      </w:pPr>
    </w:p>
    <w:p w14:paraId="3263418A" w14:textId="77777777" w:rsidR="006D2D23" w:rsidRPr="0046556E" w:rsidRDefault="006D2D23" w:rsidP="006D2D23">
      <w:pPr>
        <w:numPr>
          <w:ilvl w:val="12"/>
          <w:numId w:val="0"/>
        </w:numPr>
        <w:tabs>
          <w:tab w:val="left" w:pos="567"/>
        </w:tabs>
        <w:rPr>
          <w:b/>
          <w:szCs w:val="22"/>
          <w:lang w:eastAsia="en-US"/>
        </w:rPr>
      </w:pPr>
      <w:r w:rsidRPr="0046556E">
        <w:rPr>
          <w:b/>
          <w:szCs w:val="22"/>
          <w:lang w:eastAsia="en-US"/>
        </w:rPr>
        <w:t>Apie ką rašoma šiame lapelyje?</w:t>
      </w:r>
    </w:p>
    <w:p w14:paraId="24D60D09" w14:textId="77777777" w:rsidR="00821287" w:rsidRPr="0046556E" w:rsidRDefault="00821287" w:rsidP="006D2D23">
      <w:pPr>
        <w:numPr>
          <w:ilvl w:val="12"/>
          <w:numId w:val="0"/>
        </w:numPr>
        <w:tabs>
          <w:tab w:val="left" w:pos="567"/>
        </w:tabs>
        <w:rPr>
          <w:b/>
          <w:szCs w:val="22"/>
          <w:lang w:eastAsia="en-US"/>
        </w:rPr>
      </w:pPr>
    </w:p>
    <w:p w14:paraId="42BECF73" w14:textId="77777777" w:rsidR="006D2D23" w:rsidRPr="0046556E" w:rsidRDefault="006D2D23" w:rsidP="00821287">
      <w:pPr>
        <w:numPr>
          <w:ilvl w:val="12"/>
          <w:numId w:val="0"/>
        </w:numPr>
        <w:tabs>
          <w:tab w:val="left" w:pos="567"/>
        </w:tabs>
        <w:ind w:left="567"/>
        <w:rPr>
          <w:szCs w:val="22"/>
          <w:lang w:eastAsia="en-US"/>
        </w:rPr>
      </w:pPr>
      <w:r w:rsidRPr="0046556E">
        <w:rPr>
          <w:szCs w:val="22"/>
          <w:lang w:eastAsia="en-US"/>
        </w:rPr>
        <w:t>1.</w:t>
      </w:r>
      <w:r w:rsidRPr="0046556E">
        <w:rPr>
          <w:szCs w:val="22"/>
          <w:lang w:eastAsia="en-US"/>
        </w:rPr>
        <w:tab/>
        <w:t xml:space="preserve">Kas yra </w:t>
      </w:r>
      <w:r w:rsidR="000C3DCC" w:rsidRPr="000C3DCC">
        <w:rPr>
          <w:szCs w:val="22"/>
          <w:lang w:eastAsia="en-US"/>
        </w:rPr>
        <w:t>Tenofovir disoproxil Sandoz</w:t>
      </w:r>
      <w:r w:rsidRPr="0046556E">
        <w:rPr>
          <w:szCs w:val="22"/>
          <w:lang w:eastAsia="en-US"/>
        </w:rPr>
        <w:t xml:space="preserve"> ir kam jis vartojamas </w:t>
      </w:r>
    </w:p>
    <w:p w14:paraId="2D294150" w14:textId="77777777" w:rsidR="006D2D23" w:rsidRPr="0046556E" w:rsidRDefault="006D2D23" w:rsidP="00821287">
      <w:pPr>
        <w:numPr>
          <w:ilvl w:val="12"/>
          <w:numId w:val="0"/>
        </w:numPr>
        <w:tabs>
          <w:tab w:val="left" w:pos="567"/>
        </w:tabs>
        <w:ind w:left="567"/>
        <w:rPr>
          <w:szCs w:val="22"/>
          <w:lang w:eastAsia="en-US"/>
        </w:rPr>
      </w:pPr>
      <w:r w:rsidRPr="0046556E">
        <w:rPr>
          <w:szCs w:val="22"/>
          <w:lang w:eastAsia="en-US"/>
        </w:rPr>
        <w:t>2.</w:t>
      </w:r>
      <w:r w:rsidRPr="0046556E">
        <w:rPr>
          <w:szCs w:val="22"/>
          <w:lang w:eastAsia="en-US"/>
        </w:rPr>
        <w:tab/>
        <w:t xml:space="preserve">Kas žinotina prieš vartojant </w:t>
      </w:r>
      <w:r w:rsidR="000C3DCC">
        <w:rPr>
          <w:szCs w:val="22"/>
          <w:lang w:eastAsia="en-US"/>
        </w:rPr>
        <w:t xml:space="preserve">Tenofovir disoproxil </w:t>
      </w:r>
      <w:r w:rsidR="00116E51">
        <w:rPr>
          <w:szCs w:val="22"/>
          <w:lang w:eastAsia="en-US"/>
        </w:rPr>
        <w:t>Sandoz</w:t>
      </w:r>
      <w:r w:rsidRPr="0046556E">
        <w:rPr>
          <w:szCs w:val="22"/>
          <w:lang w:eastAsia="en-US"/>
        </w:rPr>
        <w:t xml:space="preserve"> </w:t>
      </w:r>
    </w:p>
    <w:p w14:paraId="22BB63A5" w14:textId="77777777" w:rsidR="006D2D23" w:rsidRPr="0046556E" w:rsidRDefault="006D2D23" w:rsidP="00821287">
      <w:pPr>
        <w:numPr>
          <w:ilvl w:val="12"/>
          <w:numId w:val="0"/>
        </w:numPr>
        <w:tabs>
          <w:tab w:val="left" w:pos="567"/>
        </w:tabs>
        <w:ind w:left="567"/>
        <w:rPr>
          <w:szCs w:val="22"/>
          <w:lang w:eastAsia="en-US"/>
        </w:rPr>
      </w:pPr>
      <w:r w:rsidRPr="0046556E">
        <w:rPr>
          <w:szCs w:val="22"/>
          <w:lang w:eastAsia="en-US"/>
        </w:rPr>
        <w:t>3.</w:t>
      </w:r>
      <w:r w:rsidRPr="0046556E">
        <w:rPr>
          <w:szCs w:val="22"/>
          <w:lang w:eastAsia="en-US"/>
        </w:rPr>
        <w:tab/>
        <w:t xml:space="preserve">Kaip vartoti </w:t>
      </w:r>
      <w:r w:rsidR="000C3DCC">
        <w:rPr>
          <w:szCs w:val="22"/>
          <w:lang w:eastAsia="en-US"/>
        </w:rPr>
        <w:t xml:space="preserve">Tenofovir disoproxil </w:t>
      </w:r>
      <w:r w:rsidR="00116E51">
        <w:rPr>
          <w:szCs w:val="22"/>
          <w:lang w:eastAsia="en-US"/>
        </w:rPr>
        <w:t>Sandoz</w:t>
      </w:r>
      <w:r w:rsidRPr="0046556E">
        <w:rPr>
          <w:szCs w:val="22"/>
          <w:lang w:eastAsia="en-US"/>
        </w:rPr>
        <w:t xml:space="preserve"> </w:t>
      </w:r>
    </w:p>
    <w:p w14:paraId="09EA72A8" w14:textId="77777777" w:rsidR="006D2D23" w:rsidRPr="0046556E" w:rsidRDefault="006D2D23" w:rsidP="00821287">
      <w:pPr>
        <w:numPr>
          <w:ilvl w:val="12"/>
          <w:numId w:val="0"/>
        </w:numPr>
        <w:tabs>
          <w:tab w:val="left" w:pos="567"/>
        </w:tabs>
        <w:ind w:left="567"/>
        <w:rPr>
          <w:szCs w:val="22"/>
          <w:lang w:eastAsia="en-US"/>
        </w:rPr>
      </w:pPr>
      <w:r w:rsidRPr="0046556E">
        <w:rPr>
          <w:szCs w:val="22"/>
          <w:lang w:eastAsia="en-US"/>
        </w:rPr>
        <w:t>4.</w:t>
      </w:r>
      <w:r w:rsidRPr="0046556E">
        <w:rPr>
          <w:szCs w:val="22"/>
          <w:lang w:eastAsia="en-US"/>
        </w:rPr>
        <w:tab/>
        <w:t xml:space="preserve">Galimas šalutinis poveikis </w:t>
      </w:r>
    </w:p>
    <w:p w14:paraId="023D55FA" w14:textId="77777777" w:rsidR="006D2D23" w:rsidRPr="0046556E" w:rsidRDefault="006D2D23" w:rsidP="00821287">
      <w:pPr>
        <w:numPr>
          <w:ilvl w:val="12"/>
          <w:numId w:val="0"/>
        </w:numPr>
        <w:tabs>
          <w:tab w:val="left" w:pos="567"/>
        </w:tabs>
        <w:ind w:left="567"/>
        <w:rPr>
          <w:szCs w:val="22"/>
          <w:lang w:eastAsia="en-US"/>
        </w:rPr>
      </w:pPr>
      <w:r w:rsidRPr="0046556E">
        <w:rPr>
          <w:szCs w:val="22"/>
          <w:lang w:eastAsia="en-US"/>
        </w:rPr>
        <w:t>5.</w:t>
      </w:r>
      <w:r w:rsidRPr="0046556E">
        <w:rPr>
          <w:szCs w:val="22"/>
          <w:lang w:eastAsia="en-US"/>
        </w:rPr>
        <w:tab/>
        <w:t xml:space="preserve">Kaip laikyti </w:t>
      </w:r>
      <w:r w:rsidR="000C3DCC">
        <w:rPr>
          <w:szCs w:val="22"/>
          <w:lang w:eastAsia="en-US"/>
        </w:rPr>
        <w:t xml:space="preserve">Tenofovir disoproxil </w:t>
      </w:r>
      <w:r w:rsidR="00116E51">
        <w:rPr>
          <w:szCs w:val="22"/>
          <w:lang w:eastAsia="en-US"/>
        </w:rPr>
        <w:t>Sandoz</w:t>
      </w:r>
      <w:r w:rsidRPr="0046556E">
        <w:rPr>
          <w:szCs w:val="22"/>
          <w:lang w:eastAsia="en-US"/>
        </w:rPr>
        <w:t xml:space="preserve"> </w:t>
      </w:r>
    </w:p>
    <w:p w14:paraId="0617FB1E" w14:textId="77777777" w:rsidR="006D2D23" w:rsidRPr="0046556E" w:rsidRDefault="006D2D23" w:rsidP="00821287">
      <w:pPr>
        <w:numPr>
          <w:ilvl w:val="12"/>
          <w:numId w:val="0"/>
        </w:numPr>
        <w:tabs>
          <w:tab w:val="left" w:pos="567"/>
        </w:tabs>
        <w:ind w:left="567"/>
        <w:rPr>
          <w:szCs w:val="22"/>
          <w:lang w:eastAsia="en-US"/>
        </w:rPr>
      </w:pPr>
      <w:r w:rsidRPr="0046556E">
        <w:rPr>
          <w:szCs w:val="22"/>
          <w:lang w:eastAsia="en-US"/>
        </w:rPr>
        <w:t>6.</w:t>
      </w:r>
      <w:r w:rsidRPr="0046556E">
        <w:rPr>
          <w:szCs w:val="22"/>
          <w:lang w:eastAsia="en-US"/>
        </w:rPr>
        <w:tab/>
        <w:t>Pakuotės turinys ir kita informacija</w:t>
      </w:r>
    </w:p>
    <w:p w14:paraId="61095037" w14:textId="77777777" w:rsidR="006D2D23" w:rsidRDefault="006D2D23" w:rsidP="006D2D23">
      <w:pPr>
        <w:numPr>
          <w:ilvl w:val="12"/>
          <w:numId w:val="0"/>
        </w:numPr>
        <w:tabs>
          <w:tab w:val="left" w:pos="567"/>
        </w:tabs>
        <w:rPr>
          <w:szCs w:val="22"/>
          <w:lang w:eastAsia="en-US"/>
        </w:rPr>
      </w:pPr>
    </w:p>
    <w:p w14:paraId="3D574628" w14:textId="77777777" w:rsidR="00FD2063" w:rsidRDefault="00FD2063" w:rsidP="006D2D23">
      <w:pPr>
        <w:numPr>
          <w:ilvl w:val="12"/>
          <w:numId w:val="0"/>
        </w:numPr>
        <w:tabs>
          <w:tab w:val="left" w:pos="567"/>
        </w:tabs>
        <w:rPr>
          <w:szCs w:val="22"/>
          <w:lang w:eastAsia="en-US"/>
        </w:rPr>
      </w:pPr>
      <w:r>
        <w:rPr>
          <w:szCs w:val="22"/>
          <w:lang w:eastAsia="en-US"/>
        </w:rPr>
        <w:t xml:space="preserve">Jeigu </w:t>
      </w:r>
      <w:r w:rsidRPr="00FD2063">
        <w:rPr>
          <w:szCs w:val="22"/>
          <w:lang w:eastAsia="en-US"/>
        </w:rPr>
        <w:t>Tenofovir disoproxil Sandoz</w:t>
      </w:r>
      <w:r>
        <w:rPr>
          <w:szCs w:val="22"/>
          <w:lang w:eastAsia="en-US"/>
        </w:rPr>
        <w:t xml:space="preserve"> yra paskirtas Jūsų vaikui, prašom atkreipti dėmesį, kad visa informacija šiame lapelyje yra skirta Jūsų vaikui (tokiu atveju </w:t>
      </w:r>
      <w:r w:rsidR="00000219">
        <w:rPr>
          <w:szCs w:val="22"/>
          <w:lang w:eastAsia="en-US"/>
        </w:rPr>
        <w:t xml:space="preserve">vietoj „Jūs“ </w:t>
      </w:r>
      <w:r>
        <w:rPr>
          <w:szCs w:val="22"/>
          <w:lang w:eastAsia="en-US"/>
        </w:rPr>
        <w:t>prašom skaityti „Jūsų vaikas“</w:t>
      </w:r>
      <w:r w:rsidR="003971A8">
        <w:rPr>
          <w:szCs w:val="22"/>
          <w:lang w:eastAsia="en-US"/>
        </w:rPr>
        <w:t>).</w:t>
      </w:r>
    </w:p>
    <w:p w14:paraId="582B4492" w14:textId="77777777" w:rsidR="00FD2063" w:rsidRDefault="00FD2063" w:rsidP="006D2D23">
      <w:pPr>
        <w:numPr>
          <w:ilvl w:val="12"/>
          <w:numId w:val="0"/>
        </w:numPr>
        <w:tabs>
          <w:tab w:val="left" w:pos="567"/>
        </w:tabs>
        <w:rPr>
          <w:szCs w:val="22"/>
          <w:lang w:eastAsia="en-US"/>
        </w:rPr>
      </w:pPr>
    </w:p>
    <w:p w14:paraId="1E66EE6E" w14:textId="77777777" w:rsidR="006110C7" w:rsidRPr="0046556E" w:rsidRDefault="006110C7" w:rsidP="006D2D23">
      <w:pPr>
        <w:numPr>
          <w:ilvl w:val="12"/>
          <w:numId w:val="0"/>
        </w:numPr>
        <w:tabs>
          <w:tab w:val="left" w:pos="567"/>
        </w:tabs>
        <w:rPr>
          <w:szCs w:val="22"/>
          <w:lang w:eastAsia="en-US"/>
        </w:rPr>
      </w:pPr>
    </w:p>
    <w:p w14:paraId="0EF27F4A" w14:textId="77777777" w:rsidR="006D2D23" w:rsidRPr="0046556E" w:rsidRDefault="006D2D23" w:rsidP="006D2D23">
      <w:pPr>
        <w:tabs>
          <w:tab w:val="left" w:pos="567"/>
        </w:tabs>
        <w:ind w:left="567" w:right="-2" w:hanging="567"/>
        <w:rPr>
          <w:b/>
          <w:szCs w:val="22"/>
          <w:lang w:eastAsia="en-US"/>
        </w:rPr>
      </w:pPr>
      <w:r w:rsidRPr="0046556E">
        <w:rPr>
          <w:b/>
          <w:szCs w:val="22"/>
          <w:lang w:eastAsia="en-US"/>
        </w:rPr>
        <w:t>1.</w:t>
      </w:r>
      <w:r w:rsidRPr="0046556E">
        <w:rPr>
          <w:b/>
          <w:szCs w:val="22"/>
          <w:lang w:eastAsia="en-US"/>
        </w:rPr>
        <w:tab/>
        <w:t xml:space="preserve">Kas yra </w:t>
      </w:r>
      <w:r w:rsidR="000C3DCC">
        <w:rPr>
          <w:b/>
          <w:szCs w:val="22"/>
          <w:lang w:eastAsia="en-US"/>
        </w:rPr>
        <w:t xml:space="preserve">Tenofovir disoproxil </w:t>
      </w:r>
      <w:r w:rsidR="00116E51">
        <w:rPr>
          <w:b/>
          <w:szCs w:val="22"/>
          <w:lang w:eastAsia="en-US"/>
        </w:rPr>
        <w:t>Sandoz</w:t>
      </w:r>
      <w:r w:rsidRPr="0046556E">
        <w:rPr>
          <w:b/>
          <w:szCs w:val="22"/>
          <w:lang w:eastAsia="en-US"/>
        </w:rPr>
        <w:t xml:space="preserve"> ir kam jis vartojamas</w:t>
      </w:r>
    </w:p>
    <w:p w14:paraId="080A0317" w14:textId="77777777" w:rsidR="006D2D23" w:rsidRPr="0046556E" w:rsidRDefault="006D2D23" w:rsidP="006D2D23">
      <w:pPr>
        <w:numPr>
          <w:ilvl w:val="12"/>
          <w:numId w:val="0"/>
        </w:numPr>
        <w:tabs>
          <w:tab w:val="left" w:pos="567"/>
        </w:tabs>
        <w:rPr>
          <w:szCs w:val="22"/>
          <w:lang w:eastAsia="en-US"/>
        </w:rPr>
      </w:pPr>
    </w:p>
    <w:p w14:paraId="03254E98" w14:textId="77777777" w:rsidR="00FD2063" w:rsidRPr="00FD2063" w:rsidRDefault="003971A8" w:rsidP="00FD2063">
      <w:pPr>
        <w:numPr>
          <w:ilvl w:val="12"/>
          <w:numId w:val="0"/>
        </w:numPr>
        <w:tabs>
          <w:tab w:val="left" w:pos="567"/>
        </w:tabs>
        <w:rPr>
          <w:szCs w:val="22"/>
          <w:lang w:eastAsia="en-US"/>
        </w:rPr>
      </w:pPr>
      <w:r w:rsidRPr="003971A8">
        <w:rPr>
          <w:szCs w:val="22"/>
          <w:lang w:eastAsia="en-US"/>
        </w:rPr>
        <w:t>Tenofovir disoproxil Sandoz</w:t>
      </w:r>
      <w:r w:rsidR="00FD2063" w:rsidRPr="00FD2063">
        <w:rPr>
          <w:szCs w:val="22"/>
          <w:lang w:eastAsia="en-US"/>
        </w:rPr>
        <w:t xml:space="preserve"> sudėtyje yra veiklio</w:t>
      </w:r>
      <w:r>
        <w:rPr>
          <w:szCs w:val="22"/>
          <w:lang w:eastAsia="en-US"/>
        </w:rPr>
        <w:t>sios medžiagos</w:t>
      </w:r>
      <w:r w:rsidR="00FD2063" w:rsidRPr="00FD2063">
        <w:rPr>
          <w:szCs w:val="22"/>
          <w:lang w:eastAsia="en-US"/>
        </w:rPr>
        <w:t xml:space="preserve"> </w:t>
      </w:r>
      <w:r w:rsidR="00FD2063" w:rsidRPr="003971A8">
        <w:rPr>
          <w:i/>
          <w:szCs w:val="22"/>
          <w:lang w:eastAsia="en-US"/>
        </w:rPr>
        <w:t>tenofoviro dizoproksili</w:t>
      </w:r>
      <w:r w:rsidRPr="003971A8">
        <w:rPr>
          <w:i/>
          <w:szCs w:val="22"/>
          <w:lang w:eastAsia="en-US"/>
        </w:rPr>
        <w:t>o</w:t>
      </w:r>
      <w:r w:rsidR="00FD2063" w:rsidRPr="00FD2063">
        <w:rPr>
          <w:szCs w:val="22"/>
          <w:lang w:eastAsia="en-US"/>
        </w:rPr>
        <w:t xml:space="preserve">. Ši veiklioji medžiaga yra </w:t>
      </w:r>
      <w:r w:rsidR="00FD2063" w:rsidRPr="003971A8">
        <w:rPr>
          <w:i/>
          <w:szCs w:val="22"/>
          <w:lang w:eastAsia="en-US"/>
        </w:rPr>
        <w:t>antiretrovirusinis</w:t>
      </w:r>
      <w:r w:rsidR="00FD2063" w:rsidRPr="00FD2063">
        <w:rPr>
          <w:szCs w:val="22"/>
          <w:lang w:eastAsia="en-US"/>
        </w:rPr>
        <w:t xml:space="preserve"> ar antivirusinis vaistas, vartojamas gydyti </w:t>
      </w:r>
      <w:r>
        <w:rPr>
          <w:szCs w:val="22"/>
          <w:lang w:eastAsia="en-US"/>
        </w:rPr>
        <w:t xml:space="preserve">nuo </w:t>
      </w:r>
      <w:r w:rsidR="00FD2063" w:rsidRPr="00FD2063">
        <w:rPr>
          <w:szCs w:val="22"/>
          <w:lang w:eastAsia="en-US"/>
        </w:rPr>
        <w:t xml:space="preserve">ŽIV </w:t>
      </w:r>
      <w:r>
        <w:rPr>
          <w:szCs w:val="22"/>
          <w:lang w:eastAsia="en-US"/>
        </w:rPr>
        <w:t xml:space="preserve">ar HBV </w:t>
      </w:r>
      <w:r w:rsidR="00FD2063" w:rsidRPr="00FD2063">
        <w:rPr>
          <w:szCs w:val="22"/>
          <w:lang w:eastAsia="en-US"/>
        </w:rPr>
        <w:t>infekcij</w:t>
      </w:r>
      <w:r>
        <w:rPr>
          <w:szCs w:val="22"/>
          <w:lang w:eastAsia="en-US"/>
        </w:rPr>
        <w:t>os arba nuo abiejų</w:t>
      </w:r>
      <w:r w:rsidR="00FD2063" w:rsidRPr="00FD2063">
        <w:rPr>
          <w:szCs w:val="22"/>
          <w:lang w:eastAsia="en-US"/>
        </w:rPr>
        <w:t>. Tenofoviras yra nukleotidų atvirkštinės transkriptazės inhibitorius, paprastai žinomas kaip NATI ir veikia trikdydamas normalią fermento (</w:t>
      </w:r>
      <w:r>
        <w:rPr>
          <w:szCs w:val="22"/>
          <w:lang w:eastAsia="en-US"/>
        </w:rPr>
        <w:t xml:space="preserve">ŽIV atveju </w:t>
      </w:r>
      <w:r w:rsidR="00FD2063" w:rsidRPr="003971A8">
        <w:rPr>
          <w:i/>
          <w:szCs w:val="22"/>
          <w:lang w:eastAsia="en-US"/>
        </w:rPr>
        <w:t>atvirkštinės transkriptazės</w:t>
      </w:r>
      <w:r>
        <w:rPr>
          <w:szCs w:val="22"/>
          <w:lang w:eastAsia="en-US"/>
        </w:rPr>
        <w:t xml:space="preserve">, hepatito B atveju – </w:t>
      </w:r>
      <w:r w:rsidRPr="003971A8">
        <w:rPr>
          <w:i/>
          <w:szCs w:val="22"/>
          <w:lang w:eastAsia="en-US"/>
        </w:rPr>
        <w:t>polimerazės</w:t>
      </w:r>
      <w:r w:rsidR="00FD2063" w:rsidRPr="00FD2063">
        <w:rPr>
          <w:szCs w:val="22"/>
          <w:lang w:eastAsia="en-US"/>
        </w:rPr>
        <w:t xml:space="preserve">), kuris yra būtinas viruso dauginimuisi, veiklą. </w:t>
      </w:r>
      <w:r>
        <w:rPr>
          <w:szCs w:val="22"/>
          <w:lang w:eastAsia="en-US"/>
        </w:rPr>
        <w:t>Esant</w:t>
      </w:r>
      <w:r w:rsidRPr="003971A8">
        <w:rPr>
          <w:szCs w:val="22"/>
          <w:lang w:eastAsia="en-US"/>
        </w:rPr>
        <w:t xml:space="preserve"> ŽIV infekcij</w:t>
      </w:r>
      <w:r>
        <w:rPr>
          <w:szCs w:val="22"/>
          <w:lang w:eastAsia="en-US"/>
        </w:rPr>
        <w:t>ai</w:t>
      </w:r>
      <w:r w:rsidRPr="003971A8">
        <w:rPr>
          <w:szCs w:val="22"/>
          <w:lang w:eastAsia="en-US"/>
        </w:rPr>
        <w:t xml:space="preserve"> Tenofovir disoproxil Sandoz</w:t>
      </w:r>
      <w:r w:rsidR="00FD2063" w:rsidRPr="00FD2063">
        <w:rPr>
          <w:szCs w:val="22"/>
          <w:lang w:eastAsia="en-US"/>
        </w:rPr>
        <w:t xml:space="preserve"> vis</w:t>
      </w:r>
      <w:r>
        <w:rPr>
          <w:szCs w:val="22"/>
          <w:lang w:eastAsia="en-US"/>
        </w:rPr>
        <w:t>ada</w:t>
      </w:r>
      <w:r w:rsidR="00FD2063" w:rsidRPr="00FD2063">
        <w:rPr>
          <w:szCs w:val="22"/>
          <w:lang w:eastAsia="en-US"/>
        </w:rPr>
        <w:t xml:space="preserve"> turi būti vartojamas kartu su kitais vaistais</w:t>
      </w:r>
      <w:r>
        <w:rPr>
          <w:szCs w:val="22"/>
          <w:lang w:eastAsia="en-US"/>
        </w:rPr>
        <w:t>, skirtais gydyti</w:t>
      </w:r>
      <w:r w:rsidR="00FD2063" w:rsidRPr="00FD2063">
        <w:rPr>
          <w:szCs w:val="22"/>
          <w:lang w:eastAsia="en-US"/>
        </w:rPr>
        <w:t xml:space="preserve"> nuo ŽIV infekcijos.</w:t>
      </w:r>
    </w:p>
    <w:p w14:paraId="4944CA66" w14:textId="77777777" w:rsidR="003971A8" w:rsidRDefault="003971A8" w:rsidP="00FD2063">
      <w:pPr>
        <w:numPr>
          <w:ilvl w:val="12"/>
          <w:numId w:val="0"/>
        </w:numPr>
        <w:tabs>
          <w:tab w:val="left" w:pos="567"/>
        </w:tabs>
        <w:rPr>
          <w:szCs w:val="22"/>
          <w:lang w:eastAsia="en-US"/>
        </w:rPr>
      </w:pPr>
    </w:p>
    <w:p w14:paraId="6F159933" w14:textId="77777777" w:rsidR="00FD2063" w:rsidRPr="00FD2063" w:rsidRDefault="003971A8" w:rsidP="00FD2063">
      <w:pPr>
        <w:numPr>
          <w:ilvl w:val="12"/>
          <w:numId w:val="0"/>
        </w:numPr>
        <w:tabs>
          <w:tab w:val="left" w:pos="567"/>
        </w:tabs>
        <w:rPr>
          <w:szCs w:val="22"/>
          <w:lang w:eastAsia="en-US"/>
        </w:rPr>
      </w:pPr>
      <w:r w:rsidRPr="003971A8">
        <w:rPr>
          <w:szCs w:val="22"/>
          <w:lang w:eastAsia="en-US"/>
        </w:rPr>
        <w:t xml:space="preserve">Tenofovir disoproxil Sandoz </w:t>
      </w:r>
      <w:r w:rsidR="00FD2063" w:rsidRPr="00FD2063">
        <w:rPr>
          <w:szCs w:val="22"/>
          <w:lang w:eastAsia="en-US"/>
        </w:rPr>
        <w:t xml:space="preserve">skirtos </w:t>
      </w:r>
      <w:r>
        <w:rPr>
          <w:szCs w:val="22"/>
          <w:lang w:eastAsia="en-US"/>
        </w:rPr>
        <w:t xml:space="preserve">gydyti nuo </w:t>
      </w:r>
      <w:r w:rsidR="00FD2063" w:rsidRPr="00FD2063">
        <w:rPr>
          <w:szCs w:val="22"/>
          <w:lang w:eastAsia="en-US"/>
        </w:rPr>
        <w:t>ŽIV (žmogaus imunodeficito viruso) infekcij</w:t>
      </w:r>
      <w:r>
        <w:rPr>
          <w:szCs w:val="22"/>
          <w:lang w:eastAsia="en-US"/>
        </w:rPr>
        <w:t>os</w:t>
      </w:r>
      <w:r w:rsidR="00FD2063" w:rsidRPr="00FD2063">
        <w:rPr>
          <w:szCs w:val="22"/>
          <w:lang w:eastAsia="en-US"/>
        </w:rPr>
        <w:t>.</w:t>
      </w:r>
      <w:r w:rsidR="00684DF5">
        <w:rPr>
          <w:szCs w:val="22"/>
          <w:lang w:eastAsia="en-US"/>
        </w:rPr>
        <w:t xml:space="preserve"> Tabletės</w:t>
      </w:r>
      <w:r w:rsidR="00FD2063" w:rsidRPr="00FD2063">
        <w:rPr>
          <w:szCs w:val="22"/>
          <w:lang w:eastAsia="en-US"/>
        </w:rPr>
        <w:t xml:space="preserve"> tinka:</w:t>
      </w:r>
    </w:p>
    <w:p w14:paraId="2AA32AD2" w14:textId="77777777" w:rsidR="00684DF5" w:rsidRPr="00684DF5" w:rsidRDefault="00684DF5" w:rsidP="00684DF5">
      <w:pPr>
        <w:numPr>
          <w:ilvl w:val="0"/>
          <w:numId w:val="16"/>
        </w:numPr>
        <w:tabs>
          <w:tab w:val="left" w:pos="567"/>
        </w:tabs>
        <w:ind w:left="567" w:hanging="283"/>
        <w:rPr>
          <w:b/>
          <w:szCs w:val="22"/>
          <w:lang w:eastAsia="en-US"/>
        </w:rPr>
      </w:pPr>
      <w:r w:rsidRPr="00684DF5">
        <w:rPr>
          <w:b/>
          <w:szCs w:val="22"/>
          <w:lang w:eastAsia="en-US"/>
        </w:rPr>
        <w:t>suaugusiesiems;</w:t>
      </w:r>
    </w:p>
    <w:p w14:paraId="50AE8657" w14:textId="77777777" w:rsidR="00684DF5" w:rsidRPr="00684DF5" w:rsidRDefault="00684DF5" w:rsidP="00684DF5">
      <w:pPr>
        <w:numPr>
          <w:ilvl w:val="0"/>
          <w:numId w:val="16"/>
        </w:numPr>
        <w:tabs>
          <w:tab w:val="left" w:pos="567"/>
        </w:tabs>
        <w:ind w:left="567" w:hanging="283"/>
        <w:rPr>
          <w:szCs w:val="22"/>
          <w:lang w:eastAsia="en-US"/>
        </w:rPr>
      </w:pPr>
      <w:r w:rsidRPr="00684DF5">
        <w:rPr>
          <w:b/>
          <w:szCs w:val="22"/>
          <w:lang w:eastAsia="en-US"/>
        </w:rPr>
        <w:t>nuo 12 iki mažiau kaip 18 metų paaugliams, jau gydytiems</w:t>
      </w:r>
      <w:r w:rsidRPr="00684DF5">
        <w:rPr>
          <w:szCs w:val="22"/>
          <w:lang w:eastAsia="en-US"/>
        </w:rPr>
        <w:t xml:space="preserve"> kitais vaistais nuo ŽIV, kurie dėl pasireiškusio atsparumo </w:t>
      </w:r>
      <w:r>
        <w:rPr>
          <w:szCs w:val="22"/>
          <w:lang w:eastAsia="en-US"/>
        </w:rPr>
        <w:t>yra ne</w:t>
      </w:r>
      <w:r w:rsidRPr="00684DF5">
        <w:rPr>
          <w:szCs w:val="22"/>
          <w:lang w:eastAsia="en-US"/>
        </w:rPr>
        <w:t>visiškai veiksmingi arba kurie sukėlė šalutinį poveikį.</w:t>
      </w:r>
    </w:p>
    <w:p w14:paraId="52649F75" w14:textId="77777777" w:rsidR="00684DF5" w:rsidRDefault="00684DF5" w:rsidP="00684DF5">
      <w:pPr>
        <w:numPr>
          <w:ilvl w:val="12"/>
          <w:numId w:val="0"/>
        </w:numPr>
        <w:tabs>
          <w:tab w:val="left" w:pos="567"/>
        </w:tabs>
        <w:rPr>
          <w:szCs w:val="22"/>
          <w:lang w:eastAsia="en-US"/>
        </w:rPr>
      </w:pPr>
    </w:p>
    <w:p w14:paraId="79461BE6" w14:textId="77777777" w:rsidR="00684DF5" w:rsidRPr="00684DF5" w:rsidRDefault="00684DF5" w:rsidP="00684DF5">
      <w:pPr>
        <w:numPr>
          <w:ilvl w:val="12"/>
          <w:numId w:val="0"/>
        </w:numPr>
        <w:rPr>
          <w:szCs w:val="22"/>
          <w:lang w:eastAsia="en-US"/>
        </w:rPr>
      </w:pPr>
      <w:r w:rsidRPr="00684DF5">
        <w:rPr>
          <w:b/>
          <w:szCs w:val="22"/>
          <w:lang w:eastAsia="en-US"/>
        </w:rPr>
        <w:t>Tenofovir disoproxil Sandoz taip pat skirtos gydyti nuo lėtinio hepatito B, HBV infekcijos</w:t>
      </w:r>
      <w:r w:rsidRPr="00684DF5">
        <w:rPr>
          <w:szCs w:val="22"/>
          <w:lang w:eastAsia="en-US"/>
        </w:rPr>
        <w:t xml:space="preserve"> (hepatito B viruso)</w:t>
      </w:r>
      <w:r>
        <w:rPr>
          <w:szCs w:val="22"/>
          <w:lang w:eastAsia="en-US"/>
        </w:rPr>
        <w:t>.</w:t>
      </w:r>
      <w:r w:rsidR="00151E0E">
        <w:rPr>
          <w:szCs w:val="22"/>
          <w:lang w:eastAsia="en-US"/>
        </w:rPr>
        <w:t xml:space="preserve"> </w:t>
      </w:r>
      <w:r w:rsidRPr="00684DF5">
        <w:rPr>
          <w:szCs w:val="22"/>
          <w:lang w:eastAsia="en-US"/>
        </w:rPr>
        <w:t>Tabletės tinka:</w:t>
      </w:r>
    </w:p>
    <w:p w14:paraId="11A942F0" w14:textId="77777777" w:rsidR="00684DF5" w:rsidRPr="00684DF5" w:rsidRDefault="00684DF5" w:rsidP="00684DF5">
      <w:pPr>
        <w:numPr>
          <w:ilvl w:val="0"/>
          <w:numId w:val="16"/>
        </w:numPr>
        <w:tabs>
          <w:tab w:val="left" w:pos="567"/>
        </w:tabs>
        <w:ind w:left="567" w:hanging="283"/>
        <w:rPr>
          <w:b/>
          <w:szCs w:val="22"/>
          <w:lang w:eastAsia="en-US"/>
        </w:rPr>
      </w:pPr>
      <w:r w:rsidRPr="00684DF5">
        <w:rPr>
          <w:b/>
          <w:szCs w:val="22"/>
          <w:lang w:eastAsia="en-US"/>
        </w:rPr>
        <w:t>suaugusiesiems;</w:t>
      </w:r>
    </w:p>
    <w:p w14:paraId="2579B8BF" w14:textId="77777777" w:rsidR="00684DF5" w:rsidRPr="00684DF5" w:rsidRDefault="00684DF5" w:rsidP="00684DF5">
      <w:pPr>
        <w:numPr>
          <w:ilvl w:val="0"/>
          <w:numId w:val="16"/>
        </w:numPr>
        <w:tabs>
          <w:tab w:val="left" w:pos="567"/>
        </w:tabs>
        <w:ind w:left="567" w:hanging="283"/>
        <w:rPr>
          <w:szCs w:val="22"/>
          <w:lang w:eastAsia="en-US"/>
        </w:rPr>
      </w:pPr>
      <w:r w:rsidRPr="00684DF5">
        <w:rPr>
          <w:b/>
          <w:szCs w:val="22"/>
          <w:lang w:eastAsia="en-US"/>
        </w:rPr>
        <w:t>nuo 12 iki mažiau kaip 18 metų paaugliams</w:t>
      </w:r>
      <w:r>
        <w:rPr>
          <w:b/>
          <w:szCs w:val="22"/>
          <w:lang w:eastAsia="en-US"/>
        </w:rPr>
        <w:t>.</w:t>
      </w:r>
    </w:p>
    <w:p w14:paraId="49B13CC5" w14:textId="77777777" w:rsidR="00684DF5" w:rsidRDefault="00684DF5" w:rsidP="00684DF5">
      <w:pPr>
        <w:numPr>
          <w:ilvl w:val="12"/>
          <w:numId w:val="0"/>
        </w:numPr>
        <w:tabs>
          <w:tab w:val="left" w:pos="567"/>
        </w:tabs>
        <w:rPr>
          <w:szCs w:val="22"/>
          <w:lang w:eastAsia="en-US"/>
        </w:rPr>
      </w:pPr>
    </w:p>
    <w:p w14:paraId="2F75330D" w14:textId="77777777" w:rsidR="00684DF5" w:rsidRPr="00684DF5" w:rsidRDefault="00684DF5" w:rsidP="00684DF5">
      <w:pPr>
        <w:numPr>
          <w:ilvl w:val="12"/>
          <w:numId w:val="0"/>
        </w:numPr>
        <w:tabs>
          <w:tab w:val="left" w:pos="567"/>
        </w:tabs>
        <w:rPr>
          <w:szCs w:val="22"/>
          <w:lang w:eastAsia="en-US"/>
        </w:rPr>
      </w:pPr>
      <w:r w:rsidRPr="00684DF5">
        <w:rPr>
          <w:szCs w:val="22"/>
          <w:lang w:eastAsia="en-US"/>
        </w:rPr>
        <w:t xml:space="preserve">Norint Tenofovir disoproxil Sandoz gydyti </w:t>
      </w:r>
      <w:r>
        <w:rPr>
          <w:szCs w:val="22"/>
          <w:lang w:eastAsia="en-US"/>
        </w:rPr>
        <w:t xml:space="preserve">nuo </w:t>
      </w:r>
      <w:r w:rsidRPr="00684DF5">
        <w:rPr>
          <w:szCs w:val="22"/>
          <w:lang w:eastAsia="en-US"/>
        </w:rPr>
        <w:t>HBV infekcij</w:t>
      </w:r>
      <w:r>
        <w:rPr>
          <w:szCs w:val="22"/>
          <w:lang w:eastAsia="en-US"/>
        </w:rPr>
        <w:t>os</w:t>
      </w:r>
      <w:r w:rsidRPr="00684DF5">
        <w:rPr>
          <w:szCs w:val="22"/>
          <w:lang w:eastAsia="en-US"/>
        </w:rPr>
        <w:t xml:space="preserve">, nebūtinai </w:t>
      </w:r>
      <w:r>
        <w:rPr>
          <w:szCs w:val="22"/>
          <w:lang w:eastAsia="en-US"/>
        </w:rPr>
        <w:t>turite</w:t>
      </w:r>
      <w:r w:rsidRPr="00684DF5">
        <w:rPr>
          <w:szCs w:val="22"/>
          <w:lang w:eastAsia="en-US"/>
        </w:rPr>
        <w:t xml:space="preserve"> būti užsikrėt</w:t>
      </w:r>
      <w:r>
        <w:rPr>
          <w:szCs w:val="22"/>
          <w:lang w:eastAsia="en-US"/>
        </w:rPr>
        <w:t>ęs</w:t>
      </w:r>
      <w:r w:rsidRPr="00684DF5">
        <w:rPr>
          <w:szCs w:val="22"/>
          <w:lang w:eastAsia="en-US"/>
        </w:rPr>
        <w:t xml:space="preserve"> ŽIV.</w:t>
      </w:r>
    </w:p>
    <w:p w14:paraId="3E343943" w14:textId="77777777" w:rsidR="00684DF5" w:rsidRDefault="00684DF5" w:rsidP="00684DF5">
      <w:pPr>
        <w:numPr>
          <w:ilvl w:val="12"/>
          <w:numId w:val="0"/>
        </w:numPr>
        <w:tabs>
          <w:tab w:val="left" w:pos="567"/>
        </w:tabs>
        <w:rPr>
          <w:szCs w:val="22"/>
          <w:lang w:eastAsia="en-US"/>
        </w:rPr>
      </w:pPr>
    </w:p>
    <w:p w14:paraId="74859A60" w14:textId="77777777" w:rsidR="006D2D23" w:rsidRPr="0046556E" w:rsidRDefault="00684DF5" w:rsidP="00684DF5">
      <w:pPr>
        <w:numPr>
          <w:ilvl w:val="12"/>
          <w:numId w:val="0"/>
        </w:numPr>
        <w:tabs>
          <w:tab w:val="left" w:pos="567"/>
        </w:tabs>
        <w:rPr>
          <w:szCs w:val="22"/>
          <w:lang w:eastAsia="en-US"/>
        </w:rPr>
      </w:pPr>
      <w:r w:rsidRPr="00684DF5">
        <w:rPr>
          <w:szCs w:val="22"/>
          <w:lang w:eastAsia="en-US"/>
        </w:rPr>
        <w:t xml:space="preserve">Šis vaistas ŽIV infekcijos neišgydo. Vartojant </w:t>
      </w:r>
      <w:r w:rsidRPr="003971A8">
        <w:rPr>
          <w:szCs w:val="22"/>
          <w:lang w:eastAsia="en-US"/>
        </w:rPr>
        <w:t>Tenofovir disoproxil Sandoz</w:t>
      </w:r>
      <w:r w:rsidRPr="00684DF5">
        <w:rPr>
          <w:szCs w:val="22"/>
          <w:lang w:eastAsia="en-US"/>
        </w:rPr>
        <w:t xml:space="preserve"> Jums vis tiek gali </w:t>
      </w:r>
      <w:r w:rsidR="004B6DB2">
        <w:rPr>
          <w:szCs w:val="22"/>
          <w:lang w:eastAsia="en-US"/>
        </w:rPr>
        <w:t>išsivystyti</w:t>
      </w:r>
      <w:r w:rsidRPr="00684DF5">
        <w:rPr>
          <w:szCs w:val="22"/>
          <w:lang w:eastAsia="en-US"/>
        </w:rPr>
        <w:t xml:space="preserve"> infekcijos ar kitos ligos, susijusios su ŽIV infekcija. Be to, Jūs galite ŽIV ir HBV užkrėsti kitus žmones, todėl yra svarbu </w:t>
      </w:r>
      <w:r w:rsidR="004B6DB2">
        <w:rPr>
          <w:szCs w:val="22"/>
          <w:lang w:eastAsia="en-US"/>
        </w:rPr>
        <w:t>taikyti</w:t>
      </w:r>
      <w:r w:rsidRPr="00684DF5">
        <w:rPr>
          <w:szCs w:val="22"/>
          <w:lang w:eastAsia="en-US"/>
        </w:rPr>
        <w:t xml:space="preserve"> atsargumo priemon</w:t>
      </w:r>
      <w:r w:rsidR="004B6DB2">
        <w:rPr>
          <w:szCs w:val="22"/>
          <w:lang w:eastAsia="en-US"/>
        </w:rPr>
        <w:t>es, kad išvengti kitų žmonių užkrėtimo</w:t>
      </w:r>
      <w:r w:rsidRPr="00684DF5">
        <w:rPr>
          <w:szCs w:val="22"/>
          <w:lang w:eastAsia="en-US"/>
        </w:rPr>
        <w:t>.</w:t>
      </w:r>
    </w:p>
    <w:p w14:paraId="44804950" w14:textId="77777777" w:rsidR="004B6DB2" w:rsidRDefault="004B6DB2" w:rsidP="006D2D23">
      <w:pPr>
        <w:tabs>
          <w:tab w:val="left" w:pos="567"/>
        </w:tabs>
        <w:ind w:right="-2"/>
        <w:rPr>
          <w:b/>
          <w:szCs w:val="22"/>
          <w:lang w:eastAsia="en-US"/>
        </w:rPr>
      </w:pPr>
    </w:p>
    <w:p w14:paraId="08896665" w14:textId="77777777" w:rsidR="00000219" w:rsidRDefault="00000219" w:rsidP="006D2D23">
      <w:pPr>
        <w:tabs>
          <w:tab w:val="left" w:pos="567"/>
        </w:tabs>
        <w:ind w:right="-2"/>
        <w:rPr>
          <w:b/>
          <w:szCs w:val="22"/>
          <w:lang w:eastAsia="en-US"/>
        </w:rPr>
      </w:pPr>
    </w:p>
    <w:p w14:paraId="1A29EC7D" w14:textId="77777777" w:rsidR="006D2D23" w:rsidRPr="0046556E" w:rsidRDefault="006D2D23" w:rsidP="006D2D23">
      <w:pPr>
        <w:tabs>
          <w:tab w:val="left" w:pos="567"/>
        </w:tabs>
        <w:ind w:right="-2"/>
        <w:rPr>
          <w:b/>
          <w:szCs w:val="22"/>
          <w:lang w:eastAsia="en-US"/>
        </w:rPr>
      </w:pPr>
      <w:r w:rsidRPr="0046556E">
        <w:rPr>
          <w:b/>
          <w:szCs w:val="22"/>
          <w:lang w:eastAsia="en-US"/>
        </w:rPr>
        <w:lastRenderedPageBreak/>
        <w:t>2.</w:t>
      </w:r>
      <w:r w:rsidRPr="0046556E">
        <w:rPr>
          <w:b/>
          <w:szCs w:val="22"/>
          <w:lang w:eastAsia="en-US"/>
        </w:rPr>
        <w:tab/>
      </w:r>
      <w:r w:rsidRPr="0046556E">
        <w:rPr>
          <w:b/>
          <w:bCs/>
          <w:szCs w:val="22"/>
          <w:lang w:eastAsia="en-US"/>
        </w:rPr>
        <w:t xml:space="preserve">Kas žinotina prieš vartojant </w:t>
      </w:r>
      <w:r w:rsidR="000C3DCC">
        <w:rPr>
          <w:b/>
          <w:bCs/>
          <w:szCs w:val="22"/>
          <w:lang w:eastAsia="en-US"/>
        </w:rPr>
        <w:t xml:space="preserve">Tenofovir disoproxil </w:t>
      </w:r>
      <w:r w:rsidR="00116E51">
        <w:rPr>
          <w:b/>
          <w:bCs/>
          <w:szCs w:val="22"/>
          <w:lang w:eastAsia="en-US"/>
        </w:rPr>
        <w:t>Sandoz</w:t>
      </w:r>
      <w:r w:rsidRPr="0046556E">
        <w:rPr>
          <w:b/>
          <w:bCs/>
          <w:szCs w:val="22"/>
          <w:lang w:eastAsia="en-US"/>
        </w:rPr>
        <w:t xml:space="preserve"> </w:t>
      </w:r>
    </w:p>
    <w:p w14:paraId="556228F0" w14:textId="77777777" w:rsidR="006D2D23" w:rsidRPr="0046556E" w:rsidRDefault="006D2D23" w:rsidP="006D2D23">
      <w:pPr>
        <w:numPr>
          <w:ilvl w:val="12"/>
          <w:numId w:val="0"/>
        </w:numPr>
        <w:tabs>
          <w:tab w:val="left" w:pos="567"/>
        </w:tabs>
        <w:ind w:right="-2"/>
        <w:rPr>
          <w:szCs w:val="22"/>
          <w:lang w:eastAsia="en-US"/>
        </w:rPr>
      </w:pPr>
    </w:p>
    <w:p w14:paraId="31C95B80" w14:textId="77777777" w:rsidR="0017229F" w:rsidRDefault="000C3DCC" w:rsidP="0017229F">
      <w:pPr>
        <w:pStyle w:val="Default"/>
        <w:rPr>
          <w:sz w:val="22"/>
          <w:szCs w:val="22"/>
        </w:rPr>
      </w:pPr>
      <w:r>
        <w:rPr>
          <w:b/>
          <w:bCs/>
          <w:sz w:val="22"/>
          <w:szCs w:val="22"/>
        </w:rPr>
        <w:t xml:space="preserve">Tenofovir disoproxil </w:t>
      </w:r>
      <w:r w:rsidR="00116E51">
        <w:rPr>
          <w:b/>
          <w:bCs/>
          <w:sz w:val="22"/>
          <w:szCs w:val="22"/>
        </w:rPr>
        <w:t>Sandoz</w:t>
      </w:r>
      <w:r w:rsidR="0017229F">
        <w:rPr>
          <w:b/>
          <w:bCs/>
          <w:sz w:val="22"/>
          <w:szCs w:val="22"/>
        </w:rPr>
        <w:t xml:space="preserve"> vartoti negalima: </w:t>
      </w:r>
    </w:p>
    <w:p w14:paraId="14C80EF3" w14:textId="77777777" w:rsidR="00000219" w:rsidRDefault="00000219" w:rsidP="00000219">
      <w:pPr>
        <w:pStyle w:val="Default"/>
      </w:pPr>
    </w:p>
    <w:p w14:paraId="59F244C3" w14:textId="77777777" w:rsidR="00000219" w:rsidRDefault="00116E51" w:rsidP="00116E51">
      <w:pPr>
        <w:pStyle w:val="Default"/>
        <w:numPr>
          <w:ilvl w:val="0"/>
          <w:numId w:val="21"/>
        </w:numPr>
        <w:rPr>
          <w:color w:val="auto"/>
          <w:sz w:val="22"/>
          <w:szCs w:val="22"/>
        </w:rPr>
      </w:pPr>
      <w:r>
        <w:rPr>
          <w:b/>
          <w:bCs/>
          <w:color w:val="auto"/>
          <w:sz w:val="22"/>
          <w:szCs w:val="22"/>
        </w:rPr>
        <w:t>j</w:t>
      </w:r>
      <w:r w:rsidR="00000219">
        <w:rPr>
          <w:b/>
          <w:bCs/>
          <w:color w:val="auto"/>
          <w:sz w:val="22"/>
          <w:szCs w:val="22"/>
        </w:rPr>
        <w:t xml:space="preserve">eigu yra alergija </w:t>
      </w:r>
      <w:r w:rsidR="00000219">
        <w:rPr>
          <w:color w:val="auto"/>
          <w:sz w:val="22"/>
          <w:szCs w:val="22"/>
        </w:rPr>
        <w:t>tenofovirui, tenofoviro dizoproksili</w:t>
      </w:r>
      <w:r w:rsidR="00151E0E">
        <w:rPr>
          <w:color w:val="auto"/>
          <w:sz w:val="22"/>
          <w:szCs w:val="22"/>
        </w:rPr>
        <w:t>ui</w:t>
      </w:r>
      <w:r w:rsidR="00000219">
        <w:rPr>
          <w:color w:val="auto"/>
          <w:sz w:val="22"/>
          <w:szCs w:val="22"/>
        </w:rPr>
        <w:t xml:space="preserve"> arba bet kuriai pagalbinei šio vaisto medžiagai</w:t>
      </w:r>
      <w:r>
        <w:rPr>
          <w:color w:val="auto"/>
          <w:sz w:val="22"/>
          <w:szCs w:val="22"/>
        </w:rPr>
        <w:t xml:space="preserve"> (</w:t>
      </w:r>
      <w:r w:rsidR="00000219">
        <w:rPr>
          <w:color w:val="auto"/>
          <w:sz w:val="22"/>
          <w:szCs w:val="22"/>
        </w:rPr>
        <w:t>jos išvardytos 6 skyriuje</w:t>
      </w:r>
      <w:r>
        <w:rPr>
          <w:color w:val="auto"/>
          <w:sz w:val="22"/>
          <w:szCs w:val="22"/>
        </w:rPr>
        <w:t>)</w:t>
      </w:r>
      <w:r w:rsidR="00000219">
        <w:rPr>
          <w:color w:val="auto"/>
          <w:sz w:val="22"/>
          <w:szCs w:val="22"/>
        </w:rPr>
        <w:t xml:space="preserve">. </w:t>
      </w:r>
    </w:p>
    <w:p w14:paraId="3E44C76E" w14:textId="77777777" w:rsidR="00000219" w:rsidRDefault="00000219" w:rsidP="00116E51">
      <w:pPr>
        <w:pStyle w:val="Default"/>
        <w:rPr>
          <w:color w:val="auto"/>
          <w:sz w:val="22"/>
          <w:szCs w:val="22"/>
        </w:rPr>
      </w:pPr>
    </w:p>
    <w:p w14:paraId="6FA39196" w14:textId="77777777" w:rsidR="00000219" w:rsidRDefault="00000219" w:rsidP="00116E51">
      <w:pPr>
        <w:pStyle w:val="Default"/>
        <w:ind w:left="540"/>
        <w:rPr>
          <w:color w:val="auto"/>
          <w:sz w:val="22"/>
          <w:szCs w:val="22"/>
        </w:rPr>
      </w:pPr>
      <w:r>
        <w:rPr>
          <w:color w:val="auto"/>
          <w:sz w:val="22"/>
          <w:szCs w:val="22"/>
        </w:rPr>
        <w:t>Jeigu tai</w:t>
      </w:r>
      <w:r w:rsidR="00116E51">
        <w:rPr>
          <w:color w:val="auto"/>
          <w:sz w:val="22"/>
          <w:szCs w:val="22"/>
        </w:rPr>
        <w:t xml:space="preserve"> tinka Jums</w:t>
      </w:r>
      <w:r>
        <w:rPr>
          <w:color w:val="auto"/>
          <w:sz w:val="22"/>
          <w:szCs w:val="22"/>
        </w:rPr>
        <w:t xml:space="preserve">, </w:t>
      </w:r>
      <w:r>
        <w:rPr>
          <w:b/>
          <w:bCs/>
          <w:color w:val="auto"/>
          <w:sz w:val="22"/>
          <w:szCs w:val="22"/>
        </w:rPr>
        <w:t xml:space="preserve">nedelsiant pasakykite </w:t>
      </w:r>
      <w:r w:rsidR="00116E51">
        <w:rPr>
          <w:b/>
          <w:bCs/>
          <w:color w:val="auto"/>
          <w:sz w:val="22"/>
          <w:szCs w:val="22"/>
        </w:rPr>
        <w:t xml:space="preserve">savo </w:t>
      </w:r>
      <w:r>
        <w:rPr>
          <w:b/>
          <w:bCs/>
          <w:color w:val="auto"/>
          <w:sz w:val="22"/>
          <w:szCs w:val="22"/>
        </w:rPr>
        <w:t xml:space="preserve">gydytojui ir nevartokite </w:t>
      </w:r>
      <w:r w:rsidR="00116E51">
        <w:rPr>
          <w:b/>
          <w:bCs/>
          <w:sz w:val="22"/>
          <w:szCs w:val="22"/>
        </w:rPr>
        <w:t>Tenofovir disoproxil Sandoz.</w:t>
      </w:r>
      <w:r>
        <w:rPr>
          <w:b/>
          <w:bCs/>
          <w:color w:val="auto"/>
          <w:sz w:val="22"/>
          <w:szCs w:val="22"/>
        </w:rPr>
        <w:t xml:space="preserve"> </w:t>
      </w:r>
    </w:p>
    <w:p w14:paraId="71152465" w14:textId="77777777" w:rsidR="00116E51" w:rsidRDefault="00116E51" w:rsidP="00000219">
      <w:pPr>
        <w:pStyle w:val="Default"/>
        <w:rPr>
          <w:b/>
          <w:bCs/>
          <w:color w:val="auto"/>
          <w:sz w:val="22"/>
          <w:szCs w:val="22"/>
        </w:rPr>
      </w:pPr>
    </w:p>
    <w:p w14:paraId="53222F1A" w14:textId="77777777" w:rsidR="00000219" w:rsidRDefault="00000219" w:rsidP="00000219">
      <w:pPr>
        <w:pStyle w:val="Default"/>
        <w:rPr>
          <w:color w:val="auto"/>
          <w:sz w:val="22"/>
          <w:szCs w:val="22"/>
        </w:rPr>
      </w:pPr>
      <w:r>
        <w:rPr>
          <w:b/>
          <w:bCs/>
          <w:color w:val="auto"/>
          <w:sz w:val="22"/>
          <w:szCs w:val="22"/>
        </w:rPr>
        <w:t xml:space="preserve">Įspėjimai ir atsargumo priemonės </w:t>
      </w:r>
    </w:p>
    <w:p w14:paraId="6175CE63" w14:textId="77777777" w:rsidR="00116E51" w:rsidRDefault="00000219" w:rsidP="00000219">
      <w:pPr>
        <w:pStyle w:val="Default"/>
        <w:rPr>
          <w:color w:val="auto"/>
          <w:sz w:val="22"/>
          <w:szCs w:val="22"/>
        </w:rPr>
      </w:pPr>
      <w:r>
        <w:rPr>
          <w:color w:val="auto"/>
          <w:sz w:val="22"/>
          <w:szCs w:val="22"/>
        </w:rPr>
        <w:t xml:space="preserve">Pasitarkite su gydytoju arba vaistininku, prieš pradėdami vartoti </w:t>
      </w:r>
      <w:r w:rsidR="00116E51" w:rsidRPr="00116E51">
        <w:rPr>
          <w:bCs/>
          <w:sz w:val="22"/>
          <w:szCs w:val="22"/>
        </w:rPr>
        <w:t>Tenofovir disoproxil Sandoz</w:t>
      </w:r>
      <w:r w:rsidRPr="00116E51">
        <w:rPr>
          <w:color w:val="auto"/>
          <w:sz w:val="22"/>
          <w:szCs w:val="22"/>
        </w:rPr>
        <w:t>.</w:t>
      </w:r>
    </w:p>
    <w:p w14:paraId="7F7B92EA" w14:textId="77777777" w:rsidR="00000219" w:rsidRPr="00116E51" w:rsidRDefault="00000219" w:rsidP="00000219">
      <w:pPr>
        <w:pStyle w:val="Default"/>
        <w:rPr>
          <w:color w:val="auto"/>
          <w:sz w:val="22"/>
          <w:szCs w:val="22"/>
        </w:rPr>
      </w:pPr>
    </w:p>
    <w:p w14:paraId="42C00AE0" w14:textId="77777777" w:rsidR="00000219" w:rsidRDefault="00116E51" w:rsidP="00116E51">
      <w:pPr>
        <w:pStyle w:val="Default"/>
        <w:numPr>
          <w:ilvl w:val="0"/>
          <w:numId w:val="21"/>
        </w:numPr>
        <w:rPr>
          <w:color w:val="auto"/>
          <w:sz w:val="22"/>
          <w:szCs w:val="22"/>
        </w:rPr>
      </w:pPr>
      <w:r>
        <w:rPr>
          <w:b/>
          <w:bCs/>
          <w:color w:val="auto"/>
          <w:sz w:val="22"/>
          <w:szCs w:val="22"/>
        </w:rPr>
        <w:t>Pasirūpinkite</w:t>
      </w:r>
      <w:r w:rsidR="00000219">
        <w:rPr>
          <w:b/>
          <w:bCs/>
          <w:color w:val="auto"/>
          <w:sz w:val="22"/>
          <w:szCs w:val="22"/>
        </w:rPr>
        <w:t xml:space="preserve"> neužkrėsti kitų žmonių. </w:t>
      </w:r>
      <w:r w:rsidR="00000219">
        <w:rPr>
          <w:color w:val="auto"/>
          <w:sz w:val="22"/>
          <w:szCs w:val="22"/>
        </w:rPr>
        <w:t>Varto</w:t>
      </w:r>
      <w:r>
        <w:rPr>
          <w:color w:val="auto"/>
          <w:sz w:val="22"/>
          <w:szCs w:val="22"/>
        </w:rPr>
        <w:t>jant šio vaisto</w:t>
      </w:r>
      <w:r w:rsidR="00000219">
        <w:rPr>
          <w:color w:val="auto"/>
          <w:sz w:val="22"/>
          <w:szCs w:val="22"/>
        </w:rPr>
        <w:t xml:space="preserve"> Jūs vis dar galite </w:t>
      </w:r>
      <w:r>
        <w:rPr>
          <w:color w:val="auto"/>
          <w:sz w:val="22"/>
          <w:szCs w:val="22"/>
        </w:rPr>
        <w:t>perduoti</w:t>
      </w:r>
      <w:r w:rsidR="00000219">
        <w:rPr>
          <w:color w:val="auto"/>
          <w:sz w:val="22"/>
          <w:szCs w:val="22"/>
        </w:rPr>
        <w:t xml:space="preserve"> ŽIV, nors </w:t>
      </w:r>
      <w:r w:rsidR="00981040">
        <w:rPr>
          <w:color w:val="auto"/>
          <w:sz w:val="22"/>
          <w:szCs w:val="22"/>
        </w:rPr>
        <w:t>veiksmingu antiretrovirusiniu gydymu rizika yra sumažinta</w:t>
      </w:r>
      <w:r w:rsidR="00000219">
        <w:rPr>
          <w:color w:val="auto"/>
          <w:sz w:val="22"/>
          <w:szCs w:val="22"/>
        </w:rPr>
        <w:t xml:space="preserve">. Pasitarkite su </w:t>
      </w:r>
      <w:r w:rsidR="00981040">
        <w:rPr>
          <w:color w:val="auto"/>
          <w:sz w:val="22"/>
          <w:szCs w:val="22"/>
        </w:rPr>
        <w:t xml:space="preserve">savo </w:t>
      </w:r>
      <w:r w:rsidR="00000219">
        <w:rPr>
          <w:color w:val="auto"/>
          <w:sz w:val="22"/>
          <w:szCs w:val="22"/>
        </w:rPr>
        <w:t xml:space="preserve">gydytoju dėl atsargumo priemonių, </w:t>
      </w:r>
      <w:r w:rsidR="00981040">
        <w:rPr>
          <w:color w:val="auto"/>
          <w:sz w:val="22"/>
          <w:szCs w:val="22"/>
        </w:rPr>
        <w:t xml:space="preserve">reikalingų išvengti </w:t>
      </w:r>
      <w:r w:rsidR="00000219">
        <w:rPr>
          <w:color w:val="auto"/>
          <w:sz w:val="22"/>
          <w:szCs w:val="22"/>
        </w:rPr>
        <w:t>kitų žmonių</w:t>
      </w:r>
      <w:r w:rsidR="00981040">
        <w:rPr>
          <w:color w:val="auto"/>
          <w:sz w:val="22"/>
          <w:szCs w:val="22"/>
        </w:rPr>
        <w:t xml:space="preserve"> užkrėtimo</w:t>
      </w:r>
      <w:r w:rsidR="00000219">
        <w:rPr>
          <w:color w:val="auto"/>
          <w:sz w:val="22"/>
          <w:szCs w:val="22"/>
        </w:rPr>
        <w:t xml:space="preserve">. </w:t>
      </w:r>
      <w:r w:rsidR="00981040" w:rsidRPr="00116E51">
        <w:rPr>
          <w:bCs/>
          <w:sz w:val="22"/>
          <w:szCs w:val="22"/>
        </w:rPr>
        <w:t>Tenofovir disoproxil Sandoz</w:t>
      </w:r>
      <w:r w:rsidR="00981040">
        <w:rPr>
          <w:color w:val="auto"/>
          <w:sz w:val="22"/>
          <w:szCs w:val="22"/>
        </w:rPr>
        <w:t xml:space="preserve"> </w:t>
      </w:r>
      <w:r w:rsidR="00000219">
        <w:rPr>
          <w:color w:val="auto"/>
          <w:sz w:val="22"/>
          <w:szCs w:val="22"/>
        </w:rPr>
        <w:t xml:space="preserve">nesumažina HBV perdavimo </w:t>
      </w:r>
      <w:r w:rsidR="00981040">
        <w:rPr>
          <w:color w:val="auto"/>
          <w:sz w:val="22"/>
          <w:szCs w:val="22"/>
        </w:rPr>
        <w:t>kitiems per lytinį kontaktą ar kraujo užkrėtimą</w:t>
      </w:r>
      <w:r w:rsidR="00000219">
        <w:rPr>
          <w:color w:val="auto"/>
          <w:sz w:val="22"/>
          <w:szCs w:val="22"/>
        </w:rPr>
        <w:t xml:space="preserve"> rizikos</w:t>
      </w:r>
      <w:r w:rsidR="00981040">
        <w:rPr>
          <w:color w:val="auto"/>
          <w:sz w:val="22"/>
          <w:szCs w:val="22"/>
        </w:rPr>
        <w:t xml:space="preserve">. Jūs turite </w:t>
      </w:r>
      <w:r w:rsidR="00000219">
        <w:rPr>
          <w:color w:val="auto"/>
          <w:sz w:val="22"/>
          <w:szCs w:val="22"/>
        </w:rPr>
        <w:t xml:space="preserve">ir toliau </w:t>
      </w:r>
      <w:r w:rsidR="00981040">
        <w:rPr>
          <w:color w:val="auto"/>
          <w:sz w:val="22"/>
          <w:szCs w:val="22"/>
        </w:rPr>
        <w:t>laikyti atsargumo</w:t>
      </w:r>
      <w:r w:rsidR="00000219">
        <w:rPr>
          <w:color w:val="auto"/>
          <w:sz w:val="22"/>
          <w:szCs w:val="22"/>
        </w:rPr>
        <w:t>, kad to išvengt</w:t>
      </w:r>
      <w:r w:rsidR="00981040">
        <w:rPr>
          <w:color w:val="auto"/>
          <w:sz w:val="22"/>
          <w:szCs w:val="22"/>
        </w:rPr>
        <w:t>i</w:t>
      </w:r>
      <w:r w:rsidR="00000219">
        <w:rPr>
          <w:color w:val="auto"/>
          <w:sz w:val="22"/>
          <w:szCs w:val="22"/>
        </w:rPr>
        <w:t xml:space="preserve">. </w:t>
      </w:r>
    </w:p>
    <w:p w14:paraId="5C6E148E" w14:textId="77777777" w:rsidR="00000219" w:rsidRDefault="00000219" w:rsidP="00000219">
      <w:pPr>
        <w:pStyle w:val="Default"/>
        <w:rPr>
          <w:color w:val="auto"/>
          <w:sz w:val="22"/>
          <w:szCs w:val="22"/>
        </w:rPr>
      </w:pPr>
    </w:p>
    <w:p w14:paraId="06177BFB" w14:textId="77777777" w:rsidR="00000219" w:rsidRDefault="00000219" w:rsidP="00116E51">
      <w:pPr>
        <w:pStyle w:val="Default"/>
        <w:numPr>
          <w:ilvl w:val="0"/>
          <w:numId w:val="21"/>
        </w:numPr>
        <w:rPr>
          <w:color w:val="auto"/>
          <w:sz w:val="22"/>
          <w:szCs w:val="22"/>
        </w:rPr>
      </w:pPr>
      <w:r>
        <w:rPr>
          <w:b/>
          <w:bCs/>
          <w:color w:val="auto"/>
          <w:sz w:val="22"/>
          <w:szCs w:val="22"/>
        </w:rPr>
        <w:t>Jeigu sergate inkstų lig</w:t>
      </w:r>
      <w:r w:rsidR="0014225B">
        <w:rPr>
          <w:b/>
          <w:bCs/>
          <w:color w:val="auto"/>
          <w:sz w:val="22"/>
          <w:szCs w:val="22"/>
        </w:rPr>
        <w:t>a</w:t>
      </w:r>
      <w:r>
        <w:rPr>
          <w:b/>
          <w:bCs/>
          <w:color w:val="auto"/>
          <w:sz w:val="22"/>
          <w:szCs w:val="22"/>
        </w:rPr>
        <w:t xml:space="preserve"> arba tyrimai rodo esant inkstų ligas, pasitarkite su </w:t>
      </w:r>
      <w:r w:rsidR="0014225B">
        <w:rPr>
          <w:b/>
          <w:bCs/>
          <w:color w:val="auto"/>
          <w:sz w:val="22"/>
          <w:szCs w:val="22"/>
        </w:rPr>
        <w:t xml:space="preserve">savo </w:t>
      </w:r>
      <w:r>
        <w:rPr>
          <w:b/>
          <w:bCs/>
          <w:color w:val="auto"/>
          <w:sz w:val="22"/>
          <w:szCs w:val="22"/>
        </w:rPr>
        <w:t xml:space="preserve">gydytoju arba vaistininku. </w:t>
      </w:r>
      <w:r w:rsidR="0014225B" w:rsidRPr="00116E51">
        <w:rPr>
          <w:bCs/>
          <w:sz w:val="22"/>
          <w:szCs w:val="22"/>
        </w:rPr>
        <w:t>Tenofovir disoproxil Sandoz</w:t>
      </w:r>
      <w:r>
        <w:rPr>
          <w:color w:val="auto"/>
          <w:sz w:val="22"/>
          <w:szCs w:val="22"/>
        </w:rPr>
        <w:t xml:space="preserve"> negalima duoti paaugliams, </w:t>
      </w:r>
      <w:r w:rsidR="0014225B">
        <w:rPr>
          <w:color w:val="auto"/>
          <w:sz w:val="22"/>
          <w:szCs w:val="22"/>
        </w:rPr>
        <w:t>kuriems yra</w:t>
      </w:r>
      <w:r>
        <w:rPr>
          <w:color w:val="auto"/>
          <w:sz w:val="22"/>
          <w:szCs w:val="22"/>
        </w:rPr>
        <w:t xml:space="preserve"> inkstų</w:t>
      </w:r>
      <w:r w:rsidR="007D0E47">
        <w:rPr>
          <w:color w:val="auto"/>
          <w:sz w:val="22"/>
          <w:szCs w:val="22"/>
        </w:rPr>
        <w:t xml:space="preserve"> funkcijos </w:t>
      </w:r>
      <w:r>
        <w:rPr>
          <w:color w:val="auto"/>
          <w:sz w:val="22"/>
          <w:szCs w:val="22"/>
        </w:rPr>
        <w:t xml:space="preserve"> </w:t>
      </w:r>
      <w:r w:rsidR="0014225B">
        <w:rPr>
          <w:color w:val="auto"/>
          <w:sz w:val="22"/>
          <w:szCs w:val="22"/>
        </w:rPr>
        <w:t>sutrikimų</w:t>
      </w:r>
      <w:r>
        <w:rPr>
          <w:color w:val="auto"/>
          <w:sz w:val="22"/>
          <w:szCs w:val="22"/>
        </w:rPr>
        <w:t>. Prieš prad</w:t>
      </w:r>
      <w:r w:rsidR="0014225B">
        <w:rPr>
          <w:color w:val="auto"/>
          <w:sz w:val="22"/>
          <w:szCs w:val="22"/>
        </w:rPr>
        <w:t>edant gydymą Jūsų</w:t>
      </w:r>
      <w:r>
        <w:rPr>
          <w:color w:val="auto"/>
          <w:sz w:val="22"/>
          <w:szCs w:val="22"/>
        </w:rPr>
        <w:t xml:space="preserve"> gydytojas gali paskirti kraujo tyrimus inkstų funkcijai patikrinti. Gydymo metu </w:t>
      </w:r>
      <w:r w:rsidR="0014225B" w:rsidRPr="00116E51">
        <w:rPr>
          <w:bCs/>
          <w:sz w:val="22"/>
          <w:szCs w:val="22"/>
        </w:rPr>
        <w:t>Tenofovir disoproxil Sandoz</w:t>
      </w:r>
      <w:r>
        <w:rPr>
          <w:color w:val="auto"/>
          <w:sz w:val="22"/>
          <w:szCs w:val="22"/>
        </w:rPr>
        <w:t xml:space="preserve"> gali pakenkti inkstams. Kad galėtų įvertinti</w:t>
      </w:r>
      <w:r w:rsidR="0014225B">
        <w:rPr>
          <w:color w:val="auto"/>
          <w:sz w:val="22"/>
          <w:szCs w:val="22"/>
        </w:rPr>
        <w:t>, kaip veikia Jūsų inkstai</w:t>
      </w:r>
      <w:r>
        <w:rPr>
          <w:color w:val="auto"/>
          <w:sz w:val="22"/>
          <w:szCs w:val="22"/>
        </w:rPr>
        <w:t xml:space="preserve">, gydytojas gydymo laikotarpiu taip pat gali paskirti atlikti kraujo tyrimus. Jeigu esate suaugęs, </w:t>
      </w:r>
      <w:r w:rsidR="0014225B">
        <w:rPr>
          <w:color w:val="auto"/>
          <w:sz w:val="22"/>
          <w:szCs w:val="22"/>
        </w:rPr>
        <w:t xml:space="preserve">Jūsų </w:t>
      </w:r>
      <w:r>
        <w:rPr>
          <w:color w:val="auto"/>
          <w:sz w:val="22"/>
          <w:szCs w:val="22"/>
        </w:rPr>
        <w:t xml:space="preserve">gydytojas gali patarti tabletes vartoti rečiau. Nemažinkite paskirtos dozės, nebent taip liepė daryti </w:t>
      </w:r>
      <w:r w:rsidR="0014225B">
        <w:rPr>
          <w:color w:val="auto"/>
          <w:sz w:val="22"/>
          <w:szCs w:val="22"/>
        </w:rPr>
        <w:t xml:space="preserve">Jūsų </w:t>
      </w:r>
      <w:r>
        <w:rPr>
          <w:color w:val="auto"/>
          <w:sz w:val="22"/>
          <w:szCs w:val="22"/>
        </w:rPr>
        <w:t xml:space="preserve">gydytojas. </w:t>
      </w:r>
    </w:p>
    <w:p w14:paraId="4DFC1158" w14:textId="77777777" w:rsidR="00000219" w:rsidRDefault="00000219" w:rsidP="00000219">
      <w:pPr>
        <w:pStyle w:val="Default"/>
        <w:rPr>
          <w:color w:val="auto"/>
          <w:sz w:val="22"/>
          <w:szCs w:val="22"/>
        </w:rPr>
      </w:pPr>
    </w:p>
    <w:p w14:paraId="5A32298B" w14:textId="77777777" w:rsidR="0014225B" w:rsidRDefault="0014225B" w:rsidP="0014225B">
      <w:pPr>
        <w:pStyle w:val="Default"/>
        <w:ind w:left="540"/>
        <w:rPr>
          <w:color w:val="auto"/>
          <w:sz w:val="22"/>
          <w:szCs w:val="22"/>
        </w:rPr>
      </w:pPr>
      <w:r w:rsidRPr="00116E51">
        <w:rPr>
          <w:bCs/>
          <w:sz w:val="22"/>
          <w:szCs w:val="22"/>
        </w:rPr>
        <w:t>Tenofovir disoproxil Sandoz</w:t>
      </w:r>
      <w:r w:rsidR="00000219">
        <w:rPr>
          <w:color w:val="auto"/>
          <w:sz w:val="22"/>
          <w:szCs w:val="22"/>
        </w:rPr>
        <w:t xml:space="preserve"> paprastai nėra </w:t>
      </w:r>
      <w:r>
        <w:rPr>
          <w:color w:val="auto"/>
          <w:sz w:val="22"/>
          <w:szCs w:val="22"/>
        </w:rPr>
        <w:t>vartojamas</w:t>
      </w:r>
      <w:r w:rsidR="00000219">
        <w:rPr>
          <w:color w:val="auto"/>
          <w:sz w:val="22"/>
          <w:szCs w:val="22"/>
        </w:rPr>
        <w:t xml:space="preserve"> kartu su kitais vaistais, </w:t>
      </w:r>
      <w:r>
        <w:rPr>
          <w:color w:val="auto"/>
          <w:sz w:val="22"/>
          <w:szCs w:val="22"/>
        </w:rPr>
        <w:t>kurie gali pažeisti Jūsų</w:t>
      </w:r>
      <w:r w:rsidR="00000219">
        <w:rPr>
          <w:color w:val="auto"/>
          <w:sz w:val="22"/>
          <w:szCs w:val="22"/>
        </w:rPr>
        <w:t xml:space="preserve"> inkstus (žr. </w:t>
      </w:r>
      <w:r w:rsidR="00000219">
        <w:rPr>
          <w:i/>
          <w:iCs/>
          <w:color w:val="auto"/>
          <w:sz w:val="22"/>
          <w:szCs w:val="22"/>
        </w:rPr>
        <w:t xml:space="preserve">Kiti vaistai ir </w:t>
      </w:r>
      <w:r w:rsidRPr="0014225B">
        <w:rPr>
          <w:bCs/>
          <w:i/>
          <w:sz w:val="22"/>
          <w:szCs w:val="22"/>
        </w:rPr>
        <w:t>Tenofovir disoproxil Sandoz</w:t>
      </w:r>
      <w:r w:rsidR="00000219">
        <w:rPr>
          <w:color w:val="auto"/>
          <w:sz w:val="22"/>
          <w:szCs w:val="22"/>
        </w:rPr>
        <w:t xml:space="preserve">). Jeigu tai neišvengiama, </w:t>
      </w:r>
      <w:r>
        <w:rPr>
          <w:color w:val="auto"/>
          <w:sz w:val="22"/>
          <w:szCs w:val="22"/>
        </w:rPr>
        <w:t xml:space="preserve">Jūsų </w:t>
      </w:r>
      <w:r w:rsidR="00000219">
        <w:rPr>
          <w:color w:val="auto"/>
          <w:sz w:val="22"/>
          <w:szCs w:val="22"/>
        </w:rPr>
        <w:t>gydytojas stebės Jūsų inkstų veiklą kartą per savaitę.</w:t>
      </w:r>
    </w:p>
    <w:p w14:paraId="5170ABC3" w14:textId="77777777" w:rsidR="00000219" w:rsidRDefault="00000219" w:rsidP="0014225B">
      <w:pPr>
        <w:pStyle w:val="Default"/>
        <w:ind w:left="540"/>
        <w:rPr>
          <w:color w:val="auto"/>
          <w:sz w:val="22"/>
          <w:szCs w:val="22"/>
        </w:rPr>
      </w:pPr>
    </w:p>
    <w:p w14:paraId="6A7A31C0" w14:textId="77777777" w:rsidR="00000219" w:rsidRDefault="0014225B" w:rsidP="0014225B">
      <w:pPr>
        <w:pStyle w:val="Default"/>
        <w:numPr>
          <w:ilvl w:val="0"/>
          <w:numId w:val="22"/>
        </w:numPr>
        <w:rPr>
          <w:color w:val="auto"/>
          <w:sz w:val="22"/>
          <w:szCs w:val="22"/>
        </w:rPr>
      </w:pPr>
      <w:r>
        <w:rPr>
          <w:b/>
          <w:bCs/>
          <w:color w:val="auto"/>
          <w:sz w:val="22"/>
          <w:szCs w:val="22"/>
        </w:rPr>
        <w:t>Kaulų sutrikimai</w:t>
      </w:r>
      <w:r w:rsidR="00000219">
        <w:rPr>
          <w:b/>
          <w:bCs/>
          <w:color w:val="auto"/>
          <w:sz w:val="22"/>
          <w:szCs w:val="22"/>
        </w:rPr>
        <w:t xml:space="preserve">. </w:t>
      </w:r>
      <w:r w:rsidR="00000219">
        <w:rPr>
          <w:color w:val="auto"/>
          <w:sz w:val="22"/>
          <w:szCs w:val="22"/>
        </w:rPr>
        <w:t>Taikant sudėtinį antiretrovirusinį gydymą, kai kuriems suaugusiems pacientams</w:t>
      </w:r>
      <w:r>
        <w:rPr>
          <w:color w:val="auto"/>
          <w:sz w:val="22"/>
          <w:szCs w:val="22"/>
        </w:rPr>
        <w:t>, kuriems yra</w:t>
      </w:r>
      <w:r w:rsidR="00000219">
        <w:rPr>
          <w:color w:val="auto"/>
          <w:sz w:val="22"/>
          <w:szCs w:val="22"/>
        </w:rPr>
        <w:t xml:space="preserve"> </w:t>
      </w:r>
      <w:r>
        <w:rPr>
          <w:color w:val="auto"/>
          <w:sz w:val="22"/>
          <w:szCs w:val="22"/>
        </w:rPr>
        <w:t xml:space="preserve">ŽIV, </w:t>
      </w:r>
      <w:r w:rsidR="00000219">
        <w:rPr>
          <w:color w:val="auto"/>
          <w:sz w:val="22"/>
          <w:szCs w:val="22"/>
        </w:rPr>
        <w:t xml:space="preserve">gali </w:t>
      </w:r>
      <w:r>
        <w:rPr>
          <w:color w:val="auto"/>
          <w:sz w:val="22"/>
          <w:szCs w:val="22"/>
        </w:rPr>
        <w:t>išsivystyti</w:t>
      </w:r>
      <w:r w:rsidR="00000219">
        <w:rPr>
          <w:color w:val="auto"/>
          <w:sz w:val="22"/>
          <w:szCs w:val="22"/>
        </w:rPr>
        <w:t xml:space="preserve"> kaulų liga, vadinama kaulų nekroze (</w:t>
      </w:r>
      <w:r>
        <w:rPr>
          <w:color w:val="auto"/>
          <w:sz w:val="22"/>
          <w:szCs w:val="22"/>
        </w:rPr>
        <w:t xml:space="preserve">kaulo aprūpinimo krauju sutrikimo sukeltas </w:t>
      </w:r>
      <w:r w:rsidR="00000219">
        <w:rPr>
          <w:color w:val="auto"/>
          <w:sz w:val="22"/>
          <w:szCs w:val="22"/>
        </w:rPr>
        <w:t>kaul</w:t>
      </w:r>
      <w:r>
        <w:rPr>
          <w:color w:val="auto"/>
          <w:sz w:val="22"/>
          <w:szCs w:val="22"/>
        </w:rPr>
        <w:t>inio</w:t>
      </w:r>
      <w:r w:rsidR="00000219">
        <w:rPr>
          <w:color w:val="auto"/>
          <w:sz w:val="22"/>
          <w:szCs w:val="22"/>
        </w:rPr>
        <w:t xml:space="preserve"> audinio žuvimas</w:t>
      </w:r>
      <w:r>
        <w:rPr>
          <w:color w:val="auto"/>
          <w:sz w:val="22"/>
          <w:szCs w:val="22"/>
        </w:rPr>
        <w:t>)</w:t>
      </w:r>
      <w:r w:rsidR="00000219">
        <w:rPr>
          <w:color w:val="auto"/>
          <w:sz w:val="22"/>
          <w:szCs w:val="22"/>
        </w:rPr>
        <w:t xml:space="preserve">. Tarp daugelio šios ligos </w:t>
      </w:r>
      <w:r w:rsidR="00587C32">
        <w:rPr>
          <w:color w:val="auto"/>
          <w:sz w:val="22"/>
          <w:szCs w:val="22"/>
        </w:rPr>
        <w:t xml:space="preserve">išsivystymo </w:t>
      </w:r>
      <w:r w:rsidR="00000219">
        <w:rPr>
          <w:color w:val="auto"/>
          <w:sz w:val="22"/>
          <w:szCs w:val="22"/>
        </w:rPr>
        <w:t xml:space="preserve">rizikos veiksnių gali būti sudėtinio antiretrovirusinio gydymo trukmė, kortikosteroidų vartojimas, alkoholio vartojimas, </w:t>
      </w:r>
      <w:r w:rsidR="00587C32">
        <w:rPr>
          <w:color w:val="auto"/>
          <w:sz w:val="22"/>
          <w:szCs w:val="22"/>
        </w:rPr>
        <w:t>labai nuslopintas imunitetas</w:t>
      </w:r>
      <w:r w:rsidR="00000219">
        <w:rPr>
          <w:color w:val="auto"/>
          <w:sz w:val="22"/>
          <w:szCs w:val="22"/>
        </w:rPr>
        <w:t xml:space="preserve">, padidėjęs kūno masės indeksas (antsvoris). Kaulų nekrozės požymiai yra sąnarių </w:t>
      </w:r>
      <w:r w:rsidR="00587C32">
        <w:rPr>
          <w:color w:val="auto"/>
          <w:sz w:val="22"/>
          <w:szCs w:val="22"/>
        </w:rPr>
        <w:t>nelankstumas</w:t>
      </w:r>
      <w:r w:rsidR="00000219">
        <w:rPr>
          <w:color w:val="auto"/>
          <w:sz w:val="22"/>
          <w:szCs w:val="22"/>
        </w:rPr>
        <w:t xml:space="preserve">, </w:t>
      </w:r>
      <w:r w:rsidR="00587C32">
        <w:rPr>
          <w:color w:val="auto"/>
          <w:sz w:val="22"/>
          <w:szCs w:val="22"/>
        </w:rPr>
        <w:t xml:space="preserve">gėla ir </w:t>
      </w:r>
      <w:r w:rsidR="00000219">
        <w:rPr>
          <w:color w:val="auto"/>
          <w:sz w:val="22"/>
          <w:szCs w:val="22"/>
        </w:rPr>
        <w:t>skausma</w:t>
      </w:r>
      <w:r w:rsidR="00587C32">
        <w:rPr>
          <w:color w:val="auto"/>
          <w:sz w:val="22"/>
          <w:szCs w:val="22"/>
        </w:rPr>
        <w:t>s</w:t>
      </w:r>
      <w:r w:rsidR="00000219">
        <w:rPr>
          <w:color w:val="auto"/>
          <w:sz w:val="22"/>
          <w:szCs w:val="22"/>
        </w:rPr>
        <w:t xml:space="preserve"> (ypač klub</w:t>
      </w:r>
      <w:r w:rsidR="00587C32">
        <w:rPr>
          <w:color w:val="auto"/>
          <w:sz w:val="22"/>
          <w:szCs w:val="22"/>
        </w:rPr>
        <w:t>o</w:t>
      </w:r>
      <w:r w:rsidR="00000219">
        <w:rPr>
          <w:color w:val="auto"/>
          <w:sz w:val="22"/>
          <w:szCs w:val="22"/>
        </w:rPr>
        <w:t>, keli</w:t>
      </w:r>
      <w:r w:rsidR="00587C32">
        <w:rPr>
          <w:color w:val="auto"/>
          <w:sz w:val="22"/>
          <w:szCs w:val="22"/>
        </w:rPr>
        <w:t>o</w:t>
      </w:r>
      <w:r w:rsidR="00000219">
        <w:rPr>
          <w:color w:val="auto"/>
          <w:sz w:val="22"/>
          <w:szCs w:val="22"/>
        </w:rPr>
        <w:t xml:space="preserve"> ir pečių sąnarių) ir </w:t>
      </w:r>
      <w:r w:rsidR="00587C32">
        <w:rPr>
          <w:color w:val="auto"/>
          <w:sz w:val="22"/>
          <w:szCs w:val="22"/>
        </w:rPr>
        <w:t>judesių pasunkėjimas</w:t>
      </w:r>
      <w:r w:rsidR="00000219">
        <w:rPr>
          <w:color w:val="auto"/>
          <w:sz w:val="22"/>
          <w:szCs w:val="22"/>
        </w:rPr>
        <w:t xml:space="preserve">. Jeigu pastebite </w:t>
      </w:r>
      <w:r w:rsidR="00587C32">
        <w:rPr>
          <w:color w:val="auto"/>
          <w:sz w:val="22"/>
          <w:szCs w:val="22"/>
        </w:rPr>
        <w:t xml:space="preserve">bet kurį </w:t>
      </w:r>
      <w:r w:rsidR="00000219">
        <w:rPr>
          <w:color w:val="auto"/>
          <w:sz w:val="22"/>
          <w:szCs w:val="22"/>
        </w:rPr>
        <w:t xml:space="preserve">iš šių simptomų, pasakykite savo gydytojui. </w:t>
      </w:r>
    </w:p>
    <w:p w14:paraId="6CD391C0" w14:textId="77777777" w:rsidR="00000219" w:rsidRDefault="00000219" w:rsidP="00000219">
      <w:pPr>
        <w:pStyle w:val="Default"/>
        <w:rPr>
          <w:color w:val="auto"/>
          <w:sz w:val="22"/>
          <w:szCs w:val="22"/>
        </w:rPr>
      </w:pPr>
    </w:p>
    <w:p w14:paraId="0B8B6E63" w14:textId="77777777" w:rsidR="00587C32" w:rsidRDefault="00587C32" w:rsidP="00587C32">
      <w:pPr>
        <w:pStyle w:val="Default"/>
        <w:ind w:left="540"/>
        <w:rPr>
          <w:color w:val="auto"/>
          <w:sz w:val="22"/>
          <w:szCs w:val="22"/>
        </w:rPr>
      </w:pPr>
      <w:r>
        <w:rPr>
          <w:color w:val="auto"/>
          <w:sz w:val="22"/>
          <w:szCs w:val="22"/>
        </w:rPr>
        <w:t>Kaulų sutrikimai</w:t>
      </w:r>
      <w:r w:rsidR="00000219">
        <w:rPr>
          <w:color w:val="auto"/>
          <w:sz w:val="22"/>
          <w:szCs w:val="22"/>
        </w:rPr>
        <w:t xml:space="preserve"> (kartais sukelia</w:t>
      </w:r>
      <w:r>
        <w:rPr>
          <w:color w:val="auto"/>
          <w:sz w:val="22"/>
          <w:szCs w:val="22"/>
        </w:rPr>
        <w:t>ntys</w:t>
      </w:r>
      <w:r w:rsidR="00000219">
        <w:rPr>
          <w:color w:val="auto"/>
          <w:sz w:val="22"/>
          <w:szCs w:val="22"/>
        </w:rPr>
        <w:t xml:space="preserve"> lūžius) taip pat gali atsirasti dėl inkstų kanalėlių ląstelių pažeidimų (žr. 4 skyrių </w:t>
      </w:r>
      <w:r w:rsidR="00000219">
        <w:rPr>
          <w:i/>
          <w:iCs/>
          <w:color w:val="auto"/>
          <w:sz w:val="22"/>
          <w:szCs w:val="22"/>
        </w:rPr>
        <w:t>Galimas šalutinis poveikis</w:t>
      </w:r>
      <w:r w:rsidR="00000219">
        <w:rPr>
          <w:color w:val="auto"/>
          <w:sz w:val="22"/>
          <w:szCs w:val="22"/>
        </w:rPr>
        <w:t>).</w:t>
      </w:r>
    </w:p>
    <w:p w14:paraId="7F167459" w14:textId="77777777" w:rsidR="00000219" w:rsidRDefault="00000219" w:rsidP="00587C32">
      <w:pPr>
        <w:pStyle w:val="Default"/>
        <w:ind w:left="540"/>
        <w:rPr>
          <w:color w:val="auto"/>
          <w:sz w:val="22"/>
          <w:szCs w:val="22"/>
        </w:rPr>
      </w:pPr>
    </w:p>
    <w:p w14:paraId="1B7A76DE" w14:textId="77777777" w:rsidR="00000219" w:rsidRDefault="00000219" w:rsidP="00E43B34">
      <w:pPr>
        <w:pStyle w:val="Default"/>
        <w:numPr>
          <w:ilvl w:val="0"/>
          <w:numId w:val="22"/>
        </w:numPr>
        <w:rPr>
          <w:color w:val="auto"/>
          <w:sz w:val="22"/>
          <w:szCs w:val="22"/>
        </w:rPr>
      </w:pPr>
      <w:r>
        <w:rPr>
          <w:b/>
          <w:bCs/>
          <w:color w:val="auto"/>
          <w:sz w:val="22"/>
          <w:szCs w:val="22"/>
        </w:rPr>
        <w:t xml:space="preserve">Pasakykite </w:t>
      </w:r>
      <w:r w:rsidR="00E43B34">
        <w:rPr>
          <w:b/>
          <w:bCs/>
          <w:color w:val="auto"/>
          <w:sz w:val="22"/>
          <w:szCs w:val="22"/>
        </w:rPr>
        <w:t xml:space="preserve">savo </w:t>
      </w:r>
      <w:r>
        <w:rPr>
          <w:b/>
          <w:bCs/>
          <w:color w:val="auto"/>
          <w:sz w:val="22"/>
          <w:szCs w:val="22"/>
        </w:rPr>
        <w:t>gydytojui, jeigu sergate ar sirgote kepenų lig</w:t>
      </w:r>
      <w:r w:rsidR="00E43B34">
        <w:rPr>
          <w:b/>
          <w:bCs/>
          <w:color w:val="auto"/>
          <w:sz w:val="22"/>
          <w:szCs w:val="22"/>
        </w:rPr>
        <w:t>a</w:t>
      </w:r>
      <w:r>
        <w:rPr>
          <w:b/>
          <w:bCs/>
          <w:color w:val="auto"/>
          <w:sz w:val="22"/>
          <w:szCs w:val="22"/>
        </w:rPr>
        <w:t xml:space="preserve">, įskaitant hepatitą. </w:t>
      </w:r>
      <w:r>
        <w:rPr>
          <w:color w:val="auto"/>
          <w:sz w:val="22"/>
          <w:szCs w:val="22"/>
        </w:rPr>
        <w:t>Pacientams, sergantiems kepenų lig</w:t>
      </w:r>
      <w:r w:rsidR="00E43B34">
        <w:rPr>
          <w:color w:val="auto"/>
          <w:sz w:val="22"/>
          <w:szCs w:val="22"/>
        </w:rPr>
        <w:t>a</w:t>
      </w:r>
      <w:r>
        <w:rPr>
          <w:color w:val="auto"/>
          <w:sz w:val="22"/>
          <w:szCs w:val="22"/>
        </w:rPr>
        <w:t xml:space="preserve">, </w:t>
      </w:r>
      <w:r w:rsidR="00E43B34">
        <w:rPr>
          <w:color w:val="auto"/>
          <w:sz w:val="22"/>
          <w:szCs w:val="22"/>
        </w:rPr>
        <w:t>įskaitant</w:t>
      </w:r>
      <w:r>
        <w:rPr>
          <w:color w:val="auto"/>
          <w:sz w:val="22"/>
          <w:szCs w:val="22"/>
        </w:rPr>
        <w:t xml:space="preserve"> lėtin</w:t>
      </w:r>
      <w:r w:rsidR="00E43B34">
        <w:rPr>
          <w:color w:val="auto"/>
          <w:sz w:val="22"/>
          <w:szCs w:val="22"/>
        </w:rPr>
        <w:t>į</w:t>
      </w:r>
      <w:r>
        <w:rPr>
          <w:color w:val="auto"/>
          <w:sz w:val="22"/>
          <w:szCs w:val="22"/>
        </w:rPr>
        <w:t xml:space="preserve"> hepatit</w:t>
      </w:r>
      <w:r w:rsidR="00E43B34">
        <w:rPr>
          <w:color w:val="auto"/>
          <w:sz w:val="22"/>
          <w:szCs w:val="22"/>
        </w:rPr>
        <w:t>ą</w:t>
      </w:r>
      <w:r>
        <w:rPr>
          <w:color w:val="auto"/>
          <w:sz w:val="22"/>
          <w:szCs w:val="22"/>
        </w:rPr>
        <w:t xml:space="preserve"> B ar C, </w:t>
      </w:r>
      <w:r w:rsidR="00E43B34">
        <w:rPr>
          <w:color w:val="auto"/>
          <w:sz w:val="22"/>
          <w:szCs w:val="22"/>
        </w:rPr>
        <w:t xml:space="preserve">kurie </w:t>
      </w:r>
      <w:r>
        <w:rPr>
          <w:color w:val="auto"/>
          <w:sz w:val="22"/>
          <w:szCs w:val="22"/>
        </w:rPr>
        <w:t>gydomi antiretrovirusiniais vaistais, yra didesn</w:t>
      </w:r>
      <w:r w:rsidR="00E43B34">
        <w:rPr>
          <w:color w:val="auto"/>
          <w:sz w:val="22"/>
          <w:szCs w:val="22"/>
        </w:rPr>
        <w:t>ė</w:t>
      </w:r>
      <w:r>
        <w:rPr>
          <w:color w:val="auto"/>
          <w:sz w:val="22"/>
          <w:szCs w:val="22"/>
        </w:rPr>
        <w:t xml:space="preserve"> sunkių ar net mirtinų kepenų komplikacijų </w:t>
      </w:r>
      <w:r w:rsidR="00E43B34">
        <w:rPr>
          <w:color w:val="auto"/>
          <w:sz w:val="22"/>
          <w:szCs w:val="22"/>
        </w:rPr>
        <w:t>rizika</w:t>
      </w:r>
      <w:r>
        <w:rPr>
          <w:color w:val="auto"/>
          <w:sz w:val="22"/>
          <w:szCs w:val="22"/>
        </w:rPr>
        <w:t>. Jeigu sergate hepatitu B, gydytojas rūpestingai apsvarstys Jums geriausią gydymą. Jeigu J</w:t>
      </w:r>
      <w:r w:rsidR="00E43B34">
        <w:rPr>
          <w:color w:val="auto"/>
          <w:sz w:val="22"/>
          <w:szCs w:val="22"/>
        </w:rPr>
        <w:t>ums yra buvusi</w:t>
      </w:r>
      <w:r>
        <w:rPr>
          <w:color w:val="auto"/>
          <w:sz w:val="22"/>
          <w:szCs w:val="22"/>
        </w:rPr>
        <w:t xml:space="preserve"> kepenų liga ar lėtin</w:t>
      </w:r>
      <w:r w:rsidR="00E43B34">
        <w:rPr>
          <w:color w:val="auto"/>
          <w:sz w:val="22"/>
          <w:szCs w:val="22"/>
        </w:rPr>
        <w:t>ė</w:t>
      </w:r>
      <w:r>
        <w:rPr>
          <w:color w:val="auto"/>
          <w:sz w:val="22"/>
          <w:szCs w:val="22"/>
        </w:rPr>
        <w:t xml:space="preserve"> hepatito B infekcija, </w:t>
      </w:r>
      <w:r w:rsidR="00E43B34">
        <w:rPr>
          <w:color w:val="auto"/>
          <w:sz w:val="22"/>
          <w:szCs w:val="22"/>
        </w:rPr>
        <w:t xml:space="preserve">Jūsų </w:t>
      </w:r>
      <w:r>
        <w:rPr>
          <w:color w:val="auto"/>
          <w:sz w:val="22"/>
          <w:szCs w:val="22"/>
        </w:rPr>
        <w:t xml:space="preserve">gydytojas gali atlikti kraujo tyrimus, kad stebėtų Jūsų kepenų funkciją. </w:t>
      </w:r>
    </w:p>
    <w:p w14:paraId="442ED1EE" w14:textId="77777777" w:rsidR="00000219" w:rsidRDefault="00000219" w:rsidP="00000219">
      <w:pPr>
        <w:pStyle w:val="Default"/>
        <w:rPr>
          <w:color w:val="auto"/>
          <w:sz w:val="22"/>
          <w:szCs w:val="22"/>
        </w:rPr>
      </w:pPr>
    </w:p>
    <w:p w14:paraId="5338628A" w14:textId="77777777" w:rsidR="00BF72C8" w:rsidRDefault="00000219" w:rsidP="00BF72C8">
      <w:pPr>
        <w:pStyle w:val="Default"/>
        <w:numPr>
          <w:ilvl w:val="0"/>
          <w:numId w:val="22"/>
        </w:numPr>
        <w:rPr>
          <w:color w:val="auto"/>
          <w:sz w:val="22"/>
          <w:szCs w:val="22"/>
        </w:rPr>
      </w:pPr>
      <w:r>
        <w:rPr>
          <w:b/>
          <w:bCs/>
          <w:color w:val="auto"/>
          <w:sz w:val="22"/>
          <w:szCs w:val="22"/>
        </w:rPr>
        <w:t xml:space="preserve">Saugokitės infekcijų. </w:t>
      </w:r>
      <w:r>
        <w:rPr>
          <w:color w:val="auto"/>
          <w:sz w:val="22"/>
          <w:szCs w:val="22"/>
        </w:rPr>
        <w:t xml:space="preserve">Jeigu </w:t>
      </w:r>
      <w:r w:rsidR="00BF72C8">
        <w:rPr>
          <w:color w:val="auto"/>
          <w:sz w:val="22"/>
          <w:szCs w:val="22"/>
        </w:rPr>
        <w:t>Jums yra progresavusi</w:t>
      </w:r>
      <w:r>
        <w:rPr>
          <w:color w:val="auto"/>
          <w:sz w:val="22"/>
          <w:szCs w:val="22"/>
        </w:rPr>
        <w:t xml:space="preserve"> ŽIV infekcija (AIDS) ir </w:t>
      </w:r>
      <w:r w:rsidR="00BF72C8">
        <w:rPr>
          <w:color w:val="auto"/>
          <w:sz w:val="22"/>
          <w:szCs w:val="22"/>
        </w:rPr>
        <w:t xml:space="preserve">yra </w:t>
      </w:r>
      <w:r>
        <w:rPr>
          <w:color w:val="auto"/>
          <w:sz w:val="22"/>
          <w:szCs w:val="22"/>
        </w:rPr>
        <w:t>k</w:t>
      </w:r>
      <w:r w:rsidR="00BF72C8">
        <w:rPr>
          <w:color w:val="auto"/>
          <w:sz w:val="22"/>
          <w:szCs w:val="22"/>
        </w:rPr>
        <w:t>ažkokia</w:t>
      </w:r>
      <w:r>
        <w:rPr>
          <w:color w:val="auto"/>
          <w:sz w:val="22"/>
          <w:szCs w:val="22"/>
        </w:rPr>
        <w:t xml:space="preserve"> infekcij</w:t>
      </w:r>
      <w:r w:rsidR="00BF72C8">
        <w:rPr>
          <w:color w:val="auto"/>
          <w:sz w:val="22"/>
          <w:szCs w:val="22"/>
        </w:rPr>
        <w:t>a</w:t>
      </w:r>
      <w:r>
        <w:rPr>
          <w:color w:val="auto"/>
          <w:sz w:val="22"/>
          <w:szCs w:val="22"/>
        </w:rPr>
        <w:t xml:space="preserve">, </w:t>
      </w:r>
      <w:r w:rsidR="00BF72C8" w:rsidRPr="00116E51">
        <w:rPr>
          <w:bCs/>
          <w:sz w:val="22"/>
          <w:szCs w:val="22"/>
        </w:rPr>
        <w:t>Tenofovir disoproxil Sandoz</w:t>
      </w:r>
      <w:r w:rsidR="00BF72C8">
        <w:rPr>
          <w:color w:val="auto"/>
          <w:sz w:val="22"/>
          <w:szCs w:val="22"/>
        </w:rPr>
        <w:t xml:space="preserve"> gydymo pradžioje Jums gali išsivystyti infekcijos ar uždegimo simptomai ar paūmėti esamos infekcinės ligos simptomai. Šie simptomai gali rodyti, kad pagerėjusi Jūsų organizmo imuninė sistema kovoja su infekcija. Pradėjus gydymą </w:t>
      </w:r>
      <w:r w:rsidR="00BF72C8" w:rsidRPr="00116E51">
        <w:rPr>
          <w:bCs/>
          <w:sz w:val="22"/>
          <w:szCs w:val="22"/>
        </w:rPr>
        <w:t>Tenofovir disoproxil Sandoz</w:t>
      </w:r>
      <w:r w:rsidR="00BF72C8">
        <w:rPr>
          <w:color w:val="auto"/>
          <w:sz w:val="22"/>
          <w:szCs w:val="22"/>
        </w:rPr>
        <w:t xml:space="preserve"> stebėkite, ar neatsirado uždegimo ar infekcinės ligos simptomų. Jeigu Jūs pastebite uždegimo arba infekcijos požymių, </w:t>
      </w:r>
      <w:r w:rsidR="00BF72C8">
        <w:rPr>
          <w:b/>
          <w:bCs/>
          <w:color w:val="auto"/>
          <w:sz w:val="22"/>
          <w:szCs w:val="22"/>
        </w:rPr>
        <w:t xml:space="preserve">nedelsiant pasakykite savo gydytojui. </w:t>
      </w:r>
    </w:p>
    <w:p w14:paraId="3529221F" w14:textId="77777777" w:rsidR="00BF72C8" w:rsidRDefault="00BF72C8" w:rsidP="00BF72C8">
      <w:pPr>
        <w:pStyle w:val="Default"/>
        <w:pageBreakBefore/>
        <w:ind w:left="540"/>
        <w:rPr>
          <w:color w:val="auto"/>
          <w:sz w:val="22"/>
          <w:szCs w:val="22"/>
        </w:rPr>
      </w:pPr>
      <w:r>
        <w:rPr>
          <w:color w:val="auto"/>
          <w:sz w:val="22"/>
          <w:szCs w:val="22"/>
        </w:rPr>
        <w:lastRenderedPageBreak/>
        <w:t>Pradėjus vartoti vaistų ŽIV sukeltai infekcinei ligai gydyti, be oportunistinių infekcijų, Jums gali atsirasti ir autoimuninių sutrikimų (būklė, pasireiškianti imuninei sistemai atakuojant sveikus organizmo audinius). Autoimuniniai sutrikimai gali pasireikšti per daug mėnesių nuo gydymo pradžios. Jeigu pastebite bet kokių infekcijos simptomų ar kitokių simptomų, pvz., raumenų silpnumą, silpnumą, prasidedantį nuo plaštakų ar pėdų ir plintantį į liemenį, palpitaciją, drebulį arba padidėjusį aktyvumą, nedelsiant kreipkitės į savo gydytoją dėl būtino gydymo.</w:t>
      </w:r>
    </w:p>
    <w:p w14:paraId="060EDEE0" w14:textId="77777777" w:rsidR="00BF72C8" w:rsidRDefault="00BF72C8" w:rsidP="00876F17"/>
    <w:p w14:paraId="0388E22A" w14:textId="77777777" w:rsidR="00BF72C8" w:rsidRDefault="00BF72C8" w:rsidP="00876F17">
      <w:pPr>
        <w:numPr>
          <w:ilvl w:val="0"/>
          <w:numId w:val="24"/>
        </w:numPr>
      </w:pPr>
      <w:r>
        <w:rPr>
          <w:b/>
          <w:bCs/>
        </w:rPr>
        <w:t xml:space="preserve">Jeigu Jūs esate vyresnis nei 65 metų, pasakykite apie tai gydytojui arba vaistininkui. </w:t>
      </w:r>
      <w:r w:rsidR="00876F17" w:rsidRPr="00116E51">
        <w:rPr>
          <w:bCs/>
          <w:szCs w:val="22"/>
        </w:rPr>
        <w:t>Tenofovir disoproxil Sandoz</w:t>
      </w:r>
      <w:r>
        <w:t xml:space="preserve"> nebuvo tirtas </w:t>
      </w:r>
      <w:r w:rsidR="00876F17">
        <w:t xml:space="preserve">vyresniems </w:t>
      </w:r>
      <w:r>
        <w:t>nei 65 metų pacienta</w:t>
      </w:r>
      <w:r w:rsidR="00876F17">
        <w:t>ms</w:t>
      </w:r>
      <w:r>
        <w:t xml:space="preserve">. Jeigu esate </w:t>
      </w:r>
      <w:r w:rsidR="00876F17">
        <w:t>už juos vyresnis</w:t>
      </w:r>
      <w:r>
        <w:t xml:space="preserve"> ir Jums paskirta </w:t>
      </w:r>
      <w:r w:rsidR="00876F17" w:rsidRPr="00116E51">
        <w:rPr>
          <w:bCs/>
          <w:szCs w:val="22"/>
        </w:rPr>
        <w:t>Tenofovir disoproxil Sandoz</w:t>
      </w:r>
      <w:r>
        <w:t xml:space="preserve">, </w:t>
      </w:r>
      <w:r w:rsidR="00876F17">
        <w:t xml:space="preserve">Jūsų </w:t>
      </w:r>
      <w:r>
        <w:t xml:space="preserve">gydytojas Jus atidžiai stebės. </w:t>
      </w:r>
    </w:p>
    <w:p w14:paraId="35590DDF" w14:textId="77777777" w:rsidR="00BF72C8" w:rsidRDefault="00BF72C8" w:rsidP="00876F17"/>
    <w:p w14:paraId="3475E8B9" w14:textId="77777777" w:rsidR="00BF72C8" w:rsidRDefault="00BF72C8" w:rsidP="00BF72C8">
      <w:pPr>
        <w:pStyle w:val="Default"/>
        <w:rPr>
          <w:color w:val="auto"/>
          <w:sz w:val="22"/>
          <w:szCs w:val="22"/>
        </w:rPr>
      </w:pPr>
      <w:r>
        <w:rPr>
          <w:b/>
          <w:bCs/>
          <w:color w:val="auto"/>
          <w:sz w:val="22"/>
          <w:szCs w:val="22"/>
        </w:rPr>
        <w:t xml:space="preserve">Vaikams ir paaugliams </w:t>
      </w:r>
    </w:p>
    <w:p w14:paraId="2A6DCA57" w14:textId="77777777" w:rsidR="00876F17" w:rsidRDefault="00876F17" w:rsidP="00BF72C8">
      <w:pPr>
        <w:pStyle w:val="Default"/>
        <w:rPr>
          <w:color w:val="auto"/>
          <w:sz w:val="22"/>
          <w:szCs w:val="22"/>
        </w:rPr>
      </w:pPr>
    </w:p>
    <w:p w14:paraId="50F829DF" w14:textId="77777777" w:rsidR="00BF72C8" w:rsidRDefault="00876F17" w:rsidP="00BF72C8">
      <w:pPr>
        <w:pStyle w:val="Default"/>
        <w:rPr>
          <w:color w:val="auto"/>
          <w:sz w:val="22"/>
          <w:szCs w:val="22"/>
        </w:rPr>
      </w:pPr>
      <w:r w:rsidRPr="00116E51">
        <w:rPr>
          <w:bCs/>
          <w:sz w:val="22"/>
          <w:szCs w:val="22"/>
        </w:rPr>
        <w:t>Tenofovir disoproxil Sandoz</w:t>
      </w:r>
      <w:r w:rsidR="00BF72C8">
        <w:rPr>
          <w:color w:val="auto"/>
          <w:sz w:val="22"/>
          <w:szCs w:val="22"/>
        </w:rPr>
        <w:t xml:space="preserve"> tabletės </w:t>
      </w:r>
      <w:r w:rsidR="00BF72C8">
        <w:rPr>
          <w:b/>
          <w:bCs/>
          <w:color w:val="auto"/>
          <w:sz w:val="22"/>
          <w:szCs w:val="22"/>
        </w:rPr>
        <w:t>tinka</w:t>
      </w:r>
      <w:r w:rsidR="00BF72C8">
        <w:rPr>
          <w:color w:val="auto"/>
          <w:sz w:val="22"/>
          <w:szCs w:val="22"/>
        </w:rPr>
        <w:t xml:space="preserve">: </w:t>
      </w:r>
    </w:p>
    <w:p w14:paraId="5B6B27AD" w14:textId="77777777" w:rsidR="00BF72C8" w:rsidRDefault="00BF72C8" w:rsidP="00876F17">
      <w:pPr>
        <w:pStyle w:val="Default"/>
        <w:numPr>
          <w:ilvl w:val="0"/>
          <w:numId w:val="24"/>
        </w:numPr>
        <w:spacing w:after="33"/>
        <w:rPr>
          <w:color w:val="auto"/>
          <w:sz w:val="22"/>
          <w:szCs w:val="22"/>
        </w:rPr>
      </w:pPr>
      <w:r>
        <w:rPr>
          <w:b/>
          <w:bCs/>
          <w:color w:val="auto"/>
          <w:sz w:val="22"/>
          <w:szCs w:val="22"/>
        </w:rPr>
        <w:t>ŽIV-1 infekuotiems paaugliams nuo 12 iki mažiau kaip 18 metų, sveriantiems mažiausiai 35</w:t>
      </w:r>
      <w:r w:rsidR="00C509C7">
        <w:rPr>
          <w:b/>
          <w:bCs/>
          <w:color w:val="auto"/>
          <w:sz w:val="22"/>
          <w:szCs w:val="22"/>
        </w:rPr>
        <w:t> </w:t>
      </w:r>
      <w:r>
        <w:rPr>
          <w:b/>
          <w:bCs/>
          <w:color w:val="auto"/>
          <w:sz w:val="22"/>
          <w:szCs w:val="22"/>
        </w:rPr>
        <w:t xml:space="preserve">kg ir jau gydytiems </w:t>
      </w:r>
      <w:r>
        <w:rPr>
          <w:color w:val="auto"/>
          <w:sz w:val="22"/>
          <w:szCs w:val="22"/>
        </w:rPr>
        <w:t xml:space="preserve">kitais vaistais nuo ŽIV, kurie dėl pasireiškusio atsparumo </w:t>
      </w:r>
      <w:r w:rsidR="00876F17">
        <w:rPr>
          <w:color w:val="auto"/>
          <w:sz w:val="22"/>
          <w:szCs w:val="22"/>
        </w:rPr>
        <w:t xml:space="preserve">yra ne </w:t>
      </w:r>
      <w:r>
        <w:rPr>
          <w:color w:val="auto"/>
          <w:sz w:val="22"/>
          <w:szCs w:val="22"/>
        </w:rPr>
        <w:t xml:space="preserve">visiškai veiksmingi ar sukėlė šalutinį poveikį. </w:t>
      </w:r>
    </w:p>
    <w:p w14:paraId="38DE059E" w14:textId="77777777" w:rsidR="00BF72C8" w:rsidRDefault="00BF72C8" w:rsidP="00876F17">
      <w:pPr>
        <w:pStyle w:val="Default"/>
        <w:numPr>
          <w:ilvl w:val="0"/>
          <w:numId w:val="24"/>
        </w:numPr>
        <w:rPr>
          <w:color w:val="auto"/>
          <w:sz w:val="22"/>
          <w:szCs w:val="22"/>
        </w:rPr>
      </w:pPr>
      <w:r>
        <w:rPr>
          <w:b/>
          <w:bCs/>
          <w:color w:val="auto"/>
          <w:sz w:val="22"/>
          <w:szCs w:val="22"/>
        </w:rPr>
        <w:t>HBV infekuotiems paaugliams nuo 12 iki mažiau kaip 18 metų, sveriantiems mažiausiai 35</w:t>
      </w:r>
      <w:r w:rsidR="00C509C7">
        <w:rPr>
          <w:b/>
          <w:bCs/>
          <w:color w:val="auto"/>
          <w:sz w:val="22"/>
          <w:szCs w:val="22"/>
        </w:rPr>
        <w:t> </w:t>
      </w:r>
      <w:r>
        <w:rPr>
          <w:b/>
          <w:bCs/>
          <w:color w:val="auto"/>
          <w:sz w:val="22"/>
          <w:szCs w:val="22"/>
        </w:rPr>
        <w:t>kg</w:t>
      </w:r>
      <w:r>
        <w:rPr>
          <w:color w:val="auto"/>
          <w:sz w:val="22"/>
          <w:szCs w:val="22"/>
        </w:rPr>
        <w:t xml:space="preserve">. </w:t>
      </w:r>
    </w:p>
    <w:p w14:paraId="388A5C36" w14:textId="77777777" w:rsidR="00BF72C8" w:rsidRDefault="00BF72C8" w:rsidP="00BF72C8">
      <w:pPr>
        <w:pStyle w:val="Default"/>
        <w:rPr>
          <w:color w:val="auto"/>
          <w:sz w:val="22"/>
          <w:szCs w:val="22"/>
        </w:rPr>
      </w:pPr>
    </w:p>
    <w:p w14:paraId="2F0046FB" w14:textId="77777777" w:rsidR="00BF72C8" w:rsidRDefault="00A502A7" w:rsidP="00A502A7">
      <w:pPr>
        <w:pStyle w:val="Default"/>
        <w:rPr>
          <w:color w:val="auto"/>
          <w:sz w:val="22"/>
          <w:szCs w:val="22"/>
        </w:rPr>
      </w:pPr>
      <w:r w:rsidRPr="00116E51">
        <w:rPr>
          <w:bCs/>
          <w:sz w:val="22"/>
          <w:szCs w:val="22"/>
        </w:rPr>
        <w:t>Tenofovir disoproxil Sandoz</w:t>
      </w:r>
      <w:r>
        <w:rPr>
          <w:color w:val="auto"/>
          <w:sz w:val="22"/>
          <w:szCs w:val="22"/>
        </w:rPr>
        <w:t xml:space="preserve"> </w:t>
      </w:r>
      <w:r w:rsidR="00BF72C8">
        <w:rPr>
          <w:b/>
          <w:bCs/>
          <w:color w:val="auto"/>
          <w:sz w:val="22"/>
          <w:szCs w:val="22"/>
        </w:rPr>
        <w:t xml:space="preserve">netinka </w:t>
      </w:r>
      <w:r w:rsidR="00BF72C8">
        <w:rPr>
          <w:color w:val="auto"/>
          <w:sz w:val="22"/>
          <w:szCs w:val="22"/>
        </w:rPr>
        <w:t xml:space="preserve">šioms grupėms: </w:t>
      </w:r>
    </w:p>
    <w:p w14:paraId="38AFC9F9" w14:textId="77777777" w:rsidR="00BF72C8" w:rsidRDefault="00A502A7" w:rsidP="00876F17">
      <w:pPr>
        <w:pStyle w:val="Default"/>
        <w:numPr>
          <w:ilvl w:val="0"/>
          <w:numId w:val="24"/>
        </w:numPr>
        <w:spacing w:after="33"/>
        <w:rPr>
          <w:color w:val="auto"/>
          <w:sz w:val="22"/>
          <w:szCs w:val="22"/>
        </w:rPr>
      </w:pPr>
      <w:r>
        <w:rPr>
          <w:b/>
          <w:bCs/>
          <w:color w:val="auto"/>
          <w:sz w:val="22"/>
          <w:szCs w:val="22"/>
        </w:rPr>
        <w:t>n</w:t>
      </w:r>
      <w:r w:rsidR="00BF72C8">
        <w:rPr>
          <w:b/>
          <w:bCs/>
          <w:color w:val="auto"/>
          <w:sz w:val="22"/>
          <w:szCs w:val="22"/>
        </w:rPr>
        <w:t xml:space="preserve">etinka ŽIV-1 infekuotiems </w:t>
      </w:r>
      <w:r w:rsidRPr="00A502A7">
        <w:rPr>
          <w:bCs/>
          <w:color w:val="auto"/>
          <w:sz w:val="22"/>
          <w:szCs w:val="22"/>
        </w:rPr>
        <w:t>jaunesniems kaip</w:t>
      </w:r>
      <w:r w:rsidR="00BF72C8">
        <w:rPr>
          <w:color w:val="auto"/>
          <w:sz w:val="22"/>
          <w:szCs w:val="22"/>
        </w:rPr>
        <w:t xml:space="preserve"> 12 metų amžiaus</w:t>
      </w:r>
      <w:r>
        <w:rPr>
          <w:color w:val="auto"/>
          <w:sz w:val="22"/>
          <w:szCs w:val="22"/>
        </w:rPr>
        <w:t xml:space="preserve"> v</w:t>
      </w:r>
      <w:r w:rsidRPr="00A502A7">
        <w:rPr>
          <w:b/>
          <w:color w:val="auto"/>
          <w:sz w:val="22"/>
          <w:szCs w:val="22"/>
        </w:rPr>
        <w:t>aikams</w:t>
      </w:r>
      <w:r>
        <w:rPr>
          <w:color w:val="auto"/>
          <w:sz w:val="22"/>
          <w:szCs w:val="22"/>
        </w:rPr>
        <w:t>;</w:t>
      </w:r>
      <w:r w:rsidR="00BF72C8">
        <w:rPr>
          <w:color w:val="auto"/>
          <w:sz w:val="22"/>
          <w:szCs w:val="22"/>
        </w:rPr>
        <w:t xml:space="preserve"> </w:t>
      </w:r>
    </w:p>
    <w:p w14:paraId="4AE4378A" w14:textId="77777777" w:rsidR="00BF72C8" w:rsidRDefault="00A502A7" w:rsidP="00876F17">
      <w:pPr>
        <w:pStyle w:val="Default"/>
        <w:numPr>
          <w:ilvl w:val="0"/>
          <w:numId w:val="24"/>
        </w:numPr>
        <w:rPr>
          <w:color w:val="auto"/>
          <w:sz w:val="22"/>
          <w:szCs w:val="22"/>
        </w:rPr>
      </w:pPr>
      <w:r w:rsidRPr="00A502A7">
        <w:rPr>
          <w:b/>
          <w:color w:val="auto"/>
          <w:sz w:val="22"/>
          <w:szCs w:val="22"/>
        </w:rPr>
        <w:t>n</w:t>
      </w:r>
      <w:r w:rsidR="00BF72C8">
        <w:rPr>
          <w:b/>
          <w:bCs/>
          <w:color w:val="auto"/>
          <w:sz w:val="22"/>
          <w:szCs w:val="22"/>
        </w:rPr>
        <w:t xml:space="preserve">etinka HBV infekuotiems </w:t>
      </w:r>
      <w:r w:rsidRPr="00A502A7">
        <w:rPr>
          <w:bCs/>
          <w:color w:val="auto"/>
          <w:sz w:val="22"/>
          <w:szCs w:val="22"/>
        </w:rPr>
        <w:t>jaunesniems kaip</w:t>
      </w:r>
      <w:r>
        <w:rPr>
          <w:color w:val="auto"/>
          <w:sz w:val="22"/>
          <w:szCs w:val="22"/>
        </w:rPr>
        <w:t xml:space="preserve"> 12 metų amžiaus v</w:t>
      </w:r>
      <w:r w:rsidRPr="00A502A7">
        <w:rPr>
          <w:b/>
          <w:color w:val="auto"/>
          <w:sz w:val="22"/>
          <w:szCs w:val="22"/>
        </w:rPr>
        <w:t>aikams</w:t>
      </w:r>
      <w:r w:rsidR="00BF72C8">
        <w:rPr>
          <w:color w:val="auto"/>
          <w:sz w:val="22"/>
          <w:szCs w:val="22"/>
        </w:rPr>
        <w:t xml:space="preserve">. </w:t>
      </w:r>
    </w:p>
    <w:p w14:paraId="30337A0F" w14:textId="77777777" w:rsidR="00BF72C8" w:rsidRDefault="00BF72C8" w:rsidP="00BF72C8">
      <w:pPr>
        <w:pStyle w:val="Default"/>
        <w:rPr>
          <w:color w:val="auto"/>
          <w:sz w:val="22"/>
          <w:szCs w:val="22"/>
        </w:rPr>
      </w:pPr>
    </w:p>
    <w:p w14:paraId="41DE4B85" w14:textId="77777777" w:rsidR="00BF72C8" w:rsidRDefault="00BF72C8" w:rsidP="00BF72C8">
      <w:pPr>
        <w:pStyle w:val="Default"/>
        <w:rPr>
          <w:color w:val="auto"/>
          <w:sz w:val="22"/>
          <w:szCs w:val="22"/>
        </w:rPr>
      </w:pPr>
      <w:r>
        <w:rPr>
          <w:color w:val="auto"/>
          <w:sz w:val="22"/>
          <w:szCs w:val="22"/>
        </w:rPr>
        <w:t xml:space="preserve">Informacija apie dozavimą pateikiama 3 skyriuje </w:t>
      </w:r>
      <w:r w:rsidR="00A502A7">
        <w:rPr>
          <w:color w:val="auto"/>
          <w:sz w:val="22"/>
          <w:szCs w:val="22"/>
        </w:rPr>
        <w:t>„</w:t>
      </w:r>
      <w:r w:rsidRPr="00A502A7">
        <w:rPr>
          <w:iCs/>
          <w:color w:val="auto"/>
          <w:sz w:val="22"/>
          <w:szCs w:val="22"/>
        </w:rPr>
        <w:t>Kaip vartoti</w:t>
      </w:r>
      <w:r>
        <w:rPr>
          <w:i/>
          <w:iCs/>
          <w:color w:val="auto"/>
          <w:sz w:val="22"/>
          <w:szCs w:val="22"/>
        </w:rPr>
        <w:t xml:space="preserve"> </w:t>
      </w:r>
      <w:r w:rsidR="00A502A7" w:rsidRPr="00116E51">
        <w:rPr>
          <w:bCs/>
          <w:sz w:val="22"/>
          <w:szCs w:val="22"/>
        </w:rPr>
        <w:t>Tenofovir disoproxil Sandoz</w:t>
      </w:r>
      <w:r w:rsidR="00A502A7">
        <w:rPr>
          <w:bCs/>
          <w:sz w:val="22"/>
          <w:szCs w:val="22"/>
        </w:rPr>
        <w:t>“</w:t>
      </w:r>
      <w:r>
        <w:rPr>
          <w:color w:val="auto"/>
          <w:sz w:val="22"/>
          <w:szCs w:val="22"/>
        </w:rPr>
        <w:t xml:space="preserve">. </w:t>
      </w:r>
    </w:p>
    <w:p w14:paraId="0803FE64" w14:textId="77777777" w:rsidR="00A502A7" w:rsidRPr="00A502A7" w:rsidRDefault="00A502A7" w:rsidP="00A502A7">
      <w:pPr>
        <w:pStyle w:val="Default"/>
        <w:rPr>
          <w:color w:val="auto"/>
          <w:sz w:val="22"/>
          <w:szCs w:val="22"/>
        </w:rPr>
      </w:pPr>
    </w:p>
    <w:p w14:paraId="1C430A56" w14:textId="77777777" w:rsidR="00000219" w:rsidRPr="00A502A7" w:rsidRDefault="00BF72C8" w:rsidP="00A502A7">
      <w:pPr>
        <w:pStyle w:val="Default"/>
        <w:rPr>
          <w:b/>
          <w:color w:val="auto"/>
          <w:sz w:val="22"/>
          <w:szCs w:val="22"/>
        </w:rPr>
      </w:pPr>
      <w:r w:rsidRPr="00A502A7">
        <w:rPr>
          <w:b/>
          <w:bCs/>
          <w:color w:val="auto"/>
          <w:sz w:val="22"/>
          <w:szCs w:val="22"/>
        </w:rPr>
        <w:t>Kiti vaistai</w:t>
      </w:r>
      <w:r w:rsidR="00A502A7" w:rsidRPr="00A502A7">
        <w:rPr>
          <w:b/>
          <w:bCs/>
          <w:color w:val="auto"/>
          <w:sz w:val="22"/>
          <w:szCs w:val="22"/>
        </w:rPr>
        <w:t xml:space="preserve"> ir</w:t>
      </w:r>
      <w:r w:rsidR="00A502A7" w:rsidRPr="00A502A7">
        <w:rPr>
          <w:b/>
          <w:bCs/>
          <w:sz w:val="22"/>
          <w:szCs w:val="22"/>
        </w:rPr>
        <w:t xml:space="preserve"> Tenofovir disoproxil Sandoz</w:t>
      </w:r>
    </w:p>
    <w:p w14:paraId="52F04E12" w14:textId="77777777" w:rsidR="00000219" w:rsidRPr="00A502A7" w:rsidRDefault="00000219" w:rsidP="00000219">
      <w:pPr>
        <w:pStyle w:val="Default"/>
        <w:rPr>
          <w:b/>
          <w:sz w:val="22"/>
          <w:szCs w:val="22"/>
        </w:rPr>
      </w:pPr>
    </w:p>
    <w:p w14:paraId="67EFF7A8" w14:textId="77777777" w:rsidR="00A502A7" w:rsidRDefault="00A502A7" w:rsidP="00A502A7">
      <w:pPr>
        <w:pStyle w:val="Default"/>
        <w:rPr>
          <w:color w:val="auto"/>
          <w:sz w:val="22"/>
          <w:szCs w:val="22"/>
        </w:rPr>
      </w:pPr>
      <w:r>
        <w:rPr>
          <w:color w:val="auto"/>
          <w:sz w:val="22"/>
          <w:szCs w:val="22"/>
        </w:rPr>
        <w:t xml:space="preserve">Jeigu vartojate ar neseniai vartojote kitų vaistų arba dėl to nesate tikri, apie tai pasakykite gydytojui arba vaistininkui. </w:t>
      </w:r>
    </w:p>
    <w:p w14:paraId="7BFCD02E" w14:textId="77777777" w:rsidR="00A502A7" w:rsidRDefault="00A502A7" w:rsidP="00A502A7">
      <w:pPr>
        <w:pStyle w:val="Default"/>
        <w:numPr>
          <w:ilvl w:val="0"/>
          <w:numId w:val="25"/>
        </w:numPr>
        <w:rPr>
          <w:color w:val="auto"/>
          <w:sz w:val="22"/>
          <w:szCs w:val="22"/>
        </w:rPr>
      </w:pPr>
      <w:r>
        <w:rPr>
          <w:color w:val="auto"/>
          <w:sz w:val="22"/>
          <w:szCs w:val="22"/>
        </w:rPr>
        <w:t xml:space="preserve">Jei esate infekuoti </w:t>
      </w:r>
      <w:r w:rsidR="00407E7C">
        <w:rPr>
          <w:color w:val="auto"/>
          <w:sz w:val="22"/>
          <w:szCs w:val="22"/>
        </w:rPr>
        <w:t xml:space="preserve">ne tik </w:t>
      </w:r>
      <w:r>
        <w:rPr>
          <w:color w:val="auto"/>
          <w:sz w:val="22"/>
          <w:szCs w:val="22"/>
        </w:rPr>
        <w:t>ŽIV</w:t>
      </w:r>
      <w:r w:rsidR="00407E7C">
        <w:rPr>
          <w:color w:val="auto"/>
          <w:sz w:val="22"/>
          <w:szCs w:val="22"/>
        </w:rPr>
        <w:t>,</w:t>
      </w:r>
      <w:r>
        <w:rPr>
          <w:color w:val="auto"/>
          <w:sz w:val="22"/>
          <w:szCs w:val="22"/>
        </w:rPr>
        <w:t xml:space="preserve"> </w:t>
      </w:r>
      <w:r w:rsidR="00407E7C">
        <w:rPr>
          <w:color w:val="auto"/>
          <w:sz w:val="22"/>
          <w:szCs w:val="22"/>
        </w:rPr>
        <w:t>bet ir</w:t>
      </w:r>
      <w:r>
        <w:rPr>
          <w:color w:val="auto"/>
          <w:sz w:val="22"/>
          <w:szCs w:val="22"/>
        </w:rPr>
        <w:t xml:space="preserve"> HBV, pradėję vartoti </w:t>
      </w:r>
      <w:r w:rsidR="00407E7C" w:rsidRPr="00116E51">
        <w:rPr>
          <w:bCs/>
          <w:sz w:val="22"/>
          <w:szCs w:val="22"/>
        </w:rPr>
        <w:t>Tenofovir disoproxil Sandoz</w:t>
      </w:r>
      <w:r>
        <w:rPr>
          <w:color w:val="auto"/>
          <w:sz w:val="22"/>
          <w:szCs w:val="22"/>
        </w:rPr>
        <w:t xml:space="preserve"> </w:t>
      </w:r>
      <w:r>
        <w:rPr>
          <w:b/>
          <w:bCs/>
          <w:color w:val="auto"/>
          <w:sz w:val="22"/>
          <w:szCs w:val="22"/>
        </w:rPr>
        <w:t xml:space="preserve">nenustokite vartoti nei vieno </w:t>
      </w:r>
      <w:r w:rsidRPr="00407E7C">
        <w:rPr>
          <w:bCs/>
          <w:color w:val="auto"/>
          <w:sz w:val="22"/>
          <w:szCs w:val="22"/>
        </w:rPr>
        <w:t xml:space="preserve">Jūsų gydytojo </w:t>
      </w:r>
      <w:r w:rsidR="00407E7C" w:rsidRPr="00407E7C">
        <w:rPr>
          <w:bCs/>
          <w:color w:val="auto"/>
          <w:sz w:val="22"/>
          <w:szCs w:val="22"/>
        </w:rPr>
        <w:t>paskirto</w:t>
      </w:r>
      <w:r w:rsidR="00407E7C">
        <w:rPr>
          <w:b/>
          <w:bCs/>
          <w:color w:val="auto"/>
          <w:sz w:val="22"/>
          <w:szCs w:val="22"/>
        </w:rPr>
        <w:t xml:space="preserve"> vaisto nuo</w:t>
      </w:r>
      <w:r>
        <w:rPr>
          <w:b/>
          <w:bCs/>
          <w:color w:val="auto"/>
          <w:sz w:val="22"/>
          <w:szCs w:val="22"/>
        </w:rPr>
        <w:t xml:space="preserve"> ŽIV. </w:t>
      </w:r>
    </w:p>
    <w:p w14:paraId="2CCB60FC" w14:textId="77777777" w:rsidR="00A502A7" w:rsidRDefault="00A502A7" w:rsidP="00A502A7">
      <w:pPr>
        <w:pStyle w:val="Default"/>
        <w:rPr>
          <w:color w:val="auto"/>
          <w:sz w:val="22"/>
          <w:szCs w:val="22"/>
        </w:rPr>
      </w:pPr>
    </w:p>
    <w:p w14:paraId="11546929" w14:textId="77777777" w:rsidR="00A502A7" w:rsidRDefault="00A502A7" w:rsidP="00A502A7">
      <w:pPr>
        <w:pStyle w:val="Default"/>
        <w:numPr>
          <w:ilvl w:val="0"/>
          <w:numId w:val="25"/>
        </w:numPr>
        <w:rPr>
          <w:color w:val="auto"/>
          <w:sz w:val="22"/>
          <w:szCs w:val="22"/>
        </w:rPr>
      </w:pPr>
      <w:r>
        <w:rPr>
          <w:b/>
          <w:bCs/>
          <w:color w:val="auto"/>
          <w:sz w:val="22"/>
          <w:szCs w:val="22"/>
        </w:rPr>
        <w:t xml:space="preserve">Nevartokite </w:t>
      </w:r>
      <w:r w:rsidR="00407E7C" w:rsidRPr="00407E7C">
        <w:rPr>
          <w:b/>
          <w:bCs/>
          <w:sz w:val="22"/>
          <w:szCs w:val="22"/>
        </w:rPr>
        <w:t>Tenofovir disoproxil Sandoz</w:t>
      </w:r>
      <w:r>
        <w:rPr>
          <w:color w:val="auto"/>
          <w:sz w:val="22"/>
          <w:szCs w:val="22"/>
        </w:rPr>
        <w:t>, jeigu jau vartojate kitų vaistų, kuriuose yra tenofoviro dizoproksilio</w:t>
      </w:r>
      <w:r w:rsidR="00C509C7">
        <w:rPr>
          <w:color w:val="auto"/>
          <w:sz w:val="22"/>
          <w:szCs w:val="22"/>
        </w:rPr>
        <w:t xml:space="preserve"> ar tenofoviro alafenamido</w:t>
      </w:r>
      <w:r>
        <w:rPr>
          <w:color w:val="auto"/>
          <w:sz w:val="22"/>
          <w:szCs w:val="22"/>
        </w:rPr>
        <w:t xml:space="preserve">. Nevartokite </w:t>
      </w:r>
      <w:r w:rsidR="00407E7C" w:rsidRPr="00116E51">
        <w:rPr>
          <w:bCs/>
          <w:sz w:val="22"/>
          <w:szCs w:val="22"/>
        </w:rPr>
        <w:t>Tenofovir disoproxil Sandoz</w:t>
      </w:r>
      <w:r>
        <w:rPr>
          <w:color w:val="auto"/>
          <w:sz w:val="22"/>
          <w:szCs w:val="22"/>
        </w:rPr>
        <w:t xml:space="preserve"> kartu su kitais vaistais, kuriuose yra adefoviro dipivoksilio (vaisto, vartojamo </w:t>
      </w:r>
      <w:r w:rsidR="00407E7C">
        <w:rPr>
          <w:color w:val="auto"/>
          <w:sz w:val="22"/>
          <w:szCs w:val="22"/>
        </w:rPr>
        <w:t xml:space="preserve">gydyti nuo </w:t>
      </w:r>
      <w:r>
        <w:rPr>
          <w:color w:val="auto"/>
          <w:sz w:val="22"/>
          <w:szCs w:val="22"/>
        </w:rPr>
        <w:t xml:space="preserve">lėtinio hepatito B). </w:t>
      </w:r>
    </w:p>
    <w:p w14:paraId="6E52F38D" w14:textId="77777777" w:rsidR="00A502A7" w:rsidRDefault="00A502A7" w:rsidP="00A502A7">
      <w:pPr>
        <w:pStyle w:val="Default"/>
        <w:rPr>
          <w:color w:val="auto"/>
          <w:sz w:val="22"/>
          <w:szCs w:val="22"/>
        </w:rPr>
      </w:pPr>
    </w:p>
    <w:p w14:paraId="7F56681F" w14:textId="77777777" w:rsidR="00A502A7" w:rsidRDefault="00A502A7" w:rsidP="00A502A7">
      <w:pPr>
        <w:pStyle w:val="Default"/>
        <w:numPr>
          <w:ilvl w:val="0"/>
          <w:numId w:val="25"/>
        </w:numPr>
        <w:rPr>
          <w:color w:val="auto"/>
          <w:sz w:val="22"/>
          <w:szCs w:val="22"/>
        </w:rPr>
      </w:pPr>
      <w:r>
        <w:rPr>
          <w:b/>
          <w:bCs/>
          <w:color w:val="auto"/>
          <w:sz w:val="22"/>
          <w:szCs w:val="22"/>
        </w:rPr>
        <w:t xml:space="preserve">Labai svarbu pasakyti gydytojui, jeigu vartojate kitų vaistų, galinčių pakenkti </w:t>
      </w:r>
      <w:r w:rsidR="00407E7C">
        <w:rPr>
          <w:b/>
          <w:bCs/>
          <w:color w:val="auto"/>
          <w:sz w:val="22"/>
          <w:szCs w:val="22"/>
        </w:rPr>
        <w:t xml:space="preserve">Jūsų </w:t>
      </w:r>
      <w:r>
        <w:rPr>
          <w:b/>
          <w:bCs/>
          <w:color w:val="auto"/>
          <w:sz w:val="22"/>
          <w:szCs w:val="22"/>
        </w:rPr>
        <w:t>inkst</w:t>
      </w:r>
      <w:r w:rsidR="00407E7C">
        <w:rPr>
          <w:b/>
          <w:bCs/>
          <w:color w:val="auto"/>
          <w:sz w:val="22"/>
          <w:szCs w:val="22"/>
        </w:rPr>
        <w:t>us</w:t>
      </w:r>
      <w:r>
        <w:rPr>
          <w:b/>
          <w:bCs/>
          <w:color w:val="auto"/>
          <w:sz w:val="22"/>
          <w:szCs w:val="22"/>
        </w:rPr>
        <w:t xml:space="preserve">. </w:t>
      </w:r>
    </w:p>
    <w:p w14:paraId="30E56FDD" w14:textId="77777777" w:rsidR="00A502A7" w:rsidRDefault="00A502A7" w:rsidP="00A502A7">
      <w:pPr>
        <w:pStyle w:val="Default"/>
        <w:rPr>
          <w:color w:val="auto"/>
          <w:sz w:val="22"/>
          <w:szCs w:val="22"/>
        </w:rPr>
      </w:pPr>
    </w:p>
    <w:p w14:paraId="6D013BD6" w14:textId="77777777" w:rsidR="00A502A7" w:rsidRDefault="00407E7C" w:rsidP="00407E7C">
      <w:pPr>
        <w:pStyle w:val="Default"/>
        <w:rPr>
          <w:color w:val="auto"/>
          <w:sz w:val="22"/>
          <w:szCs w:val="22"/>
        </w:rPr>
      </w:pPr>
      <w:r>
        <w:rPr>
          <w:color w:val="auto"/>
          <w:sz w:val="22"/>
          <w:szCs w:val="22"/>
        </w:rPr>
        <w:t>Jiems priklauso</w:t>
      </w:r>
      <w:r w:rsidR="00A502A7">
        <w:rPr>
          <w:color w:val="auto"/>
          <w:sz w:val="22"/>
          <w:szCs w:val="22"/>
        </w:rPr>
        <w:t xml:space="preserve">: </w:t>
      </w:r>
    </w:p>
    <w:p w14:paraId="636176AD" w14:textId="77777777" w:rsidR="00A502A7" w:rsidRDefault="00A502A7" w:rsidP="00407E7C">
      <w:pPr>
        <w:pStyle w:val="Default"/>
        <w:numPr>
          <w:ilvl w:val="0"/>
          <w:numId w:val="25"/>
        </w:numPr>
        <w:tabs>
          <w:tab w:val="clear" w:pos="567"/>
          <w:tab w:val="num" w:pos="720"/>
        </w:tabs>
        <w:spacing w:after="34"/>
        <w:ind w:left="720" w:hanging="360"/>
        <w:rPr>
          <w:color w:val="auto"/>
          <w:sz w:val="22"/>
          <w:szCs w:val="22"/>
        </w:rPr>
      </w:pPr>
      <w:r>
        <w:rPr>
          <w:color w:val="auto"/>
          <w:sz w:val="22"/>
          <w:szCs w:val="22"/>
        </w:rPr>
        <w:t>aminoglikozidai, pentamidinas ar vankomicinas (</w:t>
      </w:r>
      <w:r w:rsidR="00407E7C">
        <w:rPr>
          <w:color w:val="auto"/>
          <w:sz w:val="22"/>
          <w:szCs w:val="22"/>
        </w:rPr>
        <w:t xml:space="preserve">nuo </w:t>
      </w:r>
      <w:r>
        <w:rPr>
          <w:color w:val="auto"/>
          <w:sz w:val="22"/>
          <w:szCs w:val="22"/>
        </w:rPr>
        <w:t>bakterin</w:t>
      </w:r>
      <w:r w:rsidR="00407E7C">
        <w:rPr>
          <w:color w:val="auto"/>
          <w:sz w:val="22"/>
          <w:szCs w:val="22"/>
        </w:rPr>
        <w:t>ės</w:t>
      </w:r>
      <w:r>
        <w:rPr>
          <w:color w:val="auto"/>
          <w:sz w:val="22"/>
          <w:szCs w:val="22"/>
        </w:rPr>
        <w:t xml:space="preserve"> infekcij</w:t>
      </w:r>
      <w:r w:rsidR="00407E7C">
        <w:rPr>
          <w:color w:val="auto"/>
          <w:sz w:val="22"/>
          <w:szCs w:val="22"/>
        </w:rPr>
        <w:t>os</w:t>
      </w:r>
      <w:r>
        <w:rPr>
          <w:color w:val="auto"/>
          <w:sz w:val="22"/>
          <w:szCs w:val="22"/>
        </w:rPr>
        <w:t xml:space="preserve">), </w:t>
      </w:r>
    </w:p>
    <w:p w14:paraId="2D12C774" w14:textId="77777777" w:rsidR="00A502A7" w:rsidRDefault="00A502A7" w:rsidP="00407E7C">
      <w:pPr>
        <w:pStyle w:val="Default"/>
        <w:numPr>
          <w:ilvl w:val="0"/>
          <w:numId w:val="25"/>
        </w:numPr>
        <w:tabs>
          <w:tab w:val="clear" w:pos="567"/>
          <w:tab w:val="num" w:pos="720"/>
        </w:tabs>
        <w:spacing w:after="34"/>
        <w:ind w:left="720" w:hanging="360"/>
        <w:rPr>
          <w:color w:val="auto"/>
          <w:sz w:val="22"/>
          <w:szCs w:val="22"/>
        </w:rPr>
      </w:pPr>
      <w:r>
        <w:rPr>
          <w:color w:val="auto"/>
          <w:sz w:val="22"/>
          <w:szCs w:val="22"/>
        </w:rPr>
        <w:t>amfotericinas B (</w:t>
      </w:r>
      <w:r w:rsidR="00407E7C">
        <w:rPr>
          <w:color w:val="auto"/>
          <w:sz w:val="22"/>
          <w:szCs w:val="22"/>
        </w:rPr>
        <w:t>nuo grybelinės infekcijos</w:t>
      </w:r>
      <w:r>
        <w:rPr>
          <w:color w:val="auto"/>
          <w:sz w:val="22"/>
          <w:szCs w:val="22"/>
        </w:rPr>
        <w:t xml:space="preserve">), </w:t>
      </w:r>
    </w:p>
    <w:p w14:paraId="447A899A" w14:textId="77777777" w:rsidR="00A502A7" w:rsidRDefault="00A502A7" w:rsidP="00407E7C">
      <w:pPr>
        <w:pStyle w:val="Default"/>
        <w:numPr>
          <w:ilvl w:val="0"/>
          <w:numId w:val="25"/>
        </w:numPr>
        <w:tabs>
          <w:tab w:val="clear" w:pos="567"/>
          <w:tab w:val="num" w:pos="720"/>
        </w:tabs>
        <w:spacing w:after="34"/>
        <w:ind w:left="720" w:hanging="360"/>
        <w:rPr>
          <w:color w:val="auto"/>
          <w:sz w:val="22"/>
          <w:szCs w:val="22"/>
        </w:rPr>
      </w:pPr>
      <w:r>
        <w:rPr>
          <w:color w:val="auto"/>
          <w:sz w:val="22"/>
          <w:szCs w:val="22"/>
        </w:rPr>
        <w:t>foskarnetas, gancikloviras ar cidofoviras (</w:t>
      </w:r>
      <w:r w:rsidR="00407E7C">
        <w:rPr>
          <w:color w:val="auto"/>
          <w:sz w:val="22"/>
          <w:szCs w:val="22"/>
        </w:rPr>
        <w:t>nuo virusinės infekcijos</w:t>
      </w:r>
      <w:r>
        <w:rPr>
          <w:color w:val="auto"/>
          <w:sz w:val="22"/>
          <w:szCs w:val="22"/>
        </w:rPr>
        <w:t xml:space="preserve">), </w:t>
      </w:r>
    </w:p>
    <w:p w14:paraId="2BFDB855" w14:textId="77777777" w:rsidR="00A502A7" w:rsidRDefault="00A502A7" w:rsidP="00407E7C">
      <w:pPr>
        <w:pStyle w:val="Default"/>
        <w:numPr>
          <w:ilvl w:val="0"/>
          <w:numId w:val="25"/>
        </w:numPr>
        <w:tabs>
          <w:tab w:val="clear" w:pos="567"/>
          <w:tab w:val="num" w:pos="720"/>
        </w:tabs>
        <w:spacing w:after="34"/>
        <w:ind w:left="720" w:hanging="360"/>
        <w:rPr>
          <w:color w:val="auto"/>
          <w:sz w:val="22"/>
          <w:szCs w:val="22"/>
        </w:rPr>
      </w:pPr>
      <w:r>
        <w:rPr>
          <w:color w:val="auto"/>
          <w:sz w:val="22"/>
          <w:szCs w:val="22"/>
        </w:rPr>
        <w:t>interleukinas-2 (</w:t>
      </w:r>
      <w:r w:rsidR="00407E7C">
        <w:rPr>
          <w:color w:val="auto"/>
          <w:sz w:val="22"/>
          <w:szCs w:val="22"/>
        </w:rPr>
        <w:t>nuo vėžio</w:t>
      </w:r>
      <w:r>
        <w:rPr>
          <w:color w:val="auto"/>
          <w:sz w:val="22"/>
          <w:szCs w:val="22"/>
        </w:rPr>
        <w:t xml:space="preserve">), </w:t>
      </w:r>
    </w:p>
    <w:p w14:paraId="3F95511F" w14:textId="77777777" w:rsidR="00A502A7" w:rsidRDefault="00A502A7" w:rsidP="00407E7C">
      <w:pPr>
        <w:pStyle w:val="Default"/>
        <w:numPr>
          <w:ilvl w:val="0"/>
          <w:numId w:val="25"/>
        </w:numPr>
        <w:tabs>
          <w:tab w:val="clear" w:pos="567"/>
          <w:tab w:val="num" w:pos="720"/>
        </w:tabs>
        <w:spacing w:after="34"/>
        <w:ind w:left="720" w:hanging="360"/>
        <w:rPr>
          <w:color w:val="auto"/>
          <w:sz w:val="22"/>
          <w:szCs w:val="22"/>
        </w:rPr>
      </w:pPr>
      <w:r>
        <w:rPr>
          <w:color w:val="auto"/>
          <w:sz w:val="22"/>
          <w:szCs w:val="22"/>
        </w:rPr>
        <w:t>adefoviro dipivoksilis (</w:t>
      </w:r>
      <w:r w:rsidR="00407E7C">
        <w:rPr>
          <w:color w:val="auto"/>
          <w:sz w:val="22"/>
          <w:szCs w:val="22"/>
        </w:rPr>
        <w:t xml:space="preserve">nuo </w:t>
      </w:r>
      <w:r>
        <w:rPr>
          <w:color w:val="auto"/>
          <w:sz w:val="22"/>
          <w:szCs w:val="22"/>
        </w:rPr>
        <w:t xml:space="preserve">HBV), </w:t>
      </w:r>
    </w:p>
    <w:p w14:paraId="5E55ED99" w14:textId="77777777" w:rsidR="00A502A7" w:rsidRDefault="00A502A7" w:rsidP="00407E7C">
      <w:pPr>
        <w:pStyle w:val="Default"/>
        <w:numPr>
          <w:ilvl w:val="0"/>
          <w:numId w:val="25"/>
        </w:numPr>
        <w:tabs>
          <w:tab w:val="clear" w:pos="567"/>
          <w:tab w:val="num" w:pos="720"/>
        </w:tabs>
        <w:spacing w:after="34"/>
        <w:ind w:left="720" w:hanging="360"/>
        <w:rPr>
          <w:color w:val="auto"/>
          <w:sz w:val="22"/>
          <w:szCs w:val="22"/>
        </w:rPr>
      </w:pPr>
      <w:r>
        <w:rPr>
          <w:color w:val="auto"/>
          <w:sz w:val="22"/>
          <w:szCs w:val="22"/>
        </w:rPr>
        <w:t>takrolimuzas (imunin</w:t>
      </w:r>
      <w:r w:rsidR="00407E7C">
        <w:rPr>
          <w:color w:val="auto"/>
          <w:sz w:val="22"/>
          <w:szCs w:val="22"/>
        </w:rPr>
        <w:t>ei sistemai slopinti</w:t>
      </w:r>
      <w:r>
        <w:rPr>
          <w:color w:val="auto"/>
          <w:sz w:val="22"/>
          <w:szCs w:val="22"/>
        </w:rPr>
        <w:t xml:space="preserve">), </w:t>
      </w:r>
    </w:p>
    <w:p w14:paraId="2188F088" w14:textId="77777777" w:rsidR="00A502A7" w:rsidRDefault="00A502A7" w:rsidP="00407E7C">
      <w:pPr>
        <w:pStyle w:val="Default"/>
        <w:numPr>
          <w:ilvl w:val="0"/>
          <w:numId w:val="25"/>
        </w:numPr>
        <w:tabs>
          <w:tab w:val="clear" w:pos="567"/>
          <w:tab w:val="num" w:pos="720"/>
        </w:tabs>
        <w:ind w:left="720" w:hanging="360"/>
        <w:rPr>
          <w:color w:val="auto"/>
          <w:sz w:val="22"/>
          <w:szCs w:val="22"/>
        </w:rPr>
      </w:pPr>
      <w:r>
        <w:rPr>
          <w:color w:val="auto"/>
          <w:sz w:val="22"/>
          <w:szCs w:val="22"/>
        </w:rPr>
        <w:t xml:space="preserve">nesteroidiniai vaistai nuo uždegimo (NVNU, kaulų ar raumenų skausmui malšinti). </w:t>
      </w:r>
    </w:p>
    <w:p w14:paraId="1D80651B" w14:textId="77777777" w:rsidR="00A502A7" w:rsidRDefault="00A502A7" w:rsidP="00A502A7">
      <w:pPr>
        <w:pStyle w:val="Default"/>
        <w:rPr>
          <w:color w:val="auto"/>
          <w:sz w:val="22"/>
          <w:szCs w:val="22"/>
        </w:rPr>
      </w:pPr>
    </w:p>
    <w:p w14:paraId="61B36C29" w14:textId="77777777" w:rsidR="0004043C" w:rsidRDefault="00A502A7" w:rsidP="0004043C">
      <w:pPr>
        <w:pStyle w:val="Default"/>
        <w:numPr>
          <w:ilvl w:val="0"/>
          <w:numId w:val="25"/>
        </w:numPr>
        <w:rPr>
          <w:color w:val="auto"/>
          <w:sz w:val="22"/>
          <w:szCs w:val="22"/>
        </w:rPr>
      </w:pPr>
      <w:r>
        <w:rPr>
          <w:b/>
          <w:bCs/>
          <w:color w:val="auto"/>
          <w:sz w:val="22"/>
          <w:szCs w:val="22"/>
        </w:rPr>
        <w:t>Kiti vaistai, kurių sudėtyje yra didanozino (</w:t>
      </w:r>
      <w:r w:rsidR="00407E7C">
        <w:rPr>
          <w:b/>
          <w:bCs/>
          <w:color w:val="auto"/>
          <w:sz w:val="22"/>
          <w:szCs w:val="22"/>
        </w:rPr>
        <w:t xml:space="preserve">nuo </w:t>
      </w:r>
      <w:r>
        <w:rPr>
          <w:b/>
          <w:bCs/>
          <w:color w:val="auto"/>
          <w:sz w:val="22"/>
          <w:szCs w:val="22"/>
        </w:rPr>
        <w:t>ŽIV infekcij</w:t>
      </w:r>
      <w:r w:rsidR="00407E7C">
        <w:rPr>
          <w:b/>
          <w:bCs/>
          <w:color w:val="auto"/>
          <w:sz w:val="22"/>
          <w:szCs w:val="22"/>
        </w:rPr>
        <w:t>os</w:t>
      </w:r>
      <w:r>
        <w:rPr>
          <w:b/>
          <w:bCs/>
          <w:color w:val="auto"/>
          <w:sz w:val="22"/>
          <w:szCs w:val="22"/>
        </w:rPr>
        <w:t xml:space="preserve">). </w:t>
      </w:r>
      <w:r>
        <w:rPr>
          <w:color w:val="auto"/>
          <w:sz w:val="22"/>
          <w:szCs w:val="22"/>
        </w:rPr>
        <w:t xml:space="preserve">Vartojant </w:t>
      </w:r>
      <w:r w:rsidR="00407E7C" w:rsidRPr="00116E51">
        <w:rPr>
          <w:bCs/>
          <w:sz w:val="22"/>
          <w:szCs w:val="22"/>
        </w:rPr>
        <w:t>Tenofovir disoproxil Sandoz</w:t>
      </w:r>
      <w:r>
        <w:rPr>
          <w:color w:val="auto"/>
          <w:sz w:val="22"/>
          <w:szCs w:val="22"/>
        </w:rPr>
        <w:t xml:space="preserve"> kartu su kitais antivirusiniais vaistais, </w:t>
      </w:r>
      <w:r w:rsidR="00407E7C">
        <w:rPr>
          <w:color w:val="auto"/>
          <w:sz w:val="22"/>
          <w:szCs w:val="22"/>
        </w:rPr>
        <w:t xml:space="preserve">kurių sudėtyje yra </w:t>
      </w:r>
      <w:r>
        <w:rPr>
          <w:color w:val="auto"/>
          <w:sz w:val="22"/>
          <w:szCs w:val="22"/>
        </w:rPr>
        <w:t xml:space="preserve">didanozino, gali padidėti didanozino </w:t>
      </w:r>
      <w:r w:rsidR="0004043C">
        <w:rPr>
          <w:color w:val="auto"/>
          <w:sz w:val="22"/>
          <w:szCs w:val="22"/>
        </w:rPr>
        <w:t>kiekis Jūsų</w:t>
      </w:r>
      <w:r>
        <w:rPr>
          <w:color w:val="auto"/>
          <w:sz w:val="22"/>
          <w:szCs w:val="22"/>
        </w:rPr>
        <w:t xml:space="preserve"> kraujyje ir sumažėti CD4 ląstelių skaičius. Retai buvo pastebėt</w:t>
      </w:r>
      <w:r w:rsidR="0004043C">
        <w:rPr>
          <w:color w:val="auto"/>
          <w:sz w:val="22"/>
          <w:szCs w:val="22"/>
        </w:rPr>
        <w:t>a</w:t>
      </w:r>
      <w:r>
        <w:rPr>
          <w:color w:val="auto"/>
          <w:sz w:val="22"/>
          <w:szCs w:val="22"/>
        </w:rPr>
        <w:t xml:space="preserve"> kasos uždegimo ir </w:t>
      </w:r>
      <w:r w:rsidR="0004043C">
        <w:rPr>
          <w:color w:val="auto"/>
          <w:sz w:val="22"/>
          <w:szCs w:val="22"/>
        </w:rPr>
        <w:t>pieno rūgšties acidozės</w:t>
      </w:r>
      <w:r>
        <w:rPr>
          <w:color w:val="auto"/>
          <w:sz w:val="22"/>
          <w:szCs w:val="22"/>
        </w:rPr>
        <w:t xml:space="preserve"> (padidėj</w:t>
      </w:r>
      <w:r w:rsidR="0004043C">
        <w:rPr>
          <w:color w:val="auto"/>
          <w:sz w:val="22"/>
          <w:szCs w:val="22"/>
        </w:rPr>
        <w:t>usio</w:t>
      </w:r>
      <w:r>
        <w:rPr>
          <w:color w:val="auto"/>
          <w:sz w:val="22"/>
          <w:szCs w:val="22"/>
        </w:rPr>
        <w:t xml:space="preserve"> pieno rūgšties kieki</w:t>
      </w:r>
      <w:r w:rsidR="0004043C">
        <w:rPr>
          <w:color w:val="auto"/>
          <w:sz w:val="22"/>
          <w:szCs w:val="22"/>
        </w:rPr>
        <w:t>o</w:t>
      </w:r>
      <w:r>
        <w:rPr>
          <w:color w:val="auto"/>
          <w:sz w:val="22"/>
          <w:szCs w:val="22"/>
        </w:rPr>
        <w:t xml:space="preserve"> kraujyje) atvej</w:t>
      </w:r>
      <w:r w:rsidR="0004043C">
        <w:rPr>
          <w:color w:val="auto"/>
          <w:sz w:val="22"/>
          <w:szCs w:val="22"/>
        </w:rPr>
        <w:t>ų</w:t>
      </w:r>
      <w:r>
        <w:rPr>
          <w:color w:val="auto"/>
          <w:sz w:val="22"/>
          <w:szCs w:val="22"/>
        </w:rPr>
        <w:t xml:space="preserve">, kurie kartais sukėlė mirtį, kartu </w:t>
      </w:r>
      <w:r w:rsidR="0004043C">
        <w:rPr>
          <w:color w:val="auto"/>
          <w:sz w:val="22"/>
          <w:szCs w:val="22"/>
        </w:rPr>
        <w:t xml:space="preserve">vartojant vaistų, kurių sudėtyje yra tenofoviro dizoproksilio ir </w:t>
      </w:r>
      <w:r w:rsidR="0004043C">
        <w:rPr>
          <w:color w:val="auto"/>
          <w:sz w:val="22"/>
          <w:szCs w:val="22"/>
        </w:rPr>
        <w:lastRenderedPageBreak/>
        <w:t xml:space="preserve">didanozino. Jūsų gydytojas rūpestingai apsvarstys, ar Jus gydyti tenofoviro ir didanozino deriniais. </w:t>
      </w:r>
    </w:p>
    <w:p w14:paraId="3B49594E" w14:textId="77777777" w:rsidR="0004043C" w:rsidRDefault="0004043C" w:rsidP="0004043C">
      <w:pPr>
        <w:pStyle w:val="Default"/>
        <w:rPr>
          <w:color w:val="auto"/>
          <w:sz w:val="22"/>
          <w:szCs w:val="22"/>
        </w:rPr>
      </w:pPr>
    </w:p>
    <w:p w14:paraId="07F3DB35" w14:textId="504B061E" w:rsidR="0004043C" w:rsidRDefault="0004043C" w:rsidP="0004043C">
      <w:pPr>
        <w:pStyle w:val="Default"/>
        <w:numPr>
          <w:ilvl w:val="0"/>
          <w:numId w:val="25"/>
        </w:numPr>
        <w:rPr>
          <w:color w:val="auto"/>
          <w:sz w:val="22"/>
          <w:szCs w:val="22"/>
        </w:rPr>
      </w:pPr>
      <w:r>
        <w:rPr>
          <w:b/>
          <w:bCs/>
          <w:color w:val="auto"/>
          <w:sz w:val="22"/>
          <w:szCs w:val="22"/>
        </w:rPr>
        <w:t>Taip pat svarbu pasakyti savo gydytojui</w:t>
      </w:r>
      <w:r>
        <w:rPr>
          <w:color w:val="auto"/>
          <w:sz w:val="22"/>
          <w:szCs w:val="22"/>
        </w:rPr>
        <w:t>, jeigu gydymui nuo hepatito C infekcijos vartojate ledipasviro/sofosbuviro</w:t>
      </w:r>
      <w:r w:rsidR="00F223E3">
        <w:rPr>
          <w:color w:val="auto"/>
          <w:sz w:val="22"/>
          <w:szCs w:val="22"/>
        </w:rPr>
        <w:t>, sofosbuviro/velpatasviro arba sofosbuviro/velpatasviro/voksilapreviro</w:t>
      </w:r>
      <w:r>
        <w:rPr>
          <w:color w:val="auto"/>
          <w:sz w:val="22"/>
          <w:szCs w:val="22"/>
        </w:rPr>
        <w:t xml:space="preserve">. </w:t>
      </w:r>
    </w:p>
    <w:p w14:paraId="312D39E0" w14:textId="77777777" w:rsidR="0004043C" w:rsidRDefault="0004043C" w:rsidP="0004043C">
      <w:pPr>
        <w:pStyle w:val="Default"/>
        <w:rPr>
          <w:b/>
          <w:bCs/>
          <w:color w:val="auto"/>
          <w:sz w:val="22"/>
          <w:szCs w:val="22"/>
        </w:rPr>
      </w:pPr>
    </w:p>
    <w:p w14:paraId="2F121401" w14:textId="77777777" w:rsidR="0004043C" w:rsidRDefault="0004043C" w:rsidP="0004043C">
      <w:pPr>
        <w:pStyle w:val="Default"/>
        <w:rPr>
          <w:color w:val="auto"/>
          <w:sz w:val="22"/>
          <w:szCs w:val="22"/>
        </w:rPr>
      </w:pPr>
      <w:r w:rsidRPr="0004043C">
        <w:rPr>
          <w:b/>
          <w:bCs/>
          <w:sz w:val="22"/>
          <w:szCs w:val="22"/>
        </w:rPr>
        <w:t>Tenofovir disoproxil Sandoz</w:t>
      </w:r>
      <w:r>
        <w:rPr>
          <w:b/>
          <w:bCs/>
          <w:color w:val="auto"/>
          <w:sz w:val="22"/>
          <w:szCs w:val="22"/>
        </w:rPr>
        <w:t xml:space="preserve"> vartojimas su maistu ir gėrimais </w:t>
      </w:r>
    </w:p>
    <w:p w14:paraId="639624BB" w14:textId="77777777" w:rsidR="0004043C" w:rsidRDefault="0004043C" w:rsidP="0004043C">
      <w:pPr>
        <w:pStyle w:val="Default"/>
        <w:rPr>
          <w:bCs/>
          <w:sz w:val="22"/>
          <w:szCs w:val="22"/>
        </w:rPr>
      </w:pPr>
    </w:p>
    <w:p w14:paraId="120C06E2" w14:textId="77777777" w:rsidR="0004043C" w:rsidRDefault="0004043C" w:rsidP="0004043C">
      <w:pPr>
        <w:pStyle w:val="Default"/>
        <w:rPr>
          <w:color w:val="auto"/>
          <w:sz w:val="22"/>
          <w:szCs w:val="22"/>
        </w:rPr>
      </w:pPr>
      <w:r w:rsidRPr="00116E51">
        <w:rPr>
          <w:bCs/>
          <w:sz w:val="22"/>
          <w:szCs w:val="22"/>
        </w:rPr>
        <w:t>Tenofovir disoproxil Sandoz</w:t>
      </w:r>
      <w:r>
        <w:rPr>
          <w:b/>
          <w:bCs/>
          <w:color w:val="auto"/>
          <w:sz w:val="22"/>
          <w:szCs w:val="22"/>
        </w:rPr>
        <w:t xml:space="preserve"> vartokite su maistu </w:t>
      </w:r>
      <w:r>
        <w:rPr>
          <w:color w:val="auto"/>
          <w:sz w:val="22"/>
          <w:szCs w:val="22"/>
        </w:rPr>
        <w:t xml:space="preserve">(pavyzdžiui, valgant arba užkandžiaujant). </w:t>
      </w:r>
    </w:p>
    <w:p w14:paraId="7270C39F" w14:textId="77777777" w:rsidR="0004043C" w:rsidRDefault="0004043C" w:rsidP="0004043C">
      <w:pPr>
        <w:pStyle w:val="Default"/>
        <w:rPr>
          <w:b/>
          <w:bCs/>
          <w:color w:val="auto"/>
          <w:sz w:val="22"/>
          <w:szCs w:val="22"/>
        </w:rPr>
      </w:pPr>
    </w:p>
    <w:p w14:paraId="6B0D9B74" w14:textId="77777777" w:rsidR="0004043C" w:rsidRDefault="0004043C" w:rsidP="0004043C">
      <w:pPr>
        <w:pStyle w:val="Default"/>
        <w:rPr>
          <w:color w:val="auto"/>
          <w:sz w:val="22"/>
          <w:szCs w:val="22"/>
        </w:rPr>
      </w:pPr>
      <w:r>
        <w:rPr>
          <w:b/>
          <w:bCs/>
          <w:color w:val="auto"/>
          <w:sz w:val="22"/>
          <w:szCs w:val="22"/>
        </w:rPr>
        <w:t xml:space="preserve">Nėštumas ir žindymo laikotarpis </w:t>
      </w:r>
    </w:p>
    <w:p w14:paraId="0411922D" w14:textId="77777777" w:rsidR="0004043C" w:rsidRDefault="0004043C" w:rsidP="0004043C">
      <w:pPr>
        <w:pStyle w:val="Default"/>
        <w:rPr>
          <w:color w:val="auto"/>
          <w:sz w:val="22"/>
          <w:szCs w:val="22"/>
        </w:rPr>
      </w:pPr>
    </w:p>
    <w:p w14:paraId="31218484" w14:textId="77777777" w:rsidR="0004043C" w:rsidRDefault="0004043C" w:rsidP="0004043C">
      <w:pPr>
        <w:pStyle w:val="Default"/>
        <w:rPr>
          <w:color w:val="auto"/>
          <w:sz w:val="22"/>
          <w:szCs w:val="22"/>
        </w:rPr>
      </w:pPr>
      <w:r>
        <w:rPr>
          <w:color w:val="auto"/>
          <w:sz w:val="22"/>
          <w:szCs w:val="22"/>
        </w:rPr>
        <w:t xml:space="preserve">Jeigu esate nėščia, žindote kūdikį, manote, kad galbūt esate nėščia arba planuojate pastoti, tai prieš vartodama šį vaistą pasitarkite su gydytoju arba vaistininku. </w:t>
      </w:r>
    </w:p>
    <w:p w14:paraId="6DE59052" w14:textId="77777777" w:rsidR="0004043C" w:rsidRDefault="0004043C" w:rsidP="0004043C">
      <w:pPr>
        <w:pStyle w:val="Default"/>
        <w:numPr>
          <w:ilvl w:val="0"/>
          <w:numId w:val="26"/>
        </w:numPr>
        <w:rPr>
          <w:color w:val="auto"/>
          <w:sz w:val="22"/>
          <w:szCs w:val="22"/>
        </w:rPr>
      </w:pPr>
      <w:r>
        <w:rPr>
          <w:b/>
          <w:bCs/>
          <w:color w:val="auto"/>
          <w:sz w:val="22"/>
          <w:szCs w:val="22"/>
        </w:rPr>
        <w:t xml:space="preserve">Nėštumo metu </w:t>
      </w:r>
      <w:r w:rsidRPr="0004043C">
        <w:rPr>
          <w:b/>
          <w:bCs/>
          <w:sz w:val="22"/>
          <w:szCs w:val="22"/>
        </w:rPr>
        <w:t>Tenofovir disoproxil Sandoz</w:t>
      </w:r>
      <w:r>
        <w:rPr>
          <w:b/>
          <w:bCs/>
          <w:color w:val="auto"/>
          <w:sz w:val="22"/>
          <w:szCs w:val="22"/>
        </w:rPr>
        <w:t xml:space="preserve"> turite nevartoti, </w:t>
      </w:r>
      <w:r>
        <w:rPr>
          <w:color w:val="auto"/>
          <w:sz w:val="22"/>
          <w:szCs w:val="22"/>
        </w:rPr>
        <w:t>nebent tai konkrečiai aptarėte su savo gydy</w:t>
      </w:r>
      <w:r w:rsidR="00EF4C22">
        <w:rPr>
          <w:color w:val="auto"/>
          <w:sz w:val="22"/>
          <w:szCs w:val="22"/>
        </w:rPr>
        <w:t>t</w:t>
      </w:r>
      <w:r>
        <w:rPr>
          <w:color w:val="auto"/>
          <w:sz w:val="22"/>
          <w:szCs w:val="22"/>
        </w:rPr>
        <w:t xml:space="preserve">oju. Nors yra nedaug klinikinių duomenų apie </w:t>
      </w:r>
      <w:r w:rsidRPr="00116E51">
        <w:rPr>
          <w:bCs/>
          <w:sz w:val="22"/>
          <w:szCs w:val="22"/>
        </w:rPr>
        <w:t>Tenofovir disoproxil Sandoz</w:t>
      </w:r>
      <w:r>
        <w:rPr>
          <w:color w:val="auto"/>
          <w:sz w:val="22"/>
          <w:szCs w:val="22"/>
        </w:rPr>
        <w:t xml:space="preserve"> vartojimą nėštumo laikotarpiu, j</w:t>
      </w:r>
      <w:r w:rsidR="00BE1F1A">
        <w:rPr>
          <w:color w:val="auto"/>
          <w:sz w:val="22"/>
          <w:szCs w:val="22"/>
        </w:rPr>
        <w:t>o</w:t>
      </w:r>
      <w:r>
        <w:rPr>
          <w:color w:val="auto"/>
          <w:sz w:val="22"/>
          <w:szCs w:val="22"/>
        </w:rPr>
        <w:t xml:space="preserve"> paprastai ne</w:t>
      </w:r>
      <w:r w:rsidR="00BE1F1A">
        <w:rPr>
          <w:color w:val="auto"/>
          <w:sz w:val="22"/>
          <w:szCs w:val="22"/>
        </w:rPr>
        <w:t>vartojama</w:t>
      </w:r>
      <w:r>
        <w:rPr>
          <w:color w:val="auto"/>
          <w:sz w:val="22"/>
          <w:szCs w:val="22"/>
        </w:rPr>
        <w:t xml:space="preserve">, nebent tai absoliučiai būtina. </w:t>
      </w:r>
    </w:p>
    <w:p w14:paraId="1ADE87DC" w14:textId="77777777" w:rsidR="0004043C" w:rsidRDefault="0004043C" w:rsidP="0004043C">
      <w:pPr>
        <w:pStyle w:val="Default"/>
        <w:rPr>
          <w:color w:val="auto"/>
          <w:sz w:val="22"/>
          <w:szCs w:val="22"/>
        </w:rPr>
      </w:pPr>
    </w:p>
    <w:p w14:paraId="69514661" w14:textId="77777777" w:rsidR="0004043C" w:rsidRDefault="0004043C" w:rsidP="0004043C">
      <w:pPr>
        <w:pStyle w:val="Default"/>
        <w:numPr>
          <w:ilvl w:val="0"/>
          <w:numId w:val="26"/>
        </w:numPr>
        <w:rPr>
          <w:color w:val="auto"/>
          <w:sz w:val="22"/>
          <w:szCs w:val="22"/>
        </w:rPr>
      </w:pPr>
      <w:r>
        <w:rPr>
          <w:b/>
          <w:bCs/>
          <w:color w:val="auto"/>
          <w:sz w:val="22"/>
          <w:szCs w:val="22"/>
        </w:rPr>
        <w:t xml:space="preserve">Jei </w:t>
      </w:r>
      <w:r w:rsidR="00BE1F1A">
        <w:rPr>
          <w:b/>
          <w:bCs/>
          <w:color w:val="auto"/>
          <w:sz w:val="22"/>
          <w:szCs w:val="22"/>
        </w:rPr>
        <w:t>tapote</w:t>
      </w:r>
      <w:r>
        <w:rPr>
          <w:b/>
          <w:bCs/>
          <w:color w:val="auto"/>
          <w:sz w:val="22"/>
          <w:szCs w:val="22"/>
        </w:rPr>
        <w:t xml:space="preserve"> nėščia ar planuojate pastoti</w:t>
      </w:r>
      <w:r>
        <w:rPr>
          <w:color w:val="auto"/>
          <w:sz w:val="22"/>
          <w:szCs w:val="22"/>
        </w:rPr>
        <w:t xml:space="preserve">, </w:t>
      </w:r>
      <w:r w:rsidR="00BE1F1A">
        <w:rPr>
          <w:color w:val="auto"/>
          <w:sz w:val="22"/>
          <w:szCs w:val="22"/>
        </w:rPr>
        <w:t>pasi</w:t>
      </w:r>
      <w:r>
        <w:rPr>
          <w:color w:val="auto"/>
          <w:sz w:val="22"/>
          <w:szCs w:val="22"/>
        </w:rPr>
        <w:t xml:space="preserve">klauskite </w:t>
      </w:r>
      <w:r w:rsidR="00BE1F1A">
        <w:rPr>
          <w:color w:val="auto"/>
          <w:sz w:val="22"/>
          <w:szCs w:val="22"/>
        </w:rPr>
        <w:t xml:space="preserve">savo </w:t>
      </w:r>
      <w:r>
        <w:rPr>
          <w:color w:val="auto"/>
          <w:sz w:val="22"/>
          <w:szCs w:val="22"/>
        </w:rPr>
        <w:t>gydytojo apie galimą naudą ir rizik</w:t>
      </w:r>
      <w:r w:rsidR="00BE1F1A">
        <w:rPr>
          <w:color w:val="auto"/>
          <w:sz w:val="22"/>
          <w:szCs w:val="22"/>
        </w:rPr>
        <w:t>ą</w:t>
      </w:r>
      <w:r>
        <w:rPr>
          <w:color w:val="auto"/>
          <w:sz w:val="22"/>
          <w:szCs w:val="22"/>
        </w:rPr>
        <w:t>, kuri</w:t>
      </w:r>
      <w:r w:rsidR="00BE1F1A">
        <w:rPr>
          <w:color w:val="auto"/>
          <w:sz w:val="22"/>
          <w:szCs w:val="22"/>
        </w:rPr>
        <w:t>ą</w:t>
      </w:r>
      <w:r>
        <w:rPr>
          <w:color w:val="auto"/>
          <w:sz w:val="22"/>
          <w:szCs w:val="22"/>
        </w:rPr>
        <w:t xml:space="preserve"> Jums ir Jūsų vaikui gali sukelti Jūsų gydymas antiretrovirusiniais vaistais. </w:t>
      </w:r>
    </w:p>
    <w:p w14:paraId="6E05F1F8" w14:textId="77777777" w:rsidR="0004043C" w:rsidRDefault="0004043C" w:rsidP="0004043C">
      <w:pPr>
        <w:pStyle w:val="Default"/>
        <w:rPr>
          <w:color w:val="auto"/>
          <w:sz w:val="22"/>
          <w:szCs w:val="22"/>
        </w:rPr>
      </w:pPr>
    </w:p>
    <w:p w14:paraId="7520A529" w14:textId="77777777" w:rsidR="0004043C" w:rsidRDefault="0004043C" w:rsidP="00BE1F1A">
      <w:pPr>
        <w:pStyle w:val="Default"/>
        <w:numPr>
          <w:ilvl w:val="0"/>
          <w:numId w:val="26"/>
        </w:numPr>
        <w:rPr>
          <w:color w:val="auto"/>
          <w:sz w:val="22"/>
          <w:szCs w:val="22"/>
        </w:rPr>
      </w:pPr>
      <w:r>
        <w:rPr>
          <w:b/>
          <w:bCs/>
          <w:color w:val="auto"/>
          <w:sz w:val="22"/>
          <w:szCs w:val="22"/>
        </w:rPr>
        <w:t xml:space="preserve">Jei </w:t>
      </w:r>
      <w:r w:rsidR="00BE1F1A" w:rsidRPr="00BE1F1A">
        <w:rPr>
          <w:b/>
          <w:bCs/>
          <w:sz w:val="22"/>
          <w:szCs w:val="22"/>
        </w:rPr>
        <w:t>Tenofovir disoproxil Sandoz</w:t>
      </w:r>
      <w:r>
        <w:rPr>
          <w:b/>
          <w:bCs/>
          <w:color w:val="auto"/>
          <w:sz w:val="22"/>
          <w:szCs w:val="22"/>
        </w:rPr>
        <w:t xml:space="preserve"> vartojote </w:t>
      </w:r>
      <w:r>
        <w:rPr>
          <w:color w:val="auto"/>
          <w:sz w:val="22"/>
          <w:szCs w:val="22"/>
        </w:rPr>
        <w:t xml:space="preserve">nėštumo metu, gydytojas gali prašyti reguliariai atlikti kraujo ir kitokius diagnostinius tyrimus, kad galėtų stebėti vaiko vystymąsi. Vaikams, kurių motinos nėštumo metu vartojo NATI, apsaugos nuo ŽIV nauda yra didesnė už šalutinio poveikio </w:t>
      </w:r>
      <w:r w:rsidR="001F1025">
        <w:rPr>
          <w:color w:val="auto"/>
          <w:sz w:val="22"/>
          <w:szCs w:val="22"/>
        </w:rPr>
        <w:t>riziką</w:t>
      </w:r>
      <w:r>
        <w:rPr>
          <w:color w:val="auto"/>
          <w:sz w:val="22"/>
          <w:szCs w:val="22"/>
        </w:rPr>
        <w:t xml:space="preserve">. </w:t>
      </w:r>
    </w:p>
    <w:p w14:paraId="006D0FA8" w14:textId="77777777" w:rsidR="0004043C" w:rsidRDefault="0004043C" w:rsidP="0004043C">
      <w:pPr>
        <w:pStyle w:val="Default"/>
        <w:rPr>
          <w:color w:val="auto"/>
          <w:sz w:val="22"/>
          <w:szCs w:val="22"/>
        </w:rPr>
      </w:pPr>
    </w:p>
    <w:p w14:paraId="72FE59F3" w14:textId="77777777" w:rsidR="0004043C" w:rsidRDefault="001F1025" w:rsidP="00BE1F1A">
      <w:pPr>
        <w:pStyle w:val="Default"/>
        <w:numPr>
          <w:ilvl w:val="0"/>
          <w:numId w:val="26"/>
        </w:numPr>
        <w:rPr>
          <w:color w:val="auto"/>
          <w:sz w:val="22"/>
          <w:szCs w:val="22"/>
        </w:rPr>
      </w:pPr>
      <w:r>
        <w:rPr>
          <w:b/>
          <w:bCs/>
          <w:sz w:val="22"/>
          <w:szCs w:val="22"/>
        </w:rPr>
        <w:t xml:space="preserve">Nežindykite gydymo </w:t>
      </w:r>
      <w:r w:rsidR="00BE1F1A" w:rsidRPr="00BE1F1A">
        <w:rPr>
          <w:b/>
          <w:bCs/>
          <w:sz w:val="22"/>
          <w:szCs w:val="22"/>
        </w:rPr>
        <w:t>Tenofovir disoproxil Sandoz</w:t>
      </w:r>
      <w:r w:rsidR="0004043C">
        <w:rPr>
          <w:b/>
          <w:bCs/>
          <w:color w:val="auto"/>
          <w:sz w:val="22"/>
          <w:szCs w:val="22"/>
        </w:rPr>
        <w:t xml:space="preserve"> </w:t>
      </w:r>
      <w:r>
        <w:rPr>
          <w:b/>
          <w:bCs/>
          <w:color w:val="auto"/>
          <w:sz w:val="22"/>
          <w:szCs w:val="22"/>
        </w:rPr>
        <w:t>metu</w:t>
      </w:r>
      <w:r w:rsidR="0004043C">
        <w:rPr>
          <w:b/>
          <w:bCs/>
          <w:color w:val="auto"/>
          <w:sz w:val="22"/>
          <w:szCs w:val="22"/>
        </w:rPr>
        <w:t xml:space="preserve">. </w:t>
      </w:r>
      <w:r w:rsidR="0004043C">
        <w:rPr>
          <w:color w:val="auto"/>
          <w:sz w:val="22"/>
          <w:szCs w:val="22"/>
        </w:rPr>
        <w:t xml:space="preserve">Tai </w:t>
      </w:r>
      <w:r>
        <w:rPr>
          <w:color w:val="auto"/>
          <w:sz w:val="22"/>
          <w:szCs w:val="22"/>
        </w:rPr>
        <w:t>yra</w:t>
      </w:r>
      <w:r w:rsidR="0004043C">
        <w:rPr>
          <w:color w:val="auto"/>
          <w:sz w:val="22"/>
          <w:szCs w:val="22"/>
        </w:rPr>
        <w:t xml:space="preserve"> dėl to, kad veiklioji šio vaisto medžiaga patenka į moters pieną. </w:t>
      </w:r>
    </w:p>
    <w:p w14:paraId="22CDA8C8" w14:textId="77777777" w:rsidR="0004043C" w:rsidRDefault="0004043C" w:rsidP="0004043C">
      <w:pPr>
        <w:pStyle w:val="Default"/>
        <w:rPr>
          <w:color w:val="auto"/>
          <w:sz w:val="22"/>
          <w:szCs w:val="22"/>
        </w:rPr>
      </w:pPr>
    </w:p>
    <w:p w14:paraId="46D0B614" w14:textId="77777777" w:rsidR="0004043C" w:rsidRDefault="0004043C" w:rsidP="001F1025">
      <w:pPr>
        <w:pStyle w:val="Default"/>
        <w:numPr>
          <w:ilvl w:val="0"/>
          <w:numId w:val="26"/>
        </w:numPr>
        <w:rPr>
          <w:color w:val="auto"/>
          <w:sz w:val="22"/>
          <w:szCs w:val="22"/>
        </w:rPr>
      </w:pPr>
      <w:r>
        <w:rPr>
          <w:color w:val="auto"/>
          <w:sz w:val="22"/>
          <w:szCs w:val="22"/>
        </w:rPr>
        <w:t xml:space="preserve">Jeigu Jūs esate ŽIV ar HBV infekuota moteris, nežindykite kūdikio, kad </w:t>
      </w:r>
      <w:r w:rsidR="001F1025">
        <w:rPr>
          <w:color w:val="auto"/>
          <w:sz w:val="22"/>
          <w:szCs w:val="22"/>
        </w:rPr>
        <w:t>išvengti viruso perdavimo</w:t>
      </w:r>
      <w:r>
        <w:rPr>
          <w:color w:val="auto"/>
          <w:sz w:val="22"/>
          <w:szCs w:val="22"/>
        </w:rPr>
        <w:t xml:space="preserve"> kūdikiui per pieną. </w:t>
      </w:r>
    </w:p>
    <w:p w14:paraId="4FE60AA9" w14:textId="77777777" w:rsidR="00A502A7" w:rsidRDefault="00A502A7" w:rsidP="001F1025">
      <w:pPr>
        <w:pStyle w:val="Default"/>
        <w:rPr>
          <w:color w:val="auto"/>
          <w:sz w:val="22"/>
          <w:szCs w:val="22"/>
        </w:rPr>
      </w:pPr>
    </w:p>
    <w:p w14:paraId="4733D6BA" w14:textId="77777777" w:rsidR="001F1025" w:rsidRDefault="001F1025" w:rsidP="001F1025">
      <w:pPr>
        <w:pStyle w:val="Default"/>
        <w:rPr>
          <w:color w:val="auto"/>
          <w:sz w:val="22"/>
          <w:szCs w:val="22"/>
        </w:rPr>
      </w:pPr>
      <w:r>
        <w:rPr>
          <w:b/>
          <w:bCs/>
          <w:color w:val="auto"/>
          <w:sz w:val="22"/>
          <w:szCs w:val="22"/>
        </w:rPr>
        <w:t xml:space="preserve">Vairavimas ir mechanizmų valdymas </w:t>
      </w:r>
    </w:p>
    <w:p w14:paraId="2AC1758A" w14:textId="77777777" w:rsidR="001F1025" w:rsidRDefault="001F1025" w:rsidP="001F1025">
      <w:pPr>
        <w:pStyle w:val="Default"/>
        <w:rPr>
          <w:color w:val="auto"/>
          <w:sz w:val="22"/>
          <w:szCs w:val="22"/>
        </w:rPr>
      </w:pPr>
    </w:p>
    <w:p w14:paraId="5AC6EC0C" w14:textId="6A39F1C0" w:rsidR="001F1025" w:rsidRDefault="001F1025" w:rsidP="001F1025">
      <w:pPr>
        <w:pStyle w:val="Default"/>
        <w:rPr>
          <w:color w:val="auto"/>
          <w:sz w:val="22"/>
          <w:szCs w:val="22"/>
        </w:rPr>
      </w:pPr>
      <w:r w:rsidRPr="00116E51">
        <w:rPr>
          <w:bCs/>
          <w:sz w:val="22"/>
          <w:szCs w:val="22"/>
        </w:rPr>
        <w:t>Tenofovir disoproxil Sandoz</w:t>
      </w:r>
      <w:r>
        <w:rPr>
          <w:color w:val="auto"/>
          <w:sz w:val="22"/>
          <w:szCs w:val="22"/>
        </w:rPr>
        <w:t xml:space="preserve"> gali sukelti </w:t>
      </w:r>
      <w:r w:rsidR="009132AC">
        <w:rPr>
          <w:color w:val="auto"/>
          <w:sz w:val="22"/>
          <w:szCs w:val="22"/>
        </w:rPr>
        <w:t>svaigulį</w:t>
      </w:r>
      <w:r>
        <w:rPr>
          <w:color w:val="auto"/>
          <w:sz w:val="22"/>
          <w:szCs w:val="22"/>
        </w:rPr>
        <w:t xml:space="preserve">. Jeigu vartojant </w:t>
      </w:r>
      <w:r w:rsidRPr="00116E51">
        <w:rPr>
          <w:bCs/>
          <w:sz w:val="22"/>
          <w:szCs w:val="22"/>
        </w:rPr>
        <w:t>Tenofovir disoproxil Sandoz</w:t>
      </w:r>
      <w:r>
        <w:rPr>
          <w:color w:val="auto"/>
          <w:sz w:val="22"/>
          <w:szCs w:val="22"/>
        </w:rPr>
        <w:t xml:space="preserve"> Jums svaigsta galva, </w:t>
      </w:r>
      <w:r>
        <w:rPr>
          <w:b/>
          <w:bCs/>
          <w:color w:val="auto"/>
          <w:sz w:val="22"/>
          <w:szCs w:val="22"/>
        </w:rPr>
        <w:t xml:space="preserve">negalima vairuoti, važiuoti dviračiu </w:t>
      </w:r>
      <w:r>
        <w:rPr>
          <w:color w:val="auto"/>
          <w:sz w:val="22"/>
          <w:szCs w:val="22"/>
        </w:rPr>
        <w:t xml:space="preserve">ir dirbti staklėmis bei mechanizmais. </w:t>
      </w:r>
    </w:p>
    <w:p w14:paraId="1C5A7C0D" w14:textId="77777777" w:rsidR="001F1025" w:rsidRDefault="001F1025" w:rsidP="001F1025">
      <w:pPr>
        <w:pStyle w:val="Default"/>
        <w:rPr>
          <w:b/>
          <w:bCs/>
          <w:color w:val="auto"/>
          <w:sz w:val="22"/>
          <w:szCs w:val="22"/>
        </w:rPr>
      </w:pPr>
    </w:p>
    <w:p w14:paraId="5655C395" w14:textId="77777777" w:rsidR="001F1025" w:rsidRDefault="001F1025" w:rsidP="001F1025">
      <w:pPr>
        <w:pStyle w:val="Default"/>
        <w:rPr>
          <w:color w:val="auto"/>
          <w:sz w:val="22"/>
          <w:szCs w:val="22"/>
        </w:rPr>
      </w:pPr>
      <w:r w:rsidRPr="001F1025">
        <w:rPr>
          <w:b/>
          <w:bCs/>
          <w:sz w:val="22"/>
          <w:szCs w:val="22"/>
        </w:rPr>
        <w:t>Tenofovir disoproxil Sandoz</w:t>
      </w:r>
      <w:r>
        <w:rPr>
          <w:b/>
          <w:bCs/>
          <w:color w:val="auto"/>
          <w:sz w:val="22"/>
          <w:szCs w:val="22"/>
        </w:rPr>
        <w:t xml:space="preserve"> sudėtyje yra laktozės </w:t>
      </w:r>
    </w:p>
    <w:p w14:paraId="333D0232" w14:textId="77777777" w:rsidR="001F1025" w:rsidRDefault="00F63193" w:rsidP="001F1025">
      <w:pPr>
        <w:pStyle w:val="Default"/>
        <w:rPr>
          <w:color w:val="auto"/>
          <w:sz w:val="22"/>
          <w:szCs w:val="22"/>
        </w:rPr>
      </w:pPr>
      <w:r>
        <w:rPr>
          <w:color w:val="auto"/>
          <w:sz w:val="22"/>
          <w:szCs w:val="22"/>
        </w:rPr>
        <w:t xml:space="preserve">Prieš pradedant vartoti </w:t>
      </w:r>
      <w:r w:rsidRPr="00116E51">
        <w:rPr>
          <w:bCs/>
          <w:sz w:val="22"/>
          <w:szCs w:val="22"/>
        </w:rPr>
        <w:t>Tenofovir disoproxil Sandoz</w:t>
      </w:r>
      <w:r>
        <w:rPr>
          <w:color w:val="auto"/>
          <w:sz w:val="22"/>
          <w:szCs w:val="22"/>
        </w:rPr>
        <w:t xml:space="preserve"> pasakykite savo gydytojui, jog</w:t>
      </w:r>
      <w:r w:rsidR="001F1025">
        <w:rPr>
          <w:color w:val="auto"/>
          <w:sz w:val="22"/>
          <w:szCs w:val="22"/>
        </w:rPr>
        <w:t xml:space="preserve"> netoleruojate laktozės arba bet kokio kito cukraus</w:t>
      </w:r>
      <w:r w:rsidR="001F1025">
        <w:rPr>
          <w:b/>
          <w:bCs/>
          <w:color w:val="auto"/>
          <w:sz w:val="22"/>
          <w:szCs w:val="22"/>
        </w:rPr>
        <w:t xml:space="preserve">. </w:t>
      </w:r>
    </w:p>
    <w:p w14:paraId="468A148D" w14:textId="77777777" w:rsidR="00F63193" w:rsidRDefault="00F63193" w:rsidP="001F1025">
      <w:pPr>
        <w:pStyle w:val="Default"/>
        <w:rPr>
          <w:b/>
          <w:bCs/>
          <w:color w:val="auto"/>
          <w:sz w:val="22"/>
          <w:szCs w:val="22"/>
        </w:rPr>
      </w:pPr>
    </w:p>
    <w:p w14:paraId="3A433DA4" w14:textId="77777777" w:rsidR="00F63193" w:rsidRDefault="00F63193" w:rsidP="001F1025">
      <w:pPr>
        <w:pStyle w:val="Default"/>
        <w:rPr>
          <w:b/>
          <w:bCs/>
          <w:color w:val="auto"/>
          <w:sz w:val="22"/>
          <w:szCs w:val="22"/>
        </w:rPr>
      </w:pPr>
    </w:p>
    <w:p w14:paraId="40A07CF1" w14:textId="77777777" w:rsidR="001F1025" w:rsidRPr="00F63193" w:rsidRDefault="001F1025" w:rsidP="001F1025">
      <w:pPr>
        <w:pStyle w:val="Default"/>
        <w:rPr>
          <w:b/>
          <w:color w:val="auto"/>
          <w:sz w:val="22"/>
          <w:szCs w:val="22"/>
        </w:rPr>
      </w:pPr>
      <w:r w:rsidRPr="00F63193">
        <w:rPr>
          <w:b/>
          <w:bCs/>
          <w:color w:val="auto"/>
          <w:sz w:val="22"/>
          <w:szCs w:val="22"/>
        </w:rPr>
        <w:t>3.</w:t>
      </w:r>
      <w:r w:rsidR="00F63193" w:rsidRPr="00F63193">
        <w:rPr>
          <w:b/>
          <w:bCs/>
          <w:color w:val="auto"/>
          <w:sz w:val="22"/>
          <w:szCs w:val="22"/>
        </w:rPr>
        <w:tab/>
      </w:r>
      <w:r w:rsidRPr="00F63193">
        <w:rPr>
          <w:b/>
          <w:bCs/>
          <w:color w:val="auto"/>
          <w:sz w:val="22"/>
          <w:szCs w:val="22"/>
        </w:rPr>
        <w:t xml:space="preserve">Kaip vartoti </w:t>
      </w:r>
      <w:r w:rsidR="00F63193" w:rsidRPr="00F63193">
        <w:rPr>
          <w:b/>
          <w:bCs/>
          <w:sz w:val="22"/>
          <w:szCs w:val="22"/>
        </w:rPr>
        <w:t>Tenofovir disoproxil Sandoz</w:t>
      </w:r>
      <w:r w:rsidRPr="00F63193">
        <w:rPr>
          <w:b/>
          <w:bCs/>
          <w:color w:val="auto"/>
          <w:sz w:val="22"/>
          <w:szCs w:val="22"/>
        </w:rPr>
        <w:t xml:space="preserve"> </w:t>
      </w:r>
    </w:p>
    <w:p w14:paraId="67E60483" w14:textId="77777777" w:rsidR="00F63193" w:rsidRDefault="00F63193" w:rsidP="001F1025">
      <w:pPr>
        <w:pStyle w:val="Default"/>
        <w:rPr>
          <w:b/>
          <w:bCs/>
          <w:color w:val="auto"/>
          <w:sz w:val="22"/>
          <w:szCs w:val="22"/>
        </w:rPr>
      </w:pPr>
    </w:p>
    <w:p w14:paraId="7E48030E" w14:textId="77777777" w:rsidR="001F1025" w:rsidRDefault="001F1025" w:rsidP="001F1025">
      <w:pPr>
        <w:pStyle w:val="Default"/>
        <w:rPr>
          <w:color w:val="auto"/>
          <w:sz w:val="22"/>
          <w:szCs w:val="22"/>
        </w:rPr>
      </w:pPr>
      <w:r>
        <w:rPr>
          <w:b/>
          <w:bCs/>
          <w:color w:val="auto"/>
          <w:sz w:val="22"/>
          <w:szCs w:val="22"/>
        </w:rPr>
        <w:t xml:space="preserve">Visada vartokite šį vaistą tiksliai kaip nurodė gydytojas arba vaistininkas. </w:t>
      </w:r>
      <w:r>
        <w:rPr>
          <w:color w:val="auto"/>
          <w:sz w:val="22"/>
          <w:szCs w:val="22"/>
        </w:rPr>
        <w:t xml:space="preserve">Jeigu abejojate, kreipkitės į gydytoją arba vaistininką. </w:t>
      </w:r>
    </w:p>
    <w:p w14:paraId="2BAA3EC0" w14:textId="77777777" w:rsidR="00F63193" w:rsidRDefault="00F63193" w:rsidP="001F1025">
      <w:pPr>
        <w:pStyle w:val="Default"/>
        <w:rPr>
          <w:b/>
          <w:bCs/>
          <w:color w:val="auto"/>
          <w:sz w:val="22"/>
          <w:szCs w:val="22"/>
        </w:rPr>
      </w:pPr>
    </w:p>
    <w:p w14:paraId="3D361F98" w14:textId="77777777" w:rsidR="001F1025" w:rsidRDefault="001F1025" w:rsidP="001F1025">
      <w:pPr>
        <w:pStyle w:val="Default"/>
        <w:rPr>
          <w:color w:val="auto"/>
          <w:sz w:val="22"/>
          <w:szCs w:val="22"/>
        </w:rPr>
      </w:pPr>
      <w:r>
        <w:rPr>
          <w:b/>
          <w:bCs/>
          <w:color w:val="auto"/>
          <w:sz w:val="22"/>
          <w:szCs w:val="22"/>
        </w:rPr>
        <w:t xml:space="preserve">Rekomenduojama dozė yra: </w:t>
      </w:r>
    </w:p>
    <w:p w14:paraId="6066EDDF" w14:textId="77777777" w:rsidR="001F1025" w:rsidRDefault="001F1025" w:rsidP="00F63193">
      <w:pPr>
        <w:pStyle w:val="Default"/>
        <w:numPr>
          <w:ilvl w:val="0"/>
          <w:numId w:val="27"/>
        </w:numPr>
        <w:tabs>
          <w:tab w:val="clear" w:pos="567"/>
          <w:tab w:val="num" w:pos="720"/>
        </w:tabs>
        <w:spacing w:after="33"/>
        <w:ind w:left="720" w:hanging="360"/>
        <w:rPr>
          <w:color w:val="auto"/>
          <w:sz w:val="22"/>
          <w:szCs w:val="22"/>
        </w:rPr>
      </w:pPr>
      <w:r>
        <w:rPr>
          <w:b/>
          <w:bCs/>
          <w:color w:val="auto"/>
          <w:sz w:val="22"/>
          <w:szCs w:val="22"/>
        </w:rPr>
        <w:t xml:space="preserve">Suaugusiesiems: </w:t>
      </w:r>
      <w:r>
        <w:rPr>
          <w:color w:val="auto"/>
          <w:sz w:val="22"/>
          <w:szCs w:val="22"/>
        </w:rPr>
        <w:t xml:space="preserve">po 1 tabletę per parą su maistu (pavyzdžiui, valgant arba užkandžiaujant). </w:t>
      </w:r>
    </w:p>
    <w:p w14:paraId="67C0742D" w14:textId="77777777" w:rsidR="001F1025" w:rsidRDefault="001F1025" w:rsidP="00F63193">
      <w:pPr>
        <w:pStyle w:val="Default"/>
        <w:numPr>
          <w:ilvl w:val="0"/>
          <w:numId w:val="27"/>
        </w:numPr>
        <w:tabs>
          <w:tab w:val="clear" w:pos="567"/>
          <w:tab w:val="num" w:pos="720"/>
        </w:tabs>
        <w:ind w:left="720" w:hanging="360"/>
        <w:rPr>
          <w:color w:val="auto"/>
          <w:sz w:val="22"/>
          <w:szCs w:val="22"/>
        </w:rPr>
      </w:pPr>
      <w:r>
        <w:rPr>
          <w:b/>
          <w:bCs/>
          <w:color w:val="auto"/>
          <w:sz w:val="22"/>
          <w:szCs w:val="22"/>
        </w:rPr>
        <w:t>Paaugliams nuo 12 iki mažiau kaip 18 metų, sveriantiems mažiausiai 35</w:t>
      </w:r>
      <w:r w:rsidR="00161A33">
        <w:rPr>
          <w:b/>
          <w:bCs/>
          <w:color w:val="auto"/>
          <w:sz w:val="22"/>
          <w:szCs w:val="22"/>
        </w:rPr>
        <w:t> </w:t>
      </w:r>
      <w:r>
        <w:rPr>
          <w:b/>
          <w:bCs/>
          <w:color w:val="auto"/>
          <w:sz w:val="22"/>
          <w:szCs w:val="22"/>
        </w:rPr>
        <w:t xml:space="preserve">kg: </w:t>
      </w:r>
      <w:r>
        <w:rPr>
          <w:color w:val="auto"/>
          <w:sz w:val="22"/>
          <w:szCs w:val="22"/>
        </w:rPr>
        <w:t xml:space="preserve">po 1 tabletę per parą su maistu (pavyzdžiui, valgant arba užkandžiaujant). </w:t>
      </w:r>
    </w:p>
    <w:p w14:paraId="5D35DF54" w14:textId="77777777" w:rsidR="00000219" w:rsidRDefault="00000219" w:rsidP="00000219">
      <w:pPr>
        <w:pStyle w:val="Default"/>
        <w:rPr>
          <w:sz w:val="22"/>
          <w:szCs w:val="22"/>
        </w:rPr>
      </w:pPr>
    </w:p>
    <w:p w14:paraId="76C57274" w14:textId="77777777" w:rsidR="00F63193" w:rsidRDefault="00F63193" w:rsidP="00F63193">
      <w:pPr>
        <w:pStyle w:val="Default"/>
        <w:rPr>
          <w:color w:val="auto"/>
          <w:sz w:val="22"/>
          <w:szCs w:val="22"/>
        </w:rPr>
      </w:pPr>
      <w:r>
        <w:rPr>
          <w:color w:val="auto"/>
          <w:sz w:val="22"/>
          <w:szCs w:val="22"/>
        </w:rPr>
        <w:t>Jeigu Jums ypač sunku nuryti, šaukšto galu galite atsargiai sutraiškyti tabletę. Miltelius sumaišykite su maždaug 100</w:t>
      </w:r>
      <w:r w:rsidR="00C509C7">
        <w:rPr>
          <w:color w:val="auto"/>
          <w:sz w:val="22"/>
          <w:szCs w:val="22"/>
        </w:rPr>
        <w:t> </w:t>
      </w:r>
      <w:r>
        <w:rPr>
          <w:color w:val="auto"/>
          <w:sz w:val="22"/>
          <w:szCs w:val="22"/>
        </w:rPr>
        <w:t xml:space="preserve">ml (puse stiklinės) vandens, apelsinų ar vynuogių sulčių ir nedelsiant išgerkite. </w:t>
      </w:r>
    </w:p>
    <w:p w14:paraId="0FC4BD49" w14:textId="77777777" w:rsidR="00F63193" w:rsidRDefault="00F63193" w:rsidP="00F63193">
      <w:pPr>
        <w:pStyle w:val="Default"/>
        <w:rPr>
          <w:color w:val="auto"/>
          <w:sz w:val="22"/>
          <w:szCs w:val="22"/>
        </w:rPr>
      </w:pPr>
    </w:p>
    <w:p w14:paraId="099E57CA" w14:textId="77777777" w:rsidR="00F63193" w:rsidRDefault="00F63193" w:rsidP="00F63193">
      <w:pPr>
        <w:pStyle w:val="Default"/>
        <w:numPr>
          <w:ilvl w:val="0"/>
          <w:numId w:val="28"/>
        </w:numPr>
        <w:tabs>
          <w:tab w:val="clear" w:pos="567"/>
          <w:tab w:val="num" w:pos="720"/>
        </w:tabs>
        <w:ind w:left="714" w:hanging="357"/>
        <w:rPr>
          <w:color w:val="auto"/>
          <w:sz w:val="22"/>
          <w:szCs w:val="22"/>
        </w:rPr>
      </w:pPr>
      <w:r>
        <w:rPr>
          <w:b/>
          <w:bCs/>
          <w:color w:val="auto"/>
          <w:sz w:val="22"/>
          <w:szCs w:val="22"/>
        </w:rPr>
        <w:lastRenderedPageBreak/>
        <w:t xml:space="preserve">Visuomet vartokite Jūsų gydytojo rekomenduotą vaisto dozę. </w:t>
      </w:r>
      <w:r>
        <w:rPr>
          <w:color w:val="auto"/>
          <w:sz w:val="22"/>
          <w:szCs w:val="22"/>
        </w:rPr>
        <w:t>Taip užtikrinsite maksimalų vaisto veiksmingumą ir bus mažesnė atsparumo gydymui išsivystymo rizika</w:t>
      </w:r>
      <w:r w:rsidR="00C509C7">
        <w:rPr>
          <w:color w:val="auto"/>
          <w:sz w:val="22"/>
          <w:szCs w:val="22"/>
        </w:rPr>
        <w:t>.</w:t>
      </w:r>
      <w:r>
        <w:rPr>
          <w:color w:val="auto"/>
          <w:sz w:val="22"/>
          <w:szCs w:val="22"/>
        </w:rPr>
        <w:t xml:space="preserve"> Nekeiskite dozės, nebent taip nurodė Jūsų gydytojas. </w:t>
      </w:r>
    </w:p>
    <w:p w14:paraId="1A9A91B0" w14:textId="77777777" w:rsidR="00F63193" w:rsidRDefault="00F63193" w:rsidP="00F63193">
      <w:pPr>
        <w:pStyle w:val="Default"/>
        <w:tabs>
          <w:tab w:val="num" w:pos="900"/>
        </w:tabs>
        <w:ind w:left="714" w:hanging="357"/>
        <w:rPr>
          <w:color w:val="auto"/>
          <w:sz w:val="22"/>
          <w:szCs w:val="22"/>
        </w:rPr>
      </w:pPr>
    </w:p>
    <w:p w14:paraId="36D3D458" w14:textId="77777777" w:rsidR="00F63193" w:rsidRDefault="00F63193" w:rsidP="00F63193">
      <w:pPr>
        <w:pStyle w:val="Default"/>
        <w:numPr>
          <w:ilvl w:val="0"/>
          <w:numId w:val="28"/>
        </w:numPr>
        <w:tabs>
          <w:tab w:val="clear" w:pos="567"/>
          <w:tab w:val="num" w:pos="720"/>
        </w:tabs>
        <w:ind w:left="714" w:hanging="357"/>
        <w:rPr>
          <w:color w:val="auto"/>
          <w:sz w:val="22"/>
          <w:szCs w:val="22"/>
        </w:rPr>
      </w:pPr>
      <w:r>
        <w:rPr>
          <w:b/>
          <w:bCs/>
          <w:color w:val="auto"/>
          <w:sz w:val="22"/>
          <w:szCs w:val="22"/>
        </w:rPr>
        <w:t xml:space="preserve">Jeigu Jūs esate suaugęs ir Jums yra inkstų sutrikimų, </w:t>
      </w:r>
      <w:r w:rsidRPr="00F63193">
        <w:rPr>
          <w:bCs/>
          <w:color w:val="auto"/>
          <w:sz w:val="22"/>
          <w:szCs w:val="22"/>
        </w:rPr>
        <w:t xml:space="preserve">Jūsų </w:t>
      </w:r>
      <w:r>
        <w:rPr>
          <w:color w:val="auto"/>
          <w:sz w:val="22"/>
          <w:szCs w:val="22"/>
        </w:rPr>
        <w:t xml:space="preserve">gydytojas gali patarti </w:t>
      </w:r>
      <w:r w:rsidRPr="00F63193">
        <w:rPr>
          <w:bCs/>
          <w:sz w:val="22"/>
          <w:szCs w:val="22"/>
        </w:rPr>
        <w:t>Tenofovir disoproxil Sandoz</w:t>
      </w:r>
      <w:r>
        <w:rPr>
          <w:color w:val="auto"/>
          <w:sz w:val="22"/>
          <w:szCs w:val="22"/>
        </w:rPr>
        <w:t xml:space="preserve"> vartoti rečiau. </w:t>
      </w:r>
    </w:p>
    <w:p w14:paraId="778611C7" w14:textId="77777777" w:rsidR="00F63193" w:rsidRDefault="00F63193" w:rsidP="00F63193">
      <w:pPr>
        <w:pStyle w:val="Default"/>
        <w:tabs>
          <w:tab w:val="num" w:pos="900"/>
        </w:tabs>
        <w:ind w:left="714" w:hanging="357"/>
        <w:rPr>
          <w:color w:val="auto"/>
          <w:sz w:val="22"/>
          <w:szCs w:val="22"/>
        </w:rPr>
      </w:pPr>
    </w:p>
    <w:p w14:paraId="6D64E904" w14:textId="77777777" w:rsidR="00F63193" w:rsidRDefault="00F63193" w:rsidP="00F63193">
      <w:pPr>
        <w:pStyle w:val="Default"/>
        <w:numPr>
          <w:ilvl w:val="0"/>
          <w:numId w:val="28"/>
        </w:numPr>
        <w:tabs>
          <w:tab w:val="clear" w:pos="567"/>
          <w:tab w:val="num" w:pos="720"/>
        </w:tabs>
        <w:ind w:left="714" w:hanging="357"/>
        <w:rPr>
          <w:color w:val="auto"/>
          <w:sz w:val="22"/>
          <w:szCs w:val="22"/>
        </w:rPr>
      </w:pPr>
      <w:r>
        <w:rPr>
          <w:color w:val="auto"/>
          <w:sz w:val="22"/>
          <w:szCs w:val="22"/>
        </w:rPr>
        <w:t xml:space="preserve">Jei esate infekuoti HBV, Jūsų gydytojas Jums gali pasiūlyti atlikti ŽIV testą ir pasitikrinti, ar nesate užsikrėtę šiomis abejomis infekcijomis. </w:t>
      </w:r>
    </w:p>
    <w:p w14:paraId="534C23AE" w14:textId="77777777" w:rsidR="00F63193" w:rsidRDefault="00F63193" w:rsidP="00F63193">
      <w:pPr>
        <w:pStyle w:val="Default"/>
        <w:rPr>
          <w:color w:val="auto"/>
          <w:sz w:val="22"/>
          <w:szCs w:val="22"/>
        </w:rPr>
      </w:pPr>
    </w:p>
    <w:p w14:paraId="2B01B356" w14:textId="77777777" w:rsidR="00F63193" w:rsidRDefault="00F63193" w:rsidP="00F63193">
      <w:pPr>
        <w:pStyle w:val="Default"/>
        <w:rPr>
          <w:color w:val="auto"/>
          <w:sz w:val="22"/>
          <w:szCs w:val="22"/>
        </w:rPr>
      </w:pPr>
      <w:r>
        <w:rPr>
          <w:color w:val="auto"/>
          <w:sz w:val="22"/>
          <w:szCs w:val="22"/>
        </w:rPr>
        <w:t xml:space="preserve">Perskaitykite kitų antiretrovirusinių vaistų pakuotės lapelius, kuriuose nurodyta, kaip jų vartoti. </w:t>
      </w:r>
    </w:p>
    <w:p w14:paraId="7B49BE02" w14:textId="77777777" w:rsidR="00F63193" w:rsidRDefault="00F63193" w:rsidP="00F63193">
      <w:pPr>
        <w:pStyle w:val="Default"/>
        <w:rPr>
          <w:b/>
          <w:bCs/>
          <w:color w:val="auto"/>
          <w:sz w:val="22"/>
          <w:szCs w:val="22"/>
        </w:rPr>
      </w:pPr>
    </w:p>
    <w:p w14:paraId="570B55C6" w14:textId="77777777" w:rsidR="00F63193" w:rsidRDefault="00F63193" w:rsidP="00F63193">
      <w:pPr>
        <w:pStyle w:val="Default"/>
        <w:rPr>
          <w:color w:val="auto"/>
          <w:sz w:val="22"/>
          <w:szCs w:val="22"/>
        </w:rPr>
      </w:pPr>
      <w:r>
        <w:rPr>
          <w:b/>
          <w:bCs/>
          <w:color w:val="auto"/>
          <w:sz w:val="22"/>
          <w:szCs w:val="22"/>
        </w:rPr>
        <w:t xml:space="preserve">Ką daryti pavartojus per didelę </w:t>
      </w:r>
      <w:r w:rsidRPr="00F63193">
        <w:rPr>
          <w:b/>
          <w:bCs/>
          <w:sz w:val="22"/>
          <w:szCs w:val="22"/>
        </w:rPr>
        <w:t>Tenofovir disoproxil Sandoz</w:t>
      </w:r>
      <w:r w:rsidRPr="00F63193">
        <w:rPr>
          <w:b/>
          <w:bCs/>
          <w:color w:val="auto"/>
          <w:sz w:val="22"/>
          <w:szCs w:val="22"/>
        </w:rPr>
        <w:t xml:space="preserve"> </w:t>
      </w:r>
      <w:r>
        <w:rPr>
          <w:b/>
          <w:bCs/>
          <w:color w:val="auto"/>
          <w:sz w:val="22"/>
          <w:szCs w:val="22"/>
        </w:rPr>
        <w:t xml:space="preserve">dozę? </w:t>
      </w:r>
    </w:p>
    <w:p w14:paraId="68E6814B" w14:textId="77777777" w:rsidR="00F63193" w:rsidRDefault="00F63193" w:rsidP="00F63193">
      <w:pPr>
        <w:pStyle w:val="Default"/>
        <w:rPr>
          <w:color w:val="auto"/>
          <w:sz w:val="22"/>
          <w:szCs w:val="22"/>
        </w:rPr>
      </w:pPr>
      <w:r>
        <w:rPr>
          <w:color w:val="auto"/>
          <w:sz w:val="22"/>
          <w:szCs w:val="22"/>
        </w:rPr>
        <w:t xml:space="preserve">Jeigu atsitiktinai išgėrėte per daug </w:t>
      </w:r>
      <w:r w:rsidRPr="00F63193">
        <w:rPr>
          <w:bCs/>
          <w:sz w:val="22"/>
          <w:szCs w:val="22"/>
        </w:rPr>
        <w:t>Tenofovir disoproxil Sandoz</w:t>
      </w:r>
      <w:r>
        <w:rPr>
          <w:color w:val="auto"/>
          <w:sz w:val="22"/>
          <w:szCs w:val="22"/>
        </w:rPr>
        <w:t xml:space="preserve"> tablečių, padidėja šio vaisto šalutini</w:t>
      </w:r>
      <w:r w:rsidR="00A3441C">
        <w:rPr>
          <w:color w:val="auto"/>
          <w:sz w:val="22"/>
          <w:szCs w:val="22"/>
        </w:rPr>
        <w:t>o</w:t>
      </w:r>
      <w:r>
        <w:rPr>
          <w:color w:val="auto"/>
          <w:sz w:val="22"/>
          <w:szCs w:val="22"/>
        </w:rPr>
        <w:t xml:space="preserve"> poveiki</w:t>
      </w:r>
      <w:r w:rsidR="00A3441C">
        <w:rPr>
          <w:color w:val="auto"/>
          <w:sz w:val="22"/>
          <w:szCs w:val="22"/>
        </w:rPr>
        <w:t>o</w:t>
      </w:r>
      <w:r>
        <w:rPr>
          <w:color w:val="auto"/>
          <w:sz w:val="22"/>
          <w:szCs w:val="22"/>
        </w:rPr>
        <w:t xml:space="preserve"> pasireiškimo rizika (žr. 4 skyrių </w:t>
      </w:r>
      <w:r>
        <w:rPr>
          <w:i/>
          <w:iCs/>
          <w:color w:val="auto"/>
          <w:sz w:val="22"/>
          <w:szCs w:val="22"/>
        </w:rPr>
        <w:t>Galimas šalutinis poveikis</w:t>
      </w:r>
      <w:r>
        <w:rPr>
          <w:color w:val="auto"/>
          <w:sz w:val="22"/>
          <w:szCs w:val="22"/>
        </w:rPr>
        <w:t xml:space="preserve">). Pasitarkite su gydytoju ar kreipkitės į artimiausios ligoninės priėmimo skyrių. Su savimi turėkite </w:t>
      </w:r>
      <w:r w:rsidR="00C509C7">
        <w:rPr>
          <w:color w:val="auto"/>
          <w:sz w:val="22"/>
          <w:szCs w:val="22"/>
        </w:rPr>
        <w:t>pakuotę</w:t>
      </w:r>
      <w:r>
        <w:rPr>
          <w:color w:val="auto"/>
          <w:sz w:val="22"/>
          <w:szCs w:val="22"/>
        </w:rPr>
        <w:t>, kad galėtumėte lengvai paaiškinti, ko</w:t>
      </w:r>
      <w:r w:rsidR="00A3441C">
        <w:rPr>
          <w:color w:val="auto"/>
          <w:sz w:val="22"/>
          <w:szCs w:val="22"/>
        </w:rPr>
        <w:t xml:space="preserve"> išgėrėte</w:t>
      </w:r>
      <w:r>
        <w:rPr>
          <w:color w:val="auto"/>
          <w:sz w:val="22"/>
          <w:szCs w:val="22"/>
        </w:rPr>
        <w:t xml:space="preserve">. </w:t>
      </w:r>
    </w:p>
    <w:p w14:paraId="6DFAF774" w14:textId="77777777" w:rsidR="00A3441C" w:rsidRDefault="00A3441C" w:rsidP="00F63193">
      <w:pPr>
        <w:pStyle w:val="Default"/>
        <w:rPr>
          <w:b/>
          <w:bCs/>
          <w:color w:val="auto"/>
          <w:sz w:val="22"/>
          <w:szCs w:val="22"/>
        </w:rPr>
      </w:pPr>
    </w:p>
    <w:p w14:paraId="4FF41BD8" w14:textId="77777777" w:rsidR="00F63193" w:rsidRDefault="00F63193" w:rsidP="00F63193">
      <w:pPr>
        <w:pStyle w:val="Default"/>
        <w:rPr>
          <w:color w:val="auto"/>
          <w:sz w:val="22"/>
          <w:szCs w:val="22"/>
        </w:rPr>
      </w:pPr>
      <w:r>
        <w:rPr>
          <w:b/>
          <w:bCs/>
          <w:color w:val="auto"/>
          <w:sz w:val="22"/>
          <w:szCs w:val="22"/>
        </w:rPr>
        <w:t xml:space="preserve">Pamiršus pavartoti </w:t>
      </w:r>
      <w:r w:rsidR="00A3441C" w:rsidRPr="00A3441C">
        <w:rPr>
          <w:b/>
          <w:bCs/>
          <w:sz w:val="22"/>
          <w:szCs w:val="22"/>
        </w:rPr>
        <w:t>Tenofovir disoproxil Sandoz</w:t>
      </w:r>
      <w:r>
        <w:rPr>
          <w:b/>
          <w:bCs/>
          <w:color w:val="auto"/>
          <w:sz w:val="22"/>
          <w:szCs w:val="22"/>
        </w:rPr>
        <w:t xml:space="preserve"> </w:t>
      </w:r>
    </w:p>
    <w:p w14:paraId="62DD0D4D" w14:textId="77777777" w:rsidR="00F63193" w:rsidRDefault="00F63193" w:rsidP="00F63193">
      <w:pPr>
        <w:pStyle w:val="Default"/>
        <w:rPr>
          <w:color w:val="auto"/>
          <w:sz w:val="22"/>
          <w:szCs w:val="22"/>
        </w:rPr>
      </w:pPr>
      <w:r>
        <w:rPr>
          <w:color w:val="auto"/>
          <w:sz w:val="22"/>
          <w:szCs w:val="22"/>
        </w:rPr>
        <w:t xml:space="preserve">Svarbu nepamiršti nė vienos </w:t>
      </w:r>
      <w:r w:rsidR="00A3441C" w:rsidRPr="00F63193">
        <w:rPr>
          <w:bCs/>
          <w:sz w:val="22"/>
          <w:szCs w:val="22"/>
        </w:rPr>
        <w:t>Tenofovir disoproxil Sandoz</w:t>
      </w:r>
      <w:r>
        <w:rPr>
          <w:color w:val="auto"/>
          <w:sz w:val="22"/>
          <w:szCs w:val="22"/>
        </w:rPr>
        <w:t xml:space="preserve"> dozės. Jeigu pamiršote pavartoti </w:t>
      </w:r>
      <w:r w:rsidR="00A3441C" w:rsidRPr="00F63193">
        <w:rPr>
          <w:bCs/>
          <w:sz w:val="22"/>
          <w:szCs w:val="22"/>
        </w:rPr>
        <w:t>Tenofovir disoproxil Sandoz</w:t>
      </w:r>
      <w:r>
        <w:rPr>
          <w:color w:val="auto"/>
          <w:sz w:val="22"/>
          <w:szCs w:val="22"/>
        </w:rPr>
        <w:t xml:space="preserve"> dozę, paskaičiuokite, kiek laiko praėjo nuo įprasto vartojimo laiko. </w:t>
      </w:r>
    </w:p>
    <w:p w14:paraId="55542906" w14:textId="77777777" w:rsidR="00F63193" w:rsidRDefault="00F63193" w:rsidP="00A3441C">
      <w:pPr>
        <w:pStyle w:val="Default"/>
        <w:numPr>
          <w:ilvl w:val="0"/>
          <w:numId w:val="29"/>
        </w:numPr>
        <w:tabs>
          <w:tab w:val="clear" w:pos="927"/>
          <w:tab w:val="num" w:pos="720"/>
        </w:tabs>
        <w:ind w:left="714" w:hanging="357"/>
        <w:rPr>
          <w:color w:val="auto"/>
          <w:sz w:val="22"/>
          <w:szCs w:val="22"/>
        </w:rPr>
      </w:pPr>
      <w:r>
        <w:rPr>
          <w:b/>
          <w:bCs/>
          <w:color w:val="auto"/>
          <w:sz w:val="22"/>
          <w:szCs w:val="22"/>
        </w:rPr>
        <w:t xml:space="preserve">Jeigu praėjo mažiau kaip 12 valandų </w:t>
      </w:r>
      <w:r>
        <w:rPr>
          <w:color w:val="auto"/>
          <w:sz w:val="22"/>
          <w:szCs w:val="22"/>
        </w:rPr>
        <w:t xml:space="preserve">nuo įprasto vartojimo laiko, suvartokite ją kiek galima greičiau, o sekančią vaisto dozę vartokite įprastu metu. </w:t>
      </w:r>
    </w:p>
    <w:p w14:paraId="18B6B428" w14:textId="77777777" w:rsidR="00F63193" w:rsidRDefault="00F63193" w:rsidP="00A3441C">
      <w:pPr>
        <w:pStyle w:val="Default"/>
        <w:ind w:left="714" w:hanging="357"/>
        <w:rPr>
          <w:color w:val="auto"/>
          <w:sz w:val="22"/>
          <w:szCs w:val="22"/>
        </w:rPr>
      </w:pPr>
    </w:p>
    <w:p w14:paraId="342A285E" w14:textId="77777777" w:rsidR="00F63193" w:rsidRDefault="00F63193" w:rsidP="00A3441C">
      <w:pPr>
        <w:pStyle w:val="Default"/>
        <w:numPr>
          <w:ilvl w:val="0"/>
          <w:numId w:val="29"/>
        </w:numPr>
        <w:tabs>
          <w:tab w:val="clear" w:pos="927"/>
          <w:tab w:val="num" w:pos="720"/>
        </w:tabs>
        <w:ind w:left="714" w:hanging="357"/>
        <w:rPr>
          <w:color w:val="auto"/>
          <w:sz w:val="22"/>
          <w:szCs w:val="22"/>
        </w:rPr>
      </w:pPr>
      <w:r>
        <w:rPr>
          <w:b/>
          <w:bCs/>
          <w:color w:val="auto"/>
          <w:sz w:val="22"/>
          <w:szCs w:val="22"/>
        </w:rPr>
        <w:t xml:space="preserve">Jeigu praėjo daugiau kaip 12 valandų </w:t>
      </w:r>
      <w:r>
        <w:rPr>
          <w:color w:val="auto"/>
          <w:sz w:val="22"/>
          <w:szCs w:val="22"/>
        </w:rPr>
        <w:t xml:space="preserve">nuo tada, kai turėjote ją vartoti, praleistos dozės nebevartokite. Palaukite ir suvartokite kitą dozę įprastu metu. Negalima vartoti dvigubos dozės norint kompensuoti praleistą tabletę. </w:t>
      </w:r>
    </w:p>
    <w:p w14:paraId="505B5CB7" w14:textId="77777777" w:rsidR="00F63193" w:rsidRDefault="00F63193" w:rsidP="00F63193">
      <w:pPr>
        <w:pStyle w:val="Default"/>
        <w:rPr>
          <w:color w:val="auto"/>
          <w:sz w:val="22"/>
          <w:szCs w:val="22"/>
        </w:rPr>
      </w:pPr>
    </w:p>
    <w:p w14:paraId="5C00A5A8" w14:textId="77777777" w:rsidR="00F63193" w:rsidRDefault="00F63193" w:rsidP="00F63193">
      <w:pPr>
        <w:pStyle w:val="Default"/>
        <w:rPr>
          <w:color w:val="auto"/>
          <w:sz w:val="22"/>
          <w:szCs w:val="22"/>
        </w:rPr>
      </w:pPr>
      <w:r>
        <w:rPr>
          <w:b/>
          <w:bCs/>
          <w:color w:val="auto"/>
          <w:sz w:val="22"/>
          <w:szCs w:val="22"/>
        </w:rPr>
        <w:t>Jeigu vėmėte 1 valandos laikotarp</w:t>
      </w:r>
      <w:r w:rsidR="00A3441C">
        <w:rPr>
          <w:b/>
          <w:bCs/>
          <w:color w:val="auto"/>
          <w:sz w:val="22"/>
          <w:szCs w:val="22"/>
        </w:rPr>
        <w:t>iu</w:t>
      </w:r>
      <w:r>
        <w:rPr>
          <w:b/>
          <w:bCs/>
          <w:color w:val="auto"/>
          <w:sz w:val="22"/>
          <w:szCs w:val="22"/>
        </w:rPr>
        <w:t xml:space="preserve"> po </w:t>
      </w:r>
      <w:r w:rsidR="00A3441C" w:rsidRPr="00A3441C">
        <w:rPr>
          <w:b/>
          <w:bCs/>
          <w:sz w:val="22"/>
          <w:szCs w:val="22"/>
        </w:rPr>
        <w:t>Tenofovir disoproxil Sandoz</w:t>
      </w:r>
      <w:r>
        <w:rPr>
          <w:b/>
          <w:bCs/>
          <w:color w:val="auto"/>
          <w:sz w:val="22"/>
          <w:szCs w:val="22"/>
        </w:rPr>
        <w:t xml:space="preserve"> išgėrimo, </w:t>
      </w:r>
      <w:r>
        <w:rPr>
          <w:color w:val="auto"/>
          <w:sz w:val="22"/>
          <w:szCs w:val="22"/>
        </w:rPr>
        <w:t xml:space="preserve">išgerkite kitą tabletę. Jeigu praėjo daugiau nei 1 valanda, kitos tabletės gerti nereikia. </w:t>
      </w:r>
    </w:p>
    <w:p w14:paraId="1FDFFB52" w14:textId="77777777" w:rsidR="006F490D" w:rsidRDefault="006F490D" w:rsidP="00F63193">
      <w:pPr>
        <w:pStyle w:val="Default"/>
        <w:rPr>
          <w:b/>
          <w:bCs/>
          <w:color w:val="auto"/>
          <w:sz w:val="22"/>
          <w:szCs w:val="22"/>
        </w:rPr>
      </w:pPr>
    </w:p>
    <w:p w14:paraId="6EB931BB" w14:textId="77777777" w:rsidR="00F63193" w:rsidRDefault="00F63193" w:rsidP="00F63193">
      <w:pPr>
        <w:pStyle w:val="Default"/>
        <w:rPr>
          <w:color w:val="auto"/>
          <w:sz w:val="22"/>
          <w:szCs w:val="22"/>
        </w:rPr>
      </w:pPr>
      <w:r>
        <w:rPr>
          <w:b/>
          <w:bCs/>
          <w:color w:val="auto"/>
          <w:sz w:val="22"/>
          <w:szCs w:val="22"/>
        </w:rPr>
        <w:t xml:space="preserve">Nustojus vartoti </w:t>
      </w:r>
      <w:r w:rsidR="006F490D" w:rsidRPr="006F490D">
        <w:rPr>
          <w:b/>
          <w:bCs/>
          <w:sz w:val="22"/>
          <w:szCs w:val="22"/>
        </w:rPr>
        <w:t>Tenofovir disoproxil Sandoz</w:t>
      </w:r>
      <w:r>
        <w:rPr>
          <w:b/>
          <w:bCs/>
          <w:color w:val="auto"/>
          <w:sz w:val="22"/>
          <w:szCs w:val="22"/>
        </w:rPr>
        <w:t xml:space="preserve"> </w:t>
      </w:r>
    </w:p>
    <w:p w14:paraId="51B5D4EF" w14:textId="77777777" w:rsidR="00000219" w:rsidRDefault="00F63193" w:rsidP="00F63193">
      <w:pPr>
        <w:pStyle w:val="Default"/>
        <w:rPr>
          <w:sz w:val="22"/>
          <w:szCs w:val="22"/>
        </w:rPr>
      </w:pPr>
      <w:r>
        <w:rPr>
          <w:color w:val="auto"/>
          <w:sz w:val="22"/>
          <w:szCs w:val="22"/>
        </w:rPr>
        <w:t xml:space="preserve">Be Jūsų gydytojo žinios gydymo </w:t>
      </w:r>
      <w:r w:rsidR="006F490D" w:rsidRPr="00F63193">
        <w:rPr>
          <w:bCs/>
          <w:sz w:val="22"/>
          <w:szCs w:val="22"/>
        </w:rPr>
        <w:t>Tenofovir disoproxil Sandoz</w:t>
      </w:r>
      <w:r>
        <w:rPr>
          <w:color w:val="auto"/>
          <w:sz w:val="22"/>
          <w:szCs w:val="22"/>
        </w:rPr>
        <w:t xml:space="preserve"> nutraukti negalima. Nutraukus gydymą </w:t>
      </w:r>
      <w:r w:rsidR="006F490D" w:rsidRPr="00F63193">
        <w:rPr>
          <w:bCs/>
          <w:sz w:val="22"/>
          <w:szCs w:val="22"/>
        </w:rPr>
        <w:t>Tenofovir disoproxil Sandoz</w:t>
      </w:r>
      <w:r>
        <w:rPr>
          <w:color w:val="auto"/>
          <w:sz w:val="22"/>
          <w:szCs w:val="22"/>
        </w:rPr>
        <w:t xml:space="preserve"> gali sumažėti gydymo, kurį </w:t>
      </w:r>
      <w:r w:rsidR="006F490D">
        <w:rPr>
          <w:color w:val="auto"/>
          <w:sz w:val="22"/>
          <w:szCs w:val="22"/>
        </w:rPr>
        <w:t>rekomendavo Jūsų</w:t>
      </w:r>
      <w:r>
        <w:rPr>
          <w:color w:val="auto"/>
          <w:sz w:val="22"/>
          <w:szCs w:val="22"/>
        </w:rPr>
        <w:t xml:space="preserve"> gydytojas, veiksmingumas.</w:t>
      </w:r>
    </w:p>
    <w:p w14:paraId="47B6B45C" w14:textId="77777777" w:rsidR="006F490D" w:rsidRDefault="006F490D" w:rsidP="006F490D">
      <w:pPr>
        <w:pStyle w:val="Default"/>
      </w:pPr>
    </w:p>
    <w:p w14:paraId="4731F79A" w14:textId="77777777" w:rsidR="006F490D" w:rsidRDefault="006F490D" w:rsidP="006F490D">
      <w:pPr>
        <w:pStyle w:val="Default"/>
        <w:rPr>
          <w:color w:val="auto"/>
          <w:sz w:val="22"/>
          <w:szCs w:val="22"/>
        </w:rPr>
      </w:pPr>
      <w:r>
        <w:rPr>
          <w:b/>
          <w:bCs/>
          <w:color w:val="auto"/>
          <w:sz w:val="22"/>
          <w:szCs w:val="22"/>
        </w:rPr>
        <w:t xml:space="preserve">Jeigu jums yra hepatitas B ar ŽIV kartu su hepatitu B (koinfekcija), </w:t>
      </w:r>
      <w:r>
        <w:rPr>
          <w:color w:val="auto"/>
          <w:sz w:val="22"/>
          <w:szCs w:val="22"/>
        </w:rPr>
        <w:t xml:space="preserve">labai svarbu nenutraukti gydymo </w:t>
      </w:r>
      <w:r w:rsidRPr="00F63193">
        <w:rPr>
          <w:bCs/>
          <w:sz w:val="22"/>
          <w:szCs w:val="22"/>
        </w:rPr>
        <w:t>Tenofovir disoproxil Sandoz</w:t>
      </w:r>
      <w:r>
        <w:rPr>
          <w:color w:val="auto"/>
          <w:sz w:val="22"/>
          <w:szCs w:val="22"/>
        </w:rPr>
        <w:t xml:space="preserve"> nepasitarus su savo gydytoju. Kai kuriems pacientams nutraukus gydymą </w:t>
      </w:r>
      <w:r>
        <w:rPr>
          <w:bCs/>
          <w:sz w:val="22"/>
          <w:szCs w:val="22"/>
        </w:rPr>
        <w:t>šiuo vaistu</w:t>
      </w:r>
      <w:r>
        <w:rPr>
          <w:color w:val="auto"/>
          <w:sz w:val="22"/>
          <w:szCs w:val="22"/>
        </w:rPr>
        <w:t xml:space="preserve">, kraujo tyrimai arba simptomai rodė hepatito pablogėjimą. Jums gali reikėti atlikti kraujo tyrimus kelis mėnesius po gydymo nutraukimo. Pacientams, kuriems yra progresavusi kepenų liga ar </w:t>
      </w:r>
      <w:r w:rsidR="009132AC">
        <w:rPr>
          <w:color w:val="auto"/>
          <w:sz w:val="22"/>
          <w:szCs w:val="22"/>
        </w:rPr>
        <w:t xml:space="preserve">kepenų </w:t>
      </w:r>
      <w:r>
        <w:rPr>
          <w:color w:val="auto"/>
          <w:sz w:val="22"/>
          <w:szCs w:val="22"/>
        </w:rPr>
        <w:t xml:space="preserve">cirozė, gydymo nutraukti nerekomenduojama, nes dėl to gali pablogėti Jūsų hepatitas. </w:t>
      </w:r>
    </w:p>
    <w:p w14:paraId="62F4A20A" w14:textId="77777777" w:rsidR="006F490D" w:rsidRDefault="006F490D" w:rsidP="006F490D">
      <w:pPr>
        <w:pStyle w:val="Default"/>
        <w:numPr>
          <w:ilvl w:val="0"/>
          <w:numId w:val="30"/>
        </w:numPr>
        <w:tabs>
          <w:tab w:val="clear" w:pos="567"/>
          <w:tab w:val="num" w:pos="720"/>
        </w:tabs>
        <w:ind w:left="714" w:hanging="357"/>
        <w:rPr>
          <w:color w:val="auto"/>
          <w:sz w:val="22"/>
          <w:szCs w:val="22"/>
        </w:rPr>
      </w:pPr>
      <w:r>
        <w:rPr>
          <w:color w:val="auto"/>
          <w:sz w:val="22"/>
          <w:szCs w:val="22"/>
        </w:rPr>
        <w:t xml:space="preserve">Pasitarkite su gydytoju prieš nutraukdami </w:t>
      </w:r>
      <w:r w:rsidRPr="00F63193">
        <w:rPr>
          <w:bCs/>
          <w:sz w:val="22"/>
          <w:szCs w:val="22"/>
        </w:rPr>
        <w:t>Tenofovir disoproxil Sandoz</w:t>
      </w:r>
      <w:r>
        <w:rPr>
          <w:color w:val="auto"/>
          <w:sz w:val="22"/>
          <w:szCs w:val="22"/>
        </w:rPr>
        <w:t xml:space="preserve"> vartojimą dėl bet kokios priežasties, ypač jeigu Jums pasireiškė koks nors šalutinis poveikis ar sergate kita liga. </w:t>
      </w:r>
    </w:p>
    <w:p w14:paraId="5DF94454" w14:textId="77777777" w:rsidR="006F490D" w:rsidRDefault="006F490D" w:rsidP="006F490D">
      <w:pPr>
        <w:pStyle w:val="Default"/>
        <w:tabs>
          <w:tab w:val="num" w:pos="900"/>
        </w:tabs>
        <w:ind w:left="900" w:hanging="360"/>
        <w:rPr>
          <w:color w:val="auto"/>
          <w:sz w:val="22"/>
          <w:szCs w:val="22"/>
        </w:rPr>
      </w:pPr>
    </w:p>
    <w:p w14:paraId="3EBF3D88" w14:textId="77777777" w:rsidR="006F490D" w:rsidRDefault="006F490D" w:rsidP="006F490D">
      <w:pPr>
        <w:pStyle w:val="Default"/>
        <w:numPr>
          <w:ilvl w:val="0"/>
          <w:numId w:val="30"/>
        </w:numPr>
        <w:tabs>
          <w:tab w:val="clear" w:pos="567"/>
          <w:tab w:val="num" w:pos="720"/>
        </w:tabs>
        <w:ind w:left="714" w:hanging="357"/>
        <w:rPr>
          <w:color w:val="auto"/>
          <w:sz w:val="22"/>
          <w:szCs w:val="22"/>
        </w:rPr>
      </w:pPr>
      <w:r>
        <w:rPr>
          <w:color w:val="auto"/>
          <w:sz w:val="22"/>
          <w:szCs w:val="22"/>
        </w:rPr>
        <w:t>Nedelsiant pasakykite gydytojui apie naujus ar neįprastus simptomus, pasireiškusius nutraukus gydymą, ypač simptomus, kuriuos Jūs siejate su hepatito B infekcija.</w:t>
      </w:r>
    </w:p>
    <w:p w14:paraId="49A85D47" w14:textId="77777777" w:rsidR="006F490D" w:rsidRDefault="006F490D" w:rsidP="006F490D">
      <w:pPr>
        <w:pStyle w:val="Default"/>
        <w:rPr>
          <w:color w:val="auto"/>
          <w:sz w:val="22"/>
          <w:szCs w:val="22"/>
        </w:rPr>
      </w:pPr>
    </w:p>
    <w:p w14:paraId="5B0F4296" w14:textId="77777777" w:rsidR="006F490D" w:rsidRDefault="006F490D" w:rsidP="006F490D">
      <w:pPr>
        <w:pStyle w:val="Default"/>
        <w:numPr>
          <w:ilvl w:val="0"/>
          <w:numId w:val="30"/>
        </w:numPr>
        <w:tabs>
          <w:tab w:val="clear" w:pos="567"/>
          <w:tab w:val="num" w:pos="720"/>
        </w:tabs>
        <w:ind w:left="714" w:hanging="357"/>
        <w:rPr>
          <w:color w:val="auto"/>
          <w:sz w:val="22"/>
          <w:szCs w:val="22"/>
        </w:rPr>
      </w:pPr>
      <w:r>
        <w:rPr>
          <w:color w:val="auto"/>
          <w:sz w:val="22"/>
          <w:szCs w:val="22"/>
        </w:rPr>
        <w:t xml:space="preserve"> Kreipkitės į savo gydytoją prieš atnaujinant </w:t>
      </w:r>
      <w:r w:rsidRPr="00F63193">
        <w:rPr>
          <w:bCs/>
          <w:sz w:val="22"/>
          <w:szCs w:val="22"/>
        </w:rPr>
        <w:t>Tenofovir disoproxil Sandoz</w:t>
      </w:r>
      <w:r>
        <w:rPr>
          <w:color w:val="auto"/>
          <w:sz w:val="22"/>
          <w:szCs w:val="22"/>
        </w:rPr>
        <w:t xml:space="preserve"> tablečių vartojimą.</w:t>
      </w:r>
    </w:p>
    <w:p w14:paraId="737A4D81" w14:textId="77777777" w:rsidR="006F490D" w:rsidRDefault="006F490D" w:rsidP="006F490D">
      <w:pPr>
        <w:pStyle w:val="Default"/>
        <w:rPr>
          <w:color w:val="auto"/>
          <w:sz w:val="22"/>
          <w:szCs w:val="22"/>
        </w:rPr>
      </w:pPr>
    </w:p>
    <w:p w14:paraId="35FC45F9" w14:textId="77777777" w:rsidR="006F490D" w:rsidRDefault="006F490D" w:rsidP="006F490D">
      <w:pPr>
        <w:pStyle w:val="Default"/>
        <w:rPr>
          <w:sz w:val="22"/>
          <w:szCs w:val="22"/>
        </w:rPr>
      </w:pPr>
      <w:r>
        <w:rPr>
          <w:color w:val="auto"/>
          <w:sz w:val="22"/>
          <w:szCs w:val="22"/>
        </w:rPr>
        <w:t>Jeigu kiltų daugiau klausimų dėl šio vaisto vartojimo, kreipkitės į gydytoją arba vaistininką.</w:t>
      </w:r>
    </w:p>
    <w:p w14:paraId="2A1541E4" w14:textId="77777777" w:rsidR="006F490D" w:rsidRDefault="006F490D" w:rsidP="00000219">
      <w:pPr>
        <w:pStyle w:val="Default"/>
        <w:rPr>
          <w:sz w:val="22"/>
          <w:szCs w:val="22"/>
        </w:rPr>
      </w:pPr>
    </w:p>
    <w:p w14:paraId="0C8D98E7" w14:textId="77777777" w:rsidR="006F490D" w:rsidRPr="00B34FA1" w:rsidRDefault="006F490D" w:rsidP="006F490D">
      <w:pPr>
        <w:numPr>
          <w:ilvl w:val="12"/>
          <w:numId w:val="0"/>
        </w:numPr>
        <w:rPr>
          <w:szCs w:val="24"/>
        </w:rPr>
      </w:pPr>
    </w:p>
    <w:p w14:paraId="2F2F9DED" w14:textId="77777777" w:rsidR="006F490D" w:rsidRPr="00B34FA1" w:rsidRDefault="006F490D" w:rsidP="006F490D">
      <w:pPr>
        <w:pStyle w:val="Antrat3"/>
        <w:spacing w:before="0" w:after="0"/>
        <w:rPr>
          <w:rFonts w:ascii="Times New Roman" w:hAnsi="Times New Roman"/>
          <w:sz w:val="22"/>
        </w:rPr>
      </w:pPr>
      <w:r w:rsidRPr="00B34FA1">
        <w:rPr>
          <w:rFonts w:ascii="Times New Roman" w:hAnsi="Times New Roman"/>
          <w:sz w:val="22"/>
        </w:rPr>
        <w:t>4.</w:t>
      </w:r>
      <w:r w:rsidRPr="00B34FA1">
        <w:rPr>
          <w:rFonts w:ascii="Times New Roman" w:hAnsi="Times New Roman"/>
          <w:sz w:val="22"/>
        </w:rPr>
        <w:tab/>
        <w:t>Galimas šalutinis poveikis</w:t>
      </w:r>
    </w:p>
    <w:p w14:paraId="50CA55ED" w14:textId="77777777" w:rsidR="006F490D" w:rsidRPr="00B34FA1" w:rsidRDefault="006F490D" w:rsidP="006F490D">
      <w:pPr>
        <w:numPr>
          <w:ilvl w:val="12"/>
          <w:numId w:val="0"/>
        </w:numPr>
        <w:rPr>
          <w:szCs w:val="24"/>
        </w:rPr>
      </w:pPr>
    </w:p>
    <w:p w14:paraId="7D4F5437" w14:textId="77777777" w:rsidR="00102FDC" w:rsidRDefault="006F490D" w:rsidP="006F490D">
      <w:pPr>
        <w:pStyle w:val="Default"/>
        <w:rPr>
          <w:color w:val="auto"/>
          <w:sz w:val="22"/>
          <w:szCs w:val="22"/>
        </w:rPr>
      </w:pPr>
      <w:r>
        <w:rPr>
          <w:color w:val="auto"/>
          <w:sz w:val="22"/>
          <w:szCs w:val="22"/>
        </w:rPr>
        <w:t xml:space="preserve">Gydymo nuo ŽIV metu gali padidėti kūno masė ir lipidų bei gliukozės </w:t>
      </w:r>
      <w:r w:rsidR="00102FDC">
        <w:rPr>
          <w:color w:val="auto"/>
          <w:sz w:val="22"/>
          <w:szCs w:val="22"/>
        </w:rPr>
        <w:t>kiekiai</w:t>
      </w:r>
      <w:r>
        <w:rPr>
          <w:color w:val="auto"/>
          <w:sz w:val="22"/>
          <w:szCs w:val="22"/>
        </w:rPr>
        <w:t xml:space="preserve"> kraujyje. Tokie pokyčiai iš dalies gali būti susiję su sveikatos būklės pagerėjimu ir gyvenimo būdu, o lipidų pokyčiai kai kuriais atvejais yra susiję su vaistų nuo ŽIV vartojimu. </w:t>
      </w:r>
      <w:r w:rsidR="00102FDC">
        <w:rPr>
          <w:color w:val="auto"/>
          <w:sz w:val="22"/>
          <w:szCs w:val="22"/>
        </w:rPr>
        <w:t>Jūsų g</w:t>
      </w:r>
      <w:r>
        <w:rPr>
          <w:color w:val="auto"/>
          <w:sz w:val="22"/>
          <w:szCs w:val="22"/>
        </w:rPr>
        <w:t>ydytojas tirs, ar neatsiranda tokių pokyčių.</w:t>
      </w:r>
    </w:p>
    <w:p w14:paraId="675EAA21" w14:textId="77777777" w:rsidR="006F490D" w:rsidRDefault="006F490D" w:rsidP="006F490D">
      <w:pPr>
        <w:pStyle w:val="Default"/>
        <w:rPr>
          <w:color w:val="auto"/>
          <w:sz w:val="22"/>
          <w:szCs w:val="22"/>
        </w:rPr>
      </w:pPr>
    </w:p>
    <w:p w14:paraId="35B1A069" w14:textId="77777777" w:rsidR="00102FDC" w:rsidRDefault="006F490D" w:rsidP="006F490D">
      <w:pPr>
        <w:pStyle w:val="Default"/>
        <w:rPr>
          <w:color w:val="auto"/>
          <w:sz w:val="22"/>
          <w:szCs w:val="22"/>
        </w:rPr>
      </w:pPr>
      <w:r>
        <w:rPr>
          <w:color w:val="auto"/>
          <w:sz w:val="22"/>
          <w:szCs w:val="22"/>
        </w:rPr>
        <w:t>Šis vaistas, kaip ir visi kiti, gali sukelti šalutinį poveikį, nors jis pasireiškia ne visiems žmonėms.</w:t>
      </w:r>
    </w:p>
    <w:p w14:paraId="7A63AF9D" w14:textId="77777777" w:rsidR="006F490D" w:rsidRDefault="006F490D" w:rsidP="006F490D">
      <w:pPr>
        <w:pStyle w:val="Default"/>
        <w:rPr>
          <w:color w:val="auto"/>
          <w:sz w:val="22"/>
          <w:szCs w:val="22"/>
        </w:rPr>
      </w:pPr>
      <w:r>
        <w:rPr>
          <w:color w:val="auto"/>
          <w:sz w:val="22"/>
          <w:szCs w:val="22"/>
        </w:rPr>
        <w:t xml:space="preserve"> </w:t>
      </w:r>
    </w:p>
    <w:p w14:paraId="5D550136" w14:textId="77777777" w:rsidR="006F490D" w:rsidRDefault="006F490D" w:rsidP="006F490D">
      <w:pPr>
        <w:pStyle w:val="Default"/>
        <w:rPr>
          <w:b/>
          <w:bCs/>
          <w:color w:val="auto"/>
          <w:sz w:val="22"/>
          <w:szCs w:val="22"/>
        </w:rPr>
      </w:pPr>
      <w:r>
        <w:rPr>
          <w:b/>
          <w:bCs/>
          <w:color w:val="auto"/>
          <w:sz w:val="22"/>
          <w:szCs w:val="22"/>
        </w:rPr>
        <w:t>Galimas sunkus šalutinis poveikis: nedels</w:t>
      </w:r>
      <w:r w:rsidR="00102FDC">
        <w:rPr>
          <w:b/>
          <w:bCs/>
          <w:color w:val="auto"/>
          <w:sz w:val="22"/>
          <w:szCs w:val="22"/>
        </w:rPr>
        <w:t>iant</w:t>
      </w:r>
      <w:r>
        <w:rPr>
          <w:b/>
          <w:bCs/>
          <w:color w:val="auto"/>
          <w:sz w:val="22"/>
          <w:szCs w:val="22"/>
        </w:rPr>
        <w:t xml:space="preserve"> kreipkitės į </w:t>
      </w:r>
      <w:r w:rsidR="00102FDC">
        <w:rPr>
          <w:b/>
          <w:bCs/>
          <w:color w:val="auto"/>
          <w:sz w:val="22"/>
          <w:szCs w:val="22"/>
        </w:rPr>
        <w:t xml:space="preserve">savo </w:t>
      </w:r>
      <w:r>
        <w:rPr>
          <w:b/>
          <w:bCs/>
          <w:color w:val="auto"/>
          <w:sz w:val="22"/>
          <w:szCs w:val="22"/>
        </w:rPr>
        <w:t xml:space="preserve">gydytoją </w:t>
      </w:r>
    </w:p>
    <w:p w14:paraId="211C531B" w14:textId="77777777" w:rsidR="00102FDC" w:rsidRDefault="00102FDC" w:rsidP="006F490D">
      <w:pPr>
        <w:pStyle w:val="Default"/>
        <w:rPr>
          <w:color w:val="auto"/>
          <w:sz w:val="22"/>
          <w:szCs w:val="22"/>
        </w:rPr>
      </w:pPr>
    </w:p>
    <w:p w14:paraId="56ACE828" w14:textId="1176D2E4" w:rsidR="006F490D" w:rsidRDefault="00102FDC" w:rsidP="00102FDC">
      <w:pPr>
        <w:pStyle w:val="Default"/>
        <w:numPr>
          <w:ilvl w:val="0"/>
          <w:numId w:val="31"/>
        </w:numPr>
        <w:rPr>
          <w:color w:val="auto"/>
          <w:sz w:val="22"/>
          <w:szCs w:val="22"/>
        </w:rPr>
      </w:pPr>
      <w:r>
        <w:rPr>
          <w:b/>
          <w:bCs/>
          <w:color w:val="auto"/>
          <w:sz w:val="22"/>
          <w:szCs w:val="22"/>
        </w:rPr>
        <w:t xml:space="preserve">Pieno rūgšties </w:t>
      </w:r>
      <w:r w:rsidR="006F490D">
        <w:rPr>
          <w:b/>
          <w:bCs/>
          <w:color w:val="auto"/>
          <w:sz w:val="22"/>
          <w:szCs w:val="22"/>
        </w:rPr>
        <w:t xml:space="preserve">acidozė </w:t>
      </w:r>
      <w:r w:rsidR="006F490D">
        <w:rPr>
          <w:color w:val="auto"/>
          <w:sz w:val="22"/>
          <w:szCs w:val="22"/>
        </w:rPr>
        <w:t xml:space="preserve">(padidėjęs pieno rūgšties kiekis kraujyje), tai </w:t>
      </w:r>
      <w:r w:rsidR="006F490D">
        <w:rPr>
          <w:b/>
          <w:bCs/>
          <w:color w:val="auto"/>
          <w:sz w:val="22"/>
          <w:szCs w:val="22"/>
        </w:rPr>
        <w:t xml:space="preserve">retas </w:t>
      </w:r>
      <w:r w:rsidR="006F490D">
        <w:rPr>
          <w:color w:val="auto"/>
          <w:sz w:val="22"/>
          <w:szCs w:val="22"/>
        </w:rPr>
        <w:t xml:space="preserve">(pasireiškiantis </w:t>
      </w:r>
      <w:r w:rsidR="00871366">
        <w:rPr>
          <w:color w:val="auto"/>
          <w:sz w:val="22"/>
          <w:szCs w:val="22"/>
        </w:rPr>
        <w:t>rečiau</w:t>
      </w:r>
      <w:r>
        <w:rPr>
          <w:color w:val="auto"/>
          <w:sz w:val="22"/>
          <w:szCs w:val="22"/>
        </w:rPr>
        <w:t xml:space="preserve"> </w:t>
      </w:r>
      <w:r w:rsidR="006F490D">
        <w:rPr>
          <w:color w:val="auto"/>
          <w:sz w:val="22"/>
          <w:szCs w:val="22"/>
        </w:rPr>
        <w:t>kaip 1 iš 1000 pacientų), bet sunkus šalutinis poveikis, kuris gali būti net mirtinas. Toliau išvardinti šalutinio poveikio požymiai gal</w:t>
      </w:r>
      <w:r>
        <w:rPr>
          <w:color w:val="auto"/>
          <w:sz w:val="22"/>
          <w:szCs w:val="22"/>
        </w:rPr>
        <w:t>i</w:t>
      </w:r>
      <w:r w:rsidR="006F490D">
        <w:rPr>
          <w:color w:val="auto"/>
          <w:sz w:val="22"/>
          <w:szCs w:val="22"/>
        </w:rPr>
        <w:t xml:space="preserve"> būti </w:t>
      </w:r>
      <w:r>
        <w:rPr>
          <w:color w:val="auto"/>
          <w:sz w:val="22"/>
          <w:szCs w:val="22"/>
        </w:rPr>
        <w:t xml:space="preserve">pieno rūgšties </w:t>
      </w:r>
      <w:r w:rsidR="006F490D">
        <w:rPr>
          <w:color w:val="auto"/>
          <w:sz w:val="22"/>
          <w:szCs w:val="22"/>
        </w:rPr>
        <w:t xml:space="preserve">acidozės simptomai: </w:t>
      </w:r>
    </w:p>
    <w:p w14:paraId="42532CF5" w14:textId="77777777" w:rsidR="006F490D" w:rsidRDefault="006F490D" w:rsidP="00102FDC">
      <w:pPr>
        <w:pStyle w:val="Default"/>
        <w:numPr>
          <w:ilvl w:val="0"/>
          <w:numId w:val="31"/>
        </w:numPr>
        <w:tabs>
          <w:tab w:val="clear" w:pos="567"/>
          <w:tab w:val="num" w:pos="900"/>
        </w:tabs>
        <w:spacing w:after="33"/>
        <w:ind w:left="900" w:hanging="360"/>
        <w:rPr>
          <w:color w:val="auto"/>
          <w:sz w:val="22"/>
          <w:szCs w:val="22"/>
        </w:rPr>
      </w:pPr>
      <w:r>
        <w:rPr>
          <w:color w:val="auto"/>
          <w:sz w:val="22"/>
          <w:szCs w:val="22"/>
        </w:rPr>
        <w:t>gilus, dažnas kvėpavimas</w:t>
      </w:r>
      <w:r w:rsidR="00102FDC">
        <w:rPr>
          <w:color w:val="auto"/>
          <w:sz w:val="22"/>
          <w:szCs w:val="22"/>
        </w:rPr>
        <w:t>;</w:t>
      </w:r>
      <w:r>
        <w:rPr>
          <w:color w:val="auto"/>
          <w:sz w:val="22"/>
          <w:szCs w:val="22"/>
        </w:rPr>
        <w:t xml:space="preserve"> </w:t>
      </w:r>
    </w:p>
    <w:p w14:paraId="0BF09876" w14:textId="77777777" w:rsidR="006F490D" w:rsidRDefault="006F490D" w:rsidP="00102FDC">
      <w:pPr>
        <w:pStyle w:val="Default"/>
        <w:numPr>
          <w:ilvl w:val="0"/>
          <w:numId w:val="31"/>
        </w:numPr>
        <w:tabs>
          <w:tab w:val="clear" w:pos="567"/>
          <w:tab w:val="num" w:pos="900"/>
        </w:tabs>
        <w:spacing w:after="33"/>
        <w:ind w:left="900" w:hanging="360"/>
        <w:rPr>
          <w:color w:val="auto"/>
          <w:sz w:val="22"/>
          <w:szCs w:val="22"/>
        </w:rPr>
      </w:pPr>
      <w:r>
        <w:rPr>
          <w:color w:val="auto"/>
          <w:sz w:val="22"/>
          <w:szCs w:val="22"/>
        </w:rPr>
        <w:t>mieguistumas</w:t>
      </w:r>
      <w:r w:rsidR="00102FDC">
        <w:rPr>
          <w:color w:val="auto"/>
          <w:sz w:val="22"/>
          <w:szCs w:val="22"/>
        </w:rPr>
        <w:t>;</w:t>
      </w:r>
      <w:r>
        <w:rPr>
          <w:color w:val="auto"/>
          <w:sz w:val="22"/>
          <w:szCs w:val="22"/>
        </w:rPr>
        <w:t xml:space="preserve"> </w:t>
      </w:r>
    </w:p>
    <w:p w14:paraId="28159819" w14:textId="77777777" w:rsidR="006F490D" w:rsidRDefault="006F490D" w:rsidP="00102FDC">
      <w:pPr>
        <w:pStyle w:val="Default"/>
        <w:numPr>
          <w:ilvl w:val="0"/>
          <w:numId w:val="31"/>
        </w:numPr>
        <w:tabs>
          <w:tab w:val="clear" w:pos="567"/>
          <w:tab w:val="num" w:pos="900"/>
        </w:tabs>
        <w:ind w:left="900" w:hanging="360"/>
        <w:rPr>
          <w:color w:val="auto"/>
          <w:sz w:val="22"/>
          <w:szCs w:val="22"/>
        </w:rPr>
      </w:pPr>
      <w:r>
        <w:rPr>
          <w:color w:val="auto"/>
          <w:sz w:val="22"/>
          <w:szCs w:val="22"/>
        </w:rPr>
        <w:t>pykinimas, vėmimas ir pilvo skausmas</w:t>
      </w:r>
      <w:r w:rsidR="00102FDC">
        <w:rPr>
          <w:color w:val="auto"/>
          <w:sz w:val="22"/>
          <w:szCs w:val="22"/>
        </w:rPr>
        <w:t>.</w:t>
      </w:r>
      <w:r>
        <w:rPr>
          <w:color w:val="auto"/>
          <w:sz w:val="22"/>
          <w:szCs w:val="22"/>
        </w:rPr>
        <w:t xml:space="preserve"> </w:t>
      </w:r>
    </w:p>
    <w:p w14:paraId="5F78B785" w14:textId="77777777" w:rsidR="006F490D" w:rsidRDefault="006F490D" w:rsidP="006F490D">
      <w:pPr>
        <w:pStyle w:val="Default"/>
        <w:rPr>
          <w:color w:val="auto"/>
          <w:sz w:val="22"/>
          <w:szCs w:val="22"/>
        </w:rPr>
      </w:pPr>
    </w:p>
    <w:p w14:paraId="35254B40" w14:textId="77777777" w:rsidR="006F490D" w:rsidRDefault="006F490D" w:rsidP="006F490D">
      <w:pPr>
        <w:pStyle w:val="Default"/>
        <w:rPr>
          <w:color w:val="auto"/>
          <w:sz w:val="22"/>
          <w:szCs w:val="22"/>
        </w:rPr>
      </w:pPr>
      <w:r>
        <w:rPr>
          <w:color w:val="auto"/>
          <w:sz w:val="22"/>
          <w:szCs w:val="22"/>
        </w:rPr>
        <w:t xml:space="preserve">Jeigu manote, kad Jums gali būti </w:t>
      </w:r>
      <w:r w:rsidR="00102FDC" w:rsidRPr="00102FDC">
        <w:rPr>
          <w:b/>
          <w:color w:val="auto"/>
          <w:sz w:val="22"/>
          <w:szCs w:val="22"/>
        </w:rPr>
        <w:t>pieno rūgšties acidozė</w:t>
      </w:r>
      <w:r>
        <w:rPr>
          <w:b/>
          <w:bCs/>
          <w:color w:val="auto"/>
          <w:sz w:val="22"/>
          <w:szCs w:val="22"/>
        </w:rPr>
        <w:t>, nedels</w:t>
      </w:r>
      <w:r w:rsidR="00102FDC">
        <w:rPr>
          <w:b/>
          <w:bCs/>
          <w:color w:val="auto"/>
          <w:sz w:val="22"/>
          <w:szCs w:val="22"/>
        </w:rPr>
        <w:t>iant</w:t>
      </w:r>
      <w:r>
        <w:rPr>
          <w:b/>
          <w:bCs/>
          <w:color w:val="auto"/>
          <w:sz w:val="22"/>
          <w:szCs w:val="22"/>
        </w:rPr>
        <w:t xml:space="preserve"> kreipkitės į </w:t>
      </w:r>
      <w:r w:rsidR="00102FDC">
        <w:rPr>
          <w:b/>
          <w:bCs/>
          <w:color w:val="auto"/>
          <w:sz w:val="22"/>
          <w:szCs w:val="22"/>
        </w:rPr>
        <w:t xml:space="preserve">savo </w:t>
      </w:r>
      <w:r>
        <w:rPr>
          <w:b/>
          <w:bCs/>
          <w:color w:val="auto"/>
          <w:sz w:val="22"/>
          <w:szCs w:val="22"/>
        </w:rPr>
        <w:t xml:space="preserve">gydytoją. </w:t>
      </w:r>
    </w:p>
    <w:p w14:paraId="72C4993C" w14:textId="77777777" w:rsidR="00102FDC" w:rsidRDefault="00102FDC" w:rsidP="006F490D">
      <w:pPr>
        <w:pStyle w:val="Default"/>
        <w:rPr>
          <w:b/>
          <w:bCs/>
          <w:color w:val="auto"/>
          <w:sz w:val="22"/>
          <w:szCs w:val="22"/>
        </w:rPr>
      </w:pPr>
    </w:p>
    <w:p w14:paraId="7B377B78" w14:textId="77777777" w:rsidR="006F490D" w:rsidRDefault="006F490D" w:rsidP="006F490D">
      <w:pPr>
        <w:pStyle w:val="Default"/>
        <w:rPr>
          <w:color w:val="auto"/>
          <w:sz w:val="22"/>
          <w:szCs w:val="22"/>
        </w:rPr>
      </w:pPr>
      <w:r>
        <w:rPr>
          <w:b/>
          <w:bCs/>
          <w:color w:val="auto"/>
          <w:sz w:val="22"/>
          <w:szCs w:val="22"/>
        </w:rPr>
        <w:t xml:space="preserve">Kitas galimas sunkus šalutinis poveikis </w:t>
      </w:r>
    </w:p>
    <w:p w14:paraId="1A88A15C" w14:textId="77777777" w:rsidR="00102FDC" w:rsidRDefault="00102FDC" w:rsidP="006F490D">
      <w:pPr>
        <w:pStyle w:val="Default"/>
        <w:rPr>
          <w:color w:val="auto"/>
          <w:sz w:val="22"/>
          <w:szCs w:val="22"/>
        </w:rPr>
      </w:pPr>
    </w:p>
    <w:p w14:paraId="06A2F628" w14:textId="168530A0" w:rsidR="006F490D" w:rsidRDefault="006F490D" w:rsidP="006F490D">
      <w:pPr>
        <w:pStyle w:val="Default"/>
        <w:rPr>
          <w:color w:val="auto"/>
          <w:sz w:val="22"/>
          <w:szCs w:val="22"/>
        </w:rPr>
      </w:pPr>
      <w:r>
        <w:rPr>
          <w:color w:val="auto"/>
          <w:sz w:val="22"/>
          <w:szCs w:val="22"/>
        </w:rPr>
        <w:t xml:space="preserve">Toliau </w:t>
      </w:r>
      <w:r w:rsidR="00102FDC">
        <w:rPr>
          <w:color w:val="auto"/>
          <w:sz w:val="22"/>
          <w:szCs w:val="22"/>
        </w:rPr>
        <w:t>išvardytas</w:t>
      </w:r>
      <w:r>
        <w:rPr>
          <w:color w:val="auto"/>
          <w:sz w:val="22"/>
          <w:szCs w:val="22"/>
        </w:rPr>
        <w:t xml:space="preserve"> šalutinis poveikis yra </w:t>
      </w:r>
      <w:r>
        <w:rPr>
          <w:b/>
          <w:bCs/>
          <w:color w:val="auto"/>
          <w:sz w:val="22"/>
          <w:szCs w:val="22"/>
        </w:rPr>
        <w:t xml:space="preserve">nedažnas </w:t>
      </w:r>
      <w:r>
        <w:rPr>
          <w:color w:val="auto"/>
          <w:sz w:val="22"/>
          <w:szCs w:val="22"/>
        </w:rPr>
        <w:t xml:space="preserve">(pasireiškia </w:t>
      </w:r>
      <w:r w:rsidR="00871366">
        <w:rPr>
          <w:color w:val="auto"/>
          <w:sz w:val="22"/>
          <w:szCs w:val="22"/>
        </w:rPr>
        <w:t>rečiau</w:t>
      </w:r>
      <w:r>
        <w:rPr>
          <w:color w:val="auto"/>
          <w:sz w:val="22"/>
          <w:szCs w:val="22"/>
        </w:rPr>
        <w:t xml:space="preserve"> kaip 1 iš 100 pacientų): </w:t>
      </w:r>
    </w:p>
    <w:p w14:paraId="34CA04B2" w14:textId="77777777" w:rsidR="006F490D" w:rsidRDefault="006F490D" w:rsidP="00102FDC">
      <w:pPr>
        <w:pStyle w:val="Default"/>
        <w:numPr>
          <w:ilvl w:val="0"/>
          <w:numId w:val="32"/>
        </w:numPr>
        <w:tabs>
          <w:tab w:val="clear" w:pos="567"/>
          <w:tab w:val="num" w:pos="720"/>
        </w:tabs>
        <w:ind w:left="720" w:hanging="360"/>
        <w:rPr>
          <w:color w:val="auto"/>
          <w:sz w:val="22"/>
          <w:szCs w:val="22"/>
        </w:rPr>
      </w:pPr>
      <w:r>
        <w:rPr>
          <w:b/>
          <w:bCs/>
          <w:color w:val="auto"/>
          <w:sz w:val="22"/>
          <w:szCs w:val="22"/>
        </w:rPr>
        <w:t>pilvo skausmas</w:t>
      </w:r>
      <w:r>
        <w:rPr>
          <w:color w:val="auto"/>
          <w:sz w:val="22"/>
          <w:szCs w:val="22"/>
        </w:rPr>
        <w:t>, sukeltas kasos uždegimo</w:t>
      </w:r>
      <w:r w:rsidR="00102FDC">
        <w:rPr>
          <w:color w:val="auto"/>
          <w:sz w:val="22"/>
          <w:szCs w:val="22"/>
        </w:rPr>
        <w:t>;</w:t>
      </w:r>
      <w:r>
        <w:rPr>
          <w:color w:val="auto"/>
          <w:sz w:val="22"/>
          <w:szCs w:val="22"/>
        </w:rPr>
        <w:t xml:space="preserve"> </w:t>
      </w:r>
    </w:p>
    <w:p w14:paraId="4522E1ED" w14:textId="77777777" w:rsidR="006F490D" w:rsidRDefault="006F490D" w:rsidP="00102FDC">
      <w:pPr>
        <w:pStyle w:val="Default"/>
        <w:numPr>
          <w:ilvl w:val="0"/>
          <w:numId w:val="32"/>
        </w:numPr>
        <w:tabs>
          <w:tab w:val="clear" w:pos="567"/>
          <w:tab w:val="num" w:pos="720"/>
        </w:tabs>
        <w:ind w:left="720" w:hanging="360"/>
        <w:rPr>
          <w:color w:val="auto"/>
          <w:sz w:val="22"/>
          <w:szCs w:val="22"/>
        </w:rPr>
      </w:pPr>
      <w:r>
        <w:rPr>
          <w:color w:val="auto"/>
          <w:sz w:val="22"/>
          <w:szCs w:val="22"/>
        </w:rPr>
        <w:t>inkstų kanalėlių ląstelių pažeidimas</w:t>
      </w:r>
      <w:r w:rsidR="00102FDC">
        <w:rPr>
          <w:color w:val="auto"/>
          <w:sz w:val="22"/>
          <w:szCs w:val="22"/>
        </w:rPr>
        <w:t>.</w:t>
      </w:r>
      <w:r>
        <w:rPr>
          <w:color w:val="auto"/>
          <w:sz w:val="22"/>
          <w:szCs w:val="22"/>
        </w:rPr>
        <w:t xml:space="preserve"> </w:t>
      </w:r>
    </w:p>
    <w:p w14:paraId="664222F4" w14:textId="77777777" w:rsidR="006F490D" w:rsidRDefault="006F490D" w:rsidP="00102FDC">
      <w:pPr>
        <w:pStyle w:val="Default"/>
        <w:tabs>
          <w:tab w:val="num" w:pos="720"/>
        </w:tabs>
        <w:ind w:left="720" w:hanging="360"/>
        <w:rPr>
          <w:color w:val="auto"/>
          <w:sz w:val="22"/>
          <w:szCs w:val="22"/>
        </w:rPr>
      </w:pPr>
    </w:p>
    <w:p w14:paraId="1243CD06" w14:textId="0EA71BA8" w:rsidR="006F490D" w:rsidRDefault="006F490D" w:rsidP="006F490D">
      <w:pPr>
        <w:pStyle w:val="Default"/>
        <w:rPr>
          <w:sz w:val="22"/>
          <w:szCs w:val="22"/>
        </w:rPr>
      </w:pPr>
      <w:r>
        <w:rPr>
          <w:color w:val="auto"/>
          <w:sz w:val="22"/>
          <w:szCs w:val="22"/>
        </w:rPr>
        <w:t xml:space="preserve">Toliau nurodytas šalutinis poveikis yra </w:t>
      </w:r>
      <w:r>
        <w:rPr>
          <w:b/>
          <w:bCs/>
          <w:color w:val="auto"/>
          <w:sz w:val="22"/>
          <w:szCs w:val="22"/>
        </w:rPr>
        <w:t xml:space="preserve">retas </w:t>
      </w:r>
      <w:r>
        <w:rPr>
          <w:color w:val="auto"/>
          <w:sz w:val="22"/>
          <w:szCs w:val="22"/>
        </w:rPr>
        <w:t xml:space="preserve">(pasireiškia </w:t>
      </w:r>
      <w:r w:rsidR="00871366">
        <w:rPr>
          <w:color w:val="auto"/>
          <w:sz w:val="22"/>
          <w:szCs w:val="22"/>
        </w:rPr>
        <w:t>rečiau</w:t>
      </w:r>
      <w:r>
        <w:rPr>
          <w:color w:val="auto"/>
          <w:sz w:val="22"/>
          <w:szCs w:val="22"/>
        </w:rPr>
        <w:t xml:space="preserve"> kaip 1 iš 1000 pacientų):</w:t>
      </w:r>
    </w:p>
    <w:p w14:paraId="4E1D259D" w14:textId="77777777" w:rsidR="00102FDC" w:rsidRDefault="00102FDC" w:rsidP="00102FDC">
      <w:pPr>
        <w:pStyle w:val="Default"/>
        <w:numPr>
          <w:ilvl w:val="0"/>
          <w:numId w:val="33"/>
        </w:numPr>
        <w:tabs>
          <w:tab w:val="clear" w:pos="567"/>
          <w:tab w:val="num" w:pos="720"/>
        </w:tabs>
        <w:ind w:left="720" w:hanging="360"/>
        <w:rPr>
          <w:color w:val="auto"/>
          <w:sz w:val="22"/>
          <w:szCs w:val="22"/>
        </w:rPr>
      </w:pPr>
      <w:r>
        <w:rPr>
          <w:color w:val="auto"/>
          <w:sz w:val="22"/>
          <w:szCs w:val="22"/>
        </w:rPr>
        <w:t xml:space="preserve">inkstų uždegimas, </w:t>
      </w:r>
      <w:r>
        <w:rPr>
          <w:b/>
          <w:bCs/>
          <w:color w:val="auto"/>
          <w:sz w:val="22"/>
          <w:szCs w:val="22"/>
        </w:rPr>
        <w:t>padidėjęs šlapimo kiekis ir troškulys</w:t>
      </w:r>
      <w:r w:rsidRPr="00102FDC">
        <w:rPr>
          <w:bCs/>
          <w:color w:val="auto"/>
          <w:sz w:val="22"/>
          <w:szCs w:val="22"/>
        </w:rPr>
        <w:t>;</w:t>
      </w:r>
      <w:r>
        <w:rPr>
          <w:b/>
          <w:bCs/>
          <w:color w:val="auto"/>
          <w:sz w:val="22"/>
          <w:szCs w:val="22"/>
        </w:rPr>
        <w:t xml:space="preserve"> </w:t>
      </w:r>
    </w:p>
    <w:p w14:paraId="4F38C7FC" w14:textId="4BFC3AD3" w:rsidR="00102FDC" w:rsidRDefault="00102FDC" w:rsidP="00102FDC">
      <w:pPr>
        <w:pStyle w:val="Default"/>
        <w:numPr>
          <w:ilvl w:val="0"/>
          <w:numId w:val="33"/>
        </w:numPr>
        <w:tabs>
          <w:tab w:val="clear" w:pos="567"/>
          <w:tab w:val="num" w:pos="720"/>
        </w:tabs>
        <w:ind w:left="720" w:hanging="360"/>
        <w:rPr>
          <w:color w:val="auto"/>
          <w:sz w:val="22"/>
          <w:szCs w:val="22"/>
        </w:rPr>
      </w:pPr>
      <w:r>
        <w:rPr>
          <w:b/>
          <w:bCs/>
          <w:color w:val="auto"/>
          <w:sz w:val="22"/>
          <w:szCs w:val="22"/>
        </w:rPr>
        <w:t xml:space="preserve">šlapimo pokyčiai </w:t>
      </w:r>
      <w:r>
        <w:rPr>
          <w:color w:val="auto"/>
          <w:sz w:val="22"/>
          <w:szCs w:val="22"/>
        </w:rPr>
        <w:t xml:space="preserve">ir </w:t>
      </w:r>
      <w:r>
        <w:rPr>
          <w:b/>
          <w:bCs/>
          <w:color w:val="auto"/>
          <w:sz w:val="22"/>
          <w:szCs w:val="22"/>
        </w:rPr>
        <w:t>nugaros skausmas</w:t>
      </w:r>
      <w:r>
        <w:rPr>
          <w:color w:val="auto"/>
          <w:sz w:val="22"/>
          <w:szCs w:val="22"/>
        </w:rPr>
        <w:t xml:space="preserve">, sukeltas inkstų ligos, įskaitant inkstų nepakankamumą; </w:t>
      </w:r>
    </w:p>
    <w:p w14:paraId="505CE11E" w14:textId="77777777" w:rsidR="00102FDC" w:rsidRDefault="00102FDC" w:rsidP="00102FDC">
      <w:pPr>
        <w:pStyle w:val="Default"/>
        <w:numPr>
          <w:ilvl w:val="0"/>
          <w:numId w:val="33"/>
        </w:numPr>
        <w:tabs>
          <w:tab w:val="clear" w:pos="567"/>
          <w:tab w:val="num" w:pos="720"/>
        </w:tabs>
        <w:ind w:left="720" w:hanging="360"/>
        <w:rPr>
          <w:color w:val="auto"/>
          <w:sz w:val="22"/>
          <w:szCs w:val="22"/>
        </w:rPr>
      </w:pPr>
      <w:r>
        <w:rPr>
          <w:color w:val="auto"/>
          <w:sz w:val="22"/>
          <w:szCs w:val="22"/>
        </w:rPr>
        <w:t xml:space="preserve">kaulų suminkštėjimas (lydimas </w:t>
      </w:r>
      <w:r>
        <w:rPr>
          <w:b/>
          <w:bCs/>
          <w:color w:val="auto"/>
          <w:sz w:val="22"/>
          <w:szCs w:val="22"/>
        </w:rPr>
        <w:t xml:space="preserve">kaulų skausmo </w:t>
      </w:r>
      <w:r>
        <w:rPr>
          <w:color w:val="auto"/>
          <w:sz w:val="22"/>
          <w:szCs w:val="22"/>
        </w:rPr>
        <w:t>ir kartais sukeliantis lūžius), kuris gali pasireikšti dėl inkstų kanalėlių ląstelių paž</w:t>
      </w:r>
      <w:r w:rsidR="00B74408">
        <w:rPr>
          <w:color w:val="auto"/>
          <w:sz w:val="22"/>
          <w:szCs w:val="22"/>
        </w:rPr>
        <w:t>aidos</w:t>
      </w:r>
      <w:r>
        <w:rPr>
          <w:color w:val="auto"/>
          <w:sz w:val="22"/>
          <w:szCs w:val="22"/>
        </w:rPr>
        <w:t xml:space="preserve">; </w:t>
      </w:r>
    </w:p>
    <w:p w14:paraId="16351C2F" w14:textId="77777777" w:rsidR="00102FDC" w:rsidRDefault="00102FDC" w:rsidP="00102FDC">
      <w:pPr>
        <w:pStyle w:val="Default"/>
        <w:numPr>
          <w:ilvl w:val="0"/>
          <w:numId w:val="33"/>
        </w:numPr>
        <w:tabs>
          <w:tab w:val="clear" w:pos="567"/>
          <w:tab w:val="num" w:pos="720"/>
        </w:tabs>
        <w:ind w:left="720" w:hanging="360"/>
        <w:rPr>
          <w:color w:val="auto"/>
          <w:sz w:val="22"/>
          <w:szCs w:val="22"/>
        </w:rPr>
      </w:pPr>
      <w:r>
        <w:rPr>
          <w:b/>
          <w:bCs/>
          <w:color w:val="auto"/>
          <w:sz w:val="22"/>
          <w:szCs w:val="22"/>
        </w:rPr>
        <w:t xml:space="preserve">kepenų suriebėjimas. </w:t>
      </w:r>
    </w:p>
    <w:p w14:paraId="0E86FA37" w14:textId="77777777" w:rsidR="00102FDC" w:rsidRDefault="00102FDC" w:rsidP="00102FDC">
      <w:pPr>
        <w:pStyle w:val="Default"/>
        <w:rPr>
          <w:b/>
          <w:bCs/>
          <w:color w:val="auto"/>
          <w:sz w:val="22"/>
          <w:szCs w:val="22"/>
        </w:rPr>
      </w:pPr>
    </w:p>
    <w:p w14:paraId="6B39B9DD" w14:textId="77777777" w:rsidR="006F490D" w:rsidRDefault="00102FDC" w:rsidP="00102FDC">
      <w:pPr>
        <w:pStyle w:val="Default"/>
        <w:rPr>
          <w:sz w:val="22"/>
          <w:szCs w:val="22"/>
        </w:rPr>
      </w:pPr>
      <w:r>
        <w:rPr>
          <w:b/>
          <w:bCs/>
          <w:color w:val="auto"/>
          <w:sz w:val="22"/>
          <w:szCs w:val="22"/>
        </w:rPr>
        <w:t>Jeigu manote, kad Jums pasireiškė kuris nors iš šio sunkau</w:t>
      </w:r>
      <w:r w:rsidR="00301834">
        <w:rPr>
          <w:b/>
          <w:bCs/>
          <w:color w:val="auto"/>
          <w:sz w:val="22"/>
          <w:szCs w:val="22"/>
        </w:rPr>
        <w:t>s</w:t>
      </w:r>
      <w:r>
        <w:rPr>
          <w:b/>
          <w:bCs/>
          <w:color w:val="auto"/>
          <w:sz w:val="22"/>
          <w:szCs w:val="22"/>
        </w:rPr>
        <w:t xml:space="preserve"> šalutinio poveikio atvejų, </w:t>
      </w:r>
      <w:r w:rsidR="004800B4">
        <w:rPr>
          <w:b/>
          <w:bCs/>
          <w:color w:val="auto"/>
          <w:sz w:val="22"/>
          <w:szCs w:val="22"/>
        </w:rPr>
        <w:t>praneškite savo</w:t>
      </w:r>
      <w:r>
        <w:rPr>
          <w:b/>
          <w:bCs/>
          <w:color w:val="auto"/>
          <w:sz w:val="22"/>
          <w:szCs w:val="22"/>
        </w:rPr>
        <w:t xml:space="preserve"> gydy</w:t>
      </w:r>
      <w:r w:rsidR="004800B4">
        <w:rPr>
          <w:b/>
          <w:bCs/>
          <w:color w:val="auto"/>
          <w:sz w:val="22"/>
          <w:szCs w:val="22"/>
        </w:rPr>
        <w:t>t</w:t>
      </w:r>
      <w:r>
        <w:rPr>
          <w:b/>
          <w:bCs/>
          <w:color w:val="auto"/>
          <w:sz w:val="22"/>
          <w:szCs w:val="22"/>
        </w:rPr>
        <w:t>oj</w:t>
      </w:r>
      <w:r w:rsidR="004800B4">
        <w:rPr>
          <w:b/>
          <w:bCs/>
          <w:color w:val="auto"/>
          <w:sz w:val="22"/>
          <w:szCs w:val="22"/>
        </w:rPr>
        <w:t>ui.</w:t>
      </w:r>
    </w:p>
    <w:p w14:paraId="209C41BB" w14:textId="77777777" w:rsidR="00102FDC" w:rsidRDefault="00102FDC" w:rsidP="00000219">
      <w:pPr>
        <w:pStyle w:val="Default"/>
        <w:rPr>
          <w:sz w:val="22"/>
          <w:szCs w:val="22"/>
        </w:rPr>
      </w:pPr>
    </w:p>
    <w:p w14:paraId="259272E2" w14:textId="266995F5" w:rsidR="004800B4" w:rsidRDefault="009132AC" w:rsidP="004800B4">
      <w:pPr>
        <w:pStyle w:val="Default"/>
        <w:rPr>
          <w:color w:val="auto"/>
          <w:sz w:val="22"/>
          <w:szCs w:val="22"/>
        </w:rPr>
      </w:pPr>
      <w:r>
        <w:rPr>
          <w:b/>
          <w:bCs/>
          <w:color w:val="auto"/>
          <w:sz w:val="22"/>
          <w:szCs w:val="22"/>
        </w:rPr>
        <w:t>D</w:t>
      </w:r>
      <w:r w:rsidR="004800B4">
        <w:rPr>
          <w:b/>
          <w:bCs/>
          <w:color w:val="auto"/>
          <w:sz w:val="22"/>
          <w:szCs w:val="22"/>
        </w:rPr>
        <w:t xml:space="preserve">ažniausias šalutinis poveikis </w:t>
      </w:r>
    </w:p>
    <w:p w14:paraId="7E4E1AAB" w14:textId="77777777" w:rsidR="004800B4" w:rsidRDefault="004800B4" w:rsidP="004800B4">
      <w:pPr>
        <w:pStyle w:val="Default"/>
        <w:rPr>
          <w:color w:val="auto"/>
          <w:sz w:val="22"/>
          <w:szCs w:val="22"/>
        </w:rPr>
      </w:pPr>
    </w:p>
    <w:p w14:paraId="156218C5" w14:textId="3BDCB1FB" w:rsidR="004800B4" w:rsidRDefault="004800B4" w:rsidP="004800B4">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labai dažnas </w:t>
      </w:r>
      <w:r>
        <w:rPr>
          <w:color w:val="auto"/>
          <w:sz w:val="22"/>
          <w:szCs w:val="22"/>
        </w:rPr>
        <w:t>(pasireiškia da</w:t>
      </w:r>
      <w:r w:rsidR="00871366">
        <w:rPr>
          <w:color w:val="auto"/>
          <w:sz w:val="22"/>
          <w:szCs w:val="22"/>
        </w:rPr>
        <w:t>žniau</w:t>
      </w:r>
      <w:r>
        <w:rPr>
          <w:color w:val="auto"/>
          <w:sz w:val="22"/>
          <w:szCs w:val="22"/>
        </w:rPr>
        <w:t xml:space="preserve"> kaip 1 iš 10 pacientų): </w:t>
      </w:r>
    </w:p>
    <w:p w14:paraId="6F5D00C6" w14:textId="3BAAA1A9" w:rsidR="004800B4" w:rsidRDefault="004800B4" w:rsidP="004800B4">
      <w:pPr>
        <w:pStyle w:val="Default"/>
        <w:numPr>
          <w:ilvl w:val="0"/>
          <w:numId w:val="34"/>
        </w:numPr>
        <w:tabs>
          <w:tab w:val="clear" w:pos="567"/>
          <w:tab w:val="num" w:pos="720"/>
        </w:tabs>
        <w:ind w:left="720" w:hanging="360"/>
        <w:rPr>
          <w:color w:val="auto"/>
          <w:sz w:val="22"/>
          <w:szCs w:val="22"/>
        </w:rPr>
      </w:pPr>
      <w:r>
        <w:rPr>
          <w:color w:val="auto"/>
          <w:sz w:val="22"/>
          <w:szCs w:val="22"/>
        </w:rPr>
        <w:t xml:space="preserve">viduriavimas, pykinimas, vėmimas, </w:t>
      </w:r>
      <w:r w:rsidR="009132AC">
        <w:rPr>
          <w:color w:val="auto"/>
          <w:sz w:val="22"/>
          <w:szCs w:val="22"/>
        </w:rPr>
        <w:t>svaigulys</w:t>
      </w:r>
      <w:r>
        <w:rPr>
          <w:color w:val="auto"/>
          <w:sz w:val="22"/>
          <w:szCs w:val="22"/>
        </w:rPr>
        <w:t>, išbėrimas, silpnumo pojūtis.</w:t>
      </w:r>
    </w:p>
    <w:p w14:paraId="5DF3A982" w14:textId="77777777" w:rsidR="004800B4" w:rsidRDefault="004800B4" w:rsidP="004800B4">
      <w:pPr>
        <w:pStyle w:val="Default"/>
        <w:rPr>
          <w:color w:val="auto"/>
          <w:sz w:val="22"/>
          <w:szCs w:val="22"/>
        </w:rPr>
      </w:pPr>
    </w:p>
    <w:p w14:paraId="67BACA8C" w14:textId="77777777" w:rsidR="004800B4" w:rsidRDefault="004800B4" w:rsidP="004800B4">
      <w:pPr>
        <w:pStyle w:val="Default"/>
        <w:rPr>
          <w:color w:val="auto"/>
          <w:sz w:val="22"/>
          <w:szCs w:val="22"/>
        </w:rPr>
      </w:pPr>
      <w:r>
        <w:rPr>
          <w:i/>
          <w:iCs/>
          <w:color w:val="auto"/>
          <w:sz w:val="22"/>
          <w:szCs w:val="22"/>
        </w:rPr>
        <w:t xml:space="preserve">Tyrimai taip pat gali rodyti: </w:t>
      </w:r>
    </w:p>
    <w:p w14:paraId="03F95366" w14:textId="77777777" w:rsidR="004800B4" w:rsidRDefault="004800B4" w:rsidP="004800B4">
      <w:pPr>
        <w:pStyle w:val="Default"/>
        <w:numPr>
          <w:ilvl w:val="0"/>
          <w:numId w:val="34"/>
        </w:numPr>
        <w:tabs>
          <w:tab w:val="clear" w:pos="567"/>
          <w:tab w:val="num" w:pos="720"/>
        </w:tabs>
        <w:ind w:left="720" w:hanging="360"/>
        <w:rPr>
          <w:color w:val="auto"/>
          <w:sz w:val="22"/>
          <w:szCs w:val="22"/>
        </w:rPr>
      </w:pPr>
      <w:r>
        <w:rPr>
          <w:color w:val="auto"/>
          <w:sz w:val="22"/>
          <w:szCs w:val="22"/>
        </w:rPr>
        <w:t xml:space="preserve">fosfatų kiekio kraujyje sumažėjimą. </w:t>
      </w:r>
    </w:p>
    <w:p w14:paraId="0F01312C" w14:textId="77777777" w:rsidR="004800B4" w:rsidRDefault="004800B4" w:rsidP="004800B4">
      <w:pPr>
        <w:pStyle w:val="Default"/>
      </w:pPr>
    </w:p>
    <w:p w14:paraId="3BC8128B" w14:textId="77777777" w:rsidR="004800B4" w:rsidRDefault="004800B4" w:rsidP="004800B4">
      <w:pPr>
        <w:pStyle w:val="Default"/>
        <w:rPr>
          <w:color w:val="auto"/>
          <w:sz w:val="22"/>
          <w:szCs w:val="22"/>
        </w:rPr>
      </w:pPr>
      <w:r>
        <w:rPr>
          <w:b/>
          <w:bCs/>
          <w:color w:val="auto"/>
          <w:sz w:val="22"/>
          <w:szCs w:val="22"/>
        </w:rPr>
        <w:t xml:space="preserve">Kitas galimas šalutinis poveikis </w:t>
      </w:r>
    </w:p>
    <w:p w14:paraId="057C22C2" w14:textId="77777777" w:rsidR="004800B4" w:rsidRDefault="004800B4" w:rsidP="004800B4">
      <w:pPr>
        <w:pStyle w:val="Default"/>
        <w:rPr>
          <w:color w:val="auto"/>
          <w:sz w:val="22"/>
          <w:szCs w:val="22"/>
        </w:rPr>
      </w:pPr>
    </w:p>
    <w:p w14:paraId="064E322A" w14:textId="1CA4BBA2" w:rsidR="004800B4" w:rsidRDefault="004800B4" w:rsidP="004800B4">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dažnas </w:t>
      </w:r>
      <w:r>
        <w:rPr>
          <w:color w:val="auto"/>
          <w:sz w:val="22"/>
          <w:szCs w:val="22"/>
        </w:rPr>
        <w:t xml:space="preserve">(pasireiškia </w:t>
      </w:r>
      <w:r w:rsidR="00871366">
        <w:rPr>
          <w:color w:val="auto"/>
          <w:sz w:val="22"/>
          <w:szCs w:val="22"/>
        </w:rPr>
        <w:t>rečiau</w:t>
      </w:r>
      <w:r>
        <w:rPr>
          <w:color w:val="auto"/>
          <w:sz w:val="22"/>
          <w:szCs w:val="22"/>
        </w:rPr>
        <w:t xml:space="preserve"> kaip 1 iš 10 pacientų): </w:t>
      </w:r>
    </w:p>
    <w:p w14:paraId="00E725E4" w14:textId="77777777" w:rsidR="004800B4" w:rsidRDefault="004800B4" w:rsidP="004800B4">
      <w:pPr>
        <w:pStyle w:val="Default"/>
        <w:numPr>
          <w:ilvl w:val="0"/>
          <w:numId w:val="34"/>
        </w:numPr>
        <w:tabs>
          <w:tab w:val="clear" w:pos="567"/>
          <w:tab w:val="num" w:pos="900"/>
        </w:tabs>
        <w:ind w:left="900" w:hanging="540"/>
        <w:rPr>
          <w:color w:val="auto"/>
          <w:sz w:val="22"/>
          <w:szCs w:val="22"/>
        </w:rPr>
      </w:pPr>
      <w:r>
        <w:rPr>
          <w:color w:val="auto"/>
          <w:sz w:val="22"/>
          <w:szCs w:val="22"/>
        </w:rPr>
        <w:t xml:space="preserve">galvos skausmas, pilvo skausmas, nuovargis, vidurių pūtimas, dujų kaupimasis žarnyne. </w:t>
      </w:r>
    </w:p>
    <w:p w14:paraId="3EA54AE2" w14:textId="77777777" w:rsidR="004800B4" w:rsidRDefault="004800B4" w:rsidP="004800B4">
      <w:pPr>
        <w:pStyle w:val="Default"/>
        <w:rPr>
          <w:color w:val="auto"/>
          <w:sz w:val="22"/>
          <w:szCs w:val="22"/>
        </w:rPr>
      </w:pPr>
    </w:p>
    <w:p w14:paraId="66369CA3" w14:textId="77777777" w:rsidR="004800B4" w:rsidRDefault="004800B4" w:rsidP="004800B4">
      <w:pPr>
        <w:pStyle w:val="Default"/>
        <w:rPr>
          <w:color w:val="auto"/>
          <w:sz w:val="22"/>
          <w:szCs w:val="22"/>
        </w:rPr>
      </w:pPr>
      <w:r>
        <w:rPr>
          <w:i/>
          <w:iCs/>
          <w:color w:val="auto"/>
          <w:sz w:val="22"/>
          <w:szCs w:val="22"/>
        </w:rPr>
        <w:t xml:space="preserve">Tyrimai taip pat gali rodyti: </w:t>
      </w:r>
    </w:p>
    <w:p w14:paraId="58240B08" w14:textId="77777777" w:rsidR="004800B4" w:rsidRDefault="004800B4" w:rsidP="004800B4">
      <w:pPr>
        <w:pStyle w:val="Default"/>
        <w:numPr>
          <w:ilvl w:val="0"/>
          <w:numId w:val="34"/>
        </w:numPr>
        <w:tabs>
          <w:tab w:val="clear" w:pos="567"/>
          <w:tab w:val="num" w:pos="900"/>
        </w:tabs>
        <w:ind w:left="900" w:hanging="540"/>
        <w:rPr>
          <w:color w:val="auto"/>
          <w:sz w:val="22"/>
          <w:szCs w:val="22"/>
        </w:rPr>
      </w:pPr>
      <w:r>
        <w:rPr>
          <w:color w:val="auto"/>
          <w:sz w:val="22"/>
          <w:szCs w:val="22"/>
        </w:rPr>
        <w:t xml:space="preserve">kepenų sutrikimus. </w:t>
      </w:r>
    </w:p>
    <w:p w14:paraId="79C8085F" w14:textId="77777777" w:rsidR="004800B4" w:rsidRDefault="004800B4" w:rsidP="004800B4">
      <w:pPr>
        <w:pStyle w:val="Default"/>
        <w:rPr>
          <w:color w:val="auto"/>
          <w:sz w:val="22"/>
          <w:szCs w:val="22"/>
        </w:rPr>
      </w:pPr>
    </w:p>
    <w:p w14:paraId="09F615E2" w14:textId="76BEFA55" w:rsidR="004800B4" w:rsidRDefault="004800B4" w:rsidP="004800B4">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nedažnas </w:t>
      </w:r>
      <w:r>
        <w:rPr>
          <w:color w:val="auto"/>
          <w:sz w:val="22"/>
          <w:szCs w:val="22"/>
        </w:rPr>
        <w:t xml:space="preserve">(pasireiškia </w:t>
      </w:r>
      <w:r w:rsidR="00871366">
        <w:rPr>
          <w:color w:val="auto"/>
          <w:sz w:val="22"/>
          <w:szCs w:val="22"/>
        </w:rPr>
        <w:t>rečiau</w:t>
      </w:r>
      <w:r>
        <w:rPr>
          <w:color w:val="auto"/>
          <w:sz w:val="22"/>
          <w:szCs w:val="22"/>
        </w:rPr>
        <w:t xml:space="preserve"> kaip 1 iš 100 pacientų): </w:t>
      </w:r>
    </w:p>
    <w:p w14:paraId="40B22BD6" w14:textId="77777777" w:rsidR="004800B4" w:rsidRDefault="004800B4" w:rsidP="004800B4">
      <w:pPr>
        <w:pStyle w:val="Default"/>
        <w:numPr>
          <w:ilvl w:val="0"/>
          <w:numId w:val="34"/>
        </w:numPr>
        <w:tabs>
          <w:tab w:val="clear" w:pos="567"/>
          <w:tab w:val="num" w:pos="900"/>
        </w:tabs>
        <w:ind w:left="900" w:hanging="540"/>
        <w:rPr>
          <w:color w:val="auto"/>
          <w:sz w:val="22"/>
          <w:szCs w:val="22"/>
        </w:rPr>
      </w:pPr>
      <w:r>
        <w:rPr>
          <w:color w:val="auto"/>
          <w:sz w:val="22"/>
          <w:szCs w:val="22"/>
        </w:rPr>
        <w:t xml:space="preserve">raumenų irimas, raumenų skausmas arba silpnumas. </w:t>
      </w:r>
    </w:p>
    <w:p w14:paraId="0E487515" w14:textId="77777777" w:rsidR="004800B4" w:rsidRDefault="004800B4" w:rsidP="004800B4">
      <w:pPr>
        <w:pStyle w:val="Default"/>
        <w:tabs>
          <w:tab w:val="num" w:pos="900"/>
        </w:tabs>
        <w:ind w:left="900" w:hanging="540"/>
        <w:rPr>
          <w:color w:val="auto"/>
          <w:sz w:val="22"/>
          <w:szCs w:val="22"/>
        </w:rPr>
      </w:pPr>
    </w:p>
    <w:p w14:paraId="0CC04CEC" w14:textId="77777777" w:rsidR="004800B4" w:rsidRDefault="004800B4" w:rsidP="00164838">
      <w:pPr>
        <w:pStyle w:val="Default"/>
        <w:rPr>
          <w:color w:val="auto"/>
          <w:sz w:val="22"/>
          <w:szCs w:val="22"/>
        </w:rPr>
      </w:pPr>
      <w:r>
        <w:rPr>
          <w:i/>
          <w:iCs/>
          <w:color w:val="auto"/>
          <w:sz w:val="22"/>
          <w:szCs w:val="22"/>
        </w:rPr>
        <w:t xml:space="preserve">Tyrimai taip pat gali rodyti: </w:t>
      </w:r>
    </w:p>
    <w:p w14:paraId="4853A63E" w14:textId="77777777" w:rsidR="004800B4" w:rsidRDefault="004800B4" w:rsidP="004800B4">
      <w:pPr>
        <w:pStyle w:val="Default"/>
        <w:numPr>
          <w:ilvl w:val="0"/>
          <w:numId w:val="34"/>
        </w:numPr>
        <w:tabs>
          <w:tab w:val="clear" w:pos="567"/>
          <w:tab w:val="num" w:pos="900"/>
        </w:tabs>
        <w:ind w:left="900" w:hanging="540"/>
        <w:rPr>
          <w:color w:val="auto"/>
          <w:sz w:val="22"/>
          <w:szCs w:val="22"/>
        </w:rPr>
      </w:pPr>
      <w:r>
        <w:rPr>
          <w:color w:val="auto"/>
          <w:sz w:val="22"/>
          <w:szCs w:val="22"/>
        </w:rPr>
        <w:t>kalio kiekio kraujyje sumažėjimą;</w:t>
      </w:r>
    </w:p>
    <w:p w14:paraId="4C1D6E51" w14:textId="77777777" w:rsidR="004800B4" w:rsidRDefault="004800B4" w:rsidP="004800B4">
      <w:pPr>
        <w:pStyle w:val="Default"/>
        <w:numPr>
          <w:ilvl w:val="0"/>
          <w:numId w:val="34"/>
        </w:numPr>
        <w:tabs>
          <w:tab w:val="clear" w:pos="567"/>
          <w:tab w:val="num" w:pos="900"/>
        </w:tabs>
        <w:ind w:left="714" w:hanging="357"/>
        <w:rPr>
          <w:color w:val="auto"/>
          <w:sz w:val="22"/>
          <w:szCs w:val="22"/>
        </w:rPr>
      </w:pPr>
      <w:r>
        <w:rPr>
          <w:color w:val="auto"/>
          <w:sz w:val="22"/>
          <w:szCs w:val="22"/>
        </w:rPr>
        <w:t>kreatinino kiek</w:t>
      </w:r>
      <w:r w:rsidR="00B74408">
        <w:rPr>
          <w:color w:val="auto"/>
          <w:sz w:val="22"/>
          <w:szCs w:val="22"/>
        </w:rPr>
        <w:t>io kraujyje padidėjimą;</w:t>
      </w:r>
      <w:r>
        <w:rPr>
          <w:color w:val="auto"/>
          <w:sz w:val="22"/>
          <w:szCs w:val="22"/>
        </w:rPr>
        <w:t xml:space="preserve"> </w:t>
      </w:r>
    </w:p>
    <w:p w14:paraId="201DF271" w14:textId="77777777" w:rsidR="004800B4" w:rsidRDefault="004800B4" w:rsidP="004800B4">
      <w:pPr>
        <w:pStyle w:val="Default"/>
        <w:numPr>
          <w:ilvl w:val="0"/>
          <w:numId w:val="34"/>
        </w:numPr>
        <w:tabs>
          <w:tab w:val="clear" w:pos="567"/>
          <w:tab w:val="num" w:pos="720"/>
        </w:tabs>
        <w:ind w:left="714" w:hanging="357"/>
        <w:rPr>
          <w:color w:val="auto"/>
          <w:sz w:val="22"/>
          <w:szCs w:val="22"/>
        </w:rPr>
      </w:pPr>
      <w:r>
        <w:rPr>
          <w:color w:val="auto"/>
          <w:sz w:val="22"/>
          <w:szCs w:val="22"/>
        </w:rPr>
        <w:t>kasos sutrikimus</w:t>
      </w:r>
      <w:r w:rsidR="00B74408">
        <w:rPr>
          <w:color w:val="auto"/>
          <w:sz w:val="22"/>
          <w:szCs w:val="22"/>
        </w:rPr>
        <w:t>.</w:t>
      </w:r>
      <w:r>
        <w:rPr>
          <w:color w:val="auto"/>
          <w:sz w:val="22"/>
          <w:szCs w:val="22"/>
        </w:rPr>
        <w:t xml:space="preserve"> </w:t>
      </w:r>
    </w:p>
    <w:p w14:paraId="37EAAACC" w14:textId="77777777" w:rsidR="004800B4" w:rsidRDefault="004800B4" w:rsidP="004800B4">
      <w:pPr>
        <w:pStyle w:val="Default"/>
        <w:tabs>
          <w:tab w:val="num" w:pos="900"/>
        </w:tabs>
        <w:ind w:left="900" w:hanging="360"/>
        <w:rPr>
          <w:color w:val="auto"/>
          <w:sz w:val="22"/>
          <w:szCs w:val="22"/>
        </w:rPr>
      </w:pPr>
    </w:p>
    <w:p w14:paraId="40A73478" w14:textId="77777777" w:rsidR="004800B4" w:rsidRDefault="004800B4" w:rsidP="004800B4">
      <w:pPr>
        <w:pStyle w:val="Default"/>
        <w:rPr>
          <w:color w:val="auto"/>
          <w:sz w:val="22"/>
          <w:szCs w:val="22"/>
        </w:rPr>
      </w:pPr>
      <w:r>
        <w:rPr>
          <w:color w:val="auto"/>
          <w:sz w:val="22"/>
          <w:szCs w:val="22"/>
        </w:rPr>
        <w:lastRenderedPageBreak/>
        <w:t>Raumenų irimas, kaulų suminkštėjimas (lydimas kaulų skausm</w:t>
      </w:r>
      <w:r w:rsidR="00B74408">
        <w:rPr>
          <w:color w:val="auto"/>
          <w:sz w:val="22"/>
          <w:szCs w:val="22"/>
        </w:rPr>
        <w:t>o</w:t>
      </w:r>
      <w:r>
        <w:rPr>
          <w:color w:val="auto"/>
          <w:sz w:val="22"/>
          <w:szCs w:val="22"/>
        </w:rPr>
        <w:t xml:space="preserve"> ir kartais sukeliantis lūžius), raumenų skausmas, raumenų silpnumas, kalio ir fosfatų kiekio kraujyje sumažėjimas gali atsirasti dėl inkstų kanalėlių ląstelių paž</w:t>
      </w:r>
      <w:r w:rsidR="00B74408">
        <w:rPr>
          <w:color w:val="auto"/>
          <w:sz w:val="22"/>
          <w:szCs w:val="22"/>
        </w:rPr>
        <w:t>aidos</w:t>
      </w:r>
      <w:r>
        <w:rPr>
          <w:color w:val="auto"/>
          <w:sz w:val="22"/>
          <w:szCs w:val="22"/>
        </w:rPr>
        <w:t xml:space="preserve">. </w:t>
      </w:r>
    </w:p>
    <w:p w14:paraId="6994A9B2" w14:textId="77777777" w:rsidR="00B74408" w:rsidRDefault="00B74408" w:rsidP="004800B4">
      <w:pPr>
        <w:pStyle w:val="Default"/>
        <w:rPr>
          <w:color w:val="auto"/>
          <w:sz w:val="22"/>
          <w:szCs w:val="22"/>
        </w:rPr>
      </w:pPr>
    </w:p>
    <w:p w14:paraId="073F0429" w14:textId="17968FD5" w:rsidR="004800B4" w:rsidRDefault="004800B4" w:rsidP="004800B4">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retas </w:t>
      </w:r>
      <w:r>
        <w:rPr>
          <w:color w:val="auto"/>
          <w:sz w:val="22"/>
          <w:szCs w:val="22"/>
        </w:rPr>
        <w:t xml:space="preserve">(pasireiškia </w:t>
      </w:r>
      <w:r w:rsidR="00871366">
        <w:rPr>
          <w:color w:val="auto"/>
          <w:sz w:val="22"/>
          <w:szCs w:val="22"/>
        </w:rPr>
        <w:t>rečiau</w:t>
      </w:r>
      <w:r>
        <w:rPr>
          <w:color w:val="auto"/>
          <w:sz w:val="22"/>
          <w:szCs w:val="22"/>
        </w:rPr>
        <w:t xml:space="preserve"> kaip 1 iš 1000 pacientų): </w:t>
      </w:r>
    </w:p>
    <w:p w14:paraId="178F3AFD" w14:textId="77777777" w:rsidR="004800B4" w:rsidRDefault="00B74408" w:rsidP="00B74408">
      <w:pPr>
        <w:pStyle w:val="Default"/>
        <w:numPr>
          <w:ilvl w:val="0"/>
          <w:numId w:val="35"/>
        </w:numPr>
        <w:tabs>
          <w:tab w:val="clear" w:pos="567"/>
          <w:tab w:val="num" w:pos="900"/>
        </w:tabs>
        <w:ind w:left="714" w:hanging="357"/>
        <w:rPr>
          <w:color w:val="auto"/>
          <w:sz w:val="22"/>
          <w:szCs w:val="22"/>
        </w:rPr>
      </w:pPr>
      <w:r>
        <w:rPr>
          <w:color w:val="auto"/>
          <w:sz w:val="22"/>
          <w:szCs w:val="22"/>
        </w:rPr>
        <w:t xml:space="preserve">kepenų uždegimo sukeltas </w:t>
      </w:r>
      <w:r w:rsidR="004800B4">
        <w:rPr>
          <w:color w:val="auto"/>
          <w:sz w:val="22"/>
          <w:szCs w:val="22"/>
        </w:rPr>
        <w:t>pilvo skausmas</w:t>
      </w:r>
      <w:r>
        <w:rPr>
          <w:color w:val="auto"/>
          <w:sz w:val="22"/>
          <w:szCs w:val="22"/>
        </w:rPr>
        <w:t>;</w:t>
      </w:r>
      <w:r w:rsidR="004800B4">
        <w:rPr>
          <w:color w:val="auto"/>
          <w:sz w:val="22"/>
          <w:szCs w:val="22"/>
        </w:rPr>
        <w:t xml:space="preserve"> </w:t>
      </w:r>
    </w:p>
    <w:p w14:paraId="6CD6C82F" w14:textId="77777777" w:rsidR="004800B4" w:rsidRDefault="004800B4" w:rsidP="00B74408">
      <w:pPr>
        <w:pStyle w:val="Default"/>
        <w:numPr>
          <w:ilvl w:val="0"/>
          <w:numId w:val="35"/>
        </w:numPr>
        <w:tabs>
          <w:tab w:val="clear" w:pos="567"/>
          <w:tab w:val="num" w:pos="900"/>
        </w:tabs>
        <w:ind w:left="714" w:hanging="357"/>
        <w:rPr>
          <w:color w:val="auto"/>
          <w:sz w:val="22"/>
          <w:szCs w:val="22"/>
        </w:rPr>
      </w:pPr>
      <w:r>
        <w:rPr>
          <w:color w:val="auto"/>
          <w:sz w:val="22"/>
          <w:szCs w:val="22"/>
        </w:rPr>
        <w:t>veido, lūpų, liežuvio arba ryklės tinimas</w:t>
      </w:r>
      <w:r w:rsidR="00301834">
        <w:rPr>
          <w:color w:val="auto"/>
          <w:sz w:val="22"/>
          <w:szCs w:val="22"/>
        </w:rPr>
        <w:t>.</w:t>
      </w:r>
      <w:r>
        <w:rPr>
          <w:color w:val="auto"/>
          <w:sz w:val="22"/>
          <w:szCs w:val="22"/>
        </w:rPr>
        <w:t xml:space="preserve"> </w:t>
      </w:r>
    </w:p>
    <w:p w14:paraId="06CAAFD5" w14:textId="77777777" w:rsidR="004800B4" w:rsidRDefault="004800B4" w:rsidP="00B74408">
      <w:pPr>
        <w:pStyle w:val="Default"/>
        <w:tabs>
          <w:tab w:val="num" w:pos="900"/>
        </w:tabs>
        <w:ind w:left="714" w:hanging="357"/>
        <w:rPr>
          <w:color w:val="auto"/>
          <w:sz w:val="22"/>
          <w:szCs w:val="22"/>
        </w:rPr>
      </w:pPr>
    </w:p>
    <w:p w14:paraId="28C8427E" w14:textId="77777777" w:rsidR="00B74408" w:rsidRPr="00B74408" w:rsidRDefault="00B74408" w:rsidP="00B74408">
      <w:pPr>
        <w:rPr>
          <w:b/>
          <w:szCs w:val="22"/>
        </w:rPr>
      </w:pPr>
      <w:r w:rsidRPr="00B74408">
        <w:rPr>
          <w:b/>
          <w:noProof/>
          <w:szCs w:val="22"/>
        </w:rPr>
        <w:t>Pranešimas apie šalutinį poveikį</w:t>
      </w:r>
    </w:p>
    <w:p w14:paraId="25AB9386" w14:textId="77777777" w:rsidR="00102FDC" w:rsidRPr="00B74408" w:rsidRDefault="00B74408" w:rsidP="00B74408">
      <w:pPr>
        <w:pStyle w:val="Default"/>
        <w:rPr>
          <w:sz w:val="22"/>
          <w:szCs w:val="22"/>
        </w:rPr>
      </w:pPr>
      <w:r w:rsidRPr="00B74408">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74408">
        <w:rPr>
          <w:sz w:val="22"/>
          <w:szCs w:val="22"/>
          <w:lang w:eastAsia="zh-CN"/>
        </w:rPr>
        <w:t>elefonu 8 800 73568</w:t>
      </w:r>
      <w:r w:rsidRPr="00B74408">
        <w:rPr>
          <w:sz w:val="22"/>
          <w:szCs w:val="22"/>
        </w:rPr>
        <w:t xml:space="preserve"> arba užpildyti interneto svetainėje </w:t>
      </w:r>
      <w:hyperlink r:id="rId12" w:history="1">
        <w:r w:rsidRPr="00B74408">
          <w:rPr>
            <w:rStyle w:val="Hipersaitas"/>
            <w:rFonts w:eastAsia="SimSun"/>
            <w:sz w:val="22"/>
            <w:szCs w:val="22"/>
          </w:rPr>
          <w:t>www.vvkt.lt</w:t>
        </w:r>
      </w:hyperlink>
      <w:r w:rsidRPr="00B74408">
        <w:rPr>
          <w:sz w:val="22"/>
          <w:szCs w:val="22"/>
        </w:rPr>
        <w:t xml:space="preserve"> esančią formą ir pateikti ją Valstybinei vaistų kontrolės tarnybai prie Lietuvos Respublikos sveikatos apsaugos ministerijos vienu iš šių būdų: raštu (adresu Žirmūnų g. 139A, LT-09120 Vilnius), </w:t>
      </w:r>
      <w:r w:rsidRPr="00B74408">
        <w:rPr>
          <w:sz w:val="22"/>
          <w:szCs w:val="22"/>
          <w:lang w:eastAsia="zh-CN"/>
        </w:rPr>
        <w:t xml:space="preserve">nemokamu </w:t>
      </w:r>
      <w:r w:rsidRPr="00B74408">
        <w:rPr>
          <w:sz w:val="22"/>
          <w:szCs w:val="22"/>
        </w:rPr>
        <w:t>fakso numeriu 8 800 20131</w:t>
      </w:r>
      <w:r w:rsidRPr="00B74408">
        <w:rPr>
          <w:sz w:val="22"/>
          <w:szCs w:val="22"/>
          <w:lang w:eastAsia="zh-CN"/>
        </w:rPr>
        <w:t xml:space="preserve">, </w:t>
      </w:r>
      <w:r w:rsidRPr="00B74408">
        <w:rPr>
          <w:sz w:val="22"/>
          <w:szCs w:val="22"/>
        </w:rPr>
        <w:t xml:space="preserve">el. paštu </w:t>
      </w:r>
      <w:hyperlink r:id="rId13" w:history="1">
        <w:r w:rsidRPr="00B74408">
          <w:rPr>
            <w:rStyle w:val="Hipersaitas"/>
            <w:rFonts w:eastAsia="SimSun"/>
            <w:sz w:val="22"/>
            <w:szCs w:val="22"/>
          </w:rPr>
          <w:t>NepageidaujamaR@vvkt.lt</w:t>
        </w:r>
      </w:hyperlink>
      <w:r w:rsidRPr="00B74408">
        <w:rPr>
          <w:sz w:val="22"/>
          <w:szCs w:val="22"/>
        </w:rPr>
        <w:t xml:space="preserve">, taip pat per Valstybinės vaistų kontrolės tarnybos prie Lietuvos Respublikos sveikatos apsaugos ministerijos interneto svetainę (adresu </w:t>
      </w:r>
      <w:hyperlink r:id="rId14" w:history="1">
        <w:r w:rsidRPr="00B74408">
          <w:rPr>
            <w:rStyle w:val="Hipersaitas"/>
            <w:rFonts w:eastAsia="SimSun"/>
            <w:sz w:val="22"/>
            <w:szCs w:val="22"/>
          </w:rPr>
          <w:t>http://www.vvkt.lt</w:t>
        </w:r>
      </w:hyperlink>
      <w:r w:rsidRPr="00B74408">
        <w:rPr>
          <w:sz w:val="22"/>
          <w:szCs w:val="22"/>
        </w:rPr>
        <w:t>). Pranešdami apie šalutinį poveikį galite mums padėti gauti daugiau informacijos apie šio vaisto saugumą</w:t>
      </w:r>
    </w:p>
    <w:p w14:paraId="4247348D" w14:textId="77777777" w:rsidR="006D2D23" w:rsidRPr="0046556E" w:rsidRDefault="006D2D23" w:rsidP="006D2D23">
      <w:pPr>
        <w:tabs>
          <w:tab w:val="left" w:pos="567"/>
        </w:tabs>
        <w:rPr>
          <w:rFonts w:eastAsia="Verdana"/>
          <w:szCs w:val="22"/>
          <w:lang w:eastAsia="en-GB"/>
        </w:rPr>
      </w:pPr>
    </w:p>
    <w:p w14:paraId="40B7D9E4" w14:textId="77777777" w:rsidR="006D2D23" w:rsidRPr="0046556E" w:rsidRDefault="006D2D23" w:rsidP="006D2D23">
      <w:pPr>
        <w:numPr>
          <w:ilvl w:val="12"/>
          <w:numId w:val="0"/>
        </w:numPr>
        <w:tabs>
          <w:tab w:val="left" w:pos="567"/>
        </w:tabs>
        <w:ind w:right="-2"/>
        <w:rPr>
          <w:szCs w:val="22"/>
          <w:lang w:eastAsia="en-US"/>
        </w:rPr>
      </w:pPr>
    </w:p>
    <w:p w14:paraId="682EE368" w14:textId="77777777" w:rsidR="006D2D23" w:rsidRPr="0046556E" w:rsidRDefault="006D2D23" w:rsidP="006D2D23">
      <w:pPr>
        <w:numPr>
          <w:ilvl w:val="12"/>
          <w:numId w:val="0"/>
        </w:numPr>
        <w:tabs>
          <w:tab w:val="left" w:pos="567"/>
        </w:tabs>
        <w:ind w:left="567" w:right="-2" w:hanging="567"/>
        <w:rPr>
          <w:szCs w:val="22"/>
          <w:lang w:eastAsia="en-US"/>
        </w:rPr>
      </w:pPr>
      <w:r w:rsidRPr="0046556E">
        <w:rPr>
          <w:b/>
          <w:szCs w:val="22"/>
          <w:lang w:eastAsia="en-US"/>
        </w:rPr>
        <w:t>5.</w:t>
      </w:r>
      <w:r w:rsidRPr="0046556E">
        <w:rPr>
          <w:b/>
          <w:szCs w:val="22"/>
          <w:lang w:eastAsia="en-US"/>
        </w:rPr>
        <w:tab/>
        <w:t xml:space="preserve">Kaip laikyti </w:t>
      </w:r>
      <w:r w:rsidR="000C3DCC">
        <w:rPr>
          <w:b/>
          <w:szCs w:val="22"/>
          <w:lang w:eastAsia="en-US"/>
        </w:rPr>
        <w:t xml:space="preserve">Tenofovir disoproxil </w:t>
      </w:r>
      <w:r w:rsidR="00116E51">
        <w:rPr>
          <w:b/>
          <w:szCs w:val="22"/>
          <w:lang w:eastAsia="en-US"/>
        </w:rPr>
        <w:t>Sandoz</w:t>
      </w:r>
    </w:p>
    <w:p w14:paraId="69D6F5FA" w14:textId="77777777" w:rsidR="006D2D23" w:rsidRPr="0046556E" w:rsidRDefault="006D2D23" w:rsidP="006D2D23">
      <w:pPr>
        <w:numPr>
          <w:ilvl w:val="12"/>
          <w:numId w:val="0"/>
        </w:numPr>
        <w:tabs>
          <w:tab w:val="left" w:pos="567"/>
        </w:tabs>
        <w:ind w:right="-2"/>
        <w:rPr>
          <w:szCs w:val="22"/>
          <w:lang w:eastAsia="en-US"/>
        </w:rPr>
      </w:pPr>
    </w:p>
    <w:p w14:paraId="76A778EB" w14:textId="77777777" w:rsidR="006D2D23" w:rsidRPr="0046556E" w:rsidRDefault="006D2D23" w:rsidP="006D2D23">
      <w:pPr>
        <w:tabs>
          <w:tab w:val="left" w:pos="567"/>
        </w:tabs>
        <w:autoSpaceDE w:val="0"/>
        <w:autoSpaceDN w:val="0"/>
        <w:adjustRightInd w:val="0"/>
        <w:rPr>
          <w:szCs w:val="22"/>
          <w:lang w:eastAsia="en-US"/>
        </w:rPr>
      </w:pPr>
      <w:r w:rsidRPr="0046556E">
        <w:rPr>
          <w:szCs w:val="22"/>
          <w:lang w:eastAsia="en-US"/>
        </w:rPr>
        <w:t>Šį vaistą laikykite vaikams nepastebimoje ir nepasiekiamoje vietoje.</w:t>
      </w:r>
    </w:p>
    <w:p w14:paraId="11D6CE4E" w14:textId="77777777" w:rsidR="004C49C7" w:rsidRPr="0046556E" w:rsidRDefault="004C49C7" w:rsidP="004C49C7">
      <w:pPr>
        <w:numPr>
          <w:ilvl w:val="12"/>
          <w:numId w:val="0"/>
        </w:numPr>
        <w:tabs>
          <w:tab w:val="left" w:pos="567"/>
        </w:tabs>
        <w:ind w:right="-2"/>
        <w:rPr>
          <w:szCs w:val="22"/>
          <w:lang w:eastAsia="en-US"/>
        </w:rPr>
      </w:pPr>
    </w:p>
    <w:p w14:paraId="316955E3" w14:textId="77777777" w:rsidR="00053F3B" w:rsidRDefault="004C49C7" w:rsidP="004C49C7">
      <w:pPr>
        <w:numPr>
          <w:ilvl w:val="12"/>
          <w:numId w:val="0"/>
        </w:numPr>
        <w:tabs>
          <w:tab w:val="left" w:pos="567"/>
        </w:tabs>
        <w:ind w:right="-2"/>
        <w:rPr>
          <w:szCs w:val="22"/>
          <w:lang w:eastAsia="en-US"/>
        </w:rPr>
      </w:pPr>
      <w:r w:rsidRPr="0046556E">
        <w:rPr>
          <w:szCs w:val="22"/>
          <w:lang w:eastAsia="en-US"/>
        </w:rPr>
        <w:t>Ant kartono dėžutės</w:t>
      </w:r>
      <w:r w:rsidR="00DA50B0" w:rsidRPr="0046556E">
        <w:rPr>
          <w:szCs w:val="22"/>
          <w:lang w:eastAsia="en-US"/>
        </w:rPr>
        <w:t xml:space="preserve">, buteliuko </w:t>
      </w:r>
      <w:r w:rsidRPr="0046556E">
        <w:rPr>
          <w:szCs w:val="22"/>
          <w:lang w:eastAsia="en-US"/>
        </w:rPr>
        <w:t xml:space="preserve">etiketės </w:t>
      </w:r>
      <w:r w:rsidR="00DA50B0" w:rsidRPr="0046556E">
        <w:rPr>
          <w:szCs w:val="22"/>
          <w:lang w:eastAsia="en-US"/>
        </w:rPr>
        <w:t xml:space="preserve">ir lizdinės plokštelės </w:t>
      </w:r>
      <w:r w:rsidRPr="0046556E">
        <w:rPr>
          <w:szCs w:val="22"/>
          <w:lang w:eastAsia="en-US"/>
        </w:rPr>
        <w:t>po „</w:t>
      </w:r>
      <w:r w:rsidR="00DA50B0" w:rsidRPr="0046556E">
        <w:rPr>
          <w:szCs w:val="22"/>
          <w:lang w:eastAsia="en-US"/>
        </w:rPr>
        <w:t>EXP</w:t>
      </w:r>
      <w:r w:rsidR="00CD71ED">
        <w:rPr>
          <w:szCs w:val="22"/>
          <w:lang w:eastAsia="en-US"/>
        </w:rPr>
        <w:t>“</w:t>
      </w:r>
      <w:r w:rsidRPr="0046556E">
        <w:rPr>
          <w:szCs w:val="22"/>
          <w:lang w:eastAsia="en-US"/>
        </w:rPr>
        <w:t xml:space="preserve"> nurodytam tinkamumo laikui pasibaigus, šio vaisto vartoti negalima. </w:t>
      </w:r>
    </w:p>
    <w:p w14:paraId="78B52E6B" w14:textId="3110C1DA" w:rsidR="004C49C7" w:rsidRPr="0046556E" w:rsidRDefault="004C49C7" w:rsidP="004C49C7">
      <w:pPr>
        <w:numPr>
          <w:ilvl w:val="12"/>
          <w:numId w:val="0"/>
        </w:numPr>
        <w:tabs>
          <w:tab w:val="left" w:pos="567"/>
        </w:tabs>
        <w:ind w:right="-2"/>
        <w:rPr>
          <w:szCs w:val="22"/>
          <w:lang w:eastAsia="en-US"/>
        </w:rPr>
      </w:pPr>
      <w:r w:rsidRPr="0046556E">
        <w:rPr>
          <w:szCs w:val="22"/>
          <w:lang w:eastAsia="en-US"/>
        </w:rPr>
        <w:t>Vaistas tinkamas vartoti iki paskutinės nurodyto mėnesio dienos.</w:t>
      </w:r>
    </w:p>
    <w:p w14:paraId="59C2C5E4" w14:textId="77777777" w:rsidR="006D2D23" w:rsidRPr="0046556E" w:rsidRDefault="006D2D23" w:rsidP="006D2D23">
      <w:pPr>
        <w:tabs>
          <w:tab w:val="left" w:pos="567"/>
        </w:tabs>
        <w:autoSpaceDE w:val="0"/>
        <w:autoSpaceDN w:val="0"/>
        <w:adjustRightInd w:val="0"/>
        <w:rPr>
          <w:color w:val="000000"/>
          <w:szCs w:val="22"/>
          <w:lang w:eastAsia="en-US"/>
        </w:rPr>
      </w:pPr>
    </w:p>
    <w:p w14:paraId="202EA1F5" w14:textId="77777777" w:rsidR="00ED1D3E" w:rsidRDefault="00ED1D3E" w:rsidP="00ED1D3E">
      <w:pPr>
        <w:tabs>
          <w:tab w:val="left" w:pos="567"/>
        </w:tabs>
        <w:autoSpaceDE w:val="0"/>
        <w:autoSpaceDN w:val="0"/>
        <w:adjustRightInd w:val="0"/>
        <w:rPr>
          <w:color w:val="000000"/>
          <w:szCs w:val="22"/>
          <w:lang w:eastAsia="en-US"/>
        </w:rPr>
      </w:pPr>
      <w:r w:rsidRPr="0031500D">
        <w:rPr>
          <w:color w:val="000000"/>
          <w:szCs w:val="22"/>
          <w:lang w:eastAsia="en-US"/>
        </w:rPr>
        <w:t>Šiam vais</w:t>
      </w:r>
      <w:r>
        <w:rPr>
          <w:color w:val="000000"/>
          <w:szCs w:val="22"/>
          <w:lang w:eastAsia="en-US"/>
        </w:rPr>
        <w:t>tui</w:t>
      </w:r>
      <w:r w:rsidRPr="0031500D">
        <w:rPr>
          <w:color w:val="000000"/>
          <w:szCs w:val="22"/>
          <w:lang w:eastAsia="en-US"/>
        </w:rPr>
        <w:t xml:space="preserve"> specialių laikymo sąlygų nereikia.</w:t>
      </w:r>
    </w:p>
    <w:p w14:paraId="3807FD96" w14:textId="77777777" w:rsidR="0089322D" w:rsidRDefault="0089322D" w:rsidP="00ED1D3E">
      <w:pPr>
        <w:tabs>
          <w:tab w:val="left" w:pos="567"/>
        </w:tabs>
        <w:autoSpaceDE w:val="0"/>
        <w:autoSpaceDN w:val="0"/>
        <w:adjustRightInd w:val="0"/>
        <w:rPr>
          <w:color w:val="000000"/>
          <w:szCs w:val="22"/>
          <w:lang w:eastAsia="en-US"/>
        </w:rPr>
      </w:pPr>
    </w:p>
    <w:p w14:paraId="25982535" w14:textId="77777777" w:rsidR="0089322D" w:rsidRPr="0031500D" w:rsidRDefault="00B74408" w:rsidP="00ED1D3E">
      <w:pPr>
        <w:tabs>
          <w:tab w:val="left" w:pos="567"/>
        </w:tabs>
        <w:autoSpaceDE w:val="0"/>
        <w:autoSpaceDN w:val="0"/>
        <w:adjustRightInd w:val="0"/>
        <w:rPr>
          <w:color w:val="000000"/>
          <w:szCs w:val="22"/>
          <w:lang w:eastAsia="en-US"/>
        </w:rPr>
      </w:pPr>
      <w:r>
        <w:rPr>
          <w:color w:val="000000"/>
          <w:szCs w:val="22"/>
          <w:lang w:eastAsia="en-US"/>
        </w:rPr>
        <w:t>P</w:t>
      </w:r>
      <w:r w:rsidR="002A1534">
        <w:rPr>
          <w:color w:val="000000"/>
          <w:szCs w:val="22"/>
          <w:lang w:eastAsia="en-US"/>
        </w:rPr>
        <w:t xml:space="preserve">o </w:t>
      </w:r>
      <w:r>
        <w:rPr>
          <w:color w:val="000000"/>
          <w:szCs w:val="22"/>
          <w:lang w:eastAsia="en-US"/>
        </w:rPr>
        <w:t xml:space="preserve">buteliuko </w:t>
      </w:r>
      <w:r w:rsidR="002A1534">
        <w:rPr>
          <w:color w:val="000000"/>
          <w:szCs w:val="22"/>
          <w:lang w:eastAsia="en-US"/>
        </w:rPr>
        <w:t>pirmojo atidarymo vartokite</w:t>
      </w:r>
      <w:r>
        <w:rPr>
          <w:color w:val="000000"/>
          <w:szCs w:val="22"/>
          <w:lang w:eastAsia="en-US"/>
        </w:rPr>
        <w:t xml:space="preserve"> ne </w:t>
      </w:r>
      <w:r w:rsidR="0089322D">
        <w:rPr>
          <w:color w:val="000000"/>
          <w:szCs w:val="22"/>
          <w:lang w:eastAsia="en-US"/>
        </w:rPr>
        <w:t xml:space="preserve">ilgiau </w:t>
      </w:r>
      <w:r>
        <w:rPr>
          <w:color w:val="000000"/>
          <w:szCs w:val="22"/>
          <w:lang w:eastAsia="en-US"/>
        </w:rPr>
        <w:t>kaip 30 parų</w:t>
      </w:r>
      <w:r w:rsidR="002A1534">
        <w:rPr>
          <w:color w:val="000000"/>
          <w:szCs w:val="22"/>
          <w:lang w:eastAsia="en-US"/>
        </w:rPr>
        <w:t>.</w:t>
      </w:r>
    </w:p>
    <w:p w14:paraId="58D82131" w14:textId="77777777" w:rsidR="00DA50B0" w:rsidRPr="0046556E" w:rsidRDefault="00DA50B0" w:rsidP="006D2D23">
      <w:pPr>
        <w:numPr>
          <w:ilvl w:val="12"/>
          <w:numId w:val="0"/>
        </w:numPr>
        <w:tabs>
          <w:tab w:val="left" w:pos="567"/>
        </w:tabs>
        <w:ind w:right="-2"/>
        <w:rPr>
          <w:szCs w:val="22"/>
          <w:lang w:eastAsia="en-US"/>
        </w:rPr>
      </w:pPr>
    </w:p>
    <w:p w14:paraId="767E44D1" w14:textId="77777777" w:rsidR="006D2D23" w:rsidRPr="0046556E" w:rsidRDefault="006D2D23" w:rsidP="006D2D23">
      <w:pPr>
        <w:numPr>
          <w:ilvl w:val="12"/>
          <w:numId w:val="0"/>
        </w:numPr>
        <w:tabs>
          <w:tab w:val="left" w:pos="567"/>
        </w:tabs>
        <w:ind w:right="-2"/>
        <w:rPr>
          <w:szCs w:val="22"/>
          <w:lang w:eastAsia="en-US"/>
        </w:rPr>
      </w:pPr>
      <w:r w:rsidRPr="0046556E">
        <w:rPr>
          <w:szCs w:val="22"/>
          <w:lang w:eastAsia="en-US"/>
        </w:rPr>
        <w:t>Vaistų negalima išmesti į kanalizaciją arba su buitinėmis atliekomis. Kaip išmesti nereikalingus vaistus, klauskite vaistininko. Šios priemonės padės apsaugoti aplinką.</w:t>
      </w:r>
    </w:p>
    <w:p w14:paraId="6522F4F8" w14:textId="77777777" w:rsidR="006D2D23" w:rsidRPr="0046556E" w:rsidRDefault="006D2D23" w:rsidP="006D2D23">
      <w:pPr>
        <w:numPr>
          <w:ilvl w:val="12"/>
          <w:numId w:val="0"/>
        </w:numPr>
        <w:tabs>
          <w:tab w:val="left" w:pos="567"/>
        </w:tabs>
        <w:ind w:right="-2"/>
        <w:rPr>
          <w:szCs w:val="22"/>
          <w:lang w:eastAsia="en-US"/>
        </w:rPr>
      </w:pPr>
    </w:p>
    <w:p w14:paraId="091CAF6E" w14:textId="77777777" w:rsidR="006D2D23" w:rsidRPr="0046556E" w:rsidRDefault="006D2D23" w:rsidP="006D2D23">
      <w:pPr>
        <w:numPr>
          <w:ilvl w:val="12"/>
          <w:numId w:val="0"/>
        </w:numPr>
        <w:tabs>
          <w:tab w:val="left" w:pos="567"/>
        </w:tabs>
        <w:ind w:right="-2"/>
        <w:rPr>
          <w:szCs w:val="22"/>
          <w:lang w:eastAsia="en-US"/>
        </w:rPr>
      </w:pPr>
    </w:p>
    <w:p w14:paraId="2C82C091" w14:textId="77777777" w:rsidR="006D2D23" w:rsidRPr="0046556E" w:rsidRDefault="006D2D23" w:rsidP="006D2D23">
      <w:pPr>
        <w:numPr>
          <w:ilvl w:val="12"/>
          <w:numId w:val="0"/>
        </w:numPr>
        <w:tabs>
          <w:tab w:val="left" w:pos="567"/>
        </w:tabs>
        <w:ind w:left="567" w:right="-2" w:hanging="567"/>
        <w:rPr>
          <w:b/>
          <w:szCs w:val="22"/>
          <w:lang w:eastAsia="en-US"/>
        </w:rPr>
      </w:pPr>
      <w:r w:rsidRPr="0046556E">
        <w:rPr>
          <w:b/>
          <w:szCs w:val="22"/>
          <w:lang w:eastAsia="en-US"/>
        </w:rPr>
        <w:t>6.</w:t>
      </w:r>
      <w:r w:rsidRPr="0046556E">
        <w:rPr>
          <w:b/>
          <w:szCs w:val="22"/>
          <w:lang w:eastAsia="en-US"/>
        </w:rPr>
        <w:tab/>
        <w:t>Pakuotės turinys ir kita informacija</w:t>
      </w:r>
    </w:p>
    <w:p w14:paraId="2F223798" w14:textId="77777777" w:rsidR="006D2D23" w:rsidRPr="0046556E" w:rsidRDefault="006D2D23" w:rsidP="006D2D23">
      <w:pPr>
        <w:numPr>
          <w:ilvl w:val="12"/>
          <w:numId w:val="0"/>
        </w:numPr>
        <w:tabs>
          <w:tab w:val="left" w:pos="567"/>
        </w:tabs>
        <w:ind w:right="-2"/>
        <w:rPr>
          <w:szCs w:val="22"/>
          <w:lang w:eastAsia="en-US"/>
        </w:rPr>
      </w:pPr>
    </w:p>
    <w:p w14:paraId="4EBB8F8B" w14:textId="77777777" w:rsidR="006D2D23" w:rsidRPr="0046556E" w:rsidRDefault="000C3DCC" w:rsidP="006D2D23">
      <w:pPr>
        <w:numPr>
          <w:ilvl w:val="12"/>
          <w:numId w:val="0"/>
        </w:numPr>
        <w:tabs>
          <w:tab w:val="left" w:pos="567"/>
        </w:tabs>
        <w:ind w:right="-2"/>
        <w:rPr>
          <w:b/>
          <w:bCs/>
          <w:szCs w:val="22"/>
          <w:lang w:eastAsia="en-US"/>
        </w:rPr>
      </w:pPr>
      <w:r>
        <w:rPr>
          <w:b/>
          <w:bCs/>
          <w:szCs w:val="22"/>
          <w:lang w:eastAsia="en-US"/>
        </w:rPr>
        <w:t xml:space="preserve">Tenofovir disoproxil </w:t>
      </w:r>
      <w:r w:rsidR="00116E51">
        <w:rPr>
          <w:b/>
          <w:bCs/>
          <w:szCs w:val="22"/>
          <w:lang w:eastAsia="en-US"/>
        </w:rPr>
        <w:t>Sandoz</w:t>
      </w:r>
      <w:r w:rsidR="006D2D23" w:rsidRPr="0046556E">
        <w:rPr>
          <w:b/>
          <w:bCs/>
          <w:szCs w:val="22"/>
          <w:lang w:eastAsia="en-US"/>
        </w:rPr>
        <w:t xml:space="preserve"> sudėtis</w:t>
      </w:r>
    </w:p>
    <w:p w14:paraId="0C7EB2B9" w14:textId="10E54F16" w:rsidR="00ED1D3E" w:rsidRDefault="006D2D23" w:rsidP="00F9423F">
      <w:pPr>
        <w:numPr>
          <w:ilvl w:val="0"/>
          <w:numId w:val="3"/>
        </w:numPr>
        <w:tabs>
          <w:tab w:val="left" w:pos="567"/>
        </w:tabs>
        <w:ind w:left="567" w:hanging="567"/>
        <w:rPr>
          <w:szCs w:val="22"/>
          <w:lang w:eastAsia="en-US"/>
        </w:rPr>
      </w:pPr>
      <w:r w:rsidRPr="0046556E">
        <w:rPr>
          <w:szCs w:val="22"/>
          <w:lang w:eastAsia="en-US"/>
        </w:rPr>
        <w:t xml:space="preserve">Veiklioji medžiaga yra </w:t>
      </w:r>
      <w:r w:rsidR="00B74408">
        <w:rPr>
          <w:szCs w:val="22"/>
          <w:lang w:eastAsia="en-US"/>
        </w:rPr>
        <w:t>tenofovir</w:t>
      </w:r>
      <w:r w:rsidR="005917C9">
        <w:rPr>
          <w:szCs w:val="22"/>
          <w:lang w:eastAsia="en-US"/>
        </w:rPr>
        <w:t>as</w:t>
      </w:r>
      <w:r w:rsidR="00B74408">
        <w:rPr>
          <w:szCs w:val="22"/>
          <w:lang w:eastAsia="en-US"/>
        </w:rPr>
        <w:t xml:space="preserve"> dizoproksilis</w:t>
      </w:r>
      <w:r w:rsidR="00ED1D3E">
        <w:rPr>
          <w:szCs w:val="22"/>
          <w:lang w:eastAsia="en-US"/>
        </w:rPr>
        <w:t>.</w:t>
      </w:r>
      <w:r w:rsidR="00B74408">
        <w:rPr>
          <w:szCs w:val="22"/>
          <w:lang w:eastAsia="en-US"/>
        </w:rPr>
        <w:t xml:space="preserve"> Kiekvienoje</w:t>
      </w:r>
      <w:r w:rsidR="00ED1D3E" w:rsidRPr="00914222">
        <w:rPr>
          <w:szCs w:val="22"/>
          <w:lang w:eastAsia="en-US"/>
        </w:rPr>
        <w:t xml:space="preserve"> </w:t>
      </w:r>
      <w:r w:rsidR="00ED1D3E">
        <w:rPr>
          <w:szCs w:val="22"/>
          <w:lang w:eastAsia="en-US"/>
        </w:rPr>
        <w:t xml:space="preserve">plėvele dengtoje </w:t>
      </w:r>
      <w:r w:rsidR="00ED1D3E" w:rsidRPr="00914222">
        <w:rPr>
          <w:szCs w:val="22"/>
          <w:lang w:eastAsia="en-US"/>
        </w:rPr>
        <w:t xml:space="preserve">tabletėje yra </w:t>
      </w:r>
      <w:r w:rsidR="00B74408">
        <w:rPr>
          <w:szCs w:val="22"/>
          <w:lang w:eastAsia="en-US"/>
        </w:rPr>
        <w:t>245</w:t>
      </w:r>
      <w:r w:rsidR="00151E0E">
        <w:rPr>
          <w:szCs w:val="22"/>
          <w:lang w:eastAsia="en-US"/>
        </w:rPr>
        <w:t> </w:t>
      </w:r>
      <w:r w:rsidR="00ED1D3E" w:rsidRPr="00914222">
        <w:rPr>
          <w:szCs w:val="22"/>
          <w:lang w:eastAsia="en-US"/>
        </w:rPr>
        <w:t xml:space="preserve">mg </w:t>
      </w:r>
      <w:r w:rsidR="00B74408">
        <w:rPr>
          <w:szCs w:val="22"/>
          <w:lang w:eastAsia="en-US"/>
        </w:rPr>
        <w:t>tenofoviro dizoproksilio</w:t>
      </w:r>
      <w:r w:rsidR="00ED1D3E" w:rsidRPr="00914222">
        <w:rPr>
          <w:szCs w:val="22"/>
          <w:lang w:eastAsia="en-US"/>
        </w:rPr>
        <w:t xml:space="preserve">. </w:t>
      </w:r>
    </w:p>
    <w:p w14:paraId="739B13E8" w14:textId="77777777" w:rsidR="00BF064A" w:rsidRDefault="006D2D23" w:rsidP="00F9423F">
      <w:pPr>
        <w:pStyle w:val="Default"/>
        <w:numPr>
          <w:ilvl w:val="0"/>
          <w:numId w:val="3"/>
        </w:numPr>
        <w:ind w:left="567" w:hanging="567"/>
        <w:rPr>
          <w:sz w:val="22"/>
          <w:szCs w:val="22"/>
          <w:lang w:eastAsia="en-US"/>
        </w:rPr>
      </w:pPr>
      <w:r w:rsidRPr="00F336D1">
        <w:rPr>
          <w:sz w:val="22"/>
          <w:szCs w:val="22"/>
          <w:lang w:eastAsia="en-US"/>
        </w:rPr>
        <w:t>Pagalbinės medžiagos</w:t>
      </w:r>
      <w:r w:rsidR="00F336D1" w:rsidRPr="00F336D1">
        <w:rPr>
          <w:sz w:val="22"/>
          <w:szCs w:val="22"/>
          <w:lang w:eastAsia="en-US"/>
        </w:rPr>
        <w:t xml:space="preserve"> </w:t>
      </w:r>
      <w:r w:rsidR="00B74408">
        <w:rPr>
          <w:sz w:val="22"/>
          <w:szCs w:val="22"/>
          <w:lang w:eastAsia="en-US"/>
        </w:rPr>
        <w:br/>
      </w:r>
      <w:r w:rsidR="00B74408" w:rsidRPr="00B74408">
        <w:rPr>
          <w:i/>
          <w:sz w:val="22"/>
          <w:szCs w:val="22"/>
          <w:lang w:eastAsia="en-US"/>
        </w:rPr>
        <w:t>T</w:t>
      </w:r>
      <w:r w:rsidR="00F336D1" w:rsidRPr="00B74408">
        <w:rPr>
          <w:i/>
          <w:sz w:val="22"/>
          <w:szCs w:val="22"/>
          <w:lang w:eastAsia="en-US"/>
        </w:rPr>
        <w:t>abletės branduoly</w:t>
      </w:r>
      <w:r w:rsidR="00B74408" w:rsidRPr="00B74408">
        <w:rPr>
          <w:i/>
          <w:sz w:val="22"/>
          <w:szCs w:val="22"/>
          <w:lang w:eastAsia="en-US"/>
        </w:rPr>
        <w:t>s</w:t>
      </w:r>
      <w:r w:rsidR="00F336D1" w:rsidRPr="00F336D1">
        <w:rPr>
          <w:sz w:val="22"/>
          <w:szCs w:val="22"/>
          <w:lang w:eastAsia="en-US"/>
        </w:rPr>
        <w:t xml:space="preserve">: </w:t>
      </w:r>
      <w:r w:rsidR="00B74408">
        <w:rPr>
          <w:sz w:val="22"/>
          <w:szCs w:val="22"/>
          <w:lang w:eastAsia="en-US"/>
        </w:rPr>
        <w:t>mikrokristalinė celiuliozė,</w:t>
      </w:r>
      <w:r w:rsidR="00F336D1" w:rsidRPr="00F336D1">
        <w:rPr>
          <w:sz w:val="22"/>
          <w:szCs w:val="22"/>
          <w:lang w:eastAsia="en-US"/>
        </w:rPr>
        <w:t xml:space="preserve"> l</w:t>
      </w:r>
      <w:r w:rsidR="00F336D1" w:rsidRPr="00F336D1">
        <w:rPr>
          <w:sz w:val="22"/>
          <w:szCs w:val="22"/>
        </w:rPr>
        <w:t>aktozė</w:t>
      </w:r>
      <w:r w:rsidR="00B74408">
        <w:rPr>
          <w:sz w:val="22"/>
          <w:szCs w:val="22"/>
        </w:rPr>
        <w:t xml:space="preserve"> monohidratas</w:t>
      </w:r>
      <w:r w:rsidR="00F336D1" w:rsidRPr="00F336D1">
        <w:rPr>
          <w:sz w:val="22"/>
          <w:szCs w:val="22"/>
        </w:rPr>
        <w:t xml:space="preserve">, </w:t>
      </w:r>
      <w:r w:rsidR="00B74408">
        <w:rPr>
          <w:sz w:val="22"/>
          <w:szCs w:val="22"/>
        </w:rPr>
        <w:t>pregelifikuotas kukurūzų krakmolas, krospovidonas (B tipo)</w:t>
      </w:r>
      <w:r w:rsidR="00301834">
        <w:rPr>
          <w:sz w:val="22"/>
          <w:szCs w:val="22"/>
        </w:rPr>
        <w:t>, magnio stearatas</w:t>
      </w:r>
      <w:r w:rsidR="00BF064A">
        <w:rPr>
          <w:sz w:val="22"/>
          <w:szCs w:val="22"/>
        </w:rPr>
        <w:t>.</w:t>
      </w:r>
      <w:r w:rsidR="00BF064A">
        <w:rPr>
          <w:sz w:val="22"/>
          <w:szCs w:val="22"/>
        </w:rPr>
        <w:br/>
      </w:r>
      <w:r w:rsidR="00BF064A" w:rsidRPr="00BF064A">
        <w:rPr>
          <w:i/>
          <w:sz w:val="22"/>
          <w:szCs w:val="22"/>
        </w:rPr>
        <w:t>T</w:t>
      </w:r>
      <w:r w:rsidR="00F336D1" w:rsidRPr="00BF064A">
        <w:rPr>
          <w:i/>
          <w:sz w:val="22"/>
          <w:szCs w:val="22"/>
        </w:rPr>
        <w:t>abletės plėvelė</w:t>
      </w:r>
      <w:r w:rsidR="00F336D1" w:rsidRPr="00F336D1">
        <w:rPr>
          <w:sz w:val="22"/>
          <w:szCs w:val="22"/>
        </w:rPr>
        <w:t>:</w:t>
      </w:r>
      <w:r w:rsidR="00F336D1">
        <w:rPr>
          <w:sz w:val="22"/>
          <w:szCs w:val="22"/>
        </w:rPr>
        <w:t xml:space="preserve"> hipromeliozė, titano dioksidas</w:t>
      </w:r>
      <w:r w:rsidR="00301834">
        <w:rPr>
          <w:sz w:val="22"/>
          <w:szCs w:val="22"/>
        </w:rPr>
        <w:t xml:space="preserve"> (E171)</w:t>
      </w:r>
      <w:r w:rsidR="00F336D1">
        <w:rPr>
          <w:sz w:val="22"/>
          <w:szCs w:val="22"/>
        </w:rPr>
        <w:t xml:space="preserve">, makrogolis </w:t>
      </w:r>
      <w:r w:rsidR="00BF064A">
        <w:rPr>
          <w:sz w:val="22"/>
          <w:szCs w:val="22"/>
        </w:rPr>
        <w:t>4</w:t>
      </w:r>
      <w:r w:rsidR="00F336D1">
        <w:rPr>
          <w:sz w:val="22"/>
          <w:szCs w:val="22"/>
        </w:rPr>
        <w:t xml:space="preserve">00, </w:t>
      </w:r>
      <w:r w:rsidR="00BF064A">
        <w:rPr>
          <w:sz w:val="22"/>
          <w:szCs w:val="22"/>
        </w:rPr>
        <w:t>polisorbatas 80.</w:t>
      </w:r>
    </w:p>
    <w:p w14:paraId="1F57AE09" w14:textId="77777777" w:rsidR="00BF064A" w:rsidRPr="00BF064A" w:rsidRDefault="00BF064A" w:rsidP="00BF064A">
      <w:pPr>
        <w:pStyle w:val="Default"/>
        <w:ind w:left="540"/>
        <w:rPr>
          <w:b/>
          <w:color w:val="auto"/>
          <w:sz w:val="22"/>
          <w:szCs w:val="22"/>
        </w:rPr>
      </w:pPr>
      <w:r>
        <w:rPr>
          <w:sz w:val="22"/>
          <w:szCs w:val="22"/>
        </w:rPr>
        <w:t xml:space="preserve">Žr. 2 skyriaus poskyrį </w:t>
      </w:r>
      <w:r w:rsidRPr="00164838">
        <w:rPr>
          <w:sz w:val="22"/>
          <w:szCs w:val="22"/>
        </w:rPr>
        <w:t>„</w:t>
      </w:r>
      <w:r w:rsidRPr="00164838">
        <w:rPr>
          <w:bCs/>
          <w:sz w:val="22"/>
          <w:szCs w:val="22"/>
        </w:rPr>
        <w:t>Tenofovir disoproxil Sandoz</w:t>
      </w:r>
      <w:r w:rsidRPr="00164838">
        <w:rPr>
          <w:bCs/>
          <w:color w:val="auto"/>
          <w:sz w:val="22"/>
          <w:szCs w:val="22"/>
        </w:rPr>
        <w:t xml:space="preserve"> sudėtyje yra laktozės“. </w:t>
      </w:r>
    </w:p>
    <w:p w14:paraId="01BC4167" w14:textId="77777777" w:rsidR="006D2D23" w:rsidRPr="0046556E" w:rsidRDefault="006D2D23" w:rsidP="006D2D23">
      <w:pPr>
        <w:tabs>
          <w:tab w:val="left" w:pos="567"/>
        </w:tabs>
        <w:ind w:left="567" w:right="-2" w:hanging="567"/>
        <w:rPr>
          <w:szCs w:val="22"/>
          <w:u w:val="single"/>
          <w:lang w:eastAsia="en-US"/>
        </w:rPr>
      </w:pPr>
    </w:p>
    <w:p w14:paraId="2E25AD63" w14:textId="77777777" w:rsidR="006D2D23" w:rsidRPr="0046556E" w:rsidRDefault="000C3DCC" w:rsidP="006D2D23">
      <w:pPr>
        <w:numPr>
          <w:ilvl w:val="12"/>
          <w:numId w:val="0"/>
        </w:numPr>
        <w:tabs>
          <w:tab w:val="left" w:pos="567"/>
        </w:tabs>
        <w:ind w:right="-2"/>
        <w:rPr>
          <w:b/>
          <w:bCs/>
          <w:szCs w:val="22"/>
          <w:lang w:eastAsia="en-US"/>
        </w:rPr>
      </w:pPr>
      <w:r>
        <w:rPr>
          <w:b/>
          <w:bCs/>
          <w:szCs w:val="22"/>
          <w:lang w:eastAsia="en-US"/>
        </w:rPr>
        <w:t xml:space="preserve">Tenofovir disoproxil </w:t>
      </w:r>
      <w:r w:rsidR="00116E51">
        <w:rPr>
          <w:b/>
          <w:bCs/>
          <w:szCs w:val="22"/>
          <w:lang w:eastAsia="en-US"/>
        </w:rPr>
        <w:t>Sandoz</w:t>
      </w:r>
      <w:r w:rsidR="006D2D23" w:rsidRPr="0046556E">
        <w:rPr>
          <w:b/>
          <w:bCs/>
          <w:szCs w:val="22"/>
          <w:lang w:eastAsia="en-US"/>
        </w:rPr>
        <w:t xml:space="preserve"> išvaizda ir kiekis pakuotėje</w:t>
      </w:r>
    </w:p>
    <w:p w14:paraId="767985CE" w14:textId="77777777" w:rsidR="00BF064A" w:rsidRPr="0046556E" w:rsidRDefault="00BF064A" w:rsidP="00BF064A">
      <w:pPr>
        <w:tabs>
          <w:tab w:val="left" w:pos="567"/>
        </w:tabs>
        <w:rPr>
          <w:szCs w:val="22"/>
          <w:lang w:eastAsia="en-US"/>
        </w:rPr>
      </w:pPr>
      <w:r>
        <w:rPr>
          <w:szCs w:val="22"/>
          <w:lang w:eastAsia="en-US"/>
        </w:rPr>
        <w:t>Baltos spalvos,</w:t>
      </w:r>
      <w:r w:rsidRPr="000433C8">
        <w:rPr>
          <w:szCs w:val="22"/>
          <w:lang w:eastAsia="en-US"/>
        </w:rPr>
        <w:t xml:space="preserve"> migdolo formos</w:t>
      </w:r>
      <w:r>
        <w:rPr>
          <w:szCs w:val="22"/>
          <w:lang w:eastAsia="en-US"/>
        </w:rPr>
        <w:t>,</w:t>
      </w:r>
      <w:r w:rsidRPr="000433C8">
        <w:rPr>
          <w:szCs w:val="22"/>
          <w:lang w:eastAsia="en-US"/>
        </w:rPr>
        <w:t xml:space="preserve"> </w:t>
      </w:r>
      <w:r>
        <w:rPr>
          <w:szCs w:val="22"/>
          <w:lang w:eastAsia="en-US"/>
        </w:rPr>
        <w:t>abipus išgaubtos</w:t>
      </w:r>
      <w:r w:rsidR="00301834">
        <w:rPr>
          <w:szCs w:val="22"/>
          <w:lang w:eastAsia="en-US"/>
        </w:rPr>
        <w:t>,</w:t>
      </w:r>
      <w:r>
        <w:rPr>
          <w:szCs w:val="22"/>
          <w:lang w:eastAsia="en-US"/>
        </w:rPr>
        <w:t xml:space="preserve"> </w:t>
      </w:r>
      <w:r w:rsidRPr="000433C8">
        <w:rPr>
          <w:szCs w:val="22"/>
          <w:lang w:eastAsia="en-US"/>
        </w:rPr>
        <w:t>16</w:t>
      </w:r>
      <w:r w:rsidR="00151E0E">
        <w:rPr>
          <w:szCs w:val="22"/>
          <w:lang w:eastAsia="en-US"/>
        </w:rPr>
        <w:t> </w:t>
      </w:r>
      <w:r w:rsidRPr="000433C8">
        <w:rPr>
          <w:szCs w:val="22"/>
          <w:lang w:eastAsia="en-US"/>
        </w:rPr>
        <w:t>mm x 10</w:t>
      </w:r>
      <w:r w:rsidR="00151E0E">
        <w:rPr>
          <w:szCs w:val="22"/>
          <w:lang w:eastAsia="en-US"/>
        </w:rPr>
        <w:t> </w:t>
      </w:r>
      <w:r w:rsidRPr="000433C8">
        <w:rPr>
          <w:szCs w:val="22"/>
          <w:lang w:eastAsia="en-US"/>
        </w:rPr>
        <w:t>mm dydžio plėvele dengtos tabletės, kuri</w:t>
      </w:r>
      <w:r>
        <w:rPr>
          <w:szCs w:val="22"/>
          <w:lang w:eastAsia="en-US"/>
        </w:rPr>
        <w:t>ų</w:t>
      </w:r>
      <w:r w:rsidRPr="000433C8">
        <w:rPr>
          <w:szCs w:val="22"/>
          <w:lang w:eastAsia="en-US"/>
        </w:rPr>
        <w:t xml:space="preserve"> vienoje pusėje </w:t>
      </w:r>
      <w:r>
        <w:rPr>
          <w:szCs w:val="22"/>
          <w:lang w:eastAsia="en-US"/>
        </w:rPr>
        <w:t xml:space="preserve">įspausta </w:t>
      </w:r>
      <w:r w:rsidRPr="000433C8">
        <w:rPr>
          <w:szCs w:val="22"/>
          <w:lang w:eastAsia="en-US"/>
        </w:rPr>
        <w:t>„</w:t>
      </w:r>
      <w:r>
        <w:rPr>
          <w:szCs w:val="22"/>
          <w:lang w:eastAsia="en-US"/>
        </w:rPr>
        <w:t>H</w:t>
      </w:r>
      <w:r w:rsidRPr="000433C8">
        <w:rPr>
          <w:szCs w:val="22"/>
          <w:lang w:eastAsia="en-US"/>
        </w:rPr>
        <w:t>“</w:t>
      </w:r>
      <w:r>
        <w:rPr>
          <w:szCs w:val="22"/>
          <w:lang w:eastAsia="en-US"/>
        </w:rPr>
        <w:t>,</w:t>
      </w:r>
      <w:r w:rsidRPr="000433C8">
        <w:rPr>
          <w:szCs w:val="22"/>
          <w:lang w:eastAsia="en-US"/>
        </w:rPr>
        <w:t xml:space="preserve"> kitoje pusėje – „</w:t>
      </w:r>
      <w:r>
        <w:rPr>
          <w:szCs w:val="22"/>
          <w:lang w:eastAsia="en-US"/>
        </w:rPr>
        <w:t>T11</w:t>
      </w:r>
      <w:r w:rsidRPr="000433C8">
        <w:rPr>
          <w:szCs w:val="22"/>
          <w:lang w:eastAsia="en-US"/>
        </w:rPr>
        <w:t>“.</w:t>
      </w:r>
    </w:p>
    <w:p w14:paraId="2F0F34AF" w14:textId="77777777" w:rsidR="00BF064A" w:rsidRDefault="00BF064A" w:rsidP="00F336D1">
      <w:pPr>
        <w:tabs>
          <w:tab w:val="left" w:pos="567"/>
        </w:tabs>
        <w:rPr>
          <w:szCs w:val="22"/>
          <w:lang w:eastAsia="en-US"/>
        </w:rPr>
      </w:pPr>
    </w:p>
    <w:p w14:paraId="7564F95C" w14:textId="5BB3C4FA" w:rsidR="00BF064A" w:rsidRDefault="00301834" w:rsidP="00BF064A">
      <w:pPr>
        <w:pStyle w:val="Default"/>
        <w:rPr>
          <w:sz w:val="22"/>
          <w:szCs w:val="22"/>
        </w:rPr>
      </w:pPr>
      <w:r>
        <w:rPr>
          <w:sz w:val="22"/>
          <w:szCs w:val="22"/>
        </w:rPr>
        <w:t xml:space="preserve">Išspaudžiamos </w:t>
      </w:r>
      <w:r w:rsidR="00BF064A">
        <w:rPr>
          <w:sz w:val="22"/>
          <w:szCs w:val="22"/>
        </w:rPr>
        <w:t>OPA</w:t>
      </w:r>
      <w:r w:rsidR="005917C9">
        <w:rPr>
          <w:sz w:val="22"/>
          <w:szCs w:val="22"/>
        </w:rPr>
        <w:t>-</w:t>
      </w:r>
      <w:r w:rsidR="00BF064A">
        <w:rPr>
          <w:sz w:val="22"/>
          <w:szCs w:val="22"/>
        </w:rPr>
        <w:t>Al</w:t>
      </w:r>
      <w:r w:rsidR="005917C9">
        <w:rPr>
          <w:sz w:val="22"/>
          <w:szCs w:val="22"/>
        </w:rPr>
        <w:t>-</w:t>
      </w:r>
      <w:r w:rsidR="00BF064A">
        <w:rPr>
          <w:sz w:val="22"/>
          <w:szCs w:val="22"/>
        </w:rPr>
        <w:t>PVC</w:t>
      </w:r>
      <w:r w:rsidR="005917C9">
        <w:rPr>
          <w:sz w:val="22"/>
          <w:szCs w:val="22"/>
        </w:rPr>
        <w:t>/Al</w:t>
      </w:r>
      <w:r w:rsidR="00BF064A">
        <w:rPr>
          <w:sz w:val="22"/>
          <w:szCs w:val="22"/>
        </w:rPr>
        <w:t xml:space="preserve"> </w:t>
      </w:r>
      <w:r w:rsidR="005917C9">
        <w:rPr>
          <w:sz w:val="22"/>
          <w:szCs w:val="22"/>
        </w:rPr>
        <w:t>dalomosios</w:t>
      </w:r>
      <w:r>
        <w:rPr>
          <w:sz w:val="22"/>
          <w:szCs w:val="22"/>
        </w:rPr>
        <w:t xml:space="preserve"> </w:t>
      </w:r>
      <w:r w:rsidR="00BF064A">
        <w:rPr>
          <w:sz w:val="22"/>
          <w:szCs w:val="22"/>
        </w:rPr>
        <w:t xml:space="preserve">lizdinės plokštelės. </w:t>
      </w:r>
    </w:p>
    <w:p w14:paraId="3DBF2BD1" w14:textId="77777777" w:rsidR="00BF064A" w:rsidRDefault="00BF064A" w:rsidP="00BF064A">
      <w:pPr>
        <w:pStyle w:val="Default"/>
        <w:rPr>
          <w:sz w:val="22"/>
          <w:szCs w:val="22"/>
        </w:rPr>
      </w:pPr>
      <w:r>
        <w:rPr>
          <w:sz w:val="22"/>
          <w:szCs w:val="22"/>
        </w:rPr>
        <w:t>Pakuotės dydžiai: 30</w:t>
      </w:r>
      <w:r w:rsidR="00301834">
        <w:rPr>
          <w:sz w:val="22"/>
          <w:szCs w:val="22"/>
        </w:rPr>
        <w:t>x1</w:t>
      </w:r>
      <w:r>
        <w:rPr>
          <w:sz w:val="22"/>
          <w:szCs w:val="22"/>
        </w:rPr>
        <w:t>, 60</w:t>
      </w:r>
      <w:r w:rsidR="00301834">
        <w:rPr>
          <w:sz w:val="22"/>
          <w:szCs w:val="22"/>
        </w:rPr>
        <w:t>x1</w:t>
      </w:r>
      <w:r>
        <w:rPr>
          <w:sz w:val="22"/>
          <w:szCs w:val="22"/>
        </w:rPr>
        <w:t xml:space="preserve"> arba 90</w:t>
      </w:r>
      <w:r w:rsidR="00301834">
        <w:rPr>
          <w:sz w:val="22"/>
          <w:szCs w:val="22"/>
        </w:rPr>
        <w:t>x1</w:t>
      </w:r>
      <w:r>
        <w:rPr>
          <w:sz w:val="22"/>
          <w:szCs w:val="22"/>
        </w:rPr>
        <w:t xml:space="preserve"> plėvele dengtų tablečių</w:t>
      </w:r>
      <w:r w:rsidR="00301834">
        <w:rPr>
          <w:sz w:val="22"/>
          <w:szCs w:val="22"/>
        </w:rPr>
        <w:t>.</w:t>
      </w:r>
    </w:p>
    <w:p w14:paraId="6A00D241" w14:textId="77777777" w:rsidR="00BF064A" w:rsidRDefault="00BF064A" w:rsidP="00BF064A">
      <w:pPr>
        <w:pStyle w:val="Default"/>
        <w:rPr>
          <w:sz w:val="22"/>
          <w:szCs w:val="22"/>
        </w:rPr>
      </w:pPr>
    </w:p>
    <w:p w14:paraId="3C8F05F1" w14:textId="1A9884BD" w:rsidR="00BF064A" w:rsidRDefault="00BF064A" w:rsidP="00BF064A">
      <w:pPr>
        <w:pStyle w:val="Default"/>
        <w:rPr>
          <w:sz w:val="22"/>
          <w:szCs w:val="22"/>
        </w:rPr>
      </w:pPr>
      <w:r>
        <w:rPr>
          <w:sz w:val="22"/>
          <w:szCs w:val="22"/>
        </w:rPr>
        <w:t xml:space="preserve">Baltas matinis DTPE buteliukas su vaikų sunkiai atidaromu </w:t>
      </w:r>
      <w:r w:rsidR="0047399C">
        <w:rPr>
          <w:sz w:val="22"/>
          <w:szCs w:val="22"/>
        </w:rPr>
        <w:t xml:space="preserve">baltu </w:t>
      </w:r>
      <w:r>
        <w:rPr>
          <w:sz w:val="22"/>
          <w:szCs w:val="22"/>
        </w:rPr>
        <w:t xml:space="preserve">polipropileniniu užsukamuoju dangteliu, kuriame yra sausiklio (silikagelio) </w:t>
      </w:r>
      <w:r w:rsidR="005917C9">
        <w:rPr>
          <w:sz w:val="22"/>
          <w:szCs w:val="22"/>
        </w:rPr>
        <w:t xml:space="preserve">talpyklė </w:t>
      </w:r>
      <w:r>
        <w:rPr>
          <w:sz w:val="22"/>
          <w:szCs w:val="22"/>
        </w:rPr>
        <w:t>ir išgrynintos viskozės ritinys.</w:t>
      </w:r>
    </w:p>
    <w:p w14:paraId="55E3D1D4" w14:textId="77777777" w:rsidR="00BF064A" w:rsidRDefault="00BF064A" w:rsidP="00BF064A">
      <w:pPr>
        <w:pStyle w:val="Default"/>
        <w:rPr>
          <w:sz w:val="22"/>
          <w:szCs w:val="22"/>
        </w:rPr>
      </w:pPr>
      <w:r>
        <w:rPr>
          <w:sz w:val="22"/>
          <w:szCs w:val="22"/>
        </w:rPr>
        <w:lastRenderedPageBreak/>
        <w:t>Pakuotės dydžiai: 30, 60 (2x30) arba 90 (3x30) plėvele dengtų tablečių.</w:t>
      </w:r>
    </w:p>
    <w:p w14:paraId="1FF5A5B5" w14:textId="77777777" w:rsidR="00BF064A" w:rsidRDefault="00BF064A" w:rsidP="00BF064A">
      <w:pPr>
        <w:pStyle w:val="Default"/>
        <w:rPr>
          <w:sz w:val="22"/>
          <w:szCs w:val="22"/>
        </w:rPr>
      </w:pPr>
    </w:p>
    <w:p w14:paraId="2DE2D59D" w14:textId="77777777" w:rsidR="00BF064A" w:rsidRPr="0046556E" w:rsidRDefault="00BF064A" w:rsidP="00BF064A">
      <w:pPr>
        <w:tabs>
          <w:tab w:val="left" w:pos="567"/>
        </w:tabs>
        <w:rPr>
          <w:szCs w:val="22"/>
          <w:lang w:eastAsia="en-US"/>
        </w:rPr>
      </w:pPr>
      <w:r>
        <w:rPr>
          <w:szCs w:val="22"/>
        </w:rPr>
        <w:t>Gali būti tiekiamos ne visų dydžių pakuotės.</w:t>
      </w:r>
    </w:p>
    <w:p w14:paraId="7229BF19" w14:textId="77777777" w:rsidR="006D2D23" w:rsidRPr="0046556E" w:rsidRDefault="006D2D23" w:rsidP="006D2D23">
      <w:pPr>
        <w:numPr>
          <w:ilvl w:val="12"/>
          <w:numId w:val="0"/>
        </w:numPr>
        <w:tabs>
          <w:tab w:val="left" w:pos="567"/>
        </w:tabs>
        <w:ind w:right="-2"/>
        <w:rPr>
          <w:szCs w:val="22"/>
          <w:u w:val="single"/>
          <w:lang w:eastAsia="en-US"/>
        </w:rPr>
      </w:pPr>
    </w:p>
    <w:p w14:paraId="469524D5" w14:textId="77777777" w:rsidR="006D2D23" w:rsidRPr="0046556E" w:rsidRDefault="006D2D23" w:rsidP="006D2D23">
      <w:pPr>
        <w:numPr>
          <w:ilvl w:val="12"/>
          <w:numId w:val="0"/>
        </w:numPr>
        <w:tabs>
          <w:tab w:val="left" w:pos="567"/>
        </w:tabs>
        <w:ind w:right="-2"/>
        <w:rPr>
          <w:b/>
          <w:bCs/>
          <w:szCs w:val="22"/>
          <w:lang w:eastAsia="en-US"/>
        </w:rPr>
      </w:pPr>
      <w:r w:rsidRPr="0046556E">
        <w:rPr>
          <w:b/>
          <w:bCs/>
          <w:szCs w:val="22"/>
          <w:lang w:eastAsia="en-US"/>
        </w:rPr>
        <w:t>Registruotojas ir gamintojas</w:t>
      </w:r>
    </w:p>
    <w:p w14:paraId="62B2D7DE" w14:textId="77777777" w:rsidR="00431B2E" w:rsidRDefault="00431B2E" w:rsidP="006D2D23">
      <w:pPr>
        <w:tabs>
          <w:tab w:val="left" w:pos="567"/>
        </w:tabs>
        <w:rPr>
          <w:i/>
          <w:szCs w:val="22"/>
          <w:lang w:eastAsia="en-US"/>
        </w:rPr>
      </w:pPr>
    </w:p>
    <w:p w14:paraId="02104D59" w14:textId="77777777" w:rsidR="006D2D23" w:rsidRPr="0046556E" w:rsidRDefault="006D2D23" w:rsidP="006D2D23">
      <w:pPr>
        <w:tabs>
          <w:tab w:val="left" w:pos="567"/>
        </w:tabs>
        <w:rPr>
          <w:i/>
          <w:szCs w:val="22"/>
          <w:lang w:eastAsia="en-US"/>
        </w:rPr>
      </w:pPr>
      <w:r w:rsidRPr="0046556E">
        <w:rPr>
          <w:i/>
          <w:szCs w:val="22"/>
          <w:lang w:eastAsia="en-US"/>
        </w:rPr>
        <w:t>Registruotojas</w:t>
      </w:r>
    </w:p>
    <w:p w14:paraId="4673FFD0" w14:textId="77777777" w:rsidR="00890376" w:rsidRPr="0046556E" w:rsidRDefault="00890376" w:rsidP="00890376">
      <w:pPr>
        <w:tabs>
          <w:tab w:val="left" w:pos="567"/>
        </w:tabs>
        <w:rPr>
          <w:szCs w:val="22"/>
          <w:lang w:eastAsia="en-US"/>
        </w:rPr>
      </w:pPr>
      <w:r w:rsidRPr="0046556E">
        <w:rPr>
          <w:szCs w:val="22"/>
          <w:lang w:eastAsia="en-US"/>
        </w:rPr>
        <w:t xml:space="preserve">Sandoz d.d. </w:t>
      </w:r>
      <w:r w:rsidRPr="0046556E">
        <w:rPr>
          <w:szCs w:val="22"/>
          <w:lang w:eastAsia="en-US"/>
        </w:rPr>
        <w:br/>
        <w:t xml:space="preserve">Verovškova 57 </w:t>
      </w:r>
      <w:r w:rsidRPr="0046556E">
        <w:rPr>
          <w:szCs w:val="22"/>
          <w:lang w:eastAsia="en-US"/>
        </w:rPr>
        <w:br/>
        <w:t xml:space="preserve">SI-1000 Ljubljana </w:t>
      </w:r>
      <w:r w:rsidRPr="0046556E">
        <w:rPr>
          <w:szCs w:val="22"/>
          <w:lang w:eastAsia="en-US"/>
        </w:rPr>
        <w:br/>
        <w:t>Slovėnija</w:t>
      </w:r>
    </w:p>
    <w:p w14:paraId="6B29960B" w14:textId="77777777" w:rsidR="006D2D23" w:rsidRPr="0046556E" w:rsidRDefault="006D2D23" w:rsidP="006D2D23">
      <w:pPr>
        <w:numPr>
          <w:ilvl w:val="12"/>
          <w:numId w:val="0"/>
        </w:numPr>
        <w:tabs>
          <w:tab w:val="left" w:pos="567"/>
        </w:tabs>
        <w:ind w:right="-2"/>
        <w:rPr>
          <w:szCs w:val="22"/>
          <w:lang w:eastAsia="en-US"/>
        </w:rPr>
      </w:pPr>
    </w:p>
    <w:p w14:paraId="356E1FC7" w14:textId="77777777" w:rsidR="006D2D23" w:rsidRPr="00CA49A8" w:rsidRDefault="006D2D23" w:rsidP="006D2D23">
      <w:pPr>
        <w:numPr>
          <w:ilvl w:val="12"/>
          <w:numId w:val="0"/>
        </w:numPr>
        <w:tabs>
          <w:tab w:val="left" w:pos="567"/>
        </w:tabs>
        <w:ind w:right="-2"/>
        <w:rPr>
          <w:i/>
          <w:szCs w:val="22"/>
          <w:lang w:eastAsia="en-US"/>
        </w:rPr>
      </w:pPr>
      <w:r w:rsidRPr="00CA49A8">
        <w:rPr>
          <w:bCs/>
          <w:i/>
          <w:szCs w:val="22"/>
          <w:lang w:eastAsia="en-US"/>
        </w:rPr>
        <w:t>Gamintoja</w:t>
      </w:r>
      <w:r w:rsidR="00151E0E" w:rsidRPr="00CA49A8">
        <w:rPr>
          <w:bCs/>
          <w:i/>
          <w:szCs w:val="22"/>
          <w:lang w:eastAsia="en-US"/>
        </w:rPr>
        <w:t>s</w:t>
      </w:r>
    </w:p>
    <w:p w14:paraId="5CC5F1D4" w14:textId="77777777" w:rsidR="00BC1950" w:rsidRPr="0046556E" w:rsidRDefault="00BC1950" w:rsidP="00BC1950">
      <w:pPr>
        <w:tabs>
          <w:tab w:val="left" w:pos="567"/>
        </w:tabs>
        <w:rPr>
          <w:szCs w:val="22"/>
          <w:lang w:eastAsia="en-US"/>
        </w:rPr>
      </w:pPr>
      <w:r w:rsidRPr="0046556E">
        <w:rPr>
          <w:szCs w:val="22"/>
          <w:lang w:eastAsia="en-US"/>
        </w:rPr>
        <w:t xml:space="preserve">Salutas Pharma GmbH </w:t>
      </w:r>
    </w:p>
    <w:p w14:paraId="30DB385E" w14:textId="77777777" w:rsidR="00BC1950" w:rsidRPr="0046556E" w:rsidRDefault="00BC1950" w:rsidP="00BC1950">
      <w:pPr>
        <w:tabs>
          <w:tab w:val="left" w:pos="567"/>
        </w:tabs>
        <w:rPr>
          <w:rFonts w:eastAsia="Calibri"/>
          <w:szCs w:val="22"/>
          <w:lang w:eastAsia="en-US"/>
        </w:rPr>
      </w:pPr>
      <w:r>
        <w:rPr>
          <w:rFonts w:eastAsia="Calibri"/>
          <w:szCs w:val="22"/>
          <w:lang w:eastAsia="en-US"/>
        </w:rPr>
        <w:t>Otto-von-Guericke-Alee</w:t>
      </w:r>
      <w:r w:rsidRPr="0046556E">
        <w:rPr>
          <w:rFonts w:eastAsia="Calibri"/>
          <w:szCs w:val="22"/>
          <w:lang w:eastAsia="en-US"/>
        </w:rPr>
        <w:t xml:space="preserve"> </w:t>
      </w:r>
      <w:r>
        <w:rPr>
          <w:rFonts w:eastAsia="Calibri"/>
          <w:szCs w:val="22"/>
          <w:lang w:eastAsia="en-US"/>
        </w:rPr>
        <w:t>1</w:t>
      </w:r>
      <w:r w:rsidRPr="0046556E">
        <w:rPr>
          <w:rFonts w:eastAsia="Calibri"/>
          <w:szCs w:val="22"/>
          <w:lang w:eastAsia="en-US"/>
        </w:rPr>
        <w:br/>
      </w:r>
      <w:r>
        <w:rPr>
          <w:rFonts w:eastAsia="Calibri"/>
          <w:szCs w:val="22"/>
          <w:lang w:eastAsia="en-US"/>
        </w:rPr>
        <w:t>Sachsen-Anhalt, 39179 Barleben</w:t>
      </w:r>
      <w:r w:rsidRPr="0046556E">
        <w:rPr>
          <w:rFonts w:eastAsia="Calibri"/>
          <w:szCs w:val="22"/>
          <w:lang w:eastAsia="en-US"/>
        </w:rPr>
        <w:br/>
        <w:t>Vokietija</w:t>
      </w:r>
    </w:p>
    <w:p w14:paraId="650E4CA2" w14:textId="77777777" w:rsidR="00BC1950" w:rsidRDefault="00BC1950" w:rsidP="00BC1950">
      <w:pPr>
        <w:tabs>
          <w:tab w:val="left" w:pos="567"/>
        </w:tabs>
        <w:spacing w:line="260" w:lineRule="exact"/>
        <w:rPr>
          <w:snapToGrid w:val="0"/>
          <w:szCs w:val="24"/>
          <w:lang w:eastAsia="en-US"/>
        </w:rPr>
      </w:pPr>
    </w:p>
    <w:p w14:paraId="709EBE90" w14:textId="77777777" w:rsidR="00BC1950" w:rsidRDefault="00BC1950" w:rsidP="00BC1950">
      <w:pPr>
        <w:tabs>
          <w:tab w:val="left" w:pos="567"/>
        </w:tabs>
        <w:spacing w:line="260" w:lineRule="exact"/>
        <w:rPr>
          <w:snapToGrid w:val="0"/>
          <w:szCs w:val="24"/>
          <w:lang w:eastAsia="en-US"/>
        </w:rPr>
      </w:pPr>
      <w:r>
        <w:rPr>
          <w:snapToGrid w:val="0"/>
          <w:szCs w:val="24"/>
          <w:lang w:eastAsia="en-US"/>
        </w:rPr>
        <w:t>arba</w:t>
      </w:r>
    </w:p>
    <w:p w14:paraId="150180BE" w14:textId="77777777" w:rsidR="00BC1950" w:rsidRDefault="00BC1950" w:rsidP="00BC1950">
      <w:pPr>
        <w:tabs>
          <w:tab w:val="left" w:pos="567"/>
        </w:tabs>
        <w:spacing w:line="260" w:lineRule="exact"/>
        <w:rPr>
          <w:snapToGrid w:val="0"/>
          <w:szCs w:val="24"/>
          <w:lang w:eastAsia="en-US"/>
        </w:rPr>
      </w:pPr>
    </w:p>
    <w:p w14:paraId="75B4B82F" w14:textId="77777777" w:rsidR="00BC1950" w:rsidRDefault="00BC1950" w:rsidP="00BC1950">
      <w:pPr>
        <w:tabs>
          <w:tab w:val="left" w:pos="567"/>
        </w:tabs>
        <w:spacing w:line="260" w:lineRule="exact"/>
        <w:rPr>
          <w:snapToGrid w:val="0"/>
          <w:szCs w:val="24"/>
          <w:lang w:eastAsia="en-US"/>
        </w:rPr>
      </w:pPr>
      <w:r>
        <w:rPr>
          <w:snapToGrid w:val="0"/>
          <w:szCs w:val="24"/>
          <w:lang w:eastAsia="en-US"/>
        </w:rPr>
        <w:t xml:space="preserve">Pharmadox </w:t>
      </w:r>
      <w:r w:rsidR="001C653F" w:rsidRPr="001C653F">
        <w:rPr>
          <w:snapToGrid w:val="0"/>
          <w:szCs w:val="24"/>
          <w:lang w:eastAsia="en-US"/>
        </w:rPr>
        <w:t>Healthcare</w:t>
      </w:r>
      <w:r w:rsidR="001C653F">
        <w:rPr>
          <w:snapToGrid w:val="0"/>
          <w:szCs w:val="24"/>
          <w:lang w:eastAsia="en-US"/>
        </w:rPr>
        <w:t xml:space="preserve"> </w:t>
      </w:r>
      <w:r>
        <w:rPr>
          <w:snapToGrid w:val="0"/>
          <w:szCs w:val="24"/>
          <w:lang w:eastAsia="en-US"/>
        </w:rPr>
        <w:t>Ltd.</w:t>
      </w:r>
    </w:p>
    <w:p w14:paraId="310AE800" w14:textId="77777777" w:rsidR="00BC1950" w:rsidRDefault="00BC1950" w:rsidP="00BC1950">
      <w:pPr>
        <w:tabs>
          <w:tab w:val="left" w:pos="567"/>
        </w:tabs>
        <w:spacing w:line="260" w:lineRule="exact"/>
        <w:rPr>
          <w:snapToGrid w:val="0"/>
          <w:szCs w:val="24"/>
          <w:lang w:eastAsia="en-US"/>
        </w:rPr>
      </w:pPr>
      <w:r>
        <w:rPr>
          <w:snapToGrid w:val="0"/>
          <w:szCs w:val="24"/>
          <w:lang w:eastAsia="en-US"/>
        </w:rPr>
        <w:t>KW20A Kordin Industrial Park</w:t>
      </w:r>
    </w:p>
    <w:p w14:paraId="0A730479" w14:textId="77777777" w:rsidR="00BC1950" w:rsidRDefault="00BC1950" w:rsidP="00BC1950">
      <w:pPr>
        <w:tabs>
          <w:tab w:val="left" w:pos="567"/>
        </w:tabs>
        <w:spacing w:line="260" w:lineRule="exact"/>
        <w:rPr>
          <w:snapToGrid w:val="0"/>
          <w:szCs w:val="24"/>
          <w:lang w:eastAsia="en-US"/>
        </w:rPr>
      </w:pPr>
      <w:r>
        <w:rPr>
          <w:snapToGrid w:val="0"/>
          <w:szCs w:val="24"/>
          <w:lang w:eastAsia="en-US"/>
        </w:rPr>
        <w:t>Paola PLA 3000</w:t>
      </w:r>
    </w:p>
    <w:p w14:paraId="797F3978" w14:textId="77777777" w:rsidR="00BC1950" w:rsidRDefault="00BC1950" w:rsidP="00BC1950">
      <w:pPr>
        <w:tabs>
          <w:tab w:val="left" w:pos="567"/>
        </w:tabs>
        <w:spacing w:line="260" w:lineRule="exact"/>
        <w:rPr>
          <w:snapToGrid w:val="0"/>
          <w:szCs w:val="24"/>
          <w:lang w:eastAsia="en-US"/>
        </w:rPr>
      </w:pPr>
      <w:r>
        <w:rPr>
          <w:snapToGrid w:val="0"/>
          <w:szCs w:val="24"/>
          <w:lang w:eastAsia="en-US"/>
        </w:rPr>
        <w:t>Malta</w:t>
      </w:r>
    </w:p>
    <w:p w14:paraId="20CCB48B" w14:textId="77777777" w:rsidR="00890376" w:rsidRPr="00BC1950" w:rsidRDefault="00890376" w:rsidP="00890376">
      <w:pPr>
        <w:numPr>
          <w:ilvl w:val="12"/>
          <w:numId w:val="0"/>
        </w:numPr>
        <w:tabs>
          <w:tab w:val="left" w:pos="567"/>
        </w:tabs>
        <w:ind w:right="-2"/>
        <w:rPr>
          <w:szCs w:val="22"/>
          <w:lang w:eastAsia="en-US"/>
        </w:rPr>
      </w:pPr>
    </w:p>
    <w:p w14:paraId="68370D63" w14:textId="77777777" w:rsidR="00890376" w:rsidRPr="00BC1950" w:rsidRDefault="00890376" w:rsidP="00890376">
      <w:pPr>
        <w:numPr>
          <w:ilvl w:val="12"/>
          <w:numId w:val="0"/>
        </w:numPr>
        <w:tabs>
          <w:tab w:val="left" w:pos="567"/>
        </w:tabs>
        <w:ind w:right="-2"/>
        <w:rPr>
          <w:snapToGrid w:val="0"/>
          <w:szCs w:val="24"/>
          <w:lang w:eastAsia="en-US"/>
        </w:rPr>
      </w:pPr>
      <w:r w:rsidRPr="00BC1950">
        <w:rPr>
          <w:snapToGrid w:val="0"/>
          <w:szCs w:val="24"/>
          <w:lang w:eastAsia="en-US"/>
        </w:rPr>
        <w:t>Jeigu apie šį vaistą norite sužinoti daugiau, kreipkitės į vietinį registruotojo atstovą</w:t>
      </w:r>
      <w:r w:rsidR="00301834">
        <w:rPr>
          <w:snapToGrid w:val="0"/>
          <w:szCs w:val="24"/>
          <w:lang w:eastAsia="en-US"/>
        </w:rPr>
        <w:t>.</w:t>
      </w:r>
    </w:p>
    <w:p w14:paraId="23098774" w14:textId="77777777" w:rsidR="00890376" w:rsidRPr="00BC1950" w:rsidRDefault="00890376" w:rsidP="00890376">
      <w:pPr>
        <w:tabs>
          <w:tab w:val="left" w:pos="567"/>
        </w:tabs>
        <w:rPr>
          <w:rFonts w:eastAsia="Calibri"/>
          <w:szCs w:val="22"/>
        </w:rPr>
      </w:pPr>
      <w:r w:rsidRPr="00BC1950">
        <w:rPr>
          <w:rFonts w:eastAsia="Calibri"/>
          <w:szCs w:val="22"/>
        </w:rPr>
        <w:t>Sandoz Pharmaceuticals d.d. filialas</w:t>
      </w:r>
    </w:p>
    <w:p w14:paraId="3F9E239D" w14:textId="77777777" w:rsidR="00890376" w:rsidRPr="00BC1950" w:rsidRDefault="00890376" w:rsidP="00890376">
      <w:pPr>
        <w:tabs>
          <w:tab w:val="left" w:pos="567"/>
        </w:tabs>
        <w:rPr>
          <w:rFonts w:eastAsia="Calibri"/>
          <w:szCs w:val="22"/>
        </w:rPr>
      </w:pPr>
      <w:r w:rsidRPr="00BC1950">
        <w:rPr>
          <w:rFonts w:eastAsia="Calibri"/>
          <w:szCs w:val="22"/>
        </w:rPr>
        <w:t>Šeimyniškių 3A</w:t>
      </w:r>
    </w:p>
    <w:p w14:paraId="30C919E6" w14:textId="77777777" w:rsidR="00890376" w:rsidRPr="00BC1950" w:rsidRDefault="00890376" w:rsidP="00890376">
      <w:pPr>
        <w:tabs>
          <w:tab w:val="left" w:pos="567"/>
        </w:tabs>
        <w:rPr>
          <w:rFonts w:eastAsia="Calibri"/>
          <w:szCs w:val="22"/>
        </w:rPr>
      </w:pPr>
      <w:r w:rsidRPr="00BC1950">
        <w:rPr>
          <w:rFonts w:eastAsia="Calibri"/>
          <w:szCs w:val="22"/>
        </w:rPr>
        <w:t>LT-09312 Vilnius</w:t>
      </w:r>
    </w:p>
    <w:p w14:paraId="2DF35A8E" w14:textId="77777777" w:rsidR="00890376" w:rsidRPr="00BC1950" w:rsidRDefault="00431B2E" w:rsidP="00890376">
      <w:pPr>
        <w:tabs>
          <w:tab w:val="left" w:pos="567"/>
        </w:tabs>
        <w:rPr>
          <w:rFonts w:eastAsia="Calibri"/>
          <w:szCs w:val="22"/>
        </w:rPr>
      </w:pPr>
      <w:r w:rsidRPr="00BC1950">
        <w:rPr>
          <w:rFonts w:eastAsia="Calibri"/>
          <w:szCs w:val="22"/>
        </w:rPr>
        <w:t>Lietuva</w:t>
      </w:r>
    </w:p>
    <w:p w14:paraId="6BE5D6CB" w14:textId="77777777" w:rsidR="00331D43" w:rsidRPr="00BC1950" w:rsidRDefault="00331D43" w:rsidP="00331D43">
      <w:pPr>
        <w:numPr>
          <w:ilvl w:val="12"/>
          <w:numId w:val="0"/>
        </w:numPr>
        <w:tabs>
          <w:tab w:val="left" w:pos="567"/>
        </w:tabs>
        <w:ind w:right="-2"/>
        <w:rPr>
          <w:szCs w:val="22"/>
          <w:lang w:eastAsia="en-US"/>
        </w:rPr>
      </w:pPr>
      <w:r w:rsidRPr="00BC1950">
        <w:rPr>
          <w:szCs w:val="22"/>
          <w:lang w:eastAsia="en-US"/>
        </w:rPr>
        <w:t>Telefonas +370 5 2636 037</w:t>
      </w:r>
    </w:p>
    <w:p w14:paraId="6B6E2873" w14:textId="77777777" w:rsidR="00331D43" w:rsidRPr="00BC1950" w:rsidRDefault="00331D43" w:rsidP="00331D43">
      <w:pPr>
        <w:numPr>
          <w:ilvl w:val="12"/>
          <w:numId w:val="0"/>
        </w:numPr>
        <w:tabs>
          <w:tab w:val="left" w:pos="567"/>
        </w:tabs>
        <w:ind w:right="-2"/>
        <w:rPr>
          <w:szCs w:val="22"/>
          <w:lang w:eastAsia="en-US"/>
        </w:rPr>
      </w:pPr>
      <w:r w:rsidRPr="00BC1950">
        <w:rPr>
          <w:szCs w:val="22"/>
          <w:lang w:eastAsia="en-US"/>
        </w:rPr>
        <w:t>Nemokama linija pacientams +370 800 00877</w:t>
      </w:r>
    </w:p>
    <w:p w14:paraId="7C12A39B" w14:textId="77777777" w:rsidR="00331D43" w:rsidRPr="00BC1950" w:rsidRDefault="00331D43" w:rsidP="00331D43">
      <w:pPr>
        <w:numPr>
          <w:ilvl w:val="12"/>
          <w:numId w:val="0"/>
        </w:numPr>
        <w:tabs>
          <w:tab w:val="left" w:pos="567"/>
        </w:tabs>
        <w:ind w:right="-2"/>
        <w:rPr>
          <w:szCs w:val="22"/>
          <w:lang w:eastAsia="en-US"/>
        </w:rPr>
      </w:pPr>
      <w:r w:rsidRPr="00BC1950">
        <w:rPr>
          <w:szCs w:val="22"/>
          <w:lang w:eastAsia="en-US"/>
        </w:rPr>
        <w:t>Faksas +370 5 2636 036</w:t>
      </w:r>
    </w:p>
    <w:p w14:paraId="721B7DCC" w14:textId="77777777" w:rsidR="006D2D23" w:rsidRPr="00BC1950" w:rsidRDefault="00331D43" w:rsidP="00331D43">
      <w:pPr>
        <w:numPr>
          <w:ilvl w:val="12"/>
          <w:numId w:val="0"/>
        </w:numPr>
        <w:tabs>
          <w:tab w:val="left" w:pos="567"/>
        </w:tabs>
        <w:ind w:right="-2"/>
        <w:rPr>
          <w:szCs w:val="22"/>
          <w:lang w:eastAsia="en-US"/>
        </w:rPr>
      </w:pPr>
      <w:r w:rsidRPr="00BC1950">
        <w:rPr>
          <w:szCs w:val="22"/>
          <w:lang w:eastAsia="en-US"/>
        </w:rPr>
        <w:t xml:space="preserve">El.pašto adresas: </w:t>
      </w:r>
      <w:hyperlink r:id="rId15" w:history="1">
        <w:r w:rsidRPr="00BC1950">
          <w:rPr>
            <w:rStyle w:val="Hipersaitas"/>
            <w:szCs w:val="22"/>
            <w:lang w:eastAsia="en-US"/>
          </w:rPr>
          <w:t>info.lithuania@sandoz.com</w:t>
        </w:r>
      </w:hyperlink>
    </w:p>
    <w:p w14:paraId="23B5EB21" w14:textId="77777777" w:rsidR="00331D43" w:rsidRPr="00BC1950" w:rsidRDefault="00331D43" w:rsidP="00331D43">
      <w:pPr>
        <w:numPr>
          <w:ilvl w:val="12"/>
          <w:numId w:val="0"/>
        </w:numPr>
        <w:tabs>
          <w:tab w:val="left" w:pos="567"/>
        </w:tabs>
        <w:ind w:right="-2"/>
        <w:rPr>
          <w:szCs w:val="22"/>
          <w:lang w:eastAsia="en-US"/>
        </w:rPr>
      </w:pPr>
    </w:p>
    <w:p w14:paraId="150A19BF" w14:textId="77777777" w:rsidR="00B74D14" w:rsidRPr="00827253" w:rsidRDefault="00431B2E" w:rsidP="006D2D23">
      <w:pPr>
        <w:numPr>
          <w:ilvl w:val="12"/>
          <w:numId w:val="0"/>
        </w:numPr>
        <w:tabs>
          <w:tab w:val="left" w:pos="567"/>
        </w:tabs>
        <w:ind w:right="-2"/>
        <w:rPr>
          <w:szCs w:val="22"/>
          <w:lang w:eastAsia="en-US"/>
        </w:rPr>
      </w:pPr>
      <w:r w:rsidRPr="00381FA2">
        <w:rPr>
          <w:b/>
        </w:rPr>
        <w:t>Šis vaistas EEE valstybėse narėse registruotas tokiais pavadinimais</w:t>
      </w:r>
      <w:r w:rsidRPr="00381FA2">
        <w:t>:</w:t>
      </w:r>
    </w:p>
    <w:p w14:paraId="184A3DBE" w14:textId="77777777" w:rsidR="00112ACB" w:rsidRDefault="00112ACB" w:rsidP="006D2D23">
      <w:pPr>
        <w:numPr>
          <w:ilvl w:val="12"/>
          <w:numId w:val="0"/>
        </w:numPr>
        <w:tabs>
          <w:tab w:val="left" w:pos="567"/>
        </w:tabs>
        <w:ind w:right="-2"/>
      </w:pPr>
    </w:p>
    <w:tbl>
      <w:tblPr>
        <w:tblStyle w:val="Lentelstinklelis"/>
        <w:tblW w:w="0" w:type="auto"/>
        <w:tblLook w:val="04A0" w:firstRow="1" w:lastRow="0" w:firstColumn="1" w:lastColumn="0" w:noHBand="0" w:noVBand="1"/>
      </w:tblPr>
      <w:tblGrid>
        <w:gridCol w:w="4530"/>
        <w:gridCol w:w="4530"/>
      </w:tblGrid>
      <w:tr w:rsidR="00112ACB" w14:paraId="3B799BB9" w14:textId="77777777" w:rsidTr="00112ACB">
        <w:tc>
          <w:tcPr>
            <w:tcW w:w="4530" w:type="dxa"/>
          </w:tcPr>
          <w:p w14:paraId="732F5F89" w14:textId="19B59095" w:rsidR="00112ACB" w:rsidRDefault="00112ACB" w:rsidP="006704AD">
            <w:pPr>
              <w:numPr>
                <w:ilvl w:val="12"/>
                <w:numId w:val="0"/>
              </w:numPr>
              <w:tabs>
                <w:tab w:val="left" w:pos="567"/>
              </w:tabs>
              <w:ind w:right="-2"/>
              <w:rPr>
                <w:szCs w:val="22"/>
                <w:lang w:eastAsia="en-US"/>
              </w:rPr>
            </w:pPr>
            <w:r>
              <w:rPr>
                <w:position w:val="1"/>
                <w:sz w:val="24"/>
                <w:szCs w:val="24"/>
                <w:lang w:eastAsia="en-US"/>
              </w:rPr>
              <w:t xml:space="preserve">Austrija, Belgija, Ispanija, </w:t>
            </w:r>
            <w:r>
              <w:t>Portugalija</w:t>
            </w:r>
          </w:p>
        </w:tc>
        <w:tc>
          <w:tcPr>
            <w:tcW w:w="4530" w:type="dxa"/>
          </w:tcPr>
          <w:p w14:paraId="7B710FD7" w14:textId="77777777" w:rsidR="00112ACB" w:rsidRDefault="00112ACB" w:rsidP="006D2D23">
            <w:pPr>
              <w:numPr>
                <w:ilvl w:val="12"/>
                <w:numId w:val="0"/>
              </w:numPr>
              <w:tabs>
                <w:tab w:val="left" w:pos="567"/>
              </w:tabs>
              <w:ind w:right="-2"/>
              <w:rPr>
                <w:szCs w:val="22"/>
                <w:lang w:eastAsia="en-US"/>
              </w:rPr>
            </w:pPr>
            <w:r w:rsidRPr="00164838">
              <w:rPr>
                <w:position w:val="1"/>
                <w:sz w:val="24"/>
                <w:szCs w:val="24"/>
                <w:lang w:eastAsia="en-US"/>
              </w:rPr>
              <w:t>Tenofovir Sandoz</w:t>
            </w:r>
          </w:p>
        </w:tc>
      </w:tr>
      <w:tr w:rsidR="00112ACB" w14:paraId="33C58BDC" w14:textId="77777777" w:rsidTr="00112ACB">
        <w:tc>
          <w:tcPr>
            <w:tcW w:w="4530" w:type="dxa"/>
          </w:tcPr>
          <w:p w14:paraId="4357E259" w14:textId="77777777" w:rsidR="00112ACB" w:rsidRDefault="00112ACB" w:rsidP="006D2D23">
            <w:pPr>
              <w:numPr>
                <w:ilvl w:val="12"/>
                <w:numId w:val="0"/>
              </w:numPr>
              <w:tabs>
                <w:tab w:val="left" w:pos="567"/>
              </w:tabs>
              <w:ind w:right="-2"/>
              <w:rPr>
                <w:szCs w:val="22"/>
                <w:lang w:eastAsia="en-US"/>
              </w:rPr>
            </w:pPr>
            <w:r w:rsidRPr="00381FA2">
              <w:rPr>
                <w:sz w:val="24"/>
                <w:szCs w:val="24"/>
                <w:lang w:eastAsia="en-US"/>
              </w:rPr>
              <w:t>Bulgarija</w:t>
            </w:r>
          </w:p>
        </w:tc>
        <w:tc>
          <w:tcPr>
            <w:tcW w:w="4530" w:type="dxa"/>
          </w:tcPr>
          <w:p w14:paraId="1D933784" w14:textId="77777777" w:rsidR="00112ACB" w:rsidRDefault="00112ACB" w:rsidP="006D2D23">
            <w:pPr>
              <w:numPr>
                <w:ilvl w:val="12"/>
                <w:numId w:val="0"/>
              </w:numPr>
              <w:tabs>
                <w:tab w:val="left" w:pos="567"/>
              </w:tabs>
              <w:ind w:right="-2"/>
              <w:rPr>
                <w:szCs w:val="22"/>
                <w:lang w:eastAsia="en-US"/>
              </w:rPr>
            </w:pPr>
            <w:r w:rsidRPr="00164838">
              <w:rPr>
                <w:position w:val="1"/>
                <w:sz w:val="24"/>
                <w:szCs w:val="24"/>
                <w:lang w:eastAsia="en-US"/>
              </w:rPr>
              <w:t>Тенофовир Сандоз</w:t>
            </w:r>
          </w:p>
        </w:tc>
      </w:tr>
      <w:tr w:rsidR="00112ACB" w14:paraId="117A15BE" w14:textId="77777777" w:rsidTr="00112ACB">
        <w:tc>
          <w:tcPr>
            <w:tcW w:w="4530" w:type="dxa"/>
          </w:tcPr>
          <w:p w14:paraId="3C9346A5" w14:textId="65787593" w:rsidR="00112ACB" w:rsidRDefault="00112ACB" w:rsidP="00112ACB">
            <w:pPr>
              <w:numPr>
                <w:ilvl w:val="12"/>
                <w:numId w:val="0"/>
              </w:numPr>
              <w:tabs>
                <w:tab w:val="left" w:pos="567"/>
              </w:tabs>
              <w:ind w:right="-2"/>
              <w:rPr>
                <w:szCs w:val="22"/>
                <w:lang w:eastAsia="en-US"/>
              </w:rPr>
            </w:pPr>
            <w:r>
              <w:rPr>
                <w:szCs w:val="22"/>
                <w:lang w:eastAsia="en-US"/>
              </w:rPr>
              <w:t xml:space="preserve">Čekija, Kipras, Danija, Estija, Italija, </w:t>
            </w:r>
            <w:r w:rsidRPr="00381FA2">
              <w:t>Jungtinė K</w:t>
            </w:r>
            <w:r w:rsidRPr="00827253">
              <w:t>aralystė</w:t>
            </w:r>
            <w:r>
              <w:t xml:space="preserve">, Suomija, Latvija, Lietuva, Lenkija, </w:t>
            </w:r>
            <w:r w:rsidRPr="00827253">
              <w:t>Nyderlandai</w:t>
            </w:r>
            <w:r>
              <w:t>, Norvegija, Rumunija, Švedija, Vengrija</w:t>
            </w:r>
            <w:r w:rsidR="006A6B26">
              <w:t>, Prancūzija</w:t>
            </w:r>
          </w:p>
        </w:tc>
        <w:tc>
          <w:tcPr>
            <w:tcW w:w="4530" w:type="dxa"/>
          </w:tcPr>
          <w:p w14:paraId="790A0BF8" w14:textId="77777777" w:rsidR="00112ACB" w:rsidRDefault="00112ACB" w:rsidP="006D2D23">
            <w:pPr>
              <w:numPr>
                <w:ilvl w:val="12"/>
                <w:numId w:val="0"/>
              </w:numPr>
              <w:tabs>
                <w:tab w:val="left" w:pos="567"/>
              </w:tabs>
              <w:ind w:right="-2"/>
              <w:rPr>
                <w:szCs w:val="22"/>
                <w:lang w:eastAsia="en-US"/>
              </w:rPr>
            </w:pPr>
            <w:r w:rsidRPr="00164838">
              <w:t>Tenofovir disoproxil Sandoz</w:t>
            </w:r>
          </w:p>
        </w:tc>
      </w:tr>
      <w:tr w:rsidR="00112ACB" w14:paraId="373678F2" w14:textId="77777777" w:rsidTr="00112ACB">
        <w:tc>
          <w:tcPr>
            <w:tcW w:w="4530" w:type="dxa"/>
          </w:tcPr>
          <w:p w14:paraId="13A0DC30" w14:textId="77777777" w:rsidR="00112ACB" w:rsidRDefault="00112ACB" w:rsidP="00112ACB">
            <w:pPr>
              <w:numPr>
                <w:ilvl w:val="12"/>
                <w:numId w:val="0"/>
              </w:numPr>
              <w:tabs>
                <w:tab w:val="left" w:pos="567"/>
              </w:tabs>
              <w:ind w:right="-2"/>
              <w:rPr>
                <w:szCs w:val="22"/>
                <w:lang w:eastAsia="en-US"/>
              </w:rPr>
            </w:pPr>
            <w:r>
              <w:rPr>
                <w:szCs w:val="22"/>
                <w:lang w:eastAsia="en-US"/>
              </w:rPr>
              <w:t xml:space="preserve">Kroatija, </w:t>
            </w:r>
          </w:p>
        </w:tc>
        <w:tc>
          <w:tcPr>
            <w:tcW w:w="4530" w:type="dxa"/>
          </w:tcPr>
          <w:p w14:paraId="1D2BDFD4" w14:textId="77777777" w:rsidR="00112ACB" w:rsidRDefault="00112ACB" w:rsidP="006D2D23">
            <w:pPr>
              <w:numPr>
                <w:ilvl w:val="12"/>
                <w:numId w:val="0"/>
              </w:numPr>
              <w:tabs>
                <w:tab w:val="left" w:pos="567"/>
              </w:tabs>
              <w:ind w:right="-2"/>
              <w:rPr>
                <w:szCs w:val="22"/>
                <w:lang w:eastAsia="en-US"/>
              </w:rPr>
            </w:pPr>
            <w:r w:rsidRPr="00164838">
              <w:t>Tenofovirdizopr</w:t>
            </w:r>
            <w:r w:rsidRPr="00381FA2">
              <w:t>oksil Sandoz</w:t>
            </w:r>
          </w:p>
        </w:tc>
      </w:tr>
      <w:tr w:rsidR="00112ACB" w14:paraId="0C2FF24D" w14:textId="77777777" w:rsidTr="00112ACB">
        <w:tc>
          <w:tcPr>
            <w:tcW w:w="4530" w:type="dxa"/>
          </w:tcPr>
          <w:p w14:paraId="3CE23805" w14:textId="77777777" w:rsidR="00112ACB" w:rsidRDefault="00112ACB" w:rsidP="006D2D23">
            <w:pPr>
              <w:numPr>
                <w:ilvl w:val="12"/>
                <w:numId w:val="0"/>
              </w:numPr>
              <w:tabs>
                <w:tab w:val="left" w:pos="567"/>
              </w:tabs>
              <w:ind w:right="-2"/>
              <w:rPr>
                <w:szCs w:val="22"/>
                <w:lang w:eastAsia="en-US"/>
              </w:rPr>
            </w:pPr>
            <w:r>
              <w:rPr>
                <w:szCs w:val="22"/>
                <w:lang w:eastAsia="en-US"/>
              </w:rPr>
              <w:t>Airija</w:t>
            </w:r>
          </w:p>
        </w:tc>
        <w:tc>
          <w:tcPr>
            <w:tcW w:w="4530" w:type="dxa"/>
          </w:tcPr>
          <w:p w14:paraId="4D8BEDD5" w14:textId="77777777" w:rsidR="00112ACB" w:rsidRDefault="00112ACB" w:rsidP="006D2D23">
            <w:pPr>
              <w:numPr>
                <w:ilvl w:val="12"/>
                <w:numId w:val="0"/>
              </w:numPr>
              <w:tabs>
                <w:tab w:val="left" w:pos="567"/>
              </w:tabs>
              <w:ind w:right="-2"/>
              <w:rPr>
                <w:szCs w:val="22"/>
                <w:lang w:eastAsia="en-US"/>
              </w:rPr>
            </w:pPr>
            <w:r w:rsidRPr="00164838">
              <w:t>Te</w:t>
            </w:r>
            <w:r w:rsidRPr="00381FA2">
              <w:t>nofovir disoproxil Rowex</w:t>
            </w:r>
          </w:p>
        </w:tc>
      </w:tr>
      <w:tr w:rsidR="00112ACB" w14:paraId="34C44909" w14:textId="77777777" w:rsidTr="00112ACB">
        <w:tc>
          <w:tcPr>
            <w:tcW w:w="4530" w:type="dxa"/>
          </w:tcPr>
          <w:p w14:paraId="266F395C" w14:textId="77777777" w:rsidR="00112ACB" w:rsidRDefault="00112ACB" w:rsidP="006D2D23">
            <w:pPr>
              <w:numPr>
                <w:ilvl w:val="12"/>
                <w:numId w:val="0"/>
              </w:numPr>
              <w:tabs>
                <w:tab w:val="left" w:pos="567"/>
              </w:tabs>
              <w:ind w:right="-2"/>
              <w:rPr>
                <w:szCs w:val="22"/>
                <w:lang w:eastAsia="en-US"/>
              </w:rPr>
            </w:pPr>
            <w:r>
              <w:rPr>
                <w:szCs w:val="22"/>
                <w:lang w:eastAsia="en-US"/>
              </w:rPr>
              <w:t>Slovėnija</w:t>
            </w:r>
          </w:p>
        </w:tc>
        <w:tc>
          <w:tcPr>
            <w:tcW w:w="4530" w:type="dxa"/>
          </w:tcPr>
          <w:p w14:paraId="13F8398B" w14:textId="77777777" w:rsidR="00112ACB" w:rsidRDefault="00112ACB" w:rsidP="006D2D23">
            <w:pPr>
              <w:numPr>
                <w:ilvl w:val="12"/>
                <w:numId w:val="0"/>
              </w:numPr>
              <w:tabs>
                <w:tab w:val="left" w:pos="567"/>
              </w:tabs>
              <w:ind w:right="-2"/>
              <w:rPr>
                <w:szCs w:val="22"/>
                <w:lang w:eastAsia="en-US"/>
              </w:rPr>
            </w:pPr>
            <w:r w:rsidRPr="00164838">
              <w:t>Dizop</w:t>
            </w:r>
            <w:r w:rsidRPr="00381FA2">
              <w:t>roksiltenofovirat Sandoz</w:t>
            </w:r>
          </w:p>
        </w:tc>
      </w:tr>
      <w:tr w:rsidR="00112ACB" w14:paraId="2DDE651C" w14:textId="77777777" w:rsidTr="00112ACB">
        <w:tc>
          <w:tcPr>
            <w:tcW w:w="4530" w:type="dxa"/>
          </w:tcPr>
          <w:p w14:paraId="6932B94E" w14:textId="77777777" w:rsidR="00112ACB" w:rsidRDefault="00112ACB" w:rsidP="006D2D23">
            <w:pPr>
              <w:numPr>
                <w:ilvl w:val="12"/>
                <w:numId w:val="0"/>
              </w:numPr>
              <w:tabs>
                <w:tab w:val="left" w:pos="567"/>
              </w:tabs>
              <w:ind w:right="-2"/>
              <w:rPr>
                <w:szCs w:val="22"/>
                <w:lang w:eastAsia="en-US"/>
              </w:rPr>
            </w:pPr>
            <w:r>
              <w:rPr>
                <w:szCs w:val="22"/>
                <w:lang w:eastAsia="en-US"/>
              </w:rPr>
              <w:t>Vokietija</w:t>
            </w:r>
          </w:p>
        </w:tc>
        <w:tc>
          <w:tcPr>
            <w:tcW w:w="4530" w:type="dxa"/>
          </w:tcPr>
          <w:p w14:paraId="59FBD9C6" w14:textId="77777777" w:rsidR="00112ACB" w:rsidRPr="00164838" w:rsidRDefault="00112ACB" w:rsidP="006D2D23">
            <w:pPr>
              <w:numPr>
                <w:ilvl w:val="12"/>
                <w:numId w:val="0"/>
              </w:numPr>
              <w:tabs>
                <w:tab w:val="left" w:pos="567"/>
              </w:tabs>
              <w:ind w:right="-2"/>
            </w:pPr>
            <w:r w:rsidRPr="00164838">
              <w:rPr>
                <w:noProof/>
              </w:rPr>
              <w:t>Tenofovirdisoproxil - 1 A Pharma</w:t>
            </w:r>
          </w:p>
        </w:tc>
      </w:tr>
    </w:tbl>
    <w:p w14:paraId="6DD5C222" w14:textId="77777777" w:rsidR="006110C7" w:rsidRPr="00BC1950" w:rsidRDefault="006110C7" w:rsidP="006D2D23">
      <w:pPr>
        <w:numPr>
          <w:ilvl w:val="12"/>
          <w:numId w:val="0"/>
        </w:numPr>
        <w:tabs>
          <w:tab w:val="left" w:pos="567"/>
        </w:tabs>
        <w:ind w:right="-2"/>
        <w:rPr>
          <w:szCs w:val="22"/>
          <w:lang w:eastAsia="en-US"/>
        </w:rPr>
      </w:pPr>
    </w:p>
    <w:p w14:paraId="135C2F0A" w14:textId="04E1C173" w:rsidR="006D2D23" w:rsidRPr="00431B2E" w:rsidRDefault="006D2D23" w:rsidP="006D2D23">
      <w:pPr>
        <w:numPr>
          <w:ilvl w:val="12"/>
          <w:numId w:val="0"/>
        </w:numPr>
        <w:tabs>
          <w:tab w:val="left" w:pos="567"/>
        </w:tabs>
        <w:ind w:right="-2"/>
        <w:outlineLvl w:val="0"/>
        <w:rPr>
          <w:szCs w:val="22"/>
          <w:lang w:eastAsia="en-US"/>
        </w:rPr>
      </w:pPr>
      <w:r w:rsidRPr="00BC1950">
        <w:rPr>
          <w:b/>
          <w:szCs w:val="22"/>
          <w:lang w:eastAsia="en-US"/>
        </w:rPr>
        <w:t xml:space="preserve">Šis pakuotės lapelis paskutinį kartą peržiūrėtas </w:t>
      </w:r>
      <w:r w:rsidR="007A0DB9">
        <w:rPr>
          <w:b/>
          <w:szCs w:val="22"/>
          <w:lang w:eastAsia="en-US"/>
        </w:rPr>
        <w:t>2020-05-14.</w:t>
      </w:r>
    </w:p>
    <w:p w14:paraId="52855924" w14:textId="77777777" w:rsidR="006D2D23" w:rsidRPr="0046556E" w:rsidRDefault="006D2D23" w:rsidP="003E6859">
      <w:pPr>
        <w:numPr>
          <w:ilvl w:val="12"/>
          <w:numId w:val="0"/>
        </w:numPr>
        <w:tabs>
          <w:tab w:val="left" w:pos="567"/>
        </w:tabs>
        <w:ind w:right="-2"/>
        <w:rPr>
          <w:szCs w:val="22"/>
          <w:lang w:eastAsia="en-US"/>
        </w:rPr>
      </w:pPr>
    </w:p>
    <w:p w14:paraId="60B990FE" w14:textId="77777777" w:rsidR="006D2D23" w:rsidRPr="0046556E" w:rsidRDefault="006D2D23" w:rsidP="006D2D23">
      <w:pPr>
        <w:numPr>
          <w:ilvl w:val="12"/>
          <w:numId w:val="0"/>
        </w:numPr>
        <w:tabs>
          <w:tab w:val="left" w:pos="567"/>
        </w:tabs>
        <w:ind w:right="-2"/>
        <w:rPr>
          <w:szCs w:val="22"/>
          <w:lang w:eastAsia="en-US"/>
        </w:rPr>
      </w:pPr>
    </w:p>
    <w:p w14:paraId="49FC5516" w14:textId="122AF053" w:rsidR="006D2D23" w:rsidRPr="0046556E" w:rsidRDefault="006D2D23" w:rsidP="006D2D23">
      <w:pPr>
        <w:numPr>
          <w:ilvl w:val="12"/>
          <w:numId w:val="0"/>
        </w:numPr>
        <w:tabs>
          <w:tab w:val="left" w:pos="567"/>
        </w:tabs>
        <w:ind w:right="-2"/>
        <w:rPr>
          <w:snapToGrid w:val="0"/>
          <w:szCs w:val="24"/>
          <w:lang w:eastAsia="en-US"/>
        </w:rPr>
      </w:pPr>
      <w:r w:rsidRPr="0046556E">
        <w:rPr>
          <w:snapToGrid w:val="0"/>
          <w:lang w:eastAsia="en-US"/>
        </w:rPr>
        <w:t xml:space="preserve">Išsami informacija apie šį </w:t>
      </w:r>
      <w:r w:rsidRPr="0046556E">
        <w:rPr>
          <w:snapToGrid w:val="0"/>
          <w:szCs w:val="24"/>
          <w:lang w:eastAsia="en-US"/>
        </w:rPr>
        <w:t>vaistą</w:t>
      </w:r>
      <w:r w:rsidRPr="0046556E">
        <w:rPr>
          <w:snapToGrid w:val="0"/>
          <w:lang w:eastAsia="en-US"/>
        </w:rPr>
        <w:t xml:space="preserve"> pateikiama Valstybinės vaistų kontrolės tarnybos prie Lietuvos Respublikos sveikatos apsaugos ministerijos tinklalapyje</w:t>
      </w:r>
      <w:r w:rsidRPr="0046556E">
        <w:rPr>
          <w:i/>
          <w:snapToGrid w:val="0"/>
          <w:szCs w:val="24"/>
          <w:lang w:eastAsia="en-US"/>
        </w:rPr>
        <w:t xml:space="preserve"> </w:t>
      </w:r>
      <w:hyperlink r:id="rId16" w:history="1">
        <w:r w:rsidRPr="0046556E">
          <w:rPr>
            <w:rFonts w:eastAsia="SimSun"/>
            <w:snapToGrid w:val="0"/>
            <w:color w:val="0000FF"/>
            <w:u w:val="single"/>
            <w:lang w:eastAsia="en-US"/>
          </w:rPr>
          <w:t>http://www.vvkt.lt/</w:t>
        </w:r>
      </w:hyperlink>
      <w:r w:rsidRPr="0046556E">
        <w:rPr>
          <w:snapToGrid w:val="0"/>
          <w:lang w:eastAsia="en-US"/>
        </w:rPr>
        <w:t>.</w:t>
      </w:r>
    </w:p>
    <w:p w14:paraId="70590DA6" w14:textId="77777777" w:rsidR="006D2D23" w:rsidRPr="0046556E" w:rsidRDefault="006D2D23" w:rsidP="006D2D23">
      <w:pPr>
        <w:numPr>
          <w:ilvl w:val="12"/>
          <w:numId w:val="0"/>
        </w:numPr>
        <w:tabs>
          <w:tab w:val="left" w:pos="567"/>
        </w:tabs>
        <w:ind w:right="-2"/>
        <w:rPr>
          <w:iCs/>
          <w:szCs w:val="22"/>
          <w:lang w:eastAsia="en-US"/>
        </w:rPr>
      </w:pPr>
    </w:p>
    <w:p w14:paraId="236D7F49" w14:textId="77777777" w:rsidR="00D659A4" w:rsidRPr="0046556E" w:rsidRDefault="00D659A4" w:rsidP="00EE7979">
      <w:pPr>
        <w:tabs>
          <w:tab w:val="left" w:pos="567"/>
        </w:tabs>
      </w:pPr>
    </w:p>
    <w:sectPr w:rsidR="00D659A4" w:rsidRPr="0046556E" w:rsidSect="00811B6B">
      <w:headerReference w:type="default" r:id="rId17"/>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9DFD" w14:textId="77777777" w:rsidR="005A168C" w:rsidRDefault="005A168C">
      <w:r>
        <w:separator/>
      </w:r>
    </w:p>
  </w:endnote>
  <w:endnote w:type="continuationSeparator" w:id="0">
    <w:p w14:paraId="4F66D284" w14:textId="77777777" w:rsidR="005A168C" w:rsidRDefault="005A168C">
      <w:r>
        <w:continuationSeparator/>
      </w:r>
    </w:p>
  </w:endnote>
  <w:endnote w:type="continuationNotice" w:id="1">
    <w:p w14:paraId="3E0C6CC5" w14:textId="77777777" w:rsidR="005A168C" w:rsidRDefault="005A1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7EDD" w14:textId="77777777" w:rsidR="00BE4EED" w:rsidRDefault="00BE4E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B8D08F" w14:textId="77777777" w:rsidR="00BE4EED" w:rsidRDefault="00BE4E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AD67" w14:textId="660B1C8F" w:rsidR="00BE4EED" w:rsidRDefault="00BE4E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3793">
      <w:rPr>
        <w:rStyle w:val="Puslapionumeris"/>
        <w:noProof/>
      </w:rPr>
      <w:t>41</w:t>
    </w:r>
    <w:r>
      <w:rPr>
        <w:rStyle w:val="Puslapionumeris"/>
      </w:rPr>
      <w:fldChar w:fldCharType="end"/>
    </w:r>
  </w:p>
  <w:p w14:paraId="4378008A" w14:textId="77777777" w:rsidR="00BE4EED" w:rsidRDefault="00BE4EE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334C8" w14:textId="77777777" w:rsidR="005A168C" w:rsidRDefault="005A168C">
      <w:r>
        <w:separator/>
      </w:r>
    </w:p>
  </w:footnote>
  <w:footnote w:type="continuationSeparator" w:id="0">
    <w:p w14:paraId="1702D59D" w14:textId="77777777" w:rsidR="005A168C" w:rsidRDefault="005A168C">
      <w:r>
        <w:continuationSeparator/>
      </w:r>
    </w:p>
  </w:footnote>
  <w:footnote w:type="continuationNotice" w:id="1">
    <w:p w14:paraId="6C4E5786" w14:textId="77777777" w:rsidR="005A168C" w:rsidRDefault="005A16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1A387" w14:textId="77777777" w:rsidR="00BE4EED" w:rsidRDefault="00BE4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A5467"/>
    <w:multiLevelType w:val="hybridMultilevel"/>
    <w:tmpl w:val="ED8EE4A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023C4"/>
    <w:multiLevelType w:val="hybridMultilevel"/>
    <w:tmpl w:val="5DD66A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33A45"/>
    <w:multiLevelType w:val="hybridMultilevel"/>
    <w:tmpl w:val="4322FAD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E58A7"/>
    <w:multiLevelType w:val="hybridMultilevel"/>
    <w:tmpl w:val="F704E85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859C1"/>
    <w:multiLevelType w:val="hybridMultilevel"/>
    <w:tmpl w:val="02109608"/>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7D2F38"/>
    <w:multiLevelType w:val="hybridMultilevel"/>
    <w:tmpl w:val="4BD477B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9E4319"/>
    <w:multiLevelType w:val="hybridMultilevel"/>
    <w:tmpl w:val="C94ABBB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01C40"/>
    <w:multiLevelType w:val="hybridMultilevel"/>
    <w:tmpl w:val="E752BEB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E349B0"/>
    <w:multiLevelType w:val="hybridMultilevel"/>
    <w:tmpl w:val="3EEAF7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60498D"/>
    <w:multiLevelType w:val="hybridMultilevel"/>
    <w:tmpl w:val="DF3246C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352D"/>
    <w:multiLevelType w:val="hybridMultilevel"/>
    <w:tmpl w:val="8EBC4EE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12453"/>
    <w:multiLevelType w:val="hybridMultilevel"/>
    <w:tmpl w:val="7FEAD9B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50996"/>
    <w:multiLevelType w:val="hybridMultilevel"/>
    <w:tmpl w:val="E7E6E4D2"/>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7831895"/>
    <w:multiLevelType w:val="hybridMultilevel"/>
    <w:tmpl w:val="6616E33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BB6996"/>
    <w:multiLevelType w:val="hybridMultilevel"/>
    <w:tmpl w:val="03D08A4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A02BA"/>
    <w:multiLevelType w:val="hybridMultilevel"/>
    <w:tmpl w:val="9942E91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F035B8"/>
    <w:multiLevelType w:val="hybridMultilevel"/>
    <w:tmpl w:val="075001F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6B50"/>
    <w:multiLevelType w:val="hybridMultilevel"/>
    <w:tmpl w:val="420669A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3966AD"/>
    <w:multiLevelType w:val="hybridMultilevel"/>
    <w:tmpl w:val="6B646C5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0B4AB9"/>
    <w:multiLevelType w:val="hybridMultilevel"/>
    <w:tmpl w:val="A35ED45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324E85"/>
    <w:multiLevelType w:val="hybridMultilevel"/>
    <w:tmpl w:val="2F9018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BE6728"/>
    <w:multiLevelType w:val="hybridMultilevel"/>
    <w:tmpl w:val="1934644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674D5"/>
    <w:multiLevelType w:val="hybridMultilevel"/>
    <w:tmpl w:val="DF6CF55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B91ED8"/>
    <w:multiLevelType w:val="hybridMultilevel"/>
    <w:tmpl w:val="FF24AD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76C9A"/>
    <w:multiLevelType w:val="hybridMultilevel"/>
    <w:tmpl w:val="69742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1E1A82"/>
    <w:multiLevelType w:val="hybridMultilevel"/>
    <w:tmpl w:val="431265F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0E79F5"/>
    <w:multiLevelType w:val="hybridMultilevel"/>
    <w:tmpl w:val="E32242A4"/>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E6DAF"/>
    <w:multiLevelType w:val="hybridMultilevel"/>
    <w:tmpl w:val="41D884E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6E68ED"/>
    <w:multiLevelType w:val="hybridMultilevel"/>
    <w:tmpl w:val="67326AC6"/>
    <w:lvl w:ilvl="0" w:tplc="04270001">
      <w:start w:val="1"/>
      <w:numFmt w:val="bullet"/>
      <w:lvlText w:val=""/>
      <w:lvlJc w:val="left"/>
      <w:pPr>
        <w:ind w:left="720" w:hanging="360"/>
      </w:pPr>
      <w:rPr>
        <w:rFonts w:ascii="Symbol" w:hAnsi="Symbol" w:hint="default"/>
      </w:rPr>
    </w:lvl>
    <w:lvl w:ilvl="1" w:tplc="CB5402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9C0ED4"/>
    <w:multiLevelType w:val="hybridMultilevel"/>
    <w:tmpl w:val="35D81AE0"/>
    <w:lvl w:ilvl="0" w:tplc="64E407BE">
      <w:start w:val="1"/>
      <w:numFmt w:val="bullet"/>
      <w:lvlText w:val=""/>
      <w:lvlJc w:val="left"/>
      <w:pPr>
        <w:ind w:left="720" w:hanging="360"/>
      </w:pPr>
      <w:rPr>
        <w:rFonts w:ascii="Symbol" w:hAnsi="Symbol" w:hint="default"/>
        <w:sz w:val="22"/>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8040CB"/>
    <w:multiLevelType w:val="hybridMultilevel"/>
    <w:tmpl w:val="231A165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FF3169"/>
    <w:multiLevelType w:val="hybridMultilevel"/>
    <w:tmpl w:val="6FBCEE6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050C8A"/>
    <w:multiLevelType w:val="hybridMultilevel"/>
    <w:tmpl w:val="76A6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lvlText w:val="-"/>
        <w:lvlJc w:val="left"/>
        <w:pPr>
          <w:ind w:left="360" w:hanging="360"/>
        </w:pPr>
      </w:lvl>
    </w:lvlOverride>
  </w:num>
  <w:num w:numId="3">
    <w:abstractNumId w:val="28"/>
  </w:num>
  <w:num w:numId="4">
    <w:abstractNumId w:val="33"/>
  </w:num>
  <w:num w:numId="5">
    <w:abstractNumId w:val="9"/>
  </w:num>
  <w:num w:numId="6">
    <w:abstractNumId w:val="6"/>
  </w:num>
  <w:num w:numId="7">
    <w:abstractNumId w:val="19"/>
  </w:num>
  <w:num w:numId="8">
    <w:abstractNumId w:val="29"/>
  </w:num>
  <w:num w:numId="9">
    <w:abstractNumId w:val="21"/>
  </w:num>
  <w:num w:numId="10">
    <w:abstractNumId w:val="15"/>
  </w:num>
  <w:num w:numId="11">
    <w:abstractNumId w:val="8"/>
  </w:num>
  <w:num w:numId="12">
    <w:abstractNumId w:val="17"/>
  </w:num>
  <w:num w:numId="13">
    <w:abstractNumId w:val="22"/>
  </w:num>
  <w:num w:numId="14">
    <w:abstractNumId w:val="2"/>
  </w:num>
  <w:num w:numId="15">
    <w:abstractNumId w:val="30"/>
  </w:num>
  <w:num w:numId="16">
    <w:abstractNumId w:val="26"/>
  </w:num>
  <w:num w:numId="17">
    <w:abstractNumId w:val="31"/>
  </w:num>
  <w:num w:numId="18">
    <w:abstractNumId w:val="5"/>
  </w:num>
  <w:num w:numId="19">
    <w:abstractNumId w:val="27"/>
  </w:num>
  <w:num w:numId="20">
    <w:abstractNumId w:val="34"/>
  </w:num>
  <w:num w:numId="21">
    <w:abstractNumId w:val="1"/>
  </w:num>
  <w:num w:numId="22">
    <w:abstractNumId w:val="20"/>
  </w:num>
  <w:num w:numId="23">
    <w:abstractNumId w:val="10"/>
  </w:num>
  <w:num w:numId="24">
    <w:abstractNumId w:val="4"/>
  </w:num>
  <w:num w:numId="25">
    <w:abstractNumId w:val="32"/>
  </w:num>
  <w:num w:numId="26">
    <w:abstractNumId w:val="16"/>
  </w:num>
  <w:num w:numId="27">
    <w:abstractNumId w:val="3"/>
  </w:num>
  <w:num w:numId="28">
    <w:abstractNumId w:val="25"/>
  </w:num>
  <w:num w:numId="29">
    <w:abstractNumId w:val="13"/>
  </w:num>
  <w:num w:numId="30">
    <w:abstractNumId w:val="7"/>
  </w:num>
  <w:num w:numId="31">
    <w:abstractNumId w:val="23"/>
  </w:num>
  <w:num w:numId="32">
    <w:abstractNumId w:val="11"/>
  </w:num>
  <w:num w:numId="33">
    <w:abstractNumId w:val="24"/>
  </w:num>
  <w:num w:numId="34">
    <w:abstractNumId w:val="18"/>
  </w:num>
  <w:num w:numId="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0219"/>
    <w:rsid w:val="00000C4F"/>
    <w:rsid w:val="00002A9E"/>
    <w:rsid w:val="0000416B"/>
    <w:rsid w:val="000045F5"/>
    <w:rsid w:val="00004B90"/>
    <w:rsid w:val="00005FD5"/>
    <w:rsid w:val="000078CC"/>
    <w:rsid w:val="000079F0"/>
    <w:rsid w:val="00011B80"/>
    <w:rsid w:val="00012043"/>
    <w:rsid w:val="00012746"/>
    <w:rsid w:val="00013891"/>
    <w:rsid w:val="00013B74"/>
    <w:rsid w:val="00013EF7"/>
    <w:rsid w:val="00014D1D"/>
    <w:rsid w:val="00017B81"/>
    <w:rsid w:val="000223C5"/>
    <w:rsid w:val="00033AC9"/>
    <w:rsid w:val="00034652"/>
    <w:rsid w:val="000357DE"/>
    <w:rsid w:val="000366D0"/>
    <w:rsid w:val="000368DE"/>
    <w:rsid w:val="0004001B"/>
    <w:rsid w:val="0004043C"/>
    <w:rsid w:val="000433C8"/>
    <w:rsid w:val="00051CA1"/>
    <w:rsid w:val="00053F3B"/>
    <w:rsid w:val="00054574"/>
    <w:rsid w:val="00057514"/>
    <w:rsid w:val="00060317"/>
    <w:rsid w:val="00060C49"/>
    <w:rsid w:val="00064965"/>
    <w:rsid w:val="000656F2"/>
    <w:rsid w:val="0007639E"/>
    <w:rsid w:val="00080FA3"/>
    <w:rsid w:val="000857C6"/>
    <w:rsid w:val="00085BFD"/>
    <w:rsid w:val="00086DDA"/>
    <w:rsid w:val="000878C5"/>
    <w:rsid w:val="00090679"/>
    <w:rsid w:val="00091140"/>
    <w:rsid w:val="0009646C"/>
    <w:rsid w:val="000A0865"/>
    <w:rsid w:val="000A263B"/>
    <w:rsid w:val="000A2957"/>
    <w:rsid w:val="000A59B8"/>
    <w:rsid w:val="000A6E70"/>
    <w:rsid w:val="000A75C5"/>
    <w:rsid w:val="000A7D7C"/>
    <w:rsid w:val="000B2CC3"/>
    <w:rsid w:val="000B59C3"/>
    <w:rsid w:val="000B6D1D"/>
    <w:rsid w:val="000B6D9D"/>
    <w:rsid w:val="000C1E64"/>
    <w:rsid w:val="000C2F9A"/>
    <w:rsid w:val="000C396D"/>
    <w:rsid w:val="000C3DCC"/>
    <w:rsid w:val="000C418D"/>
    <w:rsid w:val="000C4A26"/>
    <w:rsid w:val="000C7C75"/>
    <w:rsid w:val="000D1D9D"/>
    <w:rsid w:val="000D3B51"/>
    <w:rsid w:val="000D3FD9"/>
    <w:rsid w:val="000D523E"/>
    <w:rsid w:val="000D76BF"/>
    <w:rsid w:val="000E0BC3"/>
    <w:rsid w:val="000F2737"/>
    <w:rsid w:val="000F5E09"/>
    <w:rsid w:val="000F6203"/>
    <w:rsid w:val="000F7A15"/>
    <w:rsid w:val="001019AC"/>
    <w:rsid w:val="00101E0B"/>
    <w:rsid w:val="00102FDC"/>
    <w:rsid w:val="0010415A"/>
    <w:rsid w:val="00111E01"/>
    <w:rsid w:val="001123D3"/>
    <w:rsid w:val="00112ACB"/>
    <w:rsid w:val="001138A2"/>
    <w:rsid w:val="001158B7"/>
    <w:rsid w:val="00115F77"/>
    <w:rsid w:val="00116E51"/>
    <w:rsid w:val="00120BE7"/>
    <w:rsid w:val="00130CC9"/>
    <w:rsid w:val="00131447"/>
    <w:rsid w:val="00135C09"/>
    <w:rsid w:val="001364E4"/>
    <w:rsid w:val="0013654A"/>
    <w:rsid w:val="00136C75"/>
    <w:rsid w:val="001378A6"/>
    <w:rsid w:val="00140D8B"/>
    <w:rsid w:val="00141D3C"/>
    <w:rsid w:val="0014225B"/>
    <w:rsid w:val="0014347B"/>
    <w:rsid w:val="001438ED"/>
    <w:rsid w:val="00143A44"/>
    <w:rsid w:val="00151E0E"/>
    <w:rsid w:val="00152A0E"/>
    <w:rsid w:val="00160716"/>
    <w:rsid w:val="00160D1E"/>
    <w:rsid w:val="00161A33"/>
    <w:rsid w:val="00164838"/>
    <w:rsid w:val="00170752"/>
    <w:rsid w:val="0017229F"/>
    <w:rsid w:val="00177E9B"/>
    <w:rsid w:val="00180B01"/>
    <w:rsid w:val="001810BE"/>
    <w:rsid w:val="001826C2"/>
    <w:rsid w:val="00182D45"/>
    <w:rsid w:val="001833D2"/>
    <w:rsid w:val="00185BA1"/>
    <w:rsid w:val="001865CA"/>
    <w:rsid w:val="00191FEA"/>
    <w:rsid w:val="00192E43"/>
    <w:rsid w:val="0019360C"/>
    <w:rsid w:val="001A1491"/>
    <w:rsid w:val="001A76A8"/>
    <w:rsid w:val="001B2F36"/>
    <w:rsid w:val="001B5115"/>
    <w:rsid w:val="001C5956"/>
    <w:rsid w:val="001C6305"/>
    <w:rsid w:val="001C653F"/>
    <w:rsid w:val="001D09A5"/>
    <w:rsid w:val="001D09A8"/>
    <w:rsid w:val="001D1977"/>
    <w:rsid w:val="001D5CAC"/>
    <w:rsid w:val="001E0356"/>
    <w:rsid w:val="001E1EF8"/>
    <w:rsid w:val="001E25AA"/>
    <w:rsid w:val="001E59F6"/>
    <w:rsid w:val="001F003F"/>
    <w:rsid w:val="001F1025"/>
    <w:rsid w:val="001F305C"/>
    <w:rsid w:val="00205086"/>
    <w:rsid w:val="0020625D"/>
    <w:rsid w:val="002102F1"/>
    <w:rsid w:val="00210E9E"/>
    <w:rsid w:val="00212870"/>
    <w:rsid w:val="002146A5"/>
    <w:rsid w:val="00225F7C"/>
    <w:rsid w:val="00235048"/>
    <w:rsid w:val="002365CD"/>
    <w:rsid w:val="002416F6"/>
    <w:rsid w:val="0024303C"/>
    <w:rsid w:val="00243AEA"/>
    <w:rsid w:val="002525F5"/>
    <w:rsid w:val="002536C4"/>
    <w:rsid w:val="00255145"/>
    <w:rsid w:val="00255C97"/>
    <w:rsid w:val="002615F0"/>
    <w:rsid w:val="00262AAD"/>
    <w:rsid w:val="00262DF9"/>
    <w:rsid w:val="00264671"/>
    <w:rsid w:val="002646BE"/>
    <w:rsid w:val="0026751C"/>
    <w:rsid w:val="002709F8"/>
    <w:rsid w:val="00272088"/>
    <w:rsid w:val="00272D60"/>
    <w:rsid w:val="00275F9B"/>
    <w:rsid w:val="00284248"/>
    <w:rsid w:val="00284893"/>
    <w:rsid w:val="00292C7B"/>
    <w:rsid w:val="002973C6"/>
    <w:rsid w:val="002A07D7"/>
    <w:rsid w:val="002A1534"/>
    <w:rsid w:val="002A1B3E"/>
    <w:rsid w:val="002A3F11"/>
    <w:rsid w:val="002A4016"/>
    <w:rsid w:val="002A6ACC"/>
    <w:rsid w:val="002B2641"/>
    <w:rsid w:val="002B273A"/>
    <w:rsid w:val="002B278E"/>
    <w:rsid w:val="002B2A0D"/>
    <w:rsid w:val="002B4C25"/>
    <w:rsid w:val="002B4C69"/>
    <w:rsid w:val="002B76C8"/>
    <w:rsid w:val="002C00CD"/>
    <w:rsid w:val="002C11FE"/>
    <w:rsid w:val="002D12E2"/>
    <w:rsid w:val="002D1854"/>
    <w:rsid w:val="002D44A5"/>
    <w:rsid w:val="002D72A0"/>
    <w:rsid w:val="002E0F33"/>
    <w:rsid w:val="002E6326"/>
    <w:rsid w:val="002E6EAD"/>
    <w:rsid w:val="002E7949"/>
    <w:rsid w:val="002F05FB"/>
    <w:rsid w:val="002F5C61"/>
    <w:rsid w:val="002F637C"/>
    <w:rsid w:val="003000AA"/>
    <w:rsid w:val="003003BC"/>
    <w:rsid w:val="00301834"/>
    <w:rsid w:val="00306657"/>
    <w:rsid w:val="00306B4D"/>
    <w:rsid w:val="00307D20"/>
    <w:rsid w:val="0031102E"/>
    <w:rsid w:val="0031500D"/>
    <w:rsid w:val="00315A04"/>
    <w:rsid w:val="00317467"/>
    <w:rsid w:val="003205D6"/>
    <w:rsid w:val="003222AA"/>
    <w:rsid w:val="00323258"/>
    <w:rsid w:val="003232BE"/>
    <w:rsid w:val="0032341D"/>
    <w:rsid w:val="0032385F"/>
    <w:rsid w:val="003265CB"/>
    <w:rsid w:val="00326760"/>
    <w:rsid w:val="00331D43"/>
    <w:rsid w:val="0033398C"/>
    <w:rsid w:val="00333ABE"/>
    <w:rsid w:val="00335E55"/>
    <w:rsid w:val="003363F5"/>
    <w:rsid w:val="0034434A"/>
    <w:rsid w:val="00351B7A"/>
    <w:rsid w:val="00352757"/>
    <w:rsid w:val="0036005E"/>
    <w:rsid w:val="003631DA"/>
    <w:rsid w:val="00363342"/>
    <w:rsid w:val="00365A0A"/>
    <w:rsid w:val="00375F74"/>
    <w:rsid w:val="00381FA2"/>
    <w:rsid w:val="00384664"/>
    <w:rsid w:val="00385ABA"/>
    <w:rsid w:val="00387556"/>
    <w:rsid w:val="003971A8"/>
    <w:rsid w:val="003A19F5"/>
    <w:rsid w:val="003A1B2C"/>
    <w:rsid w:val="003A1FE7"/>
    <w:rsid w:val="003A2162"/>
    <w:rsid w:val="003A26AF"/>
    <w:rsid w:val="003A4874"/>
    <w:rsid w:val="003A6209"/>
    <w:rsid w:val="003A73F2"/>
    <w:rsid w:val="003B43E1"/>
    <w:rsid w:val="003B47F2"/>
    <w:rsid w:val="003B55F4"/>
    <w:rsid w:val="003B5A87"/>
    <w:rsid w:val="003B64F1"/>
    <w:rsid w:val="003B6F1A"/>
    <w:rsid w:val="003B73E6"/>
    <w:rsid w:val="003B7B85"/>
    <w:rsid w:val="003C36B8"/>
    <w:rsid w:val="003C408E"/>
    <w:rsid w:val="003D31F6"/>
    <w:rsid w:val="003D40C4"/>
    <w:rsid w:val="003D599F"/>
    <w:rsid w:val="003D5CC9"/>
    <w:rsid w:val="003E1163"/>
    <w:rsid w:val="003E6859"/>
    <w:rsid w:val="003E74DB"/>
    <w:rsid w:val="003F1A5C"/>
    <w:rsid w:val="003F2D05"/>
    <w:rsid w:val="003F42E1"/>
    <w:rsid w:val="00403A00"/>
    <w:rsid w:val="00405348"/>
    <w:rsid w:val="00407E7C"/>
    <w:rsid w:val="0042366C"/>
    <w:rsid w:val="004246BB"/>
    <w:rsid w:val="00431B2E"/>
    <w:rsid w:val="00432DF2"/>
    <w:rsid w:val="004345E7"/>
    <w:rsid w:val="00441699"/>
    <w:rsid w:val="00442890"/>
    <w:rsid w:val="00445AE1"/>
    <w:rsid w:val="004470F6"/>
    <w:rsid w:val="004472A1"/>
    <w:rsid w:val="0044754A"/>
    <w:rsid w:val="00447658"/>
    <w:rsid w:val="00450562"/>
    <w:rsid w:val="00460343"/>
    <w:rsid w:val="00460FED"/>
    <w:rsid w:val="00462913"/>
    <w:rsid w:val="00463046"/>
    <w:rsid w:val="004630C4"/>
    <w:rsid w:val="0046556E"/>
    <w:rsid w:val="0046616A"/>
    <w:rsid w:val="00466979"/>
    <w:rsid w:val="00466C19"/>
    <w:rsid w:val="00467497"/>
    <w:rsid w:val="004676E8"/>
    <w:rsid w:val="00467908"/>
    <w:rsid w:val="00472284"/>
    <w:rsid w:val="0047399C"/>
    <w:rsid w:val="00474823"/>
    <w:rsid w:val="00474AE1"/>
    <w:rsid w:val="00475412"/>
    <w:rsid w:val="004800B4"/>
    <w:rsid w:val="00483557"/>
    <w:rsid w:val="004857A4"/>
    <w:rsid w:val="004863B1"/>
    <w:rsid w:val="00487F7C"/>
    <w:rsid w:val="004972ED"/>
    <w:rsid w:val="0049743B"/>
    <w:rsid w:val="004A0EEC"/>
    <w:rsid w:val="004A1D5C"/>
    <w:rsid w:val="004A2A5C"/>
    <w:rsid w:val="004A37D7"/>
    <w:rsid w:val="004A6D21"/>
    <w:rsid w:val="004B27F6"/>
    <w:rsid w:val="004B2EED"/>
    <w:rsid w:val="004B4323"/>
    <w:rsid w:val="004B6DB2"/>
    <w:rsid w:val="004B70F2"/>
    <w:rsid w:val="004C1038"/>
    <w:rsid w:val="004C146F"/>
    <w:rsid w:val="004C2842"/>
    <w:rsid w:val="004C49C7"/>
    <w:rsid w:val="004C5604"/>
    <w:rsid w:val="004C63F8"/>
    <w:rsid w:val="004C7289"/>
    <w:rsid w:val="004D1823"/>
    <w:rsid w:val="004D6FB2"/>
    <w:rsid w:val="004E3B5E"/>
    <w:rsid w:val="004E4005"/>
    <w:rsid w:val="004E443A"/>
    <w:rsid w:val="004F002D"/>
    <w:rsid w:val="004F0F70"/>
    <w:rsid w:val="004F1FD5"/>
    <w:rsid w:val="004F30FE"/>
    <w:rsid w:val="004F3990"/>
    <w:rsid w:val="004F43F4"/>
    <w:rsid w:val="004F55AE"/>
    <w:rsid w:val="004F6DB1"/>
    <w:rsid w:val="00500094"/>
    <w:rsid w:val="005012C9"/>
    <w:rsid w:val="00503A62"/>
    <w:rsid w:val="00505CFC"/>
    <w:rsid w:val="005123ED"/>
    <w:rsid w:val="00512711"/>
    <w:rsid w:val="00514E66"/>
    <w:rsid w:val="00515610"/>
    <w:rsid w:val="00520290"/>
    <w:rsid w:val="00524338"/>
    <w:rsid w:val="00524959"/>
    <w:rsid w:val="00533AA2"/>
    <w:rsid w:val="00534B4A"/>
    <w:rsid w:val="00537BF4"/>
    <w:rsid w:val="00550323"/>
    <w:rsid w:val="00555484"/>
    <w:rsid w:val="00557294"/>
    <w:rsid w:val="005579C1"/>
    <w:rsid w:val="0056070C"/>
    <w:rsid w:val="00563B27"/>
    <w:rsid w:val="00566AF1"/>
    <w:rsid w:val="00572CD9"/>
    <w:rsid w:val="00586346"/>
    <w:rsid w:val="00587C32"/>
    <w:rsid w:val="00590F3E"/>
    <w:rsid w:val="005917C9"/>
    <w:rsid w:val="00592628"/>
    <w:rsid w:val="00592F24"/>
    <w:rsid w:val="005947AC"/>
    <w:rsid w:val="005972FB"/>
    <w:rsid w:val="00597598"/>
    <w:rsid w:val="005A11CF"/>
    <w:rsid w:val="005A168C"/>
    <w:rsid w:val="005A37CE"/>
    <w:rsid w:val="005A3C83"/>
    <w:rsid w:val="005A482C"/>
    <w:rsid w:val="005A4FC1"/>
    <w:rsid w:val="005A689B"/>
    <w:rsid w:val="005A7CBB"/>
    <w:rsid w:val="005B15D7"/>
    <w:rsid w:val="005B44D9"/>
    <w:rsid w:val="005C424F"/>
    <w:rsid w:val="005C4DF8"/>
    <w:rsid w:val="005C5436"/>
    <w:rsid w:val="005C6DC4"/>
    <w:rsid w:val="005D10D3"/>
    <w:rsid w:val="005D5F82"/>
    <w:rsid w:val="005E2884"/>
    <w:rsid w:val="005E2CE8"/>
    <w:rsid w:val="005E52DD"/>
    <w:rsid w:val="005F1287"/>
    <w:rsid w:val="005F2E97"/>
    <w:rsid w:val="005F45F6"/>
    <w:rsid w:val="005F467D"/>
    <w:rsid w:val="00603AFB"/>
    <w:rsid w:val="006110C7"/>
    <w:rsid w:val="00612262"/>
    <w:rsid w:val="00614616"/>
    <w:rsid w:val="00615D32"/>
    <w:rsid w:val="0062245D"/>
    <w:rsid w:val="006229DA"/>
    <w:rsid w:val="0062303B"/>
    <w:rsid w:val="0062421D"/>
    <w:rsid w:val="00624E1E"/>
    <w:rsid w:val="006268A0"/>
    <w:rsid w:val="00630F24"/>
    <w:rsid w:val="00631CDE"/>
    <w:rsid w:val="00631E14"/>
    <w:rsid w:val="00636381"/>
    <w:rsid w:val="00637BC5"/>
    <w:rsid w:val="00640D92"/>
    <w:rsid w:val="006459B5"/>
    <w:rsid w:val="00645C57"/>
    <w:rsid w:val="00651AC7"/>
    <w:rsid w:val="0065271B"/>
    <w:rsid w:val="00653D08"/>
    <w:rsid w:val="0065776B"/>
    <w:rsid w:val="0066169B"/>
    <w:rsid w:val="00661B1F"/>
    <w:rsid w:val="00662141"/>
    <w:rsid w:val="00663F27"/>
    <w:rsid w:val="006704AD"/>
    <w:rsid w:val="00673AE4"/>
    <w:rsid w:val="006744CC"/>
    <w:rsid w:val="00680D00"/>
    <w:rsid w:val="00681359"/>
    <w:rsid w:val="006829FA"/>
    <w:rsid w:val="00684DF5"/>
    <w:rsid w:val="00686061"/>
    <w:rsid w:val="006869EF"/>
    <w:rsid w:val="006932BC"/>
    <w:rsid w:val="00693F82"/>
    <w:rsid w:val="00695D8C"/>
    <w:rsid w:val="00696F85"/>
    <w:rsid w:val="006A0C7F"/>
    <w:rsid w:val="006A1BCF"/>
    <w:rsid w:val="006A22CF"/>
    <w:rsid w:val="006A3E06"/>
    <w:rsid w:val="006A3FD3"/>
    <w:rsid w:val="006A6B26"/>
    <w:rsid w:val="006A6DC1"/>
    <w:rsid w:val="006B00DA"/>
    <w:rsid w:val="006B16FD"/>
    <w:rsid w:val="006B33D7"/>
    <w:rsid w:val="006B5A53"/>
    <w:rsid w:val="006C20B0"/>
    <w:rsid w:val="006D26F8"/>
    <w:rsid w:val="006D2D23"/>
    <w:rsid w:val="006D4146"/>
    <w:rsid w:val="006D748B"/>
    <w:rsid w:val="006E33FF"/>
    <w:rsid w:val="006E43FB"/>
    <w:rsid w:val="006F23A0"/>
    <w:rsid w:val="006F272C"/>
    <w:rsid w:val="006F2D0B"/>
    <w:rsid w:val="006F490D"/>
    <w:rsid w:val="006F4AFE"/>
    <w:rsid w:val="006F4D69"/>
    <w:rsid w:val="006F54D9"/>
    <w:rsid w:val="00700E17"/>
    <w:rsid w:val="00701704"/>
    <w:rsid w:val="00706787"/>
    <w:rsid w:val="00711E17"/>
    <w:rsid w:val="00711E8F"/>
    <w:rsid w:val="00712007"/>
    <w:rsid w:val="007141C4"/>
    <w:rsid w:val="0071563D"/>
    <w:rsid w:val="007200A5"/>
    <w:rsid w:val="007215D1"/>
    <w:rsid w:val="0072166E"/>
    <w:rsid w:val="00723A9A"/>
    <w:rsid w:val="00725303"/>
    <w:rsid w:val="007302C2"/>
    <w:rsid w:val="00733423"/>
    <w:rsid w:val="00740936"/>
    <w:rsid w:val="00743362"/>
    <w:rsid w:val="007434DF"/>
    <w:rsid w:val="00747BD0"/>
    <w:rsid w:val="00751FC3"/>
    <w:rsid w:val="007554D4"/>
    <w:rsid w:val="00756E06"/>
    <w:rsid w:val="00760AA5"/>
    <w:rsid w:val="00762E49"/>
    <w:rsid w:val="00764CD8"/>
    <w:rsid w:val="00772B5F"/>
    <w:rsid w:val="00773382"/>
    <w:rsid w:val="0077465B"/>
    <w:rsid w:val="00782776"/>
    <w:rsid w:val="00791E7A"/>
    <w:rsid w:val="00794382"/>
    <w:rsid w:val="00795B2C"/>
    <w:rsid w:val="007A0DB9"/>
    <w:rsid w:val="007A3CF3"/>
    <w:rsid w:val="007A5F44"/>
    <w:rsid w:val="007B09AC"/>
    <w:rsid w:val="007B219E"/>
    <w:rsid w:val="007B2C00"/>
    <w:rsid w:val="007B2C8D"/>
    <w:rsid w:val="007C43E5"/>
    <w:rsid w:val="007C4FE3"/>
    <w:rsid w:val="007C7544"/>
    <w:rsid w:val="007C7E96"/>
    <w:rsid w:val="007D0137"/>
    <w:rsid w:val="007D0E47"/>
    <w:rsid w:val="007D20EB"/>
    <w:rsid w:val="007D490E"/>
    <w:rsid w:val="007E34BE"/>
    <w:rsid w:val="007E3C44"/>
    <w:rsid w:val="007F0261"/>
    <w:rsid w:val="007F2D0F"/>
    <w:rsid w:val="007F3982"/>
    <w:rsid w:val="007F5072"/>
    <w:rsid w:val="008001BE"/>
    <w:rsid w:val="008038AB"/>
    <w:rsid w:val="008116E6"/>
    <w:rsid w:val="00811B6B"/>
    <w:rsid w:val="00816805"/>
    <w:rsid w:val="00817082"/>
    <w:rsid w:val="0082118C"/>
    <w:rsid w:val="00821287"/>
    <w:rsid w:val="008222A5"/>
    <w:rsid w:val="00827253"/>
    <w:rsid w:val="00830C73"/>
    <w:rsid w:val="008319E8"/>
    <w:rsid w:val="0083326B"/>
    <w:rsid w:val="00836CED"/>
    <w:rsid w:val="008412E6"/>
    <w:rsid w:val="00844863"/>
    <w:rsid w:val="008458F4"/>
    <w:rsid w:val="00850B76"/>
    <w:rsid w:val="00851418"/>
    <w:rsid w:val="00852D99"/>
    <w:rsid w:val="00861ACA"/>
    <w:rsid w:val="00861D98"/>
    <w:rsid w:val="00863A54"/>
    <w:rsid w:val="00864886"/>
    <w:rsid w:val="008659E0"/>
    <w:rsid w:val="0086613B"/>
    <w:rsid w:val="00866CF6"/>
    <w:rsid w:val="008670C3"/>
    <w:rsid w:val="0086768F"/>
    <w:rsid w:val="00871366"/>
    <w:rsid w:val="00871F32"/>
    <w:rsid w:val="008726C8"/>
    <w:rsid w:val="00872962"/>
    <w:rsid w:val="00874129"/>
    <w:rsid w:val="00876F17"/>
    <w:rsid w:val="00886570"/>
    <w:rsid w:val="00890376"/>
    <w:rsid w:val="0089322D"/>
    <w:rsid w:val="00896047"/>
    <w:rsid w:val="008964D2"/>
    <w:rsid w:val="00896D51"/>
    <w:rsid w:val="008A0292"/>
    <w:rsid w:val="008A07F1"/>
    <w:rsid w:val="008A1E9C"/>
    <w:rsid w:val="008A3775"/>
    <w:rsid w:val="008A4C9B"/>
    <w:rsid w:val="008A52B1"/>
    <w:rsid w:val="008A6483"/>
    <w:rsid w:val="008A6C30"/>
    <w:rsid w:val="008B2213"/>
    <w:rsid w:val="008C03A2"/>
    <w:rsid w:val="008C0CA3"/>
    <w:rsid w:val="008C36F4"/>
    <w:rsid w:val="008C4E78"/>
    <w:rsid w:val="008C5D87"/>
    <w:rsid w:val="008E0035"/>
    <w:rsid w:val="008E318B"/>
    <w:rsid w:val="008E3B03"/>
    <w:rsid w:val="008E4957"/>
    <w:rsid w:val="008F1CEC"/>
    <w:rsid w:val="008F4434"/>
    <w:rsid w:val="008F72E3"/>
    <w:rsid w:val="00900109"/>
    <w:rsid w:val="009011B4"/>
    <w:rsid w:val="00905023"/>
    <w:rsid w:val="009076AB"/>
    <w:rsid w:val="00911C07"/>
    <w:rsid w:val="009132AC"/>
    <w:rsid w:val="00914222"/>
    <w:rsid w:val="00923AE1"/>
    <w:rsid w:val="00924C75"/>
    <w:rsid w:val="00924D99"/>
    <w:rsid w:val="00933B94"/>
    <w:rsid w:val="00933C03"/>
    <w:rsid w:val="0093475B"/>
    <w:rsid w:val="00941C7A"/>
    <w:rsid w:val="00945A0C"/>
    <w:rsid w:val="00946CC7"/>
    <w:rsid w:val="00947DB6"/>
    <w:rsid w:val="0095088D"/>
    <w:rsid w:val="00964601"/>
    <w:rsid w:val="0096493D"/>
    <w:rsid w:val="00965140"/>
    <w:rsid w:val="00966E93"/>
    <w:rsid w:val="0096745F"/>
    <w:rsid w:val="00967CB5"/>
    <w:rsid w:val="00973C9E"/>
    <w:rsid w:val="00981040"/>
    <w:rsid w:val="00982481"/>
    <w:rsid w:val="00990604"/>
    <w:rsid w:val="009907B2"/>
    <w:rsid w:val="00990D2C"/>
    <w:rsid w:val="00992637"/>
    <w:rsid w:val="009A0494"/>
    <w:rsid w:val="009A4163"/>
    <w:rsid w:val="009B1B7E"/>
    <w:rsid w:val="009B2B65"/>
    <w:rsid w:val="009B360E"/>
    <w:rsid w:val="009B446F"/>
    <w:rsid w:val="009B6BBA"/>
    <w:rsid w:val="009B74CB"/>
    <w:rsid w:val="009B7E3F"/>
    <w:rsid w:val="009C114A"/>
    <w:rsid w:val="009C22B5"/>
    <w:rsid w:val="009C3C44"/>
    <w:rsid w:val="009C43EA"/>
    <w:rsid w:val="009C79A4"/>
    <w:rsid w:val="009D1B1D"/>
    <w:rsid w:val="009D4F20"/>
    <w:rsid w:val="009D6418"/>
    <w:rsid w:val="009D6772"/>
    <w:rsid w:val="009D6BA0"/>
    <w:rsid w:val="009E048B"/>
    <w:rsid w:val="009E26A5"/>
    <w:rsid w:val="009E314E"/>
    <w:rsid w:val="009E6557"/>
    <w:rsid w:val="009F059E"/>
    <w:rsid w:val="009F17C0"/>
    <w:rsid w:val="009F5267"/>
    <w:rsid w:val="009F6060"/>
    <w:rsid w:val="009F6635"/>
    <w:rsid w:val="00A00758"/>
    <w:rsid w:val="00A00ADE"/>
    <w:rsid w:val="00A03545"/>
    <w:rsid w:val="00A06527"/>
    <w:rsid w:val="00A06F97"/>
    <w:rsid w:val="00A107A7"/>
    <w:rsid w:val="00A10897"/>
    <w:rsid w:val="00A11868"/>
    <w:rsid w:val="00A118C8"/>
    <w:rsid w:val="00A1697F"/>
    <w:rsid w:val="00A1734F"/>
    <w:rsid w:val="00A26E66"/>
    <w:rsid w:val="00A27265"/>
    <w:rsid w:val="00A3441C"/>
    <w:rsid w:val="00A37D9D"/>
    <w:rsid w:val="00A459DF"/>
    <w:rsid w:val="00A47C6D"/>
    <w:rsid w:val="00A502A7"/>
    <w:rsid w:val="00A50A7D"/>
    <w:rsid w:val="00A5194B"/>
    <w:rsid w:val="00A529FD"/>
    <w:rsid w:val="00A5527E"/>
    <w:rsid w:val="00A5588C"/>
    <w:rsid w:val="00A566C7"/>
    <w:rsid w:val="00A56EA2"/>
    <w:rsid w:val="00A57802"/>
    <w:rsid w:val="00A62F86"/>
    <w:rsid w:val="00A70BD5"/>
    <w:rsid w:val="00A72726"/>
    <w:rsid w:val="00A72C06"/>
    <w:rsid w:val="00A7442F"/>
    <w:rsid w:val="00A75318"/>
    <w:rsid w:val="00A7563B"/>
    <w:rsid w:val="00A857BC"/>
    <w:rsid w:val="00A877C1"/>
    <w:rsid w:val="00A87B18"/>
    <w:rsid w:val="00A90462"/>
    <w:rsid w:val="00A91232"/>
    <w:rsid w:val="00A91277"/>
    <w:rsid w:val="00A97396"/>
    <w:rsid w:val="00A97E64"/>
    <w:rsid w:val="00AA0F8E"/>
    <w:rsid w:val="00AA3400"/>
    <w:rsid w:val="00AA40A2"/>
    <w:rsid w:val="00AA7F46"/>
    <w:rsid w:val="00AB3284"/>
    <w:rsid w:val="00AB715E"/>
    <w:rsid w:val="00AB71F4"/>
    <w:rsid w:val="00AB7308"/>
    <w:rsid w:val="00AC275D"/>
    <w:rsid w:val="00AD553D"/>
    <w:rsid w:val="00AD76FC"/>
    <w:rsid w:val="00AE124E"/>
    <w:rsid w:val="00AE33DB"/>
    <w:rsid w:val="00AE33E3"/>
    <w:rsid w:val="00AE3AFC"/>
    <w:rsid w:val="00AE40FE"/>
    <w:rsid w:val="00AE42DB"/>
    <w:rsid w:val="00AE7204"/>
    <w:rsid w:val="00AF0851"/>
    <w:rsid w:val="00AF0A3F"/>
    <w:rsid w:val="00AF0F9E"/>
    <w:rsid w:val="00AF2226"/>
    <w:rsid w:val="00AF4F66"/>
    <w:rsid w:val="00AF537A"/>
    <w:rsid w:val="00B0025E"/>
    <w:rsid w:val="00B06C40"/>
    <w:rsid w:val="00B07BFB"/>
    <w:rsid w:val="00B07D69"/>
    <w:rsid w:val="00B1519B"/>
    <w:rsid w:val="00B2124E"/>
    <w:rsid w:val="00B24EB4"/>
    <w:rsid w:val="00B24F82"/>
    <w:rsid w:val="00B27651"/>
    <w:rsid w:val="00B31577"/>
    <w:rsid w:val="00B36699"/>
    <w:rsid w:val="00B42A90"/>
    <w:rsid w:val="00B50FDB"/>
    <w:rsid w:val="00B52EEE"/>
    <w:rsid w:val="00B5367F"/>
    <w:rsid w:val="00B54A09"/>
    <w:rsid w:val="00B55395"/>
    <w:rsid w:val="00B567C4"/>
    <w:rsid w:val="00B56A52"/>
    <w:rsid w:val="00B5756C"/>
    <w:rsid w:val="00B648C4"/>
    <w:rsid w:val="00B65AB5"/>
    <w:rsid w:val="00B66913"/>
    <w:rsid w:val="00B70F53"/>
    <w:rsid w:val="00B73A0D"/>
    <w:rsid w:val="00B74408"/>
    <w:rsid w:val="00B74D14"/>
    <w:rsid w:val="00B75D1E"/>
    <w:rsid w:val="00B86982"/>
    <w:rsid w:val="00B902C9"/>
    <w:rsid w:val="00B90EE0"/>
    <w:rsid w:val="00B91F21"/>
    <w:rsid w:val="00B92239"/>
    <w:rsid w:val="00B949E4"/>
    <w:rsid w:val="00B97A95"/>
    <w:rsid w:val="00BA019C"/>
    <w:rsid w:val="00BA1CD4"/>
    <w:rsid w:val="00BA61CA"/>
    <w:rsid w:val="00BA7AD1"/>
    <w:rsid w:val="00BB0865"/>
    <w:rsid w:val="00BB354B"/>
    <w:rsid w:val="00BB368C"/>
    <w:rsid w:val="00BB554E"/>
    <w:rsid w:val="00BB6F56"/>
    <w:rsid w:val="00BC099F"/>
    <w:rsid w:val="00BC1182"/>
    <w:rsid w:val="00BC1950"/>
    <w:rsid w:val="00BC2B3F"/>
    <w:rsid w:val="00BC58E2"/>
    <w:rsid w:val="00BD0C4A"/>
    <w:rsid w:val="00BD0F70"/>
    <w:rsid w:val="00BD16C3"/>
    <w:rsid w:val="00BE1F1A"/>
    <w:rsid w:val="00BE36D0"/>
    <w:rsid w:val="00BE4EED"/>
    <w:rsid w:val="00BE745A"/>
    <w:rsid w:val="00BF064A"/>
    <w:rsid w:val="00BF3249"/>
    <w:rsid w:val="00BF409A"/>
    <w:rsid w:val="00BF4811"/>
    <w:rsid w:val="00BF6994"/>
    <w:rsid w:val="00BF72C8"/>
    <w:rsid w:val="00BF7BB4"/>
    <w:rsid w:val="00C01DA2"/>
    <w:rsid w:val="00C04369"/>
    <w:rsid w:val="00C0675B"/>
    <w:rsid w:val="00C06D72"/>
    <w:rsid w:val="00C07F40"/>
    <w:rsid w:val="00C10B76"/>
    <w:rsid w:val="00C15CAB"/>
    <w:rsid w:val="00C17F9C"/>
    <w:rsid w:val="00C251B4"/>
    <w:rsid w:val="00C26B85"/>
    <w:rsid w:val="00C30FE8"/>
    <w:rsid w:val="00C311C2"/>
    <w:rsid w:val="00C33019"/>
    <w:rsid w:val="00C3343E"/>
    <w:rsid w:val="00C341A4"/>
    <w:rsid w:val="00C379B5"/>
    <w:rsid w:val="00C406A1"/>
    <w:rsid w:val="00C47532"/>
    <w:rsid w:val="00C479D8"/>
    <w:rsid w:val="00C5004B"/>
    <w:rsid w:val="00C509C7"/>
    <w:rsid w:val="00C537EA"/>
    <w:rsid w:val="00C55299"/>
    <w:rsid w:val="00C561D4"/>
    <w:rsid w:val="00C56BCF"/>
    <w:rsid w:val="00C56CF1"/>
    <w:rsid w:val="00C57376"/>
    <w:rsid w:val="00C63C05"/>
    <w:rsid w:val="00C65750"/>
    <w:rsid w:val="00C7043A"/>
    <w:rsid w:val="00C82F05"/>
    <w:rsid w:val="00C83DF1"/>
    <w:rsid w:val="00C8682F"/>
    <w:rsid w:val="00C94498"/>
    <w:rsid w:val="00C948C6"/>
    <w:rsid w:val="00C97E21"/>
    <w:rsid w:val="00CA045B"/>
    <w:rsid w:val="00CA4877"/>
    <w:rsid w:val="00CA49A8"/>
    <w:rsid w:val="00CA49AF"/>
    <w:rsid w:val="00CB5544"/>
    <w:rsid w:val="00CB5B7C"/>
    <w:rsid w:val="00CB65FF"/>
    <w:rsid w:val="00CC3305"/>
    <w:rsid w:val="00CC3FE2"/>
    <w:rsid w:val="00CC482A"/>
    <w:rsid w:val="00CC4CCF"/>
    <w:rsid w:val="00CC7D53"/>
    <w:rsid w:val="00CD59DD"/>
    <w:rsid w:val="00CD71ED"/>
    <w:rsid w:val="00CE2BE1"/>
    <w:rsid w:val="00CE3B31"/>
    <w:rsid w:val="00CF03EA"/>
    <w:rsid w:val="00CF49B2"/>
    <w:rsid w:val="00CF5A77"/>
    <w:rsid w:val="00D03BAA"/>
    <w:rsid w:val="00D03DA9"/>
    <w:rsid w:val="00D04FE6"/>
    <w:rsid w:val="00D06850"/>
    <w:rsid w:val="00D12BB1"/>
    <w:rsid w:val="00D14299"/>
    <w:rsid w:val="00D22691"/>
    <w:rsid w:val="00D24A01"/>
    <w:rsid w:val="00D25C6F"/>
    <w:rsid w:val="00D25E72"/>
    <w:rsid w:val="00D27B49"/>
    <w:rsid w:val="00D3313D"/>
    <w:rsid w:val="00D3393F"/>
    <w:rsid w:val="00D341FB"/>
    <w:rsid w:val="00D36345"/>
    <w:rsid w:val="00D36495"/>
    <w:rsid w:val="00D400A8"/>
    <w:rsid w:val="00D40208"/>
    <w:rsid w:val="00D40D9F"/>
    <w:rsid w:val="00D41B39"/>
    <w:rsid w:val="00D41EDA"/>
    <w:rsid w:val="00D451AF"/>
    <w:rsid w:val="00D46648"/>
    <w:rsid w:val="00D47B3F"/>
    <w:rsid w:val="00D527DC"/>
    <w:rsid w:val="00D54257"/>
    <w:rsid w:val="00D54829"/>
    <w:rsid w:val="00D63405"/>
    <w:rsid w:val="00D658A1"/>
    <w:rsid w:val="00D659A4"/>
    <w:rsid w:val="00D6662A"/>
    <w:rsid w:val="00D7353A"/>
    <w:rsid w:val="00D736CE"/>
    <w:rsid w:val="00D73BAE"/>
    <w:rsid w:val="00D771CC"/>
    <w:rsid w:val="00D829C8"/>
    <w:rsid w:val="00D840D8"/>
    <w:rsid w:val="00D91647"/>
    <w:rsid w:val="00D91ACC"/>
    <w:rsid w:val="00D92729"/>
    <w:rsid w:val="00DA2C2A"/>
    <w:rsid w:val="00DA2F5B"/>
    <w:rsid w:val="00DA2F7E"/>
    <w:rsid w:val="00DA4BE9"/>
    <w:rsid w:val="00DA50B0"/>
    <w:rsid w:val="00DA5ABA"/>
    <w:rsid w:val="00DA79BF"/>
    <w:rsid w:val="00DB1A64"/>
    <w:rsid w:val="00DB23B2"/>
    <w:rsid w:val="00DB61E9"/>
    <w:rsid w:val="00DC27BA"/>
    <w:rsid w:val="00DC2FC8"/>
    <w:rsid w:val="00DC3B0C"/>
    <w:rsid w:val="00DC69CF"/>
    <w:rsid w:val="00DC7B01"/>
    <w:rsid w:val="00DD3BE5"/>
    <w:rsid w:val="00DD401C"/>
    <w:rsid w:val="00DD797B"/>
    <w:rsid w:val="00DE3668"/>
    <w:rsid w:val="00DE3FE0"/>
    <w:rsid w:val="00DE5DE8"/>
    <w:rsid w:val="00DF19E8"/>
    <w:rsid w:val="00DF2401"/>
    <w:rsid w:val="00DF70A0"/>
    <w:rsid w:val="00E02EB6"/>
    <w:rsid w:val="00E03DC1"/>
    <w:rsid w:val="00E0439F"/>
    <w:rsid w:val="00E053DC"/>
    <w:rsid w:val="00E12281"/>
    <w:rsid w:val="00E14B3D"/>
    <w:rsid w:val="00E14CB1"/>
    <w:rsid w:val="00E15BE9"/>
    <w:rsid w:val="00E17725"/>
    <w:rsid w:val="00E232B9"/>
    <w:rsid w:val="00E23B76"/>
    <w:rsid w:val="00E31D1C"/>
    <w:rsid w:val="00E37B03"/>
    <w:rsid w:val="00E4054A"/>
    <w:rsid w:val="00E43B34"/>
    <w:rsid w:val="00E46C3C"/>
    <w:rsid w:val="00E474A8"/>
    <w:rsid w:val="00E50D49"/>
    <w:rsid w:val="00E545DF"/>
    <w:rsid w:val="00E54F7F"/>
    <w:rsid w:val="00E5559D"/>
    <w:rsid w:val="00E56A0B"/>
    <w:rsid w:val="00E604C0"/>
    <w:rsid w:val="00E605BC"/>
    <w:rsid w:val="00E607ED"/>
    <w:rsid w:val="00E6248D"/>
    <w:rsid w:val="00E63094"/>
    <w:rsid w:val="00E63C78"/>
    <w:rsid w:val="00E66C87"/>
    <w:rsid w:val="00E67013"/>
    <w:rsid w:val="00E67134"/>
    <w:rsid w:val="00E6783E"/>
    <w:rsid w:val="00E73600"/>
    <w:rsid w:val="00E8008A"/>
    <w:rsid w:val="00E8184B"/>
    <w:rsid w:val="00E82ADB"/>
    <w:rsid w:val="00E8356F"/>
    <w:rsid w:val="00E84E7B"/>
    <w:rsid w:val="00E87AFC"/>
    <w:rsid w:val="00E90281"/>
    <w:rsid w:val="00E93793"/>
    <w:rsid w:val="00E94776"/>
    <w:rsid w:val="00E95B15"/>
    <w:rsid w:val="00E97DF8"/>
    <w:rsid w:val="00EA153B"/>
    <w:rsid w:val="00EB09BC"/>
    <w:rsid w:val="00EB1F46"/>
    <w:rsid w:val="00EB3906"/>
    <w:rsid w:val="00EC1ACE"/>
    <w:rsid w:val="00EC2332"/>
    <w:rsid w:val="00EC331C"/>
    <w:rsid w:val="00EC4958"/>
    <w:rsid w:val="00EC7D51"/>
    <w:rsid w:val="00ED1D3E"/>
    <w:rsid w:val="00ED4C2E"/>
    <w:rsid w:val="00ED59E0"/>
    <w:rsid w:val="00ED7BC7"/>
    <w:rsid w:val="00EE2691"/>
    <w:rsid w:val="00EE27FA"/>
    <w:rsid w:val="00EE7979"/>
    <w:rsid w:val="00EF4C22"/>
    <w:rsid w:val="00F00A29"/>
    <w:rsid w:val="00F0325C"/>
    <w:rsid w:val="00F036E9"/>
    <w:rsid w:val="00F03733"/>
    <w:rsid w:val="00F047CF"/>
    <w:rsid w:val="00F073C7"/>
    <w:rsid w:val="00F12063"/>
    <w:rsid w:val="00F14A3B"/>
    <w:rsid w:val="00F14E47"/>
    <w:rsid w:val="00F16ADD"/>
    <w:rsid w:val="00F16E1C"/>
    <w:rsid w:val="00F2226A"/>
    <w:rsid w:val="00F223E3"/>
    <w:rsid w:val="00F2269D"/>
    <w:rsid w:val="00F25707"/>
    <w:rsid w:val="00F27A37"/>
    <w:rsid w:val="00F336D1"/>
    <w:rsid w:val="00F42B17"/>
    <w:rsid w:val="00F440EB"/>
    <w:rsid w:val="00F44349"/>
    <w:rsid w:val="00F46C5A"/>
    <w:rsid w:val="00F47E4D"/>
    <w:rsid w:val="00F5236B"/>
    <w:rsid w:val="00F53B24"/>
    <w:rsid w:val="00F55241"/>
    <w:rsid w:val="00F56E4B"/>
    <w:rsid w:val="00F61E0F"/>
    <w:rsid w:val="00F63193"/>
    <w:rsid w:val="00F63F9B"/>
    <w:rsid w:val="00F67AA1"/>
    <w:rsid w:val="00F67CFF"/>
    <w:rsid w:val="00F7497E"/>
    <w:rsid w:val="00F770DB"/>
    <w:rsid w:val="00F82A19"/>
    <w:rsid w:val="00F84746"/>
    <w:rsid w:val="00F91ACD"/>
    <w:rsid w:val="00F93343"/>
    <w:rsid w:val="00F9423F"/>
    <w:rsid w:val="00F95101"/>
    <w:rsid w:val="00F9759A"/>
    <w:rsid w:val="00FA0889"/>
    <w:rsid w:val="00FA207A"/>
    <w:rsid w:val="00FA36D4"/>
    <w:rsid w:val="00FA4D68"/>
    <w:rsid w:val="00FA5E66"/>
    <w:rsid w:val="00FB4049"/>
    <w:rsid w:val="00FB5EBB"/>
    <w:rsid w:val="00FC0F4B"/>
    <w:rsid w:val="00FC320B"/>
    <w:rsid w:val="00FD1004"/>
    <w:rsid w:val="00FD191B"/>
    <w:rsid w:val="00FD2063"/>
    <w:rsid w:val="00FD62E7"/>
    <w:rsid w:val="00FD6C14"/>
    <w:rsid w:val="00FE3C5F"/>
    <w:rsid w:val="00FE4AA3"/>
    <w:rsid w:val="00FF05F0"/>
    <w:rsid w:val="00FF0F16"/>
    <w:rsid w:val="00FF16EA"/>
    <w:rsid w:val="00FF17A7"/>
    <w:rsid w:val="00FF23A8"/>
    <w:rsid w:val="00FF412E"/>
    <w:rsid w:val="00FF4356"/>
    <w:rsid w:val="00FF6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FC17B"/>
  <w15:docId w15:val="{3F877285-6821-420F-8F84-C19AF55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DF5"/>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6D2D23"/>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qFormat/>
    <w:rsid w:val="006D2D23"/>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qFormat/>
    <w:rsid w:val="006D2D23"/>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qFormat/>
    <w:rsid w:val="006D2D23"/>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eastAsia="en-US" w:bidi="ar-SA"/>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0A6E70"/>
    <w:pPr>
      <w:autoSpaceDE w:val="0"/>
      <w:autoSpaceDN w:val="0"/>
      <w:adjustRightInd w:val="0"/>
    </w:pPr>
    <w:rPr>
      <w:color w:val="000000"/>
      <w:sz w:val="24"/>
      <w:szCs w:val="24"/>
    </w:rPr>
  </w:style>
  <w:style w:type="table" w:styleId="Lentelstinklelis">
    <w:name w:val="Table Grid"/>
    <w:basedOn w:val="prastojilentel"/>
    <w:uiPriority w:val="59"/>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ntrat6Diagrama">
    <w:name w:val="Antraštė 6 Diagrama"/>
    <w:link w:val="Antrat6"/>
    <w:rsid w:val="006D2D23"/>
    <w:rPr>
      <w:i/>
      <w:sz w:val="22"/>
      <w:lang w:val="en-GB" w:eastAsia="en-US"/>
    </w:rPr>
  </w:style>
  <w:style w:type="character" w:customStyle="1" w:styleId="Antrat7Diagrama">
    <w:name w:val="Antraštė 7 Diagrama"/>
    <w:link w:val="Antrat7"/>
    <w:rsid w:val="006D2D23"/>
    <w:rPr>
      <w:i/>
      <w:sz w:val="22"/>
      <w:lang w:val="en-GB" w:eastAsia="en-US"/>
    </w:rPr>
  </w:style>
  <w:style w:type="character" w:customStyle="1" w:styleId="Antrat8Diagrama">
    <w:name w:val="Antraštė 8 Diagrama"/>
    <w:link w:val="Antrat8"/>
    <w:rsid w:val="006D2D23"/>
    <w:rPr>
      <w:b/>
      <w:i/>
      <w:sz w:val="22"/>
      <w:lang w:val="en-GB" w:eastAsia="en-US"/>
    </w:rPr>
  </w:style>
  <w:style w:type="character" w:customStyle="1" w:styleId="Antrat9Diagrama">
    <w:name w:val="Antraštė 9 Diagrama"/>
    <w:link w:val="Antrat9"/>
    <w:rsid w:val="006D2D23"/>
    <w:rPr>
      <w:b/>
      <w:i/>
      <w:sz w:val="22"/>
      <w:lang w:val="en-GB" w:eastAsia="en-US"/>
    </w:rPr>
  </w:style>
  <w:style w:type="numbering" w:customStyle="1" w:styleId="NoList1">
    <w:name w:val="No List1"/>
    <w:next w:val="Sraonra"/>
    <w:uiPriority w:val="99"/>
    <w:semiHidden/>
    <w:unhideWhenUsed/>
    <w:rsid w:val="006D2D23"/>
  </w:style>
  <w:style w:type="paragraph" w:styleId="Pagrindiniotekstotrauka">
    <w:name w:val="Body Text Indent"/>
    <w:basedOn w:val="prastasis"/>
    <w:link w:val="PagrindiniotekstotraukaDiagrama"/>
    <w:rsid w:val="006D2D23"/>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link w:val="Pagrindiniotekstotrauka"/>
    <w:rsid w:val="006D2D23"/>
    <w:rPr>
      <w:sz w:val="22"/>
      <w:szCs w:val="22"/>
      <w:lang w:val="en-GB" w:eastAsia="en-GB"/>
    </w:rPr>
  </w:style>
  <w:style w:type="paragraph" w:styleId="Pagrindinistekstas3">
    <w:name w:val="Body Text 3"/>
    <w:basedOn w:val="prastasis"/>
    <w:link w:val="Pagrindinistekstas3Diagrama"/>
    <w:rsid w:val="006D2D23"/>
    <w:pPr>
      <w:autoSpaceDE w:val="0"/>
      <w:autoSpaceDN w:val="0"/>
      <w:adjustRightInd w:val="0"/>
      <w:jc w:val="both"/>
    </w:pPr>
    <w:rPr>
      <w:color w:val="0000FF"/>
      <w:szCs w:val="22"/>
      <w:lang w:val="en-GB" w:eastAsia="en-GB"/>
    </w:rPr>
  </w:style>
  <w:style w:type="character" w:customStyle="1" w:styleId="Pagrindinistekstas3Diagrama">
    <w:name w:val="Pagrindinis tekstas 3 Diagrama"/>
    <w:link w:val="Pagrindinistekstas3"/>
    <w:rsid w:val="006D2D23"/>
    <w:rPr>
      <w:color w:val="0000FF"/>
      <w:sz w:val="22"/>
      <w:szCs w:val="22"/>
      <w:lang w:val="en-GB" w:eastAsia="en-GB"/>
    </w:rPr>
  </w:style>
  <w:style w:type="paragraph" w:styleId="Pagrindiniotekstotrauka2">
    <w:name w:val="Body Text Indent 2"/>
    <w:basedOn w:val="prastasis"/>
    <w:link w:val="Pagrindiniotekstotrauka2Diagrama"/>
    <w:rsid w:val="006D2D2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6D2D23"/>
    <w:rPr>
      <w:b/>
      <w:bCs/>
      <w:color w:val="0000FF"/>
      <w:sz w:val="22"/>
      <w:szCs w:val="22"/>
      <w:lang w:val="en-GB" w:eastAsia="en-US"/>
    </w:rPr>
  </w:style>
  <w:style w:type="paragraph" w:customStyle="1" w:styleId="EMEAEnBodyText">
    <w:name w:val="EMEA En Body Text"/>
    <w:basedOn w:val="prastasis"/>
    <w:rsid w:val="006D2D23"/>
    <w:pPr>
      <w:spacing w:before="120" w:after="120"/>
      <w:jc w:val="both"/>
    </w:pPr>
    <w:rPr>
      <w:lang w:val="en-US" w:eastAsia="en-US"/>
    </w:rPr>
  </w:style>
  <w:style w:type="paragraph" w:styleId="Dokumentostruktra">
    <w:name w:val="Document Map"/>
    <w:basedOn w:val="prastasis"/>
    <w:link w:val="DokumentostruktraDiagrama"/>
    <w:rsid w:val="006D2D23"/>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6D2D23"/>
    <w:rPr>
      <w:rFonts w:ascii="Tahoma" w:hAnsi="Tahoma" w:cs="Tahoma"/>
      <w:sz w:val="22"/>
      <w:shd w:val="clear" w:color="auto" w:fill="000080"/>
      <w:lang w:val="en-GB" w:eastAsia="en-US"/>
    </w:rPr>
  </w:style>
  <w:style w:type="paragraph" w:customStyle="1" w:styleId="AHeader1">
    <w:name w:val="AHeader 1"/>
    <w:basedOn w:val="prastasis"/>
    <w:rsid w:val="006D2D23"/>
    <w:pPr>
      <w:numPr>
        <w:numId w:val="1"/>
      </w:numPr>
      <w:spacing w:after="120"/>
    </w:pPr>
    <w:rPr>
      <w:rFonts w:ascii="Arial" w:hAnsi="Arial" w:cs="Arial"/>
      <w:b/>
      <w:bCs/>
      <w:sz w:val="24"/>
      <w:lang w:val="en-GB" w:eastAsia="en-US"/>
    </w:rPr>
  </w:style>
  <w:style w:type="paragraph" w:customStyle="1" w:styleId="AHeader2">
    <w:name w:val="AHeader 2"/>
    <w:basedOn w:val="AHeader1"/>
    <w:rsid w:val="006D2D23"/>
    <w:pPr>
      <w:numPr>
        <w:ilvl w:val="1"/>
      </w:numPr>
      <w:tabs>
        <w:tab w:val="clear" w:pos="709"/>
        <w:tab w:val="num" w:pos="360"/>
      </w:tabs>
    </w:pPr>
    <w:rPr>
      <w:sz w:val="22"/>
    </w:rPr>
  </w:style>
  <w:style w:type="paragraph" w:customStyle="1" w:styleId="AHeader3">
    <w:name w:val="AHeader 3"/>
    <w:basedOn w:val="AHeader2"/>
    <w:rsid w:val="006D2D23"/>
    <w:pPr>
      <w:numPr>
        <w:ilvl w:val="2"/>
      </w:numPr>
      <w:tabs>
        <w:tab w:val="clear" w:pos="1276"/>
        <w:tab w:val="num" w:pos="360"/>
      </w:tabs>
    </w:pPr>
  </w:style>
  <w:style w:type="paragraph" w:customStyle="1" w:styleId="AHeader2abc">
    <w:name w:val="AHeader 2 abc"/>
    <w:basedOn w:val="AHeader3"/>
    <w:rsid w:val="006D2D23"/>
    <w:pPr>
      <w:numPr>
        <w:ilvl w:val="3"/>
      </w:numPr>
      <w:tabs>
        <w:tab w:val="clear" w:pos="1276"/>
        <w:tab w:val="num" w:pos="360"/>
      </w:tabs>
      <w:jc w:val="both"/>
    </w:pPr>
    <w:rPr>
      <w:b w:val="0"/>
      <w:bCs w:val="0"/>
    </w:rPr>
  </w:style>
  <w:style w:type="paragraph" w:customStyle="1" w:styleId="AHeader3abc">
    <w:name w:val="AHeader 3 abc"/>
    <w:basedOn w:val="AHeader2abc"/>
    <w:rsid w:val="006D2D23"/>
    <w:pPr>
      <w:numPr>
        <w:ilvl w:val="4"/>
      </w:numPr>
      <w:tabs>
        <w:tab w:val="clear" w:pos="1701"/>
        <w:tab w:val="num" w:pos="360"/>
      </w:tabs>
    </w:pPr>
  </w:style>
  <w:style w:type="paragraph" w:styleId="Pagrindiniotekstotrauka3">
    <w:name w:val="Body Text Indent 3"/>
    <w:basedOn w:val="prastasis"/>
    <w:link w:val="Pagrindiniotekstotrauka3Diagrama"/>
    <w:rsid w:val="006D2D23"/>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link w:val="Pagrindiniotekstotrauka3"/>
    <w:rsid w:val="006D2D23"/>
    <w:rPr>
      <w:sz w:val="22"/>
      <w:szCs w:val="21"/>
      <w:lang w:val="en-GB" w:eastAsia="en-US"/>
    </w:rPr>
  </w:style>
  <w:style w:type="character" w:styleId="Perirtashipersaitas">
    <w:name w:val="FollowedHyperlink"/>
    <w:rsid w:val="006D2D23"/>
    <w:rPr>
      <w:color w:val="800080"/>
      <w:u w:val="single"/>
    </w:rPr>
  </w:style>
  <w:style w:type="paragraph" w:customStyle="1" w:styleId="BodytextAgency">
    <w:name w:val="Body text (Agency)"/>
    <w:basedOn w:val="prastasis"/>
    <w:link w:val="BodytextAgencyChar"/>
    <w:rsid w:val="006D2D2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D2D23"/>
    <w:rPr>
      <w:rFonts w:ascii="Verdana" w:eastAsia="Verdana" w:hAnsi="Verdana" w:cs="Verdana"/>
      <w:sz w:val="18"/>
      <w:szCs w:val="18"/>
      <w:lang w:val="en-GB" w:eastAsia="en-GB"/>
    </w:rPr>
  </w:style>
  <w:style w:type="paragraph" w:styleId="Pataisymai">
    <w:name w:val="Revision"/>
    <w:hidden/>
    <w:uiPriority w:val="99"/>
    <w:semiHidden/>
    <w:rsid w:val="006D2D23"/>
    <w:rPr>
      <w:sz w:val="22"/>
      <w:lang w:val="en-GB" w:eastAsia="en-US"/>
    </w:rPr>
  </w:style>
  <w:style w:type="paragraph" w:styleId="Paprastasistekstas">
    <w:name w:val="Plain Text"/>
    <w:basedOn w:val="prastasis"/>
    <w:link w:val="PaprastasistekstasDiagrama"/>
    <w:rsid w:val="006D2D23"/>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link w:val="Paprastasistekstas"/>
    <w:rsid w:val="006D2D23"/>
    <w:rPr>
      <w:rFonts w:ascii="Courier New" w:hAnsi="Courier New" w:cs="Courier New"/>
      <w:lang w:val="en-GB" w:eastAsia="en-US"/>
    </w:rPr>
  </w:style>
  <w:style w:type="paragraph" w:styleId="Sraopastraipa">
    <w:name w:val="List Paragraph"/>
    <w:basedOn w:val="prastasis"/>
    <w:uiPriority w:val="34"/>
    <w:qFormat/>
    <w:rsid w:val="006D2D23"/>
    <w:pPr>
      <w:tabs>
        <w:tab w:val="left" w:pos="567"/>
      </w:tabs>
      <w:spacing w:line="260" w:lineRule="exact"/>
      <w:ind w:left="720"/>
    </w:pPr>
    <w:rPr>
      <w:lang w:val="en-GB" w:eastAsia="en-US"/>
    </w:rPr>
  </w:style>
  <w:style w:type="table" w:customStyle="1" w:styleId="TableGrid1">
    <w:name w:val="Table Grid1"/>
    <w:basedOn w:val="prastojilentel"/>
    <w:next w:val="Lentelstinklelis"/>
    <w:uiPriority w:val="59"/>
    <w:rsid w:val="007A3CF3"/>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4C2842"/>
    <w:rPr>
      <w:sz w:val="20"/>
    </w:rPr>
  </w:style>
  <w:style w:type="character" w:customStyle="1" w:styleId="PuslapioinaostekstasDiagrama">
    <w:name w:val="Puslapio išnašos tekstas Diagrama"/>
    <w:link w:val="Puslapioinaostekstas"/>
    <w:rsid w:val="004C2842"/>
    <w:rPr>
      <w:lang w:val="lt-LT" w:eastAsia="lt-LT"/>
    </w:rPr>
  </w:style>
  <w:style w:type="character" w:styleId="Puslapioinaosnuoroda">
    <w:name w:val="footnote reference"/>
    <w:rsid w:val="004C2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00057">
      <w:bodyDiv w:val="1"/>
      <w:marLeft w:val="0"/>
      <w:marRight w:val="0"/>
      <w:marTop w:val="0"/>
      <w:marBottom w:val="0"/>
      <w:divBdr>
        <w:top w:val="none" w:sz="0" w:space="0" w:color="auto"/>
        <w:left w:val="none" w:sz="0" w:space="0" w:color="auto"/>
        <w:bottom w:val="none" w:sz="0" w:space="0" w:color="auto"/>
        <w:right w:val="none" w:sz="0" w:space="0" w:color="auto"/>
      </w:divBdr>
    </w:div>
    <w:div w:id="825248273">
      <w:bodyDiv w:val="1"/>
      <w:marLeft w:val="0"/>
      <w:marRight w:val="0"/>
      <w:marTop w:val="0"/>
      <w:marBottom w:val="0"/>
      <w:divBdr>
        <w:top w:val="none" w:sz="0" w:space="0" w:color="auto"/>
        <w:left w:val="none" w:sz="0" w:space="0" w:color="auto"/>
        <w:bottom w:val="none" w:sz="0" w:space="0" w:color="auto"/>
        <w:right w:val="none" w:sz="0" w:space="0" w:color="auto"/>
      </w:divBdr>
    </w:div>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19396263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4697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F8CD-CB39-4D9D-8C3A-2C03B660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95732</Words>
  <Characters>54568</Characters>
  <Application>Microsoft Office Word</Application>
  <DocSecurity>4</DocSecurity>
  <Lines>454</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150001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2</cp:revision>
  <dcterms:created xsi:type="dcterms:W3CDTF">2020-05-15T09:56:00Z</dcterms:created>
  <dcterms:modified xsi:type="dcterms:W3CDTF">2020-05-15T09:56:00Z</dcterms:modified>
</cp:coreProperties>
</file>