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83D16" w14:textId="77777777" w:rsidR="00D72C83" w:rsidRPr="002E32EF" w:rsidRDefault="00D72C83" w:rsidP="00D72C83">
      <w:pPr>
        <w:widowControl w:val="0"/>
        <w:spacing w:after="0" w:line="240" w:lineRule="auto"/>
        <w:rPr>
          <w:rFonts w:ascii="Times New Roman" w:hAnsi="Times New Roman" w:cs="Times New Roman"/>
        </w:rPr>
      </w:pPr>
    </w:p>
    <w:p w14:paraId="774C525A" w14:textId="77777777" w:rsidR="00D72C83" w:rsidRPr="002E32EF" w:rsidRDefault="00D72C83" w:rsidP="00D72C83">
      <w:pPr>
        <w:spacing w:after="0" w:line="240" w:lineRule="auto"/>
        <w:outlineLvl w:val="0"/>
        <w:rPr>
          <w:rFonts w:ascii="Times New Roman" w:hAnsi="Times New Roman" w:cs="Times New Roman"/>
          <w:b/>
          <w:bCs/>
        </w:rPr>
      </w:pPr>
    </w:p>
    <w:p w14:paraId="46002CF9" w14:textId="77777777" w:rsidR="00D72C83" w:rsidRPr="002E32EF" w:rsidRDefault="00D72C83" w:rsidP="00D72C83">
      <w:pPr>
        <w:spacing w:after="0" w:line="240" w:lineRule="auto"/>
        <w:outlineLvl w:val="0"/>
        <w:rPr>
          <w:rFonts w:ascii="Times New Roman" w:hAnsi="Times New Roman" w:cs="Times New Roman"/>
          <w:b/>
          <w:bCs/>
        </w:rPr>
      </w:pPr>
    </w:p>
    <w:p w14:paraId="0FCA240D" w14:textId="77777777" w:rsidR="00D72C83" w:rsidRPr="002E32EF" w:rsidRDefault="00D72C83" w:rsidP="00D72C83">
      <w:pPr>
        <w:spacing w:after="0" w:line="240" w:lineRule="auto"/>
        <w:outlineLvl w:val="0"/>
        <w:rPr>
          <w:rFonts w:ascii="Times New Roman" w:hAnsi="Times New Roman" w:cs="Times New Roman"/>
          <w:b/>
          <w:bCs/>
        </w:rPr>
      </w:pPr>
    </w:p>
    <w:p w14:paraId="58D5C729" w14:textId="77777777" w:rsidR="00D72C83" w:rsidRPr="002E32EF" w:rsidRDefault="00D72C83" w:rsidP="00D72C83">
      <w:pPr>
        <w:spacing w:after="0" w:line="240" w:lineRule="auto"/>
        <w:outlineLvl w:val="0"/>
        <w:rPr>
          <w:rFonts w:ascii="Times New Roman" w:hAnsi="Times New Roman" w:cs="Times New Roman"/>
          <w:b/>
          <w:bCs/>
        </w:rPr>
      </w:pPr>
    </w:p>
    <w:p w14:paraId="1C4651D4"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50BDF500"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226CE9AD"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474D622C"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7EBC0108"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D8081F3"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16060C70"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117F145"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E8F899C"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339ED93A"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700043D9"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5537BFBF"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56C3F7CC"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37063F27"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5B1802E"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58F235B"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5F4C07D7"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02D59C46" w14:textId="77777777" w:rsidR="00D72C83" w:rsidRPr="002E32EF" w:rsidRDefault="00D72C83" w:rsidP="00D72C83">
      <w:pPr>
        <w:tabs>
          <w:tab w:val="left" w:pos="-1440"/>
          <w:tab w:val="left" w:pos="-720"/>
        </w:tabs>
        <w:spacing w:after="0" w:line="240" w:lineRule="auto"/>
        <w:rPr>
          <w:rFonts w:ascii="Times New Roman" w:hAnsi="Times New Roman" w:cs="Times New Roman"/>
          <w:b/>
          <w:bCs/>
        </w:rPr>
      </w:pPr>
    </w:p>
    <w:p w14:paraId="57D8E2C0" w14:textId="77777777" w:rsidR="00D72C83" w:rsidRPr="00E35BE6" w:rsidRDefault="00D72C83" w:rsidP="00D3564A">
      <w:pPr>
        <w:pStyle w:val="Antrat2"/>
        <w:spacing w:before="0" w:after="0" w:line="240" w:lineRule="auto"/>
        <w:jc w:val="center"/>
        <w:rPr>
          <w:rFonts w:ascii="Times New Roman" w:hAnsi="Times New Roman"/>
          <w:b w:val="0"/>
          <w:lang w:val="lt-LT"/>
        </w:rPr>
      </w:pPr>
      <w:r w:rsidRPr="00D3564A">
        <w:rPr>
          <w:rFonts w:ascii="Times New Roman" w:hAnsi="Times New Roman"/>
          <w:i w:val="0"/>
          <w:sz w:val="22"/>
          <w:lang w:val="lt-LT"/>
        </w:rPr>
        <w:t>I PRIEDAS</w:t>
      </w:r>
    </w:p>
    <w:p w14:paraId="367FB7DE" w14:textId="77777777" w:rsidR="00D72C83" w:rsidRPr="002E32EF" w:rsidRDefault="00D72C83" w:rsidP="00D72C83">
      <w:pPr>
        <w:spacing w:after="0" w:line="240" w:lineRule="auto"/>
        <w:rPr>
          <w:rFonts w:ascii="Times New Roman" w:hAnsi="Times New Roman" w:cs="Times New Roman"/>
        </w:rPr>
      </w:pPr>
    </w:p>
    <w:p w14:paraId="5CBDA181" w14:textId="77777777" w:rsidR="00D72C83" w:rsidRPr="002E32EF" w:rsidRDefault="00D72C83" w:rsidP="00D72C83">
      <w:pPr>
        <w:tabs>
          <w:tab w:val="left" w:pos="-1440"/>
          <w:tab w:val="left" w:pos="-720"/>
        </w:tabs>
        <w:spacing w:after="0" w:line="240" w:lineRule="auto"/>
        <w:jc w:val="center"/>
        <w:rPr>
          <w:rFonts w:ascii="Times New Roman" w:hAnsi="Times New Roman" w:cs="Times New Roman"/>
          <w:b/>
          <w:bCs/>
        </w:rPr>
      </w:pPr>
      <w:r w:rsidRPr="002E32EF">
        <w:rPr>
          <w:rFonts w:ascii="Times New Roman" w:hAnsi="Times New Roman" w:cs="Times New Roman"/>
          <w:b/>
          <w:bCs/>
        </w:rPr>
        <w:t>PREPARATO CHARAKTERISTIKŲ SANTRAUKA</w:t>
      </w:r>
    </w:p>
    <w:p w14:paraId="71E9B43E" w14:textId="77777777" w:rsidR="00D72C83" w:rsidRPr="002E32EF" w:rsidRDefault="00D72C83" w:rsidP="00D72C83">
      <w:pPr>
        <w:tabs>
          <w:tab w:val="left" w:pos="-1440"/>
          <w:tab w:val="left" w:pos="-720"/>
        </w:tabs>
        <w:spacing w:after="0" w:line="240" w:lineRule="auto"/>
        <w:rPr>
          <w:rFonts w:ascii="Times New Roman" w:hAnsi="Times New Roman" w:cs="Times New Roman"/>
        </w:rPr>
      </w:pPr>
      <w:r w:rsidRPr="002E32EF">
        <w:rPr>
          <w:rFonts w:ascii="Times New Roman" w:hAnsi="Times New Roman" w:cs="Times New Roman"/>
          <w:lang w:eastAsia="zh-CN"/>
        </w:rPr>
        <w:br w:type="page"/>
      </w:r>
    </w:p>
    <w:p w14:paraId="2DB49B52"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lastRenderedPageBreak/>
        <w:t>1.</w:t>
      </w:r>
      <w:r w:rsidRPr="00D3564A">
        <w:rPr>
          <w:rFonts w:ascii="Times New Roman" w:hAnsi="Times New Roman"/>
          <w:sz w:val="22"/>
          <w:lang w:val="lt-LT"/>
        </w:rPr>
        <w:tab/>
        <w:t>VAISTINIO PREPARATO PAVADINIMAS</w:t>
      </w:r>
    </w:p>
    <w:p w14:paraId="04B768BE" w14:textId="77777777" w:rsidR="00D72C83" w:rsidRPr="002E32EF" w:rsidRDefault="00D72C83" w:rsidP="00D72C83">
      <w:pPr>
        <w:spacing w:after="0" w:line="240" w:lineRule="auto"/>
        <w:rPr>
          <w:rFonts w:ascii="Times New Roman" w:hAnsi="Times New Roman" w:cs="Times New Roman"/>
        </w:rPr>
      </w:pPr>
    </w:p>
    <w:p w14:paraId="0B39ED3C" w14:textId="77777777" w:rsidR="00D72C83" w:rsidRPr="002E32EF" w:rsidRDefault="00D72C83" w:rsidP="00D72C83">
      <w:pPr>
        <w:spacing w:after="0" w:line="240" w:lineRule="auto"/>
        <w:rPr>
          <w:rFonts w:ascii="Times New Roman" w:hAnsi="Times New Roman" w:cs="Times New Roman"/>
        </w:rPr>
      </w:pPr>
      <w:bookmarkStart w:id="0" w:name="_GoBack"/>
      <w:r w:rsidRPr="002E32EF">
        <w:rPr>
          <w:rFonts w:ascii="Times New Roman" w:hAnsi="Times New Roman" w:cs="Times New Roman"/>
        </w:rPr>
        <w:t>Varlota</w:t>
      </w:r>
      <w:bookmarkEnd w:id="0"/>
      <w:r w:rsidRPr="002E32EF">
        <w:rPr>
          <w:rFonts w:ascii="Times New Roman" w:hAnsi="Times New Roman" w:cs="Times New Roman"/>
          <w:caps/>
        </w:rPr>
        <w:t xml:space="preserve"> 50 </w:t>
      </w:r>
      <w:r w:rsidRPr="002E32EF">
        <w:rPr>
          <w:rFonts w:ascii="Times New Roman" w:hAnsi="Times New Roman" w:cs="Times New Roman"/>
        </w:rPr>
        <w:t>mg plėvele dengtos tabletės</w:t>
      </w:r>
    </w:p>
    <w:p w14:paraId="484ED0B7" w14:textId="77777777"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Varlota</w:t>
      </w:r>
      <w:r w:rsidRPr="002F6BC3">
        <w:rPr>
          <w:rFonts w:ascii="Times New Roman" w:hAnsi="Times New Roman" w:cs="Times New Roman"/>
          <w:caps/>
          <w:highlight w:val="lightGray"/>
        </w:rPr>
        <w:t xml:space="preserve"> 100 </w:t>
      </w:r>
      <w:r w:rsidRPr="002F6BC3">
        <w:rPr>
          <w:rFonts w:ascii="Times New Roman" w:hAnsi="Times New Roman" w:cs="Times New Roman"/>
          <w:highlight w:val="lightGray"/>
        </w:rPr>
        <w:t>mg plėvele dengtos tabletės</w:t>
      </w:r>
    </w:p>
    <w:p w14:paraId="12A9E5FC" w14:textId="77777777"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darkGray"/>
        </w:rPr>
        <w:t>Varlota</w:t>
      </w:r>
      <w:r w:rsidRPr="002F6BC3">
        <w:rPr>
          <w:rFonts w:ascii="Times New Roman" w:hAnsi="Times New Roman" w:cs="Times New Roman"/>
          <w:caps/>
          <w:highlight w:val="darkGray"/>
        </w:rPr>
        <w:t xml:space="preserve"> 150 </w:t>
      </w:r>
      <w:r w:rsidRPr="002F6BC3">
        <w:rPr>
          <w:rFonts w:ascii="Times New Roman" w:hAnsi="Times New Roman" w:cs="Times New Roman"/>
          <w:highlight w:val="darkGray"/>
        </w:rPr>
        <w:t>mg plėvele dengtos tabletės</w:t>
      </w:r>
    </w:p>
    <w:p w14:paraId="1AE89E6F" w14:textId="77777777" w:rsidR="00D72C83" w:rsidRPr="002E32EF" w:rsidRDefault="00D72C83" w:rsidP="00D72C83">
      <w:pPr>
        <w:spacing w:after="0" w:line="240" w:lineRule="auto"/>
        <w:rPr>
          <w:rFonts w:ascii="Times New Roman" w:hAnsi="Times New Roman" w:cs="Times New Roman"/>
        </w:rPr>
      </w:pPr>
    </w:p>
    <w:p w14:paraId="6912D067" w14:textId="77777777" w:rsidR="00D72C83" w:rsidRPr="002E32EF" w:rsidRDefault="00D72C83" w:rsidP="00D72C83">
      <w:pPr>
        <w:spacing w:after="0" w:line="240" w:lineRule="auto"/>
        <w:rPr>
          <w:rFonts w:ascii="Times New Roman" w:hAnsi="Times New Roman" w:cs="Times New Roman"/>
        </w:rPr>
      </w:pPr>
    </w:p>
    <w:p w14:paraId="11D1F595"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2.</w:t>
      </w:r>
      <w:r w:rsidRPr="00D3564A">
        <w:rPr>
          <w:rFonts w:ascii="Times New Roman" w:hAnsi="Times New Roman"/>
          <w:sz w:val="22"/>
          <w:lang w:val="lt-LT"/>
        </w:rPr>
        <w:tab/>
        <w:t>KOKYBINĖ IR KIEKYBINĖ SUDĖTIS</w:t>
      </w:r>
    </w:p>
    <w:p w14:paraId="3EC719C3" w14:textId="77777777" w:rsidR="00D72C83" w:rsidRPr="002E32EF" w:rsidRDefault="00D72C83" w:rsidP="00D72C83">
      <w:pPr>
        <w:spacing w:after="0" w:line="240" w:lineRule="auto"/>
        <w:rPr>
          <w:rFonts w:ascii="Times New Roman" w:hAnsi="Times New Roman" w:cs="Times New Roman"/>
        </w:rPr>
      </w:pPr>
    </w:p>
    <w:p w14:paraId="7734365D" w14:textId="77777777" w:rsidR="00D72C83" w:rsidRPr="002E32EF" w:rsidRDefault="00D72C83" w:rsidP="00D72C83">
      <w:pPr>
        <w:spacing w:after="0" w:line="240" w:lineRule="auto"/>
        <w:rPr>
          <w:rFonts w:ascii="Times New Roman" w:eastAsia="SimSun" w:hAnsi="Times New Roman" w:cs="Times New Roman"/>
          <w:lang w:eastAsia="lt-LT"/>
        </w:rPr>
      </w:pPr>
      <w:r w:rsidRPr="002E32EF">
        <w:rPr>
          <w:rFonts w:ascii="Times New Roman" w:eastAsia="SimSun" w:hAnsi="Times New Roman" w:cs="Times New Roman"/>
          <w:lang w:eastAsia="lt-LT"/>
        </w:rPr>
        <w:t>Kiekvienoje plėvele dengtoje tabletėje yra 50 mg erlotinibo (erlotinibo hidrochlorido pavidalu).</w:t>
      </w:r>
    </w:p>
    <w:p w14:paraId="29167689" w14:textId="77777777" w:rsidR="00D72C83" w:rsidRPr="002E32EF" w:rsidRDefault="00D72C83" w:rsidP="00D72C83">
      <w:pPr>
        <w:spacing w:after="0" w:line="240" w:lineRule="auto"/>
        <w:rPr>
          <w:rFonts w:ascii="Times New Roman" w:eastAsia="SimSun" w:hAnsi="Times New Roman" w:cs="Times New Roman"/>
          <w:lang w:eastAsia="lt-LT"/>
        </w:rPr>
      </w:pPr>
      <w:r w:rsidRPr="002F6BC3">
        <w:rPr>
          <w:rFonts w:ascii="Times New Roman" w:eastAsia="SimSun" w:hAnsi="Times New Roman" w:cs="Times New Roman"/>
          <w:highlight w:val="lightGray"/>
          <w:lang w:eastAsia="lt-LT"/>
        </w:rPr>
        <w:t>Kiekvienoje plėvele dengtoje tabletėje yra 100 mg erlotinibo (erlotinibo hidrochlorido pavidalu).</w:t>
      </w:r>
    </w:p>
    <w:p w14:paraId="5DCE3D36" w14:textId="77777777" w:rsidR="00D72C83" w:rsidRPr="002E32EF" w:rsidRDefault="00D72C83" w:rsidP="00D72C83">
      <w:pPr>
        <w:spacing w:after="0" w:line="240" w:lineRule="auto"/>
        <w:rPr>
          <w:rFonts w:ascii="Times New Roman" w:eastAsia="SimSun" w:hAnsi="Times New Roman" w:cs="Times New Roman"/>
          <w:lang w:eastAsia="lt-LT"/>
        </w:rPr>
      </w:pPr>
      <w:r w:rsidRPr="002F6BC3">
        <w:rPr>
          <w:rFonts w:ascii="Times New Roman" w:eastAsia="SimSun" w:hAnsi="Times New Roman" w:cs="Times New Roman"/>
          <w:highlight w:val="darkGray"/>
          <w:lang w:eastAsia="lt-LT"/>
        </w:rPr>
        <w:t>Kiekvienoje plėvele dengtoje tabletėje yra 150 mg erlotinibo (erlotinibo hidrochlorido pavidalu).</w:t>
      </w:r>
    </w:p>
    <w:p w14:paraId="4C0F197B" w14:textId="77777777" w:rsidR="00D72C83" w:rsidRPr="002E32EF" w:rsidRDefault="00D72C83" w:rsidP="00D72C83">
      <w:pPr>
        <w:spacing w:after="0" w:line="240" w:lineRule="auto"/>
        <w:rPr>
          <w:rFonts w:ascii="Times New Roman" w:eastAsia="SimSun" w:hAnsi="Times New Roman" w:cs="Times New Roman"/>
          <w:lang w:eastAsia="lt-LT"/>
        </w:rPr>
      </w:pPr>
    </w:p>
    <w:p w14:paraId="7A516DDB" w14:textId="77777777" w:rsidR="00D72C83" w:rsidRPr="002E32EF" w:rsidRDefault="00D72C83" w:rsidP="00D72C83">
      <w:pPr>
        <w:spacing w:after="0" w:line="240" w:lineRule="auto"/>
        <w:rPr>
          <w:rFonts w:ascii="Times New Roman" w:eastAsia="SimSun" w:hAnsi="Times New Roman" w:cs="Times New Roman"/>
          <w:lang w:eastAsia="lt-LT"/>
        </w:rPr>
      </w:pPr>
      <w:r w:rsidRPr="002E32EF">
        <w:rPr>
          <w:rFonts w:ascii="Times New Roman" w:eastAsia="SimSun" w:hAnsi="Times New Roman" w:cs="Times New Roman"/>
          <w:u w:val="single"/>
          <w:lang w:eastAsia="lt-LT"/>
        </w:rPr>
        <w:t>Pagalbinės medžiagos, kurių poveikis žinomas:</w:t>
      </w:r>
      <w:r w:rsidRPr="002E32EF">
        <w:rPr>
          <w:rFonts w:ascii="Times New Roman" w:eastAsia="SimSun" w:hAnsi="Times New Roman" w:cs="Times New Roman"/>
          <w:lang w:eastAsia="lt-LT"/>
        </w:rPr>
        <w:t xml:space="preserve"> </w:t>
      </w:r>
    </w:p>
    <w:p w14:paraId="20F05329" w14:textId="77777777" w:rsidR="00D72C83" w:rsidRPr="002E32EF" w:rsidRDefault="00D72C83" w:rsidP="00D72C83">
      <w:pPr>
        <w:spacing w:after="0" w:line="240" w:lineRule="auto"/>
        <w:rPr>
          <w:rFonts w:ascii="Times New Roman" w:eastAsia="SimSun" w:hAnsi="Times New Roman" w:cs="Times New Roman"/>
          <w:lang w:eastAsia="lt-LT"/>
        </w:rPr>
      </w:pPr>
      <w:r w:rsidRPr="002E32EF">
        <w:rPr>
          <w:rFonts w:ascii="Times New Roman" w:eastAsia="SimSun" w:hAnsi="Times New Roman" w:cs="Times New Roman"/>
          <w:lang w:eastAsia="lt-LT"/>
        </w:rPr>
        <w:t xml:space="preserve">Kiekvienoje </w:t>
      </w:r>
      <w:r>
        <w:rPr>
          <w:rFonts w:ascii="Times New Roman" w:eastAsia="SimSun" w:hAnsi="Times New Roman" w:cs="Times New Roman"/>
          <w:lang w:eastAsia="lt-LT"/>
        </w:rPr>
        <w:t xml:space="preserve">50 mg </w:t>
      </w:r>
      <w:r w:rsidRPr="002E32EF">
        <w:rPr>
          <w:rFonts w:ascii="Times New Roman" w:eastAsia="SimSun" w:hAnsi="Times New Roman" w:cs="Times New Roman"/>
          <w:lang w:eastAsia="lt-LT"/>
        </w:rPr>
        <w:t>plėvele dengtoje tabletėje yra 47,97 mg laktozės monohidrato.</w:t>
      </w:r>
    </w:p>
    <w:p w14:paraId="3EB31540" w14:textId="77777777" w:rsidR="00D72C83" w:rsidRPr="002E32EF" w:rsidRDefault="00D72C83" w:rsidP="00D72C83">
      <w:pPr>
        <w:spacing w:after="0" w:line="240" w:lineRule="auto"/>
        <w:rPr>
          <w:rFonts w:ascii="Times New Roman" w:eastAsia="SimSun" w:hAnsi="Times New Roman" w:cs="Times New Roman"/>
          <w:lang w:eastAsia="lt-LT"/>
        </w:rPr>
      </w:pPr>
      <w:r w:rsidRPr="002F6BC3">
        <w:rPr>
          <w:rFonts w:ascii="Times New Roman" w:eastAsia="SimSun" w:hAnsi="Times New Roman" w:cs="Times New Roman"/>
          <w:highlight w:val="lightGray"/>
          <w:lang w:eastAsia="lt-LT"/>
        </w:rPr>
        <w:t xml:space="preserve">Kiekvienoje </w:t>
      </w:r>
      <w:r>
        <w:rPr>
          <w:rFonts w:ascii="Times New Roman" w:eastAsia="SimSun" w:hAnsi="Times New Roman" w:cs="Times New Roman"/>
          <w:highlight w:val="lightGray"/>
          <w:lang w:eastAsia="lt-LT"/>
        </w:rPr>
        <w:t xml:space="preserve">100 mg </w:t>
      </w:r>
      <w:r w:rsidRPr="002F6BC3">
        <w:rPr>
          <w:rFonts w:ascii="Times New Roman" w:eastAsia="SimSun" w:hAnsi="Times New Roman" w:cs="Times New Roman"/>
          <w:highlight w:val="lightGray"/>
          <w:lang w:eastAsia="lt-LT"/>
        </w:rPr>
        <w:t>plėvele dengtoje tabletėje yra 95,93 mg laktozės monohidrato.</w:t>
      </w:r>
    </w:p>
    <w:p w14:paraId="77430B6B" w14:textId="77777777" w:rsidR="00D72C83" w:rsidRDefault="00D72C83" w:rsidP="00D72C83">
      <w:pPr>
        <w:spacing w:after="0" w:line="240" w:lineRule="auto"/>
        <w:rPr>
          <w:rFonts w:ascii="Times New Roman" w:eastAsia="SimSun" w:hAnsi="Times New Roman" w:cs="Times New Roman"/>
          <w:lang w:eastAsia="lt-LT"/>
        </w:rPr>
      </w:pPr>
      <w:r w:rsidRPr="002F6BC3">
        <w:rPr>
          <w:rFonts w:ascii="Times New Roman" w:eastAsia="SimSun" w:hAnsi="Times New Roman" w:cs="Times New Roman"/>
          <w:highlight w:val="darkGray"/>
          <w:lang w:eastAsia="lt-LT"/>
        </w:rPr>
        <w:t xml:space="preserve">Kiekvienoje </w:t>
      </w:r>
      <w:r>
        <w:rPr>
          <w:rFonts w:ascii="Times New Roman" w:eastAsia="SimSun" w:hAnsi="Times New Roman" w:cs="Times New Roman"/>
          <w:highlight w:val="darkGray"/>
          <w:lang w:eastAsia="lt-LT"/>
        </w:rPr>
        <w:t xml:space="preserve">150 mg </w:t>
      </w:r>
      <w:r w:rsidRPr="002F6BC3">
        <w:rPr>
          <w:rFonts w:ascii="Times New Roman" w:eastAsia="SimSun" w:hAnsi="Times New Roman" w:cs="Times New Roman"/>
          <w:highlight w:val="darkGray"/>
          <w:lang w:eastAsia="lt-LT"/>
        </w:rPr>
        <w:t>plėvele dengtoje tabletėje yra 143,90 mg laktozės monohidrato.</w:t>
      </w:r>
    </w:p>
    <w:p w14:paraId="6219F989" w14:textId="77777777" w:rsidR="00D72C83" w:rsidRPr="002E32EF" w:rsidRDefault="00D72C83" w:rsidP="00D72C83">
      <w:pPr>
        <w:spacing w:after="0" w:line="240" w:lineRule="auto"/>
        <w:rPr>
          <w:rFonts w:ascii="Times New Roman" w:eastAsia="SimSun" w:hAnsi="Times New Roman" w:cs="Times New Roman"/>
          <w:lang w:eastAsia="lt-LT"/>
        </w:rPr>
      </w:pPr>
    </w:p>
    <w:p w14:paraId="1986EBBE" w14:textId="77777777" w:rsidR="00D72C83" w:rsidRPr="002E32EF" w:rsidRDefault="00D72C83" w:rsidP="00D72C83">
      <w:pPr>
        <w:spacing w:after="0" w:line="240" w:lineRule="auto"/>
        <w:rPr>
          <w:rFonts w:ascii="Times New Roman" w:hAnsi="Times New Roman" w:cs="Times New Roman"/>
        </w:rPr>
      </w:pPr>
      <w:r w:rsidRPr="002E32EF">
        <w:rPr>
          <w:rFonts w:ascii="Times New Roman" w:eastAsia="SimSun" w:hAnsi="Times New Roman" w:cs="Times New Roman"/>
          <w:lang w:eastAsia="lt-LT"/>
        </w:rPr>
        <w:t>Visos pagalbinės medžiagos išvardytos 6.1 skyriuje.</w:t>
      </w:r>
    </w:p>
    <w:p w14:paraId="680E8BDF" w14:textId="77777777" w:rsidR="00D72C83" w:rsidRPr="002E32EF" w:rsidRDefault="00D72C83" w:rsidP="00D72C83">
      <w:pPr>
        <w:spacing w:after="0" w:line="240" w:lineRule="auto"/>
        <w:rPr>
          <w:rFonts w:ascii="Times New Roman" w:hAnsi="Times New Roman" w:cs="Times New Roman"/>
        </w:rPr>
      </w:pPr>
    </w:p>
    <w:p w14:paraId="1118DE87" w14:textId="77777777" w:rsidR="00D72C83" w:rsidRPr="002E32EF" w:rsidRDefault="00D72C83" w:rsidP="00D72C83">
      <w:pPr>
        <w:spacing w:after="0" w:line="240" w:lineRule="auto"/>
        <w:rPr>
          <w:rFonts w:ascii="Times New Roman" w:hAnsi="Times New Roman" w:cs="Times New Roman"/>
        </w:rPr>
      </w:pPr>
    </w:p>
    <w:p w14:paraId="021DA5D5"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3.</w:t>
      </w:r>
      <w:r w:rsidRPr="00D3564A">
        <w:rPr>
          <w:rFonts w:ascii="Times New Roman" w:hAnsi="Times New Roman"/>
          <w:sz w:val="22"/>
          <w:lang w:val="lt-LT"/>
        </w:rPr>
        <w:tab/>
        <w:t>FARMACINĖ FORMA</w:t>
      </w:r>
    </w:p>
    <w:p w14:paraId="466F861D" w14:textId="77777777" w:rsidR="00D72C83" w:rsidRPr="002E32EF" w:rsidRDefault="00D72C83" w:rsidP="00D72C83">
      <w:pPr>
        <w:spacing w:after="0" w:line="240" w:lineRule="auto"/>
        <w:rPr>
          <w:rFonts w:ascii="Times New Roman" w:hAnsi="Times New Roman" w:cs="Times New Roman"/>
        </w:rPr>
      </w:pPr>
    </w:p>
    <w:p w14:paraId="3F78E70C" w14:textId="77777777" w:rsidR="00D72C83" w:rsidRPr="00E35BE6" w:rsidRDefault="00D72C83" w:rsidP="00D3564A">
      <w:pPr>
        <w:pStyle w:val="Pagrindinistekstas"/>
        <w:rPr>
          <w:lang w:val="lt-LT"/>
        </w:rPr>
      </w:pPr>
      <w:r w:rsidRPr="00D3564A">
        <w:rPr>
          <w:i w:val="0"/>
          <w:color w:val="auto"/>
          <w:sz w:val="22"/>
          <w:lang w:val="lt-LT"/>
        </w:rPr>
        <w:t>Plėvele dengta tabletė (tabletė).</w:t>
      </w:r>
    </w:p>
    <w:p w14:paraId="1C44800B" w14:textId="77777777" w:rsidR="00D72C83" w:rsidRPr="00E35BE6" w:rsidRDefault="00D72C83" w:rsidP="00D3564A">
      <w:pPr>
        <w:pStyle w:val="Pagrindinistekstas"/>
        <w:rPr>
          <w:lang w:val="lt-LT"/>
        </w:rPr>
      </w:pPr>
    </w:p>
    <w:p w14:paraId="0AF0E0D2" w14:textId="77777777" w:rsidR="00D72C83" w:rsidRPr="002E32EF" w:rsidRDefault="00D72C83" w:rsidP="00D72C83">
      <w:pPr>
        <w:spacing w:after="0" w:line="240" w:lineRule="auto"/>
        <w:rPr>
          <w:rFonts w:ascii="Times New Roman" w:eastAsia="SimSun" w:hAnsi="Times New Roman" w:cs="Times New Roman"/>
          <w:lang w:eastAsia="lt-LT"/>
        </w:rPr>
      </w:pPr>
      <w:r w:rsidRPr="002E32EF">
        <w:rPr>
          <w:rFonts w:ascii="Times New Roman" w:eastAsia="SimSun" w:hAnsi="Times New Roman" w:cs="Times New Roman"/>
          <w:lang w:eastAsia="lt-LT"/>
        </w:rPr>
        <w:t xml:space="preserve">Baltos ar gelsvos spalvos, apvalios, abipus išgaubtos plėvele dengtos tabletės, kurių vienoje pusėje išraižyta </w:t>
      </w:r>
      <w:r>
        <w:rPr>
          <w:rFonts w:ascii="Times New Roman" w:eastAsia="SimSun" w:hAnsi="Times New Roman" w:cs="Times New Roman"/>
          <w:lang w:eastAsia="lt-LT"/>
        </w:rPr>
        <w:t>„</w:t>
      </w:r>
      <w:r w:rsidRPr="002E32EF">
        <w:rPr>
          <w:rFonts w:ascii="Times New Roman" w:eastAsia="SimSun" w:hAnsi="Times New Roman" w:cs="Times New Roman"/>
          <w:lang w:eastAsia="lt-LT"/>
        </w:rPr>
        <w:t>50</w:t>
      </w:r>
      <w:r>
        <w:rPr>
          <w:rFonts w:ascii="Times New Roman" w:eastAsia="SimSun" w:hAnsi="Times New Roman" w:cs="Times New Roman"/>
          <w:lang w:eastAsia="lt-LT"/>
        </w:rPr>
        <w:t>“</w:t>
      </w:r>
      <w:r w:rsidRPr="002E32EF">
        <w:rPr>
          <w:rFonts w:ascii="Times New Roman" w:eastAsia="SimSun" w:hAnsi="Times New Roman" w:cs="Times New Roman"/>
          <w:lang w:eastAsia="lt-LT"/>
        </w:rPr>
        <w:t xml:space="preserve">. Tabletės diametras yra 7,6 mm </w:t>
      </w:r>
      <w:r w:rsidRPr="002E32EF">
        <w:rPr>
          <w:rFonts w:ascii="Times New Roman" w:hAnsi="Times New Roman" w:cs="Times New Roman"/>
        </w:rPr>
        <w:t>± 5 %.</w:t>
      </w:r>
    </w:p>
    <w:p w14:paraId="55ED7BF4" w14:textId="77777777" w:rsidR="00D72C83" w:rsidRPr="002E32EF" w:rsidRDefault="00D72C83" w:rsidP="00D72C83">
      <w:pPr>
        <w:spacing w:after="0" w:line="240" w:lineRule="auto"/>
        <w:rPr>
          <w:rFonts w:ascii="Times New Roman" w:eastAsia="SimSun" w:hAnsi="Times New Roman" w:cs="Times New Roman"/>
          <w:lang w:eastAsia="lt-LT"/>
        </w:rPr>
      </w:pPr>
      <w:r w:rsidRPr="002F6BC3">
        <w:rPr>
          <w:rFonts w:ascii="Times New Roman" w:eastAsia="SimSun" w:hAnsi="Times New Roman" w:cs="Times New Roman"/>
          <w:highlight w:val="lightGray"/>
          <w:lang w:eastAsia="lt-LT"/>
        </w:rPr>
        <w:t xml:space="preserve">Baltos ar gelsvos spalvos, apvalios, abipus išgaubtos plėvele dengtos tabletės, kurių vienoje pusėje išraižyta </w:t>
      </w:r>
      <w:r>
        <w:rPr>
          <w:rFonts w:ascii="Times New Roman" w:eastAsia="SimSun" w:hAnsi="Times New Roman" w:cs="Times New Roman"/>
          <w:highlight w:val="lightGray"/>
          <w:lang w:eastAsia="lt-LT"/>
        </w:rPr>
        <w:t>„</w:t>
      </w:r>
      <w:r w:rsidRPr="002F6BC3">
        <w:rPr>
          <w:rFonts w:ascii="Times New Roman" w:eastAsia="SimSun" w:hAnsi="Times New Roman" w:cs="Times New Roman"/>
          <w:highlight w:val="lightGray"/>
          <w:lang w:eastAsia="lt-LT"/>
        </w:rPr>
        <w:t>100</w:t>
      </w:r>
      <w:r>
        <w:rPr>
          <w:rFonts w:ascii="Times New Roman" w:eastAsia="SimSun" w:hAnsi="Times New Roman" w:cs="Times New Roman"/>
          <w:highlight w:val="lightGray"/>
          <w:lang w:eastAsia="lt-LT"/>
        </w:rPr>
        <w:t>“</w:t>
      </w:r>
      <w:r w:rsidRPr="002F6BC3">
        <w:rPr>
          <w:rFonts w:ascii="Times New Roman" w:eastAsia="SimSun" w:hAnsi="Times New Roman" w:cs="Times New Roman"/>
          <w:highlight w:val="lightGray"/>
          <w:lang w:eastAsia="lt-LT"/>
        </w:rPr>
        <w:t xml:space="preserve">. Tabletės diametras yra 8,9 mm </w:t>
      </w:r>
      <w:r w:rsidRPr="002F6BC3">
        <w:rPr>
          <w:rFonts w:ascii="Times New Roman" w:hAnsi="Times New Roman" w:cs="Times New Roman"/>
          <w:highlight w:val="lightGray"/>
        </w:rPr>
        <w:t>± 5 %.</w:t>
      </w:r>
    </w:p>
    <w:p w14:paraId="12B92B2A" w14:textId="77777777" w:rsidR="00D72C83" w:rsidRPr="00E35BE6" w:rsidRDefault="00D72C83" w:rsidP="00D3564A">
      <w:pPr>
        <w:pStyle w:val="Pagrindinistekstas"/>
        <w:rPr>
          <w:color w:val="000000" w:themeColor="text1"/>
          <w:lang w:val="lt-LT"/>
        </w:rPr>
      </w:pPr>
      <w:r w:rsidRPr="00D3564A">
        <w:rPr>
          <w:i w:val="0"/>
          <w:color w:val="000000" w:themeColor="text1"/>
          <w:sz w:val="22"/>
          <w:highlight w:val="darkGray"/>
          <w:lang w:val="lt-LT"/>
        </w:rPr>
        <w:t>Baltos ar gelsvos spalvos, apvalios, abipus išgaubtos plėvele dengtos tabletės, kurių vienoje pusėje išraižyta „150“. Tabletės diametras yra 10,5 mm ± 5 %.</w:t>
      </w:r>
    </w:p>
    <w:p w14:paraId="64B9B6D5" w14:textId="77777777" w:rsidR="00D72C83" w:rsidRPr="002E32EF" w:rsidRDefault="00D72C83" w:rsidP="00D72C83">
      <w:pPr>
        <w:spacing w:after="0" w:line="240" w:lineRule="auto"/>
        <w:rPr>
          <w:rFonts w:ascii="Times New Roman" w:hAnsi="Times New Roman" w:cs="Times New Roman"/>
        </w:rPr>
      </w:pPr>
    </w:p>
    <w:p w14:paraId="43A7FBA5" w14:textId="77777777" w:rsidR="00D72C83" w:rsidRPr="002E32EF" w:rsidRDefault="00D72C83" w:rsidP="00D72C83">
      <w:pPr>
        <w:spacing w:after="0" w:line="240" w:lineRule="auto"/>
        <w:rPr>
          <w:rFonts w:ascii="Times New Roman" w:hAnsi="Times New Roman" w:cs="Times New Roman"/>
        </w:rPr>
      </w:pPr>
    </w:p>
    <w:p w14:paraId="1E6DC2DC"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4.</w:t>
      </w:r>
      <w:r w:rsidRPr="00D3564A">
        <w:rPr>
          <w:rFonts w:ascii="Times New Roman" w:hAnsi="Times New Roman"/>
          <w:sz w:val="22"/>
          <w:lang w:val="lt-LT"/>
        </w:rPr>
        <w:tab/>
        <w:t>KLINIKINĖ INFORMACIJA</w:t>
      </w:r>
    </w:p>
    <w:p w14:paraId="73D92432" w14:textId="77777777" w:rsidR="00D72C83" w:rsidRPr="002E32EF" w:rsidRDefault="00D72C83" w:rsidP="00D72C83">
      <w:pPr>
        <w:spacing w:after="0" w:line="240" w:lineRule="auto"/>
        <w:rPr>
          <w:rFonts w:ascii="Times New Roman" w:hAnsi="Times New Roman" w:cs="Times New Roman"/>
        </w:rPr>
      </w:pPr>
    </w:p>
    <w:p w14:paraId="6C4E8DCB"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4.1</w:t>
      </w:r>
      <w:r w:rsidRPr="00D3564A">
        <w:rPr>
          <w:rFonts w:ascii="Times New Roman" w:hAnsi="Times New Roman"/>
          <w:sz w:val="22"/>
          <w:lang w:val="lt-LT"/>
        </w:rPr>
        <w:tab/>
        <w:t>Terapinės indikacijos</w:t>
      </w:r>
    </w:p>
    <w:p w14:paraId="1CA299DD" w14:textId="77777777" w:rsidR="00D72C83" w:rsidRPr="002E32EF" w:rsidRDefault="00D72C83" w:rsidP="00D72C83">
      <w:pPr>
        <w:spacing w:after="0" w:line="240" w:lineRule="auto"/>
        <w:rPr>
          <w:rFonts w:ascii="Times New Roman" w:hAnsi="Times New Roman" w:cs="Times New Roman"/>
        </w:rPr>
      </w:pPr>
    </w:p>
    <w:p w14:paraId="24F5632B" w14:textId="77777777" w:rsidR="00D72C83" w:rsidRPr="002E32EF" w:rsidRDefault="00D72C83" w:rsidP="00D72C83">
      <w:pPr>
        <w:spacing w:after="0" w:line="240" w:lineRule="auto"/>
        <w:rPr>
          <w:rFonts w:ascii="Times New Roman" w:hAnsi="Times New Roman" w:cs="Times New Roman"/>
          <w:u w:val="single"/>
        </w:rPr>
      </w:pPr>
      <w:r w:rsidRPr="002E32EF">
        <w:rPr>
          <w:rFonts w:ascii="Times New Roman" w:hAnsi="Times New Roman" w:cs="Times New Roman"/>
          <w:u w:val="single"/>
        </w:rPr>
        <w:t>Nesmulkialąstelinis plaučių vėžys (NSLPV)</w:t>
      </w:r>
    </w:p>
    <w:p w14:paraId="74EA1EB7"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Varlota skirtas pirmaeiliam gydymui pacientams, sergantiems lokaliai progresavusiu arba metastazavusiu nesmulkialąsteliniu plaučių vėžiu (NSLPV), kuriems nustatytos EGFR aktyvinančios mutacijos.</w:t>
      </w:r>
    </w:p>
    <w:p w14:paraId="54A9583A" w14:textId="77777777" w:rsidR="00D72C83" w:rsidRPr="002E32EF" w:rsidRDefault="00D72C83" w:rsidP="00D72C83">
      <w:pPr>
        <w:spacing w:after="0" w:line="240" w:lineRule="auto"/>
        <w:rPr>
          <w:rFonts w:ascii="Times New Roman" w:hAnsi="Times New Roman" w:cs="Times New Roman"/>
        </w:rPr>
      </w:pPr>
    </w:p>
    <w:p w14:paraId="7FAA8BBF"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Varlota taip pat skirtas palaikomojo gydymo keitimui pacientams, sergantiems lokaliai progresavusiu arba metastazavusiu EGFR aktyvuojančiųjų mutacijų turinčiu NSLPV, kurių liga po pirmaeilės chemoterapijos yra stabili.</w:t>
      </w:r>
    </w:p>
    <w:p w14:paraId="4CC0270E" w14:textId="77777777" w:rsidR="00D72C83" w:rsidRPr="002E32EF" w:rsidRDefault="00D72C83" w:rsidP="00D72C83">
      <w:pPr>
        <w:spacing w:after="0" w:line="240" w:lineRule="auto"/>
        <w:rPr>
          <w:rFonts w:ascii="Times New Roman" w:hAnsi="Times New Roman" w:cs="Times New Roman"/>
        </w:rPr>
      </w:pPr>
    </w:p>
    <w:p w14:paraId="02A729EB"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Be to, Varlota skirtas lokaliai progresavusiam arba metastazavusiam NSLPV gydyti po bent vieno ankstesnio nesėkmingo chemoterapijos kurso.</w:t>
      </w:r>
      <w:r>
        <w:rPr>
          <w:rFonts w:ascii="Times New Roman" w:hAnsi="Times New Roman" w:cs="Times New Roman"/>
        </w:rPr>
        <w:t xml:space="preserve"> Pacientams su navikais be EGFR aktyvinančios mutacijos Varlota vartotinas tada, kai kitos gydymo galimybės laikomos netinkamomis.</w:t>
      </w:r>
    </w:p>
    <w:p w14:paraId="61FFCA13" w14:textId="77777777" w:rsidR="00D72C83" w:rsidRPr="002E32EF" w:rsidRDefault="00D72C83" w:rsidP="00D72C83">
      <w:pPr>
        <w:spacing w:after="0" w:line="240" w:lineRule="auto"/>
        <w:rPr>
          <w:rFonts w:ascii="Times New Roman" w:hAnsi="Times New Roman" w:cs="Times New Roman"/>
        </w:rPr>
      </w:pPr>
    </w:p>
    <w:p w14:paraId="2CF83377"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Skiriant Varlota reikia atsižvelgti į veiksnius, susijusius su ilgesniu išgyvenimu.</w:t>
      </w:r>
    </w:p>
    <w:p w14:paraId="48DB30AD" w14:textId="77777777" w:rsidR="00D72C83" w:rsidRPr="002E32EF" w:rsidRDefault="00D72C83" w:rsidP="00D72C83">
      <w:pPr>
        <w:spacing w:after="0" w:line="240" w:lineRule="auto"/>
        <w:rPr>
          <w:rFonts w:ascii="Times New Roman" w:hAnsi="Times New Roman" w:cs="Times New Roman"/>
        </w:rPr>
      </w:pPr>
    </w:p>
    <w:p w14:paraId="1BE72B86"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lastRenderedPageBreak/>
        <w:t xml:space="preserve">Gydant pacientus, kurių navikuose imunohistocheminiu būdu nustatoma epidermio augimo faktoriaus receptoriaus (angl. </w:t>
      </w:r>
      <w:r w:rsidRPr="002E32EF">
        <w:rPr>
          <w:rFonts w:ascii="Times New Roman" w:hAnsi="Times New Roman" w:cs="Times New Roman"/>
          <w:i/>
        </w:rPr>
        <w:t>Epidermal Growth Factor Receptor</w:t>
      </w:r>
      <w:r w:rsidRPr="002E32EF">
        <w:rPr>
          <w:rFonts w:ascii="Times New Roman" w:hAnsi="Times New Roman" w:cs="Times New Roman"/>
        </w:rPr>
        <w:t xml:space="preserve"> – EGFR-IHC) ekspresija nepasireiškė, palankaus poveikio išgyvenimui ar kitokio kliniškai reikšmingo poveikio nepastebėta (žr. 5.1 skyrių).</w:t>
      </w:r>
    </w:p>
    <w:p w14:paraId="0E7D82E2" w14:textId="77777777" w:rsidR="00D72C83" w:rsidRPr="002E32EF" w:rsidRDefault="00D72C83" w:rsidP="00D72C83">
      <w:pPr>
        <w:spacing w:after="0" w:line="240" w:lineRule="auto"/>
        <w:rPr>
          <w:rFonts w:ascii="Times New Roman" w:hAnsi="Times New Roman" w:cs="Times New Roman"/>
        </w:rPr>
      </w:pPr>
    </w:p>
    <w:p w14:paraId="0012CB5B" w14:textId="77777777" w:rsidR="00D72C83" w:rsidRPr="002E32EF" w:rsidRDefault="00D72C83" w:rsidP="00D72C83">
      <w:pPr>
        <w:spacing w:after="0" w:line="240" w:lineRule="auto"/>
        <w:rPr>
          <w:rFonts w:ascii="Times New Roman" w:hAnsi="Times New Roman" w:cs="Times New Roman"/>
          <w:u w:val="single"/>
        </w:rPr>
      </w:pPr>
      <w:r w:rsidRPr="002E32EF">
        <w:rPr>
          <w:rFonts w:ascii="Times New Roman" w:hAnsi="Times New Roman" w:cs="Times New Roman"/>
          <w:u w:val="single"/>
        </w:rPr>
        <w:t>Kasos vėžys:</w:t>
      </w:r>
    </w:p>
    <w:p w14:paraId="6C101ED3"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Varlota derinyje su gemcitabinu skirtas metastazavusiam kasos vėžiui gydyti. Skiriant Varlota, reikia atsižvelgti į veiksnius, susijusius su ilgesniu išgyvenimu (žr. 4.2 ir 5.1 skyrius).</w:t>
      </w:r>
    </w:p>
    <w:p w14:paraId="417B6A68" w14:textId="77777777" w:rsidR="00D72C83" w:rsidRPr="002E32EF" w:rsidRDefault="00D72C83" w:rsidP="00D72C83">
      <w:pPr>
        <w:spacing w:after="0" w:line="240" w:lineRule="auto"/>
        <w:rPr>
          <w:rFonts w:ascii="Times New Roman" w:hAnsi="Times New Roman" w:cs="Times New Roman"/>
        </w:rPr>
      </w:pPr>
    </w:p>
    <w:p w14:paraId="36ADF2AC"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Gydant pacientus, sergančius lokaliai progresavusia liga, jokio teigiamo poveikio išgyvenimui nenustatyta.</w:t>
      </w:r>
    </w:p>
    <w:p w14:paraId="4A43709F" w14:textId="77777777" w:rsidR="00D72C83" w:rsidRPr="002E32EF" w:rsidRDefault="00D72C83" w:rsidP="00D72C83">
      <w:pPr>
        <w:spacing w:after="0" w:line="240" w:lineRule="auto"/>
        <w:rPr>
          <w:rFonts w:ascii="Times New Roman" w:hAnsi="Times New Roman" w:cs="Times New Roman"/>
        </w:rPr>
      </w:pPr>
    </w:p>
    <w:p w14:paraId="18447030"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4.2</w:t>
      </w:r>
      <w:r w:rsidRPr="00D3564A">
        <w:rPr>
          <w:rFonts w:ascii="Times New Roman" w:hAnsi="Times New Roman"/>
          <w:sz w:val="22"/>
          <w:lang w:val="lt-LT"/>
        </w:rPr>
        <w:tab/>
        <w:t>Dozavimas ir vartojimo metodas</w:t>
      </w:r>
    </w:p>
    <w:p w14:paraId="14908E8C" w14:textId="77777777" w:rsidR="00D72C83" w:rsidRPr="002E32EF" w:rsidRDefault="00D72C83" w:rsidP="00D72C83">
      <w:pPr>
        <w:spacing w:after="0" w:line="240" w:lineRule="auto"/>
        <w:rPr>
          <w:rFonts w:ascii="Times New Roman" w:hAnsi="Times New Roman" w:cs="Times New Roman"/>
        </w:rPr>
      </w:pPr>
    </w:p>
    <w:p w14:paraId="08B951AD"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Gydymą Varlota turi kontroliuoti gydytojas, turintis vėžio gydymo patirties.</w:t>
      </w:r>
    </w:p>
    <w:p w14:paraId="487F11E5" w14:textId="77777777" w:rsidR="00D72C83" w:rsidRPr="002E32EF" w:rsidRDefault="00D72C83" w:rsidP="00D72C83">
      <w:pPr>
        <w:spacing w:after="0" w:line="240" w:lineRule="auto"/>
        <w:rPr>
          <w:rFonts w:ascii="Times New Roman" w:hAnsi="Times New Roman" w:cs="Times New Roman"/>
        </w:rPr>
      </w:pPr>
    </w:p>
    <w:p w14:paraId="4DDE52EF" w14:textId="77777777" w:rsidR="00D72C83" w:rsidRPr="002E32EF" w:rsidRDefault="00D72C83" w:rsidP="00D72C83">
      <w:pPr>
        <w:spacing w:after="0" w:line="240" w:lineRule="auto"/>
        <w:rPr>
          <w:rFonts w:ascii="Times New Roman" w:hAnsi="Times New Roman" w:cs="Times New Roman"/>
          <w:u w:val="single"/>
        </w:rPr>
      </w:pPr>
      <w:r w:rsidRPr="002E32EF">
        <w:rPr>
          <w:rFonts w:ascii="Times New Roman" w:hAnsi="Times New Roman" w:cs="Times New Roman"/>
          <w:u w:val="single"/>
        </w:rPr>
        <w:t>Dozavimas</w:t>
      </w:r>
    </w:p>
    <w:p w14:paraId="6520855F" w14:textId="77777777" w:rsidR="00D72C83" w:rsidRPr="002E32EF" w:rsidRDefault="00D72C83" w:rsidP="00D72C83">
      <w:pPr>
        <w:spacing w:after="0" w:line="240" w:lineRule="auto"/>
        <w:rPr>
          <w:rFonts w:ascii="Times New Roman" w:hAnsi="Times New Roman" w:cs="Times New Roman"/>
          <w:u w:val="single"/>
        </w:rPr>
      </w:pPr>
    </w:p>
    <w:p w14:paraId="2BA97297" w14:textId="77777777" w:rsidR="00D72C83" w:rsidRPr="002F6BC3" w:rsidRDefault="00D72C83" w:rsidP="00D72C83">
      <w:pPr>
        <w:spacing w:after="0" w:line="240" w:lineRule="auto"/>
        <w:rPr>
          <w:rFonts w:ascii="Times New Roman" w:hAnsi="Times New Roman" w:cs="Times New Roman"/>
          <w:i/>
        </w:rPr>
      </w:pPr>
      <w:r w:rsidRPr="002F6BC3">
        <w:rPr>
          <w:rFonts w:ascii="Times New Roman" w:hAnsi="Times New Roman" w:cs="Times New Roman"/>
          <w:i/>
        </w:rPr>
        <w:t>Nesmulkialąstelini</w:t>
      </w:r>
      <w:r>
        <w:rPr>
          <w:rFonts w:ascii="Times New Roman" w:hAnsi="Times New Roman" w:cs="Times New Roman"/>
          <w:i/>
        </w:rPr>
        <w:t>s</w:t>
      </w:r>
      <w:r w:rsidRPr="002F6BC3">
        <w:rPr>
          <w:rFonts w:ascii="Times New Roman" w:hAnsi="Times New Roman" w:cs="Times New Roman"/>
          <w:i/>
        </w:rPr>
        <w:t xml:space="preserve"> plaučių vėž</w:t>
      </w:r>
      <w:r>
        <w:rPr>
          <w:rFonts w:ascii="Times New Roman" w:hAnsi="Times New Roman" w:cs="Times New Roman"/>
          <w:i/>
        </w:rPr>
        <w:t>ys</w:t>
      </w:r>
    </w:p>
    <w:p w14:paraId="1E9DE5F8" w14:textId="5DE51463" w:rsidR="00D72C83" w:rsidRPr="00BE5E1A" w:rsidRDefault="00E23115" w:rsidP="00E35BE6">
      <w:pPr>
        <w:widowControl w:val="0"/>
        <w:autoSpaceDE w:val="0"/>
        <w:autoSpaceDN w:val="0"/>
        <w:adjustRightInd w:val="0"/>
        <w:rPr>
          <w:rFonts w:ascii="Times New Roman" w:hAnsi="Times New Roman" w:cs="Times New Roman"/>
        </w:rPr>
      </w:pPr>
      <w:r w:rsidRPr="00914766">
        <w:rPr>
          <w:rFonts w:ascii="Times New Roman" w:eastAsia="Calibri" w:hAnsi="Times New Roman" w:cs="Times New Roman"/>
        </w:rPr>
        <w:t>Remiantis patvirtintomis indikacijomis</w:t>
      </w:r>
      <w:r>
        <w:rPr>
          <w:rFonts w:ascii="Times New Roman" w:eastAsia="Calibri" w:hAnsi="Times New Roman" w:cs="Times New Roman"/>
        </w:rPr>
        <w:t xml:space="preserve"> </w:t>
      </w:r>
      <w:r w:rsidR="00D72C83" w:rsidRPr="002E32EF">
        <w:rPr>
          <w:rFonts w:ascii="Times New Roman" w:hAnsi="Times New Roman" w:cs="Times New Roman"/>
        </w:rPr>
        <w:t>reikia tyrimais nustatyti EGFR mutaciją</w:t>
      </w:r>
      <w:r>
        <w:rPr>
          <w:rFonts w:ascii="Times New Roman" w:hAnsi="Times New Roman" w:cs="Times New Roman"/>
        </w:rPr>
        <w:t xml:space="preserve"> </w:t>
      </w:r>
      <w:r w:rsidRPr="00914766">
        <w:rPr>
          <w:rFonts w:ascii="Times New Roman" w:eastAsia="Calibri" w:hAnsi="Times New Roman" w:cs="Times New Roman"/>
        </w:rPr>
        <w:t>(žr. 4.1 skyrių)</w:t>
      </w:r>
      <w:r w:rsidR="00D72C83" w:rsidRPr="002E32EF">
        <w:rPr>
          <w:rFonts w:ascii="Times New Roman" w:hAnsi="Times New Roman" w:cs="Times New Roman"/>
        </w:rPr>
        <w:t>.</w:t>
      </w:r>
      <w:r w:rsidR="00D72C83" w:rsidRPr="002E32EF">
        <w:rPr>
          <w:rFonts w:ascii="Times New Roman" w:eastAsiaTheme="minorEastAsia" w:hAnsi="Times New Roman" w:cs="Times New Roman"/>
        </w:rPr>
        <w:t xml:space="preserve"> </w:t>
      </w:r>
    </w:p>
    <w:p w14:paraId="2A8C302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Rekomenduojamoji </w:t>
      </w:r>
      <w:r w:rsidRPr="002E32EF">
        <w:rPr>
          <w:rFonts w:ascii="Times New Roman" w:hAnsi="Times New Roman" w:cs="Times New Roman"/>
        </w:rPr>
        <w:t xml:space="preserve">Varlota </w:t>
      </w:r>
      <w:r w:rsidRPr="002E32EF">
        <w:rPr>
          <w:rFonts w:ascii="Times New Roman" w:eastAsiaTheme="minorEastAsia" w:hAnsi="Times New Roman" w:cs="Times New Roman"/>
        </w:rPr>
        <w:t>paros dozė yra 150 mg, geriama bent valanda prieš valgį arba dvi valandos po valgio.</w:t>
      </w:r>
    </w:p>
    <w:p w14:paraId="5F1F8EC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8B51686" w14:textId="77777777" w:rsidR="00D72C83" w:rsidRPr="002F6BC3" w:rsidRDefault="00D72C83" w:rsidP="00D72C83">
      <w:pPr>
        <w:widowControl w:val="0"/>
        <w:autoSpaceDE w:val="0"/>
        <w:autoSpaceDN w:val="0"/>
        <w:adjustRightInd w:val="0"/>
        <w:spacing w:after="0" w:line="240" w:lineRule="auto"/>
        <w:rPr>
          <w:rFonts w:ascii="Times New Roman" w:eastAsiaTheme="minorEastAsia" w:hAnsi="Times New Roman" w:cs="Times New Roman"/>
          <w:i/>
        </w:rPr>
      </w:pPr>
      <w:r w:rsidRPr="002F6BC3">
        <w:rPr>
          <w:rFonts w:ascii="Times New Roman" w:eastAsiaTheme="minorEastAsia" w:hAnsi="Times New Roman" w:cs="Times New Roman"/>
          <w:i/>
        </w:rPr>
        <w:t>Kasos vėž</w:t>
      </w:r>
      <w:r>
        <w:rPr>
          <w:rFonts w:ascii="Times New Roman" w:eastAsiaTheme="minorEastAsia" w:hAnsi="Times New Roman" w:cs="Times New Roman"/>
          <w:i/>
        </w:rPr>
        <w:t>ys</w:t>
      </w:r>
    </w:p>
    <w:p w14:paraId="362DEF4B" w14:textId="384BF4DB"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Rekomenduojamoji </w:t>
      </w:r>
      <w:r w:rsidRPr="002E32EF">
        <w:rPr>
          <w:rFonts w:ascii="Times New Roman" w:hAnsi="Times New Roman" w:cs="Times New Roman"/>
        </w:rPr>
        <w:t xml:space="preserve">Varlota </w:t>
      </w:r>
      <w:r w:rsidRPr="002E32EF">
        <w:rPr>
          <w:rFonts w:ascii="Times New Roman" w:eastAsiaTheme="minorEastAsia" w:hAnsi="Times New Roman" w:cs="Times New Roman"/>
        </w:rPr>
        <w:t xml:space="preserve">paros dozė yra 100 mg, geriama bent valanda prieš valgį arba dvi valandos po valgio kartu su gemcitabinu (žr. indikacijas gydyti kasos vėžį gemcitabino preparato charakteristikų santraukoje). Jeigu per pirmąsias 4 – 8 gydymo savaites </w:t>
      </w:r>
      <w:r w:rsidR="00902EE4">
        <w:rPr>
          <w:rFonts w:ascii="Times New Roman" w:eastAsiaTheme="minorEastAsia" w:hAnsi="Times New Roman" w:cs="Times New Roman"/>
        </w:rPr>
        <w:t>paciento</w:t>
      </w:r>
      <w:r w:rsidRPr="002E32EF">
        <w:rPr>
          <w:rFonts w:ascii="Times New Roman" w:eastAsiaTheme="minorEastAsia" w:hAnsi="Times New Roman" w:cs="Times New Roman"/>
        </w:rPr>
        <w:t xml:space="preserve"> neišberia, reikia iš naujo spręsti apie tolesnį gydymą </w:t>
      </w:r>
      <w:r w:rsidRPr="002E32EF">
        <w:rPr>
          <w:rFonts w:ascii="Times New Roman" w:hAnsi="Times New Roman" w:cs="Times New Roman"/>
        </w:rPr>
        <w:t xml:space="preserve">Varlota </w:t>
      </w:r>
      <w:r w:rsidRPr="002E32EF">
        <w:rPr>
          <w:rFonts w:ascii="Times New Roman" w:eastAsiaTheme="minorEastAsia" w:hAnsi="Times New Roman" w:cs="Times New Roman"/>
        </w:rPr>
        <w:t>(žr. 5.1 skyrių).</w:t>
      </w:r>
    </w:p>
    <w:p w14:paraId="1B41D73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7E9C041"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hAnsi="Times New Roman" w:cs="Times New Roman"/>
        </w:rPr>
        <w:t>Jeigu reikia keisti dozę, ją reikėtų mažinti laipsniškai po 50 mg (žr. 4.4 skyrių).</w:t>
      </w:r>
    </w:p>
    <w:p w14:paraId="6D8159B3" w14:textId="77777777" w:rsidR="00D72C83" w:rsidRDefault="00D72C83" w:rsidP="00D72C83">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Varlota 25 mg tabletės netiekiamos. Jeigu reikalinga ši vaisto dozė,</w:t>
      </w:r>
      <w:r w:rsidRPr="00CF5364">
        <w:rPr>
          <w:rFonts w:ascii="Times New Roman" w:hAnsi="Times New Roman" w:cs="Times New Roman"/>
        </w:rPr>
        <w:t xml:space="preserve"> </w:t>
      </w:r>
      <w:r>
        <w:rPr>
          <w:rFonts w:ascii="Times New Roman" w:hAnsi="Times New Roman" w:cs="Times New Roman"/>
        </w:rPr>
        <w:t>reikia pasirinkti</w:t>
      </w:r>
      <w:r w:rsidRPr="00CF5364">
        <w:rPr>
          <w:rFonts w:ascii="Times New Roman" w:hAnsi="Times New Roman" w:cs="Times New Roman"/>
        </w:rPr>
        <w:t xml:space="preserve"> kitus rinkoje esančius vaistinius preparatus.</w:t>
      </w:r>
    </w:p>
    <w:p w14:paraId="165B0AF0"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
    <w:p w14:paraId="3DBF43AC"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eastAsiaTheme="minorEastAsia" w:hAnsi="Times New Roman" w:cs="Times New Roman"/>
        </w:rPr>
        <w:t>Doz</w:t>
      </w:r>
      <w:r w:rsidRPr="002E32EF">
        <w:rPr>
          <w:rFonts w:ascii="Times New Roman" w:eastAsia="TimesNewRomanPSMT" w:hAnsi="Times New Roman" w:cs="Times New Roman"/>
        </w:rPr>
        <w:t xml:space="preserve">ę </w:t>
      </w:r>
      <w:r w:rsidRPr="002E32EF">
        <w:rPr>
          <w:rFonts w:ascii="Times New Roman" w:eastAsiaTheme="minorEastAsia" w:hAnsi="Times New Roman" w:cs="Times New Roman"/>
        </w:rPr>
        <w:t>gali reik</w:t>
      </w:r>
      <w:r w:rsidRPr="002E32EF">
        <w:rPr>
          <w:rFonts w:ascii="Times New Roman" w:eastAsia="TimesNewRomanPSMT" w:hAnsi="Times New Roman" w:cs="Times New Roman"/>
        </w:rPr>
        <w:t>ė</w:t>
      </w:r>
      <w:r w:rsidRPr="002E32EF">
        <w:rPr>
          <w:rFonts w:ascii="Times New Roman" w:eastAsiaTheme="minorEastAsia" w:hAnsi="Times New Roman" w:cs="Times New Roman"/>
        </w:rPr>
        <w:t>ti mažinti kartu vartojant CYP3A4 substratus ir moduliatorius (žr. 4.5 skyri</w:t>
      </w:r>
      <w:r w:rsidRPr="002E32EF">
        <w:rPr>
          <w:rFonts w:ascii="Times New Roman" w:eastAsia="TimesNewRomanPSMT" w:hAnsi="Times New Roman" w:cs="Times New Roman"/>
        </w:rPr>
        <w:t>ų</w:t>
      </w:r>
      <w:r w:rsidRPr="002E32EF">
        <w:rPr>
          <w:rFonts w:ascii="Times New Roman" w:eastAsiaTheme="minorEastAsia" w:hAnsi="Times New Roman" w:cs="Times New Roman"/>
        </w:rPr>
        <w:t>).</w:t>
      </w:r>
    </w:p>
    <w:p w14:paraId="6D93F6F2"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
    <w:p w14:paraId="60759D78" w14:textId="77777777" w:rsidR="00D72C83" w:rsidRPr="002F6BC3" w:rsidRDefault="00D72C83" w:rsidP="00D72C83">
      <w:pPr>
        <w:widowControl w:val="0"/>
        <w:autoSpaceDE w:val="0"/>
        <w:autoSpaceDN w:val="0"/>
        <w:adjustRightInd w:val="0"/>
        <w:spacing w:after="0" w:line="240" w:lineRule="auto"/>
        <w:rPr>
          <w:rFonts w:ascii="Times New Roman" w:hAnsi="Times New Roman" w:cs="Times New Roman"/>
          <w:i/>
        </w:rPr>
      </w:pPr>
      <w:r w:rsidRPr="002F6BC3">
        <w:rPr>
          <w:rFonts w:ascii="Times New Roman" w:hAnsi="Times New Roman" w:cs="Times New Roman"/>
          <w:i/>
        </w:rPr>
        <w:t>Kepenų veiklos sutrikimas</w:t>
      </w:r>
    </w:p>
    <w:p w14:paraId="1B26F2AA" w14:textId="0F1851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hAnsi="Times New Roman" w:cs="Times New Roman"/>
        </w:rPr>
        <w:t xml:space="preserve">Erlotinibas išsiskiria iš organizmo vykstant jo metabolizmui kepenyse ir ekskrecijai su tulžimi. Nors </w:t>
      </w:r>
      <w:r w:rsidR="00902EE4">
        <w:rPr>
          <w:rFonts w:ascii="Times New Roman" w:hAnsi="Times New Roman" w:cs="Times New Roman"/>
        </w:rPr>
        <w:t>pacientų</w:t>
      </w:r>
      <w:r w:rsidRPr="002E32EF">
        <w:rPr>
          <w:rFonts w:ascii="Times New Roman" w:hAnsi="Times New Roman" w:cs="Times New Roman"/>
        </w:rPr>
        <w:t>, kurių kepenų funkcija vidutiniškai sutrikusi (</w:t>
      </w:r>
      <w:r w:rsidRPr="002E32EF">
        <w:rPr>
          <w:rFonts w:ascii="Times New Roman" w:hAnsi="Times New Roman" w:cs="Times New Roman"/>
          <w:i/>
        </w:rPr>
        <w:t>Child-Pugh</w:t>
      </w:r>
      <w:r w:rsidRPr="002E32EF">
        <w:rPr>
          <w:rFonts w:ascii="Times New Roman" w:hAnsi="Times New Roman" w:cs="Times New Roman"/>
        </w:rPr>
        <w:t xml:space="preserve"> 7–9 laipsnio), ekspozicija erlotinibui panaši, kaip ir esant pakankamai kepenų funkcijai, skirti </w:t>
      </w:r>
      <w:r>
        <w:rPr>
          <w:rFonts w:ascii="Times New Roman" w:hAnsi="Times New Roman" w:cs="Times New Roman"/>
        </w:rPr>
        <w:t>erlotinibo</w:t>
      </w:r>
      <w:r w:rsidRPr="002E32EF">
        <w:rPr>
          <w:rFonts w:ascii="Times New Roman" w:hAnsi="Times New Roman" w:cs="Times New Roman"/>
        </w:rPr>
        <w:t xml:space="preserve"> </w:t>
      </w:r>
      <w:r w:rsidR="007502A6">
        <w:rPr>
          <w:rFonts w:ascii="Times New Roman" w:hAnsi="Times New Roman" w:cs="Times New Roman"/>
        </w:rPr>
        <w:t>pacientams</w:t>
      </w:r>
      <w:r w:rsidRPr="002E32EF">
        <w:rPr>
          <w:rFonts w:ascii="Times New Roman" w:hAnsi="Times New Roman" w:cs="Times New Roman"/>
        </w:rPr>
        <w:t xml:space="preserve">, kurių kepenų funkcija sutrikusi, reikia atsargiai. Jei pasireiškia sunki nepageidaujama reakcija, reikia spręsti, ar sumažinti Varlota dozę, ar nutraukti gydymą. </w:t>
      </w:r>
      <w:r w:rsidR="00902EE4">
        <w:rPr>
          <w:rFonts w:ascii="Times New Roman" w:hAnsi="Times New Roman" w:cs="Times New Roman"/>
        </w:rPr>
        <w:t>Pacientų</w:t>
      </w:r>
      <w:r w:rsidRPr="002E32EF">
        <w:rPr>
          <w:rFonts w:ascii="Times New Roman" w:hAnsi="Times New Roman" w:cs="Times New Roman"/>
        </w:rPr>
        <w:t>, kuriems yra sunkus  kepenų funkcijos sutrikimas (AST/SGOT ir ALT/SGPT &gt;5 x VNR), gydymo erlotinibu saugumas ir veiksmingumas netirtas. Vartoti Varlota, kai yra sunkus kepenų funkcijos sutrikimas, nerekomenduojama (žr. 5.2 skyrių).</w:t>
      </w:r>
    </w:p>
    <w:p w14:paraId="40383714"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
    <w:p w14:paraId="47A5D381" w14:textId="77777777" w:rsidR="00D72C83" w:rsidRPr="002F6BC3" w:rsidRDefault="00D72C83" w:rsidP="00D72C83">
      <w:pPr>
        <w:widowControl w:val="0"/>
        <w:autoSpaceDE w:val="0"/>
        <w:autoSpaceDN w:val="0"/>
        <w:adjustRightInd w:val="0"/>
        <w:spacing w:after="0" w:line="240" w:lineRule="auto"/>
        <w:rPr>
          <w:rFonts w:ascii="Times New Roman" w:hAnsi="Times New Roman"/>
          <w:i/>
        </w:rPr>
      </w:pPr>
      <w:r w:rsidRPr="002F6BC3">
        <w:rPr>
          <w:rFonts w:ascii="Times New Roman" w:hAnsi="Times New Roman" w:cs="Times New Roman"/>
          <w:i/>
        </w:rPr>
        <w:t>Inkstų veiklos sutrikimas</w:t>
      </w:r>
    </w:p>
    <w:p w14:paraId="3FAFE284" w14:textId="6E7DB986" w:rsidR="00D72C83" w:rsidRPr="002E32EF" w:rsidRDefault="007502A6" w:rsidP="00D72C83">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Pacientų</w:t>
      </w:r>
      <w:r w:rsidR="00D72C83" w:rsidRPr="002E32EF">
        <w:rPr>
          <w:rFonts w:ascii="Times New Roman" w:hAnsi="Times New Roman" w:cs="Times New Roman"/>
        </w:rPr>
        <w:t xml:space="preserve">, kurių inkstų funkcija sutrikusi (kreatinino koncentracija serume &gt;1,5 karto didesnė už normalią), gydymo erlotinibu saugumas ir veiksmingumas netirtas. Atsižvelgiant į farmakokinetikos duomenis, </w:t>
      </w:r>
      <w:r>
        <w:rPr>
          <w:rFonts w:ascii="Times New Roman" w:hAnsi="Times New Roman" w:cs="Times New Roman"/>
        </w:rPr>
        <w:t>pacientams</w:t>
      </w:r>
      <w:r w:rsidR="00D72C83" w:rsidRPr="002E32EF">
        <w:rPr>
          <w:rFonts w:ascii="Times New Roman" w:hAnsi="Times New Roman" w:cs="Times New Roman"/>
        </w:rPr>
        <w:t xml:space="preserve">, kurių inkstų funkcija  lengvai ar vidutiniškai sutrikusi, dozės keisti nereikia (žr. 5.2 skyrių). </w:t>
      </w:r>
      <w:r>
        <w:rPr>
          <w:rFonts w:ascii="Times New Roman" w:hAnsi="Times New Roman" w:cs="Times New Roman"/>
        </w:rPr>
        <w:t>Pacientams</w:t>
      </w:r>
      <w:r w:rsidR="00D72C83" w:rsidRPr="002E32EF">
        <w:rPr>
          <w:rFonts w:ascii="Times New Roman" w:hAnsi="Times New Roman" w:cs="Times New Roman"/>
        </w:rPr>
        <w:t>, kuriems yra sunkus  inkstų funkcijos sutrikimas , vartoti Varlota nerekomenduojama.</w:t>
      </w:r>
    </w:p>
    <w:p w14:paraId="5991B5F2"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
    <w:p w14:paraId="45FDF681"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i/>
        </w:rPr>
      </w:pPr>
      <w:r w:rsidRPr="002E32EF">
        <w:rPr>
          <w:rFonts w:ascii="Times New Roman" w:hAnsi="Times New Roman" w:cs="Times New Roman"/>
          <w:i/>
        </w:rPr>
        <w:t>Vaikų populiacija</w:t>
      </w:r>
    </w:p>
    <w:p w14:paraId="3AE69ACA" w14:textId="6843343A"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Erlotinibo saugumas ir veiksmingumas </w:t>
      </w:r>
      <w:r w:rsidR="00E23115" w:rsidRPr="00914766">
        <w:rPr>
          <w:rFonts w:ascii="Times New Roman" w:eastAsia="Calibri" w:hAnsi="Times New Roman" w:cs="Times New Roman"/>
        </w:rPr>
        <w:t>patvirtintoms indikacijoms pacientams</w:t>
      </w:r>
      <w:r w:rsidR="00E23115" w:rsidRPr="002E32EF">
        <w:rPr>
          <w:rFonts w:ascii="Times New Roman" w:hAnsi="Times New Roman" w:cs="Times New Roman"/>
        </w:rPr>
        <w:t xml:space="preserve"> </w:t>
      </w:r>
      <w:r w:rsidRPr="002E32EF">
        <w:rPr>
          <w:rFonts w:ascii="Times New Roman" w:hAnsi="Times New Roman" w:cs="Times New Roman"/>
        </w:rPr>
        <w:t>iki 18 metų neištirti. Gydyti Varlota vaikus nerekomenduojama.</w:t>
      </w:r>
    </w:p>
    <w:p w14:paraId="3BCD0EC0" w14:textId="77777777" w:rsidR="00D72C83" w:rsidRPr="002E32EF" w:rsidRDefault="00D72C83" w:rsidP="00D72C83">
      <w:pPr>
        <w:spacing w:after="0" w:line="240" w:lineRule="auto"/>
        <w:rPr>
          <w:rFonts w:ascii="Times New Roman" w:hAnsi="Times New Roman" w:cs="Times New Roman"/>
        </w:rPr>
      </w:pPr>
    </w:p>
    <w:p w14:paraId="44BBADA6" w14:textId="77777777" w:rsidR="00D72C83" w:rsidRPr="002F6BC3" w:rsidRDefault="00D72C83" w:rsidP="00D72C83">
      <w:pPr>
        <w:spacing w:after="0" w:line="240" w:lineRule="auto"/>
        <w:rPr>
          <w:rFonts w:ascii="Times New Roman" w:hAnsi="Times New Roman" w:cs="Times New Roman"/>
          <w:i/>
        </w:rPr>
      </w:pPr>
      <w:r w:rsidRPr="002F6BC3">
        <w:rPr>
          <w:rFonts w:ascii="Times New Roman" w:hAnsi="Times New Roman" w:cs="Times New Roman"/>
          <w:i/>
        </w:rPr>
        <w:t>Rūkantys asmenys</w:t>
      </w:r>
    </w:p>
    <w:p w14:paraId="6F01813C" w14:textId="15E52DAA" w:rsidR="00D72C83"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Nustatyta, kad cigarečių rūkymas sumažina ekspoziciją erlotinibui 50–60 %. Didžiausia toleruojama </w:t>
      </w:r>
      <w:r>
        <w:rPr>
          <w:rFonts w:ascii="Times New Roman" w:hAnsi="Times New Roman" w:cs="Times New Roman"/>
        </w:rPr>
        <w:t>erlotinibo</w:t>
      </w:r>
      <w:r w:rsidRPr="002E32EF">
        <w:rPr>
          <w:rFonts w:ascii="Times New Roman" w:hAnsi="Times New Roman" w:cs="Times New Roman"/>
        </w:rPr>
        <w:t xml:space="preserve"> dozė cigaretes rūkantiems NSLPV sergantiems pacientams buvo 300 mg. </w:t>
      </w:r>
      <w:r w:rsidR="00E23115">
        <w:rPr>
          <w:rFonts w:ascii="Times New Roman" w:hAnsi="Times New Roman" w:cs="Times New Roman"/>
        </w:rPr>
        <w:t>Pacientams</w:t>
      </w:r>
      <w:r w:rsidRPr="002E32EF">
        <w:rPr>
          <w:rFonts w:ascii="Times New Roman" w:hAnsi="Times New Roman" w:cs="Times New Roman"/>
        </w:rPr>
        <w:t>, kurie toliau rūk</w:t>
      </w:r>
      <w:r w:rsidR="004F204D">
        <w:rPr>
          <w:rFonts w:ascii="Times New Roman" w:hAnsi="Times New Roman" w:cs="Times New Roman"/>
        </w:rPr>
        <w:t>ė</w:t>
      </w:r>
      <w:r w:rsidRPr="002E32EF">
        <w:rPr>
          <w:rFonts w:ascii="Times New Roman" w:hAnsi="Times New Roman" w:cs="Times New Roman"/>
        </w:rPr>
        <w:t xml:space="preserve"> cigaretes, </w:t>
      </w:r>
      <w:r w:rsidR="004F204D" w:rsidRPr="00914766">
        <w:rPr>
          <w:rFonts w:ascii="Times New Roman" w:eastAsia="Calibri" w:hAnsi="Times New Roman" w:cs="Times New Roman"/>
        </w:rPr>
        <w:t>geresnio 300</w:t>
      </w:r>
      <w:r w:rsidR="004F204D">
        <w:rPr>
          <w:rFonts w:ascii="Times New Roman" w:eastAsia="Calibri" w:hAnsi="Times New Roman" w:cs="Times New Roman"/>
        </w:rPr>
        <w:t> mg</w:t>
      </w:r>
      <w:r w:rsidR="004F204D" w:rsidRPr="00914766">
        <w:rPr>
          <w:rFonts w:ascii="Times New Roman" w:eastAsia="Calibri" w:hAnsi="Times New Roman" w:cs="Times New Roman"/>
        </w:rPr>
        <w:t xml:space="preserve"> dozės veiksmingumo taikant antr</w:t>
      </w:r>
      <w:r w:rsidR="004F204D">
        <w:rPr>
          <w:rFonts w:ascii="Times New Roman" w:eastAsia="Calibri" w:hAnsi="Times New Roman" w:cs="Times New Roman"/>
        </w:rPr>
        <w:t xml:space="preserve">os </w:t>
      </w:r>
      <w:r w:rsidR="004F204D" w:rsidRPr="00914766">
        <w:rPr>
          <w:rFonts w:ascii="Times New Roman" w:eastAsia="Calibri" w:hAnsi="Times New Roman" w:cs="Times New Roman"/>
        </w:rPr>
        <w:t>eil</w:t>
      </w:r>
      <w:r w:rsidR="004F204D">
        <w:rPr>
          <w:rFonts w:ascii="Times New Roman" w:eastAsia="Calibri" w:hAnsi="Times New Roman" w:cs="Times New Roman"/>
        </w:rPr>
        <w:t>ės</w:t>
      </w:r>
      <w:r w:rsidR="004F204D" w:rsidRPr="00914766">
        <w:rPr>
          <w:rFonts w:ascii="Times New Roman" w:eastAsia="Calibri" w:hAnsi="Times New Roman" w:cs="Times New Roman"/>
        </w:rPr>
        <w:t xml:space="preserve"> gydymą po nesėkmingos chemoterapijos, lyginant su rekomenduojama 150</w:t>
      </w:r>
      <w:r w:rsidR="004F204D">
        <w:rPr>
          <w:rFonts w:ascii="Times New Roman" w:eastAsia="Calibri" w:hAnsi="Times New Roman" w:cs="Times New Roman"/>
        </w:rPr>
        <w:t> mg</w:t>
      </w:r>
      <w:r w:rsidR="004F204D" w:rsidRPr="00914766">
        <w:rPr>
          <w:rFonts w:ascii="Times New Roman" w:eastAsia="Calibri" w:hAnsi="Times New Roman" w:cs="Times New Roman"/>
        </w:rPr>
        <w:t xml:space="preserve"> doze, nenustatyta. 300</w:t>
      </w:r>
      <w:r w:rsidR="004F204D">
        <w:rPr>
          <w:rFonts w:ascii="Times New Roman" w:eastAsia="Calibri" w:hAnsi="Times New Roman" w:cs="Times New Roman"/>
        </w:rPr>
        <w:t> mg</w:t>
      </w:r>
      <w:r w:rsidR="004F204D" w:rsidRPr="00914766">
        <w:rPr>
          <w:rFonts w:ascii="Times New Roman" w:eastAsia="Calibri" w:hAnsi="Times New Roman" w:cs="Times New Roman"/>
        </w:rPr>
        <w:t xml:space="preserve"> ir 150</w:t>
      </w:r>
      <w:r w:rsidR="004F204D">
        <w:rPr>
          <w:rFonts w:ascii="Times New Roman" w:eastAsia="Calibri" w:hAnsi="Times New Roman" w:cs="Times New Roman"/>
        </w:rPr>
        <w:t> mg</w:t>
      </w:r>
      <w:r w:rsidR="004F204D" w:rsidRPr="00914766">
        <w:rPr>
          <w:rFonts w:ascii="Times New Roman" w:eastAsia="Calibri" w:hAnsi="Times New Roman" w:cs="Times New Roman"/>
        </w:rPr>
        <w:t xml:space="preserve"> dozių vartojimo saugumo duomenys buvo panašūs; vis dėlto didesnėmis dozėmis erlotinibą vartojusiems pacientams skaitine reikšme dažniau pasireiškė išbėrimas, intersticinė plaučių liga ir viduriavimas. </w:t>
      </w:r>
      <w:r w:rsidR="004F204D">
        <w:rPr>
          <w:rFonts w:ascii="Times New Roman" w:hAnsi="Times New Roman" w:cs="Times New Roman"/>
        </w:rPr>
        <w:t>R</w:t>
      </w:r>
      <w:r w:rsidRPr="002E32EF">
        <w:rPr>
          <w:rFonts w:ascii="Times New Roman" w:hAnsi="Times New Roman" w:cs="Times New Roman"/>
        </w:rPr>
        <w:t>ūkantiems asmenims reikia patarti mesti rūkyti</w:t>
      </w:r>
      <w:r w:rsidR="004F204D">
        <w:rPr>
          <w:rFonts w:ascii="Times New Roman" w:hAnsi="Times New Roman" w:cs="Times New Roman"/>
        </w:rPr>
        <w:t xml:space="preserve"> </w:t>
      </w:r>
      <w:r w:rsidR="004F204D" w:rsidRPr="00914766">
        <w:rPr>
          <w:rFonts w:ascii="Times New Roman" w:eastAsia="Calibri" w:hAnsi="Times New Roman" w:cs="Times New Roman"/>
        </w:rPr>
        <w:t>(žr. 4.4, 4.5, 5.1 ir 5.2 skyrius)</w:t>
      </w:r>
      <w:r w:rsidRPr="002E32EF">
        <w:rPr>
          <w:rFonts w:ascii="Times New Roman" w:hAnsi="Times New Roman" w:cs="Times New Roman"/>
        </w:rPr>
        <w:t>.</w:t>
      </w:r>
    </w:p>
    <w:p w14:paraId="27C7C306" w14:textId="77777777" w:rsidR="00D72C83" w:rsidRDefault="00D72C83" w:rsidP="00D72C83">
      <w:pPr>
        <w:spacing w:after="0" w:line="240" w:lineRule="auto"/>
        <w:rPr>
          <w:rFonts w:ascii="Times New Roman" w:hAnsi="Times New Roman" w:cs="Times New Roman"/>
        </w:rPr>
      </w:pPr>
    </w:p>
    <w:p w14:paraId="35918A22" w14:textId="77777777" w:rsidR="00D72C83" w:rsidRDefault="00D72C83" w:rsidP="00D72C83">
      <w:pPr>
        <w:spacing w:after="0" w:line="240" w:lineRule="auto"/>
        <w:rPr>
          <w:rFonts w:ascii="Times New Roman" w:hAnsi="Times New Roman" w:cs="Times New Roman"/>
        </w:rPr>
      </w:pPr>
      <w:r>
        <w:rPr>
          <w:rFonts w:ascii="Times New Roman" w:hAnsi="Times New Roman" w:cs="Times New Roman"/>
          <w:u w:val="single"/>
        </w:rPr>
        <w:t>Vartojimo metodas</w:t>
      </w:r>
    </w:p>
    <w:p w14:paraId="2B6D02BC" w14:textId="77777777" w:rsidR="00D72C83" w:rsidRPr="00B0579F" w:rsidRDefault="00D72C83" w:rsidP="00D72C83">
      <w:pPr>
        <w:spacing w:after="0" w:line="240" w:lineRule="auto"/>
        <w:rPr>
          <w:rFonts w:ascii="Times New Roman" w:hAnsi="Times New Roman" w:cs="Times New Roman"/>
        </w:rPr>
      </w:pPr>
      <w:r>
        <w:rPr>
          <w:rFonts w:ascii="Times New Roman" w:hAnsi="Times New Roman" w:cs="Times New Roman"/>
        </w:rPr>
        <w:t>Vartoti per burną.</w:t>
      </w:r>
    </w:p>
    <w:p w14:paraId="100EAB9C" w14:textId="77777777" w:rsidR="00D72C83" w:rsidRPr="002E32EF" w:rsidRDefault="00D72C83" w:rsidP="00D72C83">
      <w:pPr>
        <w:spacing w:after="0" w:line="240" w:lineRule="auto"/>
        <w:rPr>
          <w:rFonts w:ascii="Times New Roman" w:hAnsi="Times New Roman" w:cs="Times New Roman"/>
        </w:rPr>
      </w:pPr>
    </w:p>
    <w:p w14:paraId="1DDA33D3"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4.3</w:t>
      </w:r>
      <w:r w:rsidRPr="00D3564A">
        <w:rPr>
          <w:rFonts w:ascii="Times New Roman" w:hAnsi="Times New Roman"/>
          <w:sz w:val="22"/>
          <w:lang w:val="lt-LT"/>
        </w:rPr>
        <w:tab/>
        <w:t>Kontraindikacijos</w:t>
      </w:r>
    </w:p>
    <w:p w14:paraId="5702E950" w14:textId="77777777" w:rsidR="00D72C83" w:rsidRPr="002E32EF" w:rsidRDefault="00D72C83" w:rsidP="00D72C83">
      <w:pPr>
        <w:spacing w:after="0" w:line="240" w:lineRule="auto"/>
        <w:rPr>
          <w:rFonts w:ascii="Times New Roman" w:hAnsi="Times New Roman" w:cs="Times New Roman"/>
          <w:lang w:eastAsia="lt-LT"/>
        </w:rPr>
      </w:pPr>
    </w:p>
    <w:p w14:paraId="25BD7CBA"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Padidėjęs jautrumas erlotinibui arba bet kuriai 6.1 skyriuje nurodytai pagalbinei medžiagai.</w:t>
      </w:r>
    </w:p>
    <w:p w14:paraId="7166BD2A" w14:textId="77777777" w:rsidR="00D72C83" w:rsidRPr="002E32EF" w:rsidRDefault="00D72C83" w:rsidP="00D72C83">
      <w:pPr>
        <w:spacing w:after="0" w:line="240" w:lineRule="auto"/>
        <w:rPr>
          <w:rFonts w:ascii="Times New Roman" w:hAnsi="Times New Roman" w:cs="Times New Roman"/>
        </w:rPr>
      </w:pPr>
    </w:p>
    <w:p w14:paraId="0D73ED0C"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4.4</w:t>
      </w:r>
      <w:r w:rsidRPr="00D3564A">
        <w:rPr>
          <w:rFonts w:ascii="Times New Roman" w:hAnsi="Times New Roman"/>
          <w:sz w:val="22"/>
          <w:lang w:val="lt-LT"/>
        </w:rPr>
        <w:tab/>
        <w:t>Specialūs įspėjimai ir atsargumo priemonės</w:t>
      </w:r>
    </w:p>
    <w:p w14:paraId="33599158" w14:textId="77777777" w:rsidR="00D72C83" w:rsidRPr="002E32EF" w:rsidRDefault="00D72C83" w:rsidP="00D72C83">
      <w:pPr>
        <w:spacing w:after="0" w:line="240" w:lineRule="auto"/>
        <w:rPr>
          <w:rFonts w:ascii="Times New Roman" w:hAnsi="Times New Roman" w:cs="Times New Roman"/>
        </w:rPr>
      </w:pPr>
    </w:p>
    <w:p w14:paraId="0E29A85A"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u w:val="single"/>
        </w:rPr>
      </w:pPr>
      <w:r w:rsidRPr="002E32EF">
        <w:rPr>
          <w:rFonts w:ascii="Times New Roman" w:hAnsi="Times New Roman" w:cs="Times New Roman"/>
          <w:u w:val="single"/>
        </w:rPr>
        <w:t>EGFR mutacijų būklės nustatymas</w:t>
      </w:r>
    </w:p>
    <w:p w14:paraId="6F2C2DD4" w14:textId="77777777" w:rsidR="00D72C83" w:rsidRPr="00151714" w:rsidRDefault="00D72C83" w:rsidP="00D72C83">
      <w:pPr>
        <w:widowControl w:val="0"/>
        <w:autoSpaceDE w:val="0"/>
        <w:autoSpaceDN w:val="0"/>
        <w:adjustRightInd w:val="0"/>
        <w:spacing w:after="0" w:line="240" w:lineRule="auto"/>
        <w:rPr>
          <w:rFonts w:ascii="Times New Roman" w:hAnsi="Times New Roman" w:cs="Times New Roman"/>
        </w:rPr>
      </w:pPr>
      <w:r w:rsidRPr="00151714">
        <w:rPr>
          <w:rFonts w:ascii="Times New Roman" w:hAnsi="Times New Roman" w:cs="Times New Roman"/>
        </w:rPr>
        <w:t xml:space="preserve">Svarstant ar skirti </w:t>
      </w:r>
      <w:r>
        <w:rPr>
          <w:rFonts w:ascii="Times New Roman" w:hAnsi="Times New Roman" w:cs="Times New Roman"/>
        </w:rPr>
        <w:t>Varlota</w:t>
      </w:r>
      <w:r w:rsidRPr="00151714">
        <w:rPr>
          <w:rFonts w:ascii="Times New Roman" w:hAnsi="Times New Roman" w:cs="Times New Roman"/>
        </w:rPr>
        <w:t xml:space="preserve"> pirmos eilės ar palaikomajam lokaliai išplitusio arba metastazavusio</w:t>
      </w:r>
      <w:r>
        <w:rPr>
          <w:rFonts w:ascii="Times New Roman" w:hAnsi="Times New Roman" w:cs="Times New Roman"/>
        </w:rPr>
        <w:t xml:space="preserve"> </w:t>
      </w:r>
      <w:r w:rsidRPr="00151714">
        <w:rPr>
          <w:rFonts w:ascii="Times New Roman" w:hAnsi="Times New Roman" w:cs="Times New Roman"/>
        </w:rPr>
        <w:t>NSLPV gydymui yra svarbu nustatyti paciento EGFR mutacijų būklę.</w:t>
      </w:r>
    </w:p>
    <w:p w14:paraId="0CE71382" w14:textId="77777777" w:rsidR="00D72C83" w:rsidRPr="00151714" w:rsidRDefault="00D72C83" w:rsidP="00D72C83">
      <w:pPr>
        <w:widowControl w:val="0"/>
        <w:autoSpaceDE w:val="0"/>
        <w:autoSpaceDN w:val="0"/>
        <w:adjustRightInd w:val="0"/>
        <w:spacing w:after="0" w:line="240" w:lineRule="auto"/>
        <w:rPr>
          <w:rFonts w:ascii="Times New Roman" w:hAnsi="Times New Roman" w:cs="Times New Roman"/>
        </w:rPr>
      </w:pPr>
      <w:r w:rsidRPr="00151714">
        <w:rPr>
          <w:rFonts w:ascii="Times New Roman" w:hAnsi="Times New Roman" w:cs="Times New Roman"/>
        </w:rPr>
        <w:t>Remiantis vietine medicinos praktika, norint nustatyti EGFR mutacijų būklę turi būti atliekamas</w:t>
      </w:r>
      <w:r>
        <w:rPr>
          <w:rFonts w:ascii="Times New Roman" w:hAnsi="Times New Roman" w:cs="Times New Roman"/>
        </w:rPr>
        <w:t xml:space="preserve"> </w:t>
      </w:r>
      <w:r w:rsidRPr="00151714">
        <w:rPr>
          <w:rFonts w:ascii="Times New Roman" w:hAnsi="Times New Roman" w:cs="Times New Roman"/>
        </w:rPr>
        <w:t>patvirtintas, išsamus, patikimas ir jautrus tyrimas, aiškiai pradžiai nustatyti, kurio naudingumas yra</w:t>
      </w:r>
      <w:r>
        <w:rPr>
          <w:rFonts w:ascii="Times New Roman" w:hAnsi="Times New Roman" w:cs="Times New Roman"/>
        </w:rPr>
        <w:t xml:space="preserve"> </w:t>
      </w:r>
      <w:r w:rsidRPr="00151714">
        <w:rPr>
          <w:rFonts w:ascii="Times New Roman" w:hAnsi="Times New Roman" w:cs="Times New Roman"/>
        </w:rPr>
        <w:t>įrodytas, naudojant arba iš audinio bandinio išgautą naviko DNR, arba iš kraujo (plazmos) mėginio</w:t>
      </w:r>
      <w:r>
        <w:rPr>
          <w:rFonts w:ascii="Times New Roman" w:hAnsi="Times New Roman" w:cs="Times New Roman"/>
        </w:rPr>
        <w:t xml:space="preserve"> </w:t>
      </w:r>
      <w:r w:rsidRPr="00151714">
        <w:rPr>
          <w:rFonts w:ascii="Times New Roman" w:hAnsi="Times New Roman" w:cs="Times New Roman"/>
        </w:rPr>
        <w:t>išgautą laisvai cirkuliuojančią DNR (cfDNR).</w:t>
      </w:r>
    </w:p>
    <w:p w14:paraId="17E40E83"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151714">
        <w:rPr>
          <w:rFonts w:ascii="Times New Roman" w:hAnsi="Times New Roman" w:cs="Times New Roman"/>
        </w:rPr>
        <w:t>Jeigu iš plazmos išgautos cfDNR aktyvuojančiųjų mutacijų tyrimo rezultatas yra neigiamas, kai</w:t>
      </w:r>
      <w:r>
        <w:rPr>
          <w:rFonts w:ascii="Times New Roman" w:hAnsi="Times New Roman" w:cs="Times New Roman"/>
        </w:rPr>
        <w:t xml:space="preserve"> </w:t>
      </w:r>
      <w:r w:rsidRPr="00151714">
        <w:rPr>
          <w:rFonts w:ascii="Times New Roman" w:hAnsi="Times New Roman" w:cs="Times New Roman"/>
        </w:rPr>
        <w:t>įmanoma, dėl galimai klaidingai neigiamo kraujo plazmos tyrimo rezultato reikia atlikti audinio</w:t>
      </w:r>
      <w:r>
        <w:rPr>
          <w:rFonts w:ascii="Times New Roman" w:hAnsi="Times New Roman" w:cs="Times New Roman"/>
        </w:rPr>
        <w:t xml:space="preserve"> </w:t>
      </w:r>
      <w:r w:rsidRPr="00151714">
        <w:rPr>
          <w:rFonts w:ascii="Times New Roman" w:hAnsi="Times New Roman" w:cs="Times New Roman"/>
        </w:rPr>
        <w:t>tyrimą.</w:t>
      </w:r>
    </w:p>
    <w:p w14:paraId="230D787B"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p>
    <w:p w14:paraId="56D3C5B2"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u w:val="single"/>
        </w:rPr>
      </w:pPr>
      <w:r w:rsidRPr="002E32EF">
        <w:rPr>
          <w:rFonts w:ascii="Times New Roman" w:hAnsi="Times New Roman" w:cs="Times New Roman"/>
          <w:u w:val="single"/>
        </w:rPr>
        <w:t>Rūkantys asmenys</w:t>
      </w:r>
    </w:p>
    <w:p w14:paraId="155434A7" w14:textId="00F23704"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hAnsi="Times New Roman" w:cs="Times New Roman"/>
        </w:rPr>
        <w:t xml:space="preserve">Rūkantiems </w:t>
      </w:r>
      <w:r w:rsidR="007502A6">
        <w:rPr>
          <w:rFonts w:ascii="Times New Roman" w:hAnsi="Times New Roman" w:cs="Times New Roman"/>
        </w:rPr>
        <w:t>pacientams</w:t>
      </w:r>
      <w:r w:rsidRPr="002E32EF">
        <w:rPr>
          <w:rFonts w:ascii="Times New Roman" w:hAnsi="Times New Roman" w:cs="Times New Roman"/>
        </w:rPr>
        <w:t xml:space="preserve"> reikia patarti mesti rūkyti, nes rūkančių asmenų kraujo plazmoje erlotinibo koncentracija būna sumažėjusi, palyginti su nerūkančiais sveikais asmenimis. Sumažėjimo laipsnis, atrodo, yra kliniškai svarbus (žr. </w:t>
      </w:r>
      <w:r w:rsidR="004F204D" w:rsidRPr="00E35BE6">
        <w:rPr>
          <w:rFonts w:ascii="Times New Roman" w:hAnsi="Times New Roman" w:cs="Times New Roman"/>
        </w:rPr>
        <w:t xml:space="preserve">4.2, </w:t>
      </w:r>
      <w:r w:rsidRPr="002E32EF">
        <w:rPr>
          <w:rFonts w:ascii="Times New Roman" w:hAnsi="Times New Roman" w:cs="Times New Roman"/>
        </w:rPr>
        <w:t>4.5</w:t>
      </w:r>
      <w:r w:rsidR="004F204D">
        <w:rPr>
          <w:rFonts w:ascii="Times New Roman" w:hAnsi="Times New Roman" w:cs="Times New Roman"/>
        </w:rPr>
        <w:t>, 5.1 ir 5.2</w:t>
      </w:r>
      <w:r w:rsidRPr="002E32EF">
        <w:rPr>
          <w:rFonts w:ascii="Times New Roman" w:hAnsi="Times New Roman" w:cs="Times New Roman"/>
        </w:rPr>
        <w:t xml:space="preserve"> skyri</w:t>
      </w:r>
      <w:r w:rsidR="004F204D">
        <w:rPr>
          <w:rFonts w:ascii="Times New Roman" w:hAnsi="Times New Roman" w:cs="Times New Roman"/>
        </w:rPr>
        <w:t>us</w:t>
      </w:r>
      <w:r w:rsidRPr="002E32EF">
        <w:rPr>
          <w:rFonts w:ascii="Times New Roman" w:hAnsi="Times New Roman" w:cs="Times New Roman"/>
        </w:rPr>
        <w:t>).</w:t>
      </w:r>
    </w:p>
    <w:p w14:paraId="5A74AF3A"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u w:val="single"/>
        </w:rPr>
      </w:pPr>
    </w:p>
    <w:p w14:paraId="497325A0"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u w:val="single"/>
        </w:rPr>
      </w:pPr>
      <w:r w:rsidRPr="002E32EF">
        <w:rPr>
          <w:rFonts w:ascii="Times New Roman" w:hAnsi="Times New Roman" w:cs="Times New Roman"/>
          <w:u w:val="single"/>
        </w:rPr>
        <w:t>Intersticinė plaučių liga</w:t>
      </w:r>
    </w:p>
    <w:p w14:paraId="617757FE" w14:textId="3A455052"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hAnsi="Times New Roman" w:cs="Times New Roman"/>
        </w:rPr>
        <w:t xml:space="preserve">Gydant </w:t>
      </w:r>
      <w:r>
        <w:rPr>
          <w:rFonts w:ascii="Times New Roman" w:hAnsi="Times New Roman" w:cs="Times New Roman"/>
        </w:rPr>
        <w:t>erlotinibu</w:t>
      </w:r>
      <w:r w:rsidRPr="002E32EF">
        <w:rPr>
          <w:rFonts w:ascii="Times New Roman" w:hAnsi="Times New Roman" w:cs="Times New Roman"/>
        </w:rPr>
        <w:t xml:space="preserve"> </w:t>
      </w:r>
      <w:r w:rsidR="007502A6">
        <w:rPr>
          <w:rFonts w:ascii="Times New Roman" w:hAnsi="Times New Roman" w:cs="Times New Roman"/>
        </w:rPr>
        <w:t>pacientus</w:t>
      </w:r>
      <w:r w:rsidRPr="002E32EF">
        <w:rPr>
          <w:rFonts w:ascii="Times New Roman" w:hAnsi="Times New Roman" w:cs="Times New Roman"/>
        </w:rPr>
        <w:t xml:space="preserve">, sergančius nesmulkialąsteliniu plaučių vėžiu (NSLPV), kasos vėžiu arba kitais išplitusiais standžiaisiais navikais, nedažnai pasitaiko į intersticinę plaučių ligą (IPL) panašių atvejų, nuo kurių kartais </w:t>
      </w:r>
      <w:r w:rsidR="00902EE4">
        <w:rPr>
          <w:rFonts w:ascii="Times New Roman" w:hAnsi="Times New Roman" w:cs="Times New Roman"/>
        </w:rPr>
        <w:t>pacientai</w:t>
      </w:r>
      <w:r w:rsidRPr="002E32EF">
        <w:rPr>
          <w:rFonts w:ascii="Times New Roman" w:hAnsi="Times New Roman" w:cs="Times New Roman"/>
        </w:rPr>
        <w:t xml:space="preserve"> miršta. Atliekant pagrindinį NSLPV tyrimą BR.21, į IPL panašios ligos atvejų dažnumas (0,8 %) buvo toks pat tiek gydant placebu, tiek </w:t>
      </w:r>
      <w:r>
        <w:rPr>
          <w:rFonts w:ascii="Times New Roman" w:hAnsi="Times New Roman" w:cs="Times New Roman"/>
        </w:rPr>
        <w:t>erlotinibu</w:t>
      </w:r>
      <w:r w:rsidRPr="002E32EF">
        <w:rPr>
          <w:rFonts w:ascii="Times New Roman" w:hAnsi="Times New Roman" w:cs="Times New Roman"/>
        </w:rPr>
        <w:t>. Randomizuotų</w:t>
      </w:r>
      <w:r w:rsidRPr="00874D95">
        <w:rPr>
          <w:rFonts w:ascii="Times New Roman" w:hAnsi="Times New Roman" w:cs="Times New Roman"/>
        </w:rPr>
        <w:t xml:space="preserve"> kontroliuotų klinikinių NSLPV tyrimų metaanalizėje (dėl kontrolės grupių nebuvimo neįtraukus I fazės ir vienos gydymo grupės II fazės </w:t>
      </w:r>
      <w:r w:rsidRPr="002E32EF">
        <w:rPr>
          <w:rFonts w:ascii="Times New Roman" w:hAnsi="Times New Roman" w:cs="Times New Roman"/>
        </w:rPr>
        <w:t xml:space="preserve">tyrimų) į IPL panašių reiškinių dažnis erlotinibu gydytiems pacientams buvo 0,9 %, lyginant su 0,4 % kontrolės grupės pacientų. Tiriant kasos vėžio gydymą </w:t>
      </w:r>
      <w:r>
        <w:rPr>
          <w:rFonts w:ascii="Times New Roman" w:hAnsi="Times New Roman" w:cs="Times New Roman"/>
        </w:rPr>
        <w:t>erlotinibo</w:t>
      </w:r>
      <w:r w:rsidRPr="002E32EF">
        <w:rPr>
          <w:rFonts w:ascii="Times New Roman" w:hAnsi="Times New Roman" w:cs="Times New Roman"/>
        </w:rPr>
        <w:t xml:space="preserve"> ir gemcitabino deriniu, panašios į IPL ligos dažnumas </w:t>
      </w:r>
      <w:r>
        <w:rPr>
          <w:rFonts w:ascii="Times New Roman" w:hAnsi="Times New Roman" w:cs="Times New Roman"/>
        </w:rPr>
        <w:t>erlotinibo</w:t>
      </w:r>
      <w:r w:rsidRPr="002E32EF">
        <w:rPr>
          <w:rFonts w:ascii="Times New Roman" w:hAnsi="Times New Roman" w:cs="Times New Roman"/>
        </w:rPr>
        <w:t xml:space="preserve"> ir gemcitabino grupėje buvo 2,5 %, o gydytų placebu ir gemcitabinu grupėje – 0,4 %. </w:t>
      </w:r>
      <w:r w:rsidR="007502A6">
        <w:rPr>
          <w:rFonts w:ascii="Times New Roman" w:hAnsi="Times New Roman" w:cs="Times New Roman"/>
        </w:rPr>
        <w:t>Pacientams</w:t>
      </w:r>
      <w:r w:rsidRPr="002E32EF">
        <w:rPr>
          <w:rFonts w:ascii="Times New Roman" w:hAnsi="Times New Roman" w:cs="Times New Roman"/>
        </w:rPr>
        <w:t xml:space="preserve">, kuriems įtariama į IPL panaši liga, buvo diagnozuojamas pneumonitas, spindulinis pneumonitas, padidėjusio jautrumo pneumonitas, intersticinė pneumonija, intersticinė plaučių liga, obliteruojantis bronchiolitas, plaučių fibrozė, ūminis kvėpavimo sutrikimo sindromas (ŪKSS), alveolitas ir plaučių infiltracija. Simptomai prasidėjo nuo kelių dienų iki kelių mėnesių nuo gydymo </w:t>
      </w:r>
      <w:r>
        <w:rPr>
          <w:rFonts w:ascii="Times New Roman" w:hAnsi="Times New Roman" w:cs="Times New Roman"/>
        </w:rPr>
        <w:t>erlotinibu</w:t>
      </w:r>
      <w:r w:rsidRPr="002E32EF">
        <w:rPr>
          <w:rFonts w:ascii="Times New Roman" w:hAnsi="Times New Roman" w:cs="Times New Roman"/>
        </w:rPr>
        <w:t xml:space="preserve"> pradžios. Dažnai tai buvo susiję su trikdančiais būklę arba skatinančiais ligos pasireiškimą veiksniais, pavyzdžiui, vienalaike arba ankstesne chemoterapija, ankstesne radioterapija, esama parenchimine plaučių liga, metastazine plaučių liga arba plaučių infekcija. Japonijoje atliktų tyrimų metu IPL buvo stebėta dažniau (maždaug 5 % pacientų, mirtingumo dažnis </w:t>
      </w:r>
      <w:r>
        <w:rPr>
          <w:rFonts w:ascii="Times New Roman" w:hAnsi="Times New Roman" w:cs="Times New Roman"/>
        </w:rPr>
        <w:t>–</w:t>
      </w:r>
      <w:r w:rsidRPr="002E32EF">
        <w:rPr>
          <w:rFonts w:ascii="Times New Roman" w:hAnsi="Times New Roman" w:cs="Times New Roman"/>
        </w:rPr>
        <w:t xml:space="preserve"> 1,5 %).</w:t>
      </w:r>
    </w:p>
    <w:p w14:paraId="3A77A88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1B8A1E0A" w14:textId="10272937" w:rsidR="00D72C83" w:rsidRPr="002E32EF" w:rsidRDefault="00D72C83" w:rsidP="00D72C83">
      <w:pPr>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lastRenderedPageBreak/>
        <w:t xml:space="preserve">Pasireiškus naujiems </w:t>
      </w:r>
      <w:r w:rsidRPr="002E32EF">
        <w:rPr>
          <w:rFonts w:ascii="Times New Roman" w:eastAsia="TimesNewRomanPSMT" w:hAnsi="Times New Roman" w:cs="Times New Roman"/>
        </w:rPr>
        <w:t>ū</w:t>
      </w:r>
      <w:r w:rsidRPr="002E32EF">
        <w:rPr>
          <w:rFonts w:ascii="Times New Roman" w:eastAsiaTheme="minorEastAsia" w:hAnsi="Times New Roman" w:cs="Times New Roman"/>
        </w:rPr>
        <w:t>miems ir (arba) progresuojantiems neaiškios kilm</w:t>
      </w:r>
      <w:r w:rsidRPr="002E32EF">
        <w:rPr>
          <w:rFonts w:ascii="Times New Roman" w:eastAsia="TimesNewRomanPSMT" w:hAnsi="Times New Roman" w:cs="Times New Roman"/>
        </w:rPr>
        <w:t>ė</w:t>
      </w:r>
      <w:r w:rsidRPr="002E32EF">
        <w:rPr>
          <w:rFonts w:ascii="Times New Roman" w:eastAsiaTheme="minorEastAsia" w:hAnsi="Times New Roman" w:cs="Times New Roman"/>
        </w:rPr>
        <w:t>s plau</w:t>
      </w:r>
      <w:r w:rsidRPr="002E32EF">
        <w:rPr>
          <w:rFonts w:ascii="Times New Roman" w:eastAsia="TimesNewRomanPSMT" w:hAnsi="Times New Roman" w:cs="Times New Roman"/>
        </w:rPr>
        <w:t>č</w:t>
      </w:r>
      <w:r w:rsidRPr="002E32EF">
        <w:rPr>
          <w:rFonts w:ascii="Times New Roman" w:eastAsiaTheme="minorEastAsia" w:hAnsi="Times New Roman" w:cs="Times New Roman"/>
        </w:rPr>
        <w:t>i</w:t>
      </w:r>
      <w:r w:rsidRPr="002E32EF">
        <w:rPr>
          <w:rFonts w:ascii="Times New Roman" w:eastAsia="TimesNewRomanPSMT" w:hAnsi="Times New Roman" w:cs="Times New Roman"/>
        </w:rPr>
        <w:t xml:space="preserve">ų </w:t>
      </w:r>
      <w:r w:rsidRPr="002E32EF">
        <w:rPr>
          <w:rFonts w:ascii="Times New Roman" w:eastAsiaTheme="minorEastAsia" w:hAnsi="Times New Roman" w:cs="Times New Roman"/>
        </w:rPr>
        <w:t>ligos simptomams, pavyzdžiui, dusuliui, kosuliui ir karš</w:t>
      </w:r>
      <w:r w:rsidRPr="002E32EF">
        <w:rPr>
          <w:rFonts w:ascii="Times New Roman" w:eastAsia="TimesNewRomanPSMT" w:hAnsi="Times New Roman" w:cs="Times New Roman"/>
        </w:rPr>
        <w:t>č</w:t>
      </w:r>
      <w:r w:rsidRPr="002E32EF">
        <w:rPr>
          <w:rFonts w:ascii="Times New Roman" w:eastAsiaTheme="minorEastAsia" w:hAnsi="Times New Roman" w:cs="Times New Roman"/>
        </w:rPr>
        <w:t xml:space="preserve">iavimui, reikia nutraukti gydymą </w:t>
      </w:r>
      <w:r w:rsidRPr="002E32EF">
        <w:rPr>
          <w:rFonts w:ascii="Times New Roman" w:hAnsi="Times New Roman" w:cs="Times New Roman"/>
        </w:rPr>
        <w:t>Varlota</w:t>
      </w:r>
      <w:r w:rsidRPr="002E32EF">
        <w:rPr>
          <w:rFonts w:ascii="Times New Roman" w:eastAsiaTheme="minorEastAsia" w:hAnsi="Times New Roman" w:cs="Times New Roman"/>
        </w:rPr>
        <w:t xml:space="preserve">, kol bus atliekami diagnostiniai tyrimai. </w:t>
      </w:r>
      <w:r w:rsidR="007502A6">
        <w:rPr>
          <w:rFonts w:ascii="Times New Roman" w:eastAsiaTheme="minorEastAsia" w:hAnsi="Times New Roman" w:cs="Times New Roman"/>
        </w:rPr>
        <w:t>Pacientus</w:t>
      </w:r>
      <w:r w:rsidRPr="002E32EF">
        <w:rPr>
          <w:rFonts w:ascii="Times New Roman" w:eastAsiaTheme="minorEastAsia" w:hAnsi="Times New Roman" w:cs="Times New Roman"/>
        </w:rPr>
        <w:t>, gydomus vienu metu erlotinibu ir gemcitabinu, reikia atidžiai steb</w:t>
      </w:r>
      <w:r w:rsidRPr="002E32EF">
        <w:rPr>
          <w:rFonts w:ascii="Times New Roman" w:eastAsia="TimesNewRomanPSMT" w:hAnsi="Times New Roman" w:cs="Times New Roman"/>
        </w:rPr>
        <w:t>ė</w:t>
      </w:r>
      <w:r w:rsidRPr="002E32EF">
        <w:rPr>
          <w:rFonts w:ascii="Times New Roman" w:eastAsiaTheme="minorEastAsia" w:hAnsi="Times New Roman" w:cs="Times New Roman"/>
        </w:rPr>
        <w:t xml:space="preserve">ti, ar nepasireiškia </w:t>
      </w:r>
      <w:r w:rsidRPr="002E32EF">
        <w:rPr>
          <w:rFonts w:ascii="Times New Roman" w:eastAsia="TimesNewRomanPSMT" w:hAnsi="Times New Roman" w:cs="Times New Roman"/>
        </w:rPr>
        <w:t xml:space="preserve">į </w:t>
      </w:r>
      <w:r w:rsidRPr="002E32EF">
        <w:rPr>
          <w:rFonts w:ascii="Times New Roman" w:eastAsiaTheme="minorEastAsia" w:hAnsi="Times New Roman" w:cs="Times New Roman"/>
        </w:rPr>
        <w:t xml:space="preserve">IPL panašus toksinis poveikis. Diagnozavus IPL, </w:t>
      </w:r>
      <w:r w:rsidRPr="002E32EF">
        <w:rPr>
          <w:rFonts w:ascii="Times New Roman" w:hAnsi="Times New Roman" w:cs="Times New Roman"/>
        </w:rPr>
        <w:t xml:space="preserve">Varlota </w:t>
      </w:r>
      <w:r w:rsidRPr="002E32EF">
        <w:rPr>
          <w:rFonts w:ascii="Times New Roman" w:eastAsiaTheme="minorEastAsia" w:hAnsi="Times New Roman" w:cs="Times New Roman"/>
        </w:rPr>
        <w:t>vartojim</w:t>
      </w:r>
      <w:r w:rsidRPr="002E32EF">
        <w:rPr>
          <w:rFonts w:ascii="Times New Roman" w:eastAsia="TimesNewRomanPSMT" w:hAnsi="Times New Roman" w:cs="Times New Roman"/>
        </w:rPr>
        <w:t xml:space="preserve">ą </w:t>
      </w:r>
      <w:r w:rsidRPr="002E32EF">
        <w:rPr>
          <w:rFonts w:ascii="Times New Roman" w:eastAsiaTheme="minorEastAsia" w:hAnsi="Times New Roman" w:cs="Times New Roman"/>
        </w:rPr>
        <w:t>b</w:t>
      </w:r>
      <w:r w:rsidRPr="002E32EF">
        <w:rPr>
          <w:rFonts w:ascii="Times New Roman" w:eastAsia="TimesNewRomanPSMT" w:hAnsi="Times New Roman" w:cs="Times New Roman"/>
        </w:rPr>
        <w:t>ū</w:t>
      </w:r>
      <w:r w:rsidRPr="002E32EF">
        <w:rPr>
          <w:rFonts w:ascii="Times New Roman" w:eastAsiaTheme="minorEastAsia" w:hAnsi="Times New Roman" w:cs="Times New Roman"/>
        </w:rPr>
        <w:t>tina nutraukti ir imtis reikiam</w:t>
      </w:r>
      <w:r w:rsidRPr="002E32EF">
        <w:rPr>
          <w:rFonts w:ascii="Times New Roman" w:eastAsia="TimesNewRomanPSMT" w:hAnsi="Times New Roman" w:cs="Times New Roman"/>
        </w:rPr>
        <w:t xml:space="preserve">ų </w:t>
      </w:r>
      <w:r w:rsidRPr="002E32EF">
        <w:rPr>
          <w:rFonts w:ascii="Times New Roman" w:eastAsiaTheme="minorEastAsia" w:hAnsi="Times New Roman" w:cs="Times New Roman"/>
        </w:rPr>
        <w:t>gydymo priemoni</w:t>
      </w:r>
      <w:r w:rsidRPr="002E32EF">
        <w:rPr>
          <w:rFonts w:ascii="Times New Roman" w:eastAsia="TimesNewRomanPSMT" w:hAnsi="Times New Roman" w:cs="Times New Roman"/>
        </w:rPr>
        <w:t xml:space="preserve">ų </w:t>
      </w:r>
      <w:r w:rsidRPr="002E32EF">
        <w:rPr>
          <w:rFonts w:ascii="Times New Roman" w:eastAsiaTheme="minorEastAsia" w:hAnsi="Times New Roman" w:cs="Times New Roman"/>
        </w:rPr>
        <w:t>(žr. 4.8 skyri</w:t>
      </w:r>
      <w:r w:rsidRPr="002E32EF">
        <w:rPr>
          <w:rFonts w:ascii="Times New Roman" w:eastAsia="TimesNewRomanPSMT" w:hAnsi="Times New Roman" w:cs="Times New Roman"/>
        </w:rPr>
        <w:t>ų</w:t>
      </w:r>
      <w:r w:rsidRPr="002E32EF">
        <w:rPr>
          <w:rFonts w:ascii="Times New Roman" w:eastAsiaTheme="minorEastAsia" w:hAnsi="Times New Roman" w:cs="Times New Roman"/>
        </w:rPr>
        <w:t>).</w:t>
      </w:r>
    </w:p>
    <w:p w14:paraId="1CAF1FE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0568AD14"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r w:rsidRPr="002E32EF">
        <w:rPr>
          <w:rFonts w:ascii="Times New Roman" w:eastAsiaTheme="minorEastAsia" w:hAnsi="Times New Roman" w:cs="Times New Roman"/>
          <w:u w:val="single"/>
        </w:rPr>
        <w:t>Viduriavimas, dehidracija, elektrolitų pusiausvyros sutrikimas ir inkstų nepakankamumas</w:t>
      </w:r>
    </w:p>
    <w:p w14:paraId="1BC493E9" w14:textId="4478A90F"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Apie 50 % </w:t>
      </w:r>
      <w:r>
        <w:rPr>
          <w:rFonts w:ascii="Times New Roman" w:eastAsiaTheme="minorEastAsia" w:hAnsi="Times New Roman" w:cs="Times New Roman"/>
        </w:rPr>
        <w:t>erlotinibu</w:t>
      </w:r>
      <w:r w:rsidRPr="002E32EF">
        <w:rPr>
          <w:rFonts w:ascii="Times New Roman" w:eastAsiaTheme="minorEastAsia" w:hAnsi="Times New Roman" w:cs="Times New Roman"/>
        </w:rPr>
        <w:t xml:space="preserve"> gydomų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pradeda viduriuoti (įskaitant pasireiškusius labai retus mirtį lėmusius atvejus). Vidutinio sunkumo arba sunkų viduriavimą reikia gydyti, pvz., loperamidu. </w:t>
      </w:r>
      <w:r w:rsidRPr="002E32EF">
        <w:rPr>
          <w:rFonts w:ascii="Times New Roman" w:hAnsi="Times New Roman" w:cs="Times New Roman"/>
        </w:rPr>
        <w:t xml:space="preserve">Kartais būtina sumažinti dozę. </w:t>
      </w:r>
      <w:r w:rsidRPr="002E32EF">
        <w:rPr>
          <w:rFonts w:ascii="Times New Roman" w:eastAsiaTheme="minorEastAsia" w:hAnsi="Times New Roman" w:cs="Times New Roman"/>
        </w:rPr>
        <w:t xml:space="preserve">Atliekant klinikinius tyrimus dozė buvo mažinama po 50 mg. Dozės mažinimas po 25 mg netirtas. Jeigu viduriavimas sunkus arba nesiliauja, </w:t>
      </w:r>
      <w:r w:rsidR="007502A6">
        <w:rPr>
          <w:rFonts w:ascii="Times New Roman" w:eastAsiaTheme="minorEastAsia" w:hAnsi="Times New Roman" w:cs="Times New Roman"/>
        </w:rPr>
        <w:t>pacientą</w:t>
      </w:r>
      <w:r w:rsidRPr="002E32EF">
        <w:rPr>
          <w:rFonts w:ascii="Times New Roman" w:eastAsiaTheme="minorEastAsia" w:hAnsi="Times New Roman" w:cs="Times New Roman"/>
        </w:rPr>
        <w:t xml:space="preserve"> pykina, jis netenka apetito, vemia ir pasireiškia dehidracija, gydymą Varlota reikia nutraukti ir imtis reikiamų priemonių dehidracijai gydyti (žr. 4.8 skyrių). Gauta retų pranešimų apie hipokalemiją ir inkstų nepakankamumą (kartais mirtiną). Kai kuriais atvejais tai įvyko nuo sunkios dehidracijos dėl viduriavimo, vėmimo ir (arba) anoreksijos, o kitų būklę sutrikdė kartu taikoma chemoterapija. Jei viduriavimas sunkesnis arba nesiliauja, arba sukelia dehidraciją, ypač </w:t>
      </w:r>
      <w:r w:rsidR="007502A6">
        <w:rPr>
          <w:rFonts w:ascii="Times New Roman" w:eastAsiaTheme="minorEastAsia" w:hAnsi="Times New Roman" w:cs="Times New Roman"/>
        </w:rPr>
        <w:t>pacientams</w:t>
      </w:r>
      <w:r w:rsidRPr="002E32EF">
        <w:rPr>
          <w:rFonts w:ascii="Times New Roman" w:eastAsiaTheme="minorEastAsia" w:hAnsi="Times New Roman" w:cs="Times New Roman"/>
        </w:rPr>
        <w:t xml:space="preserve">, kuriems yra sunkinančių rizikos veiksnių (ypač gydymas chemoterapija ar kitais vaistais, kiti simptomai ar ligos arba kitos predisponuojančios būklės, įskaitant vyresnį amžių), gydymą Varlota būtina nutraukti ir imtis reikiamų priemonių </w:t>
      </w:r>
      <w:r w:rsidR="00FF422A">
        <w:rPr>
          <w:rFonts w:ascii="Times New Roman" w:eastAsiaTheme="minorEastAsia" w:hAnsi="Times New Roman" w:cs="Times New Roman"/>
        </w:rPr>
        <w:t>pacientui</w:t>
      </w:r>
      <w:r w:rsidR="00FF422A" w:rsidRPr="002E32EF">
        <w:rPr>
          <w:rFonts w:ascii="Times New Roman" w:eastAsiaTheme="minorEastAsia" w:hAnsi="Times New Roman" w:cs="Times New Roman"/>
        </w:rPr>
        <w:t xml:space="preserve"> </w:t>
      </w:r>
      <w:r w:rsidRPr="002E32EF">
        <w:rPr>
          <w:rFonts w:ascii="Times New Roman" w:eastAsiaTheme="minorEastAsia" w:hAnsi="Times New Roman" w:cs="Times New Roman"/>
        </w:rPr>
        <w:t xml:space="preserve">intensyviai rehidruoti intraveniniu būdu. Be to, </w:t>
      </w:r>
      <w:r w:rsidR="007502A6">
        <w:rPr>
          <w:rFonts w:ascii="Times New Roman" w:eastAsiaTheme="minorEastAsia" w:hAnsi="Times New Roman" w:cs="Times New Roman"/>
        </w:rPr>
        <w:t>pacientams</w:t>
      </w:r>
      <w:r w:rsidRPr="002E32EF">
        <w:rPr>
          <w:rFonts w:ascii="Times New Roman" w:eastAsiaTheme="minorEastAsia" w:hAnsi="Times New Roman" w:cs="Times New Roman"/>
        </w:rPr>
        <w:t>, kuriems yra dehidracijos pavojus, reikia reguliariai tikrinti inkstų funkciją ir elektrolitų (įskaitant kalį) koncentraciją kraujo serume.</w:t>
      </w:r>
    </w:p>
    <w:p w14:paraId="5F6B1B99"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2B0EA12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Hepatitas, kepenų nepakankamumas</w:t>
      </w:r>
    </w:p>
    <w:p w14:paraId="6B488C69" w14:textId="2399A618"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Gauta retų pranešimų apie kepenų nepakankamumą (kartais mirtiną) vartojant </w:t>
      </w:r>
      <w:r>
        <w:rPr>
          <w:rFonts w:ascii="Times New Roman" w:eastAsiaTheme="minorEastAsia" w:hAnsi="Times New Roman" w:cs="Times New Roman"/>
        </w:rPr>
        <w:t>erlotinibą</w:t>
      </w:r>
      <w:r w:rsidRPr="002E32EF">
        <w:rPr>
          <w:rFonts w:ascii="Times New Roman" w:eastAsiaTheme="minorEastAsia" w:hAnsi="Times New Roman" w:cs="Times New Roman"/>
        </w:rPr>
        <w:t xml:space="preserve">. Sunkinantys veiksniai buvo esama kepenų liga arba gydymas hepatotoksiniais vaistais. Tokiais atvejais reikia periodiškai tikrinti kepenų funkciją. Jei kepenų funkcijos sutrikimas yra sunkus, gydymą Varlota reikia nutraukti (žr. 4.8 skyrių). </w:t>
      </w:r>
      <w:r w:rsidR="00537A9B">
        <w:rPr>
          <w:rFonts w:ascii="Times New Roman" w:eastAsiaTheme="minorEastAsia" w:hAnsi="Times New Roman" w:cs="Times New Roman"/>
        </w:rPr>
        <w:t>Erlotinibo</w:t>
      </w:r>
      <w:r w:rsidR="00537A9B" w:rsidRPr="002E32EF">
        <w:rPr>
          <w:rFonts w:ascii="Times New Roman" w:eastAsiaTheme="minorEastAsia" w:hAnsi="Times New Roman" w:cs="Times New Roman"/>
        </w:rPr>
        <w:t xml:space="preserve"> </w:t>
      </w:r>
      <w:r w:rsidRPr="002E32EF">
        <w:rPr>
          <w:rFonts w:ascii="Times New Roman" w:eastAsiaTheme="minorEastAsia" w:hAnsi="Times New Roman" w:cs="Times New Roman"/>
        </w:rPr>
        <w:t>skirti pacientams, kuriems yra sunkus  kepenų funkcijos sutrikimas, nerekomenduojama.</w:t>
      </w:r>
    </w:p>
    <w:p w14:paraId="593F8A0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759F58B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Virškinimo trakto perforacija</w:t>
      </w:r>
    </w:p>
    <w:p w14:paraId="7D1ADEA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Pacientams, vartojantiems </w:t>
      </w:r>
      <w:r>
        <w:rPr>
          <w:rFonts w:ascii="Times New Roman" w:eastAsiaTheme="minorEastAsia" w:hAnsi="Times New Roman" w:cs="Times New Roman"/>
        </w:rPr>
        <w:t>erlotinibą</w:t>
      </w:r>
      <w:r w:rsidRPr="002E32EF">
        <w:rPr>
          <w:rFonts w:ascii="Times New Roman" w:eastAsiaTheme="minorEastAsia" w:hAnsi="Times New Roman" w:cs="Times New Roman"/>
        </w:rPr>
        <w:t>, yra didesnė nedažnai pasitaikančios virškinimo trakto perforacijos (įskaitant keletą mirtį lėmusių atvejų) rizika. Didesnė perforacijos rizika yra pacientams, kurie kartu vartoja angiogenezę slopinančius vaistinius preparatus, kortikosteroidus, NVNU ir (arba) kuriems taikoma taksanais paremta chemoterapija, arba pacientams, kuriems ankščiau buvo pepsinis išopėjimas arba divertikulo liga. Pacientams, kuriems formuojasi virškinimo trakto perforacija, gydymą Varlota reikia visai nutraukti (žr. 4.8 skyrių).</w:t>
      </w:r>
    </w:p>
    <w:p w14:paraId="0ADBE6C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31308EB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Pūsliniai ir eksfoliaciniai odos pažeidimai</w:t>
      </w:r>
    </w:p>
    <w:p w14:paraId="2EDF23E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Buvo gauta pranešimų apie buliozinius, pūslinius ir eksfoliacinius odos pažeidimus, įskaitant labai retus atvejus, kurie vertė galvoti apie Stivenso-Džonsono (</w:t>
      </w:r>
      <w:r w:rsidRPr="002E32EF">
        <w:rPr>
          <w:rFonts w:ascii="Times New Roman" w:eastAsiaTheme="minorEastAsia" w:hAnsi="Times New Roman" w:cs="Times New Roman"/>
          <w:i/>
        </w:rPr>
        <w:t>Stevens-Johnson</w:t>
      </w:r>
      <w:r w:rsidRPr="002E32EF">
        <w:rPr>
          <w:rFonts w:ascii="Times New Roman" w:eastAsiaTheme="minorEastAsia" w:hAnsi="Times New Roman" w:cs="Times New Roman"/>
        </w:rPr>
        <w:t>) sindromą/toksinę epidermio nekrolizę [Lajelio (</w:t>
      </w:r>
      <w:r w:rsidRPr="002E32EF">
        <w:rPr>
          <w:rFonts w:ascii="Times New Roman" w:eastAsiaTheme="minorEastAsia" w:hAnsi="Times New Roman" w:cs="Times New Roman"/>
          <w:i/>
        </w:rPr>
        <w:t>Lyell</w:t>
      </w:r>
      <w:r w:rsidRPr="002E32EF">
        <w:rPr>
          <w:rFonts w:ascii="Times New Roman" w:eastAsiaTheme="minorEastAsia" w:hAnsi="Times New Roman" w:cs="Times New Roman"/>
        </w:rPr>
        <w:t>)], dėl kurių kai kuriais atvejais pacientai mirė (žr. 4.8 skyrių). Jeigu pacientui atsiranda sunkių buliozinių, pūslinių arba eksfoliacinių odos pažeidimų, gydymas Varlota turi būti laikinai arba visai nutraukiamas. Pūslinių ir eksfoliacinių odos sutrikimų turinčius pacientus reikia ištirti dėl odos infekcijos bei gydyti laikantis vietinių gydymo gairių.</w:t>
      </w:r>
    </w:p>
    <w:p w14:paraId="4171E5B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49871E5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Akių sutrikimai</w:t>
      </w:r>
    </w:p>
    <w:p w14:paraId="5FA39631" w14:textId="5885B76A"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Pacientus, kuriems pasireiškia keratitą galinčių rodyti požymių ar simptomų, pavyzdžiui, ūminis ar pasunkėję akies uždegimas, ašarojimas, padidėjęs jautrumas šviesai, neryškus matymas, akies skausmas ir (arba) akies paraudimas, reikia nedelsiant nukreipti oftalmologo konsultacijai. Jeigu patvirtinama opinio keratito diagnozė, Varlota vartojimą reikia laikinai ar visam laikui nutraukti. Nustačius keratito diagnozę, reikia atidžiai įvertinti tolesnio gydymo naudą ir riziką. </w:t>
      </w:r>
      <w:r w:rsidR="00537A9B">
        <w:rPr>
          <w:rFonts w:ascii="Times New Roman" w:eastAsiaTheme="minorEastAsia" w:hAnsi="Times New Roman" w:cs="Times New Roman"/>
        </w:rPr>
        <w:t>Erlotinibo</w:t>
      </w:r>
      <w:r w:rsidR="00537A9B" w:rsidRPr="002E32EF">
        <w:rPr>
          <w:rFonts w:ascii="Times New Roman" w:eastAsiaTheme="minorEastAsia" w:hAnsi="Times New Roman" w:cs="Times New Roman"/>
        </w:rPr>
        <w:t xml:space="preserve"> </w:t>
      </w:r>
      <w:r w:rsidRPr="002E32EF">
        <w:rPr>
          <w:rFonts w:ascii="Times New Roman" w:eastAsiaTheme="minorEastAsia" w:hAnsi="Times New Roman" w:cs="Times New Roman"/>
        </w:rPr>
        <w:t xml:space="preserve">reikia atsargiai vartoti pacientams, kuriems anksčiau buvo diagnozuoti keratitas, opinis keratitas ar ryški akių sausmė. Kontaktinių lęšių nešiojimas taip pat yra keratito ir išopėjimo atsiradimo rizikos veiksnys. Buvo pranešta apie labai retus ragenos perforacijos arba išopėjimo atvejus </w:t>
      </w:r>
      <w:r>
        <w:rPr>
          <w:rFonts w:ascii="Times New Roman" w:eastAsiaTheme="minorEastAsia" w:hAnsi="Times New Roman" w:cs="Times New Roman"/>
        </w:rPr>
        <w:t>erlotinibo</w:t>
      </w:r>
      <w:r w:rsidRPr="002E32EF">
        <w:rPr>
          <w:rFonts w:ascii="Times New Roman" w:eastAsiaTheme="minorEastAsia" w:hAnsi="Times New Roman" w:cs="Times New Roman"/>
        </w:rPr>
        <w:t xml:space="preserve"> vartojimo metu (žr. 4.8 skyrių).</w:t>
      </w:r>
    </w:p>
    <w:p w14:paraId="21C5C48C"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3B11F42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Sąveika su kitais vaistiniais preparatais</w:t>
      </w:r>
    </w:p>
    <w:p w14:paraId="3AD0F02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Stiprūs CYP3A4 induktoriai gali sumažinti erlotinibo veiksmingumą, o stiprūs CYP3A4 inhibitoriai padidinti jo toksiškumą. Reikia vengti vartoti erlotinibo kartu su tokio poveikio preparatais (žr. 4.5 skyrių).</w:t>
      </w:r>
    </w:p>
    <w:p w14:paraId="7C99325F"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1C2E678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Kitokia vaistų sąveika</w:t>
      </w:r>
    </w:p>
    <w:p w14:paraId="3B46EAE1" w14:textId="77777777" w:rsidR="00D72C83" w:rsidRPr="002E32EF" w:rsidRDefault="00D72C83" w:rsidP="00D72C83">
      <w:pPr>
        <w:widowControl w:val="0"/>
        <w:autoSpaceDE w:val="0"/>
        <w:autoSpaceDN w:val="0"/>
        <w:adjustRightInd w:val="0"/>
        <w:spacing w:after="0" w:line="240" w:lineRule="auto"/>
        <w:rPr>
          <w:rFonts w:ascii="Times New Roman" w:hAnsi="Times New Roman" w:cs="Times New Roman"/>
        </w:rPr>
      </w:pPr>
      <w:r w:rsidRPr="002E32EF">
        <w:rPr>
          <w:rFonts w:ascii="Times New Roman" w:eastAsiaTheme="minorEastAsia" w:hAnsi="Times New Roman" w:cs="Times New Roman"/>
        </w:rPr>
        <w:t xml:space="preserve">Kai pH didesnis už 5, erlotinibo tirpumas sumažėja. Vaistiniai preparatai, keičiantys viršutinės virškinimo trakto dalies pH, pavyzdžiui, protonų siurblio inhibitoriai, H2 antagonistai ir antacidiniai vaistai, gali keisti erlotinibo tirpumą, taigi ir jo biologinį prieinamumą. Nelabai tikėtina, kad kartu su šiais vaistais vartojamo </w:t>
      </w:r>
      <w:r>
        <w:rPr>
          <w:rFonts w:ascii="Times New Roman" w:eastAsiaTheme="minorEastAsia" w:hAnsi="Times New Roman" w:cs="Times New Roman"/>
        </w:rPr>
        <w:t>erlotinibo</w:t>
      </w:r>
      <w:r w:rsidRPr="002E32EF">
        <w:rPr>
          <w:rFonts w:ascii="Times New Roman" w:eastAsiaTheme="minorEastAsia" w:hAnsi="Times New Roman" w:cs="Times New Roman"/>
        </w:rPr>
        <w:t xml:space="preserve"> dozės didinimas kompensuotų ekspozicijos sumažėjimą. Reikia vengti erlotinibą vartoti kartu su protonų siurblio inhibitoriais. Erlotinibo vartojimo su H2 antagonistais ir antacidiniais vaistais poveikis nežinomas, tačiau tikriausiai sumažėtų biologinis prieinamumas. Taigi, šių derinių nereikia vartoti (žr. 4.5 skyrių). Jeigu manoma, kad gydant Varlota antacidinius vaistus vartoti būtina, juos reikia gerti nemažiau kaip prieš 4 valandas iki kasdieninės Varlota dozės arba praėjus 2 valandoms po jos.</w:t>
      </w:r>
    </w:p>
    <w:p w14:paraId="2AAD9A19" w14:textId="77777777" w:rsidR="00D72C83" w:rsidRDefault="00D72C83" w:rsidP="00D72C83">
      <w:pPr>
        <w:widowControl w:val="0"/>
        <w:autoSpaceDE w:val="0"/>
        <w:autoSpaceDN w:val="0"/>
        <w:adjustRightInd w:val="0"/>
        <w:spacing w:after="0" w:line="240" w:lineRule="auto"/>
        <w:jc w:val="both"/>
        <w:rPr>
          <w:rFonts w:ascii="Times New Roman" w:hAnsi="Times New Roman" w:cs="Times New Roman"/>
        </w:rPr>
      </w:pPr>
    </w:p>
    <w:p w14:paraId="60FD7B2F" w14:textId="77777777" w:rsidR="00D72C83" w:rsidRPr="00932E62" w:rsidRDefault="00D72C83" w:rsidP="00D72C83">
      <w:pPr>
        <w:widowControl w:val="0"/>
        <w:autoSpaceDE w:val="0"/>
        <w:autoSpaceDN w:val="0"/>
        <w:adjustRightInd w:val="0"/>
        <w:spacing w:after="0" w:line="240" w:lineRule="auto"/>
        <w:jc w:val="both"/>
        <w:rPr>
          <w:rFonts w:ascii="Times New Roman" w:hAnsi="Times New Roman" w:cs="Times New Roman"/>
          <w:u w:val="single"/>
        </w:rPr>
      </w:pPr>
      <w:r>
        <w:rPr>
          <w:rFonts w:ascii="Times New Roman" w:hAnsi="Times New Roman" w:cs="Times New Roman"/>
          <w:u w:val="single"/>
        </w:rPr>
        <w:t>Pagalbinės medžiagos</w:t>
      </w:r>
    </w:p>
    <w:p w14:paraId="776BAC90"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Tablečių sudėtyje yra laktozės, todėl šio vaisto negalima vartoti pacientams, kuriems nustatytas retas paveldimas sutrikimas – galaktozės netoleravimas, </w:t>
      </w:r>
      <w:r w:rsidRPr="002F6BC3">
        <w:rPr>
          <w:rFonts w:ascii="Times New Roman" w:eastAsiaTheme="minorEastAsia" w:hAnsi="Times New Roman" w:cs="Times New Roman"/>
        </w:rPr>
        <w:t>visiškas laktazės</w:t>
      </w:r>
      <w:r w:rsidRPr="002E32EF">
        <w:rPr>
          <w:rFonts w:ascii="Times New Roman" w:eastAsiaTheme="minorEastAsia" w:hAnsi="Times New Roman" w:cs="Times New Roman"/>
        </w:rPr>
        <w:t xml:space="preserve"> stygius arba gliukozės ir galaktozės malabsorbcija.</w:t>
      </w:r>
    </w:p>
    <w:p w14:paraId="78C7FF21" w14:textId="015B561C" w:rsidR="00D72C83" w:rsidRPr="00986910"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Šio vaistinio preparato </w:t>
      </w:r>
      <w:r w:rsidR="00295E4E">
        <w:rPr>
          <w:rFonts w:ascii="Times New Roman" w:eastAsiaTheme="minorEastAsia" w:hAnsi="Times New Roman" w:cs="Times New Roman"/>
        </w:rPr>
        <w:t xml:space="preserve">plėvele dengtoje </w:t>
      </w:r>
      <w:r>
        <w:rPr>
          <w:rFonts w:ascii="Times New Roman" w:eastAsiaTheme="minorEastAsia" w:hAnsi="Times New Roman" w:cs="Times New Roman"/>
        </w:rPr>
        <w:t xml:space="preserve">tabletėje yra mažiau kaip </w:t>
      </w:r>
      <w:r w:rsidRPr="00E35BE6">
        <w:rPr>
          <w:rFonts w:ascii="Times New Roman" w:eastAsiaTheme="minorEastAsia" w:hAnsi="Times New Roman" w:cs="Times New Roman"/>
        </w:rPr>
        <w:t>1</w:t>
      </w:r>
      <w:r>
        <w:rPr>
          <w:rFonts w:ascii="Times New Roman" w:eastAsiaTheme="minorEastAsia" w:hAnsi="Times New Roman" w:cs="Times New Roman"/>
        </w:rPr>
        <w:t xml:space="preserve"> mmol </w:t>
      </w:r>
      <w:r w:rsidRPr="00E35BE6">
        <w:rPr>
          <w:rFonts w:ascii="Times New Roman" w:eastAsiaTheme="minorEastAsia" w:hAnsi="Times New Roman" w:cs="Times New Roman"/>
        </w:rPr>
        <w:t xml:space="preserve">(23 mg) </w:t>
      </w:r>
      <w:r>
        <w:rPr>
          <w:rFonts w:ascii="Times New Roman" w:eastAsiaTheme="minorEastAsia" w:hAnsi="Times New Roman" w:cs="Times New Roman"/>
        </w:rPr>
        <w:t>natrio, t.y. jis beveik neturi reikšmės.</w:t>
      </w:r>
    </w:p>
    <w:p w14:paraId="2B9387B4" w14:textId="77777777" w:rsidR="00D72C83" w:rsidRPr="002E32EF" w:rsidRDefault="00D72C83" w:rsidP="00D72C83">
      <w:pPr>
        <w:spacing w:after="0" w:line="240" w:lineRule="auto"/>
        <w:rPr>
          <w:rFonts w:ascii="Times New Roman" w:hAnsi="Times New Roman" w:cs="Times New Roman"/>
        </w:rPr>
      </w:pPr>
    </w:p>
    <w:p w14:paraId="55C9E1D3" w14:textId="77777777" w:rsidR="00D72C83" w:rsidRPr="00E35BE6" w:rsidRDefault="00D72C83" w:rsidP="00D3564A">
      <w:pPr>
        <w:pStyle w:val="Antrat4"/>
        <w:spacing w:line="240" w:lineRule="auto"/>
        <w:jc w:val="left"/>
        <w:rPr>
          <w:rFonts w:ascii="Times New Roman" w:hAnsi="Times New Roman"/>
          <w:b w:val="0"/>
          <w:lang w:val="pt-PT"/>
        </w:rPr>
      </w:pPr>
      <w:r w:rsidRPr="00D3564A">
        <w:rPr>
          <w:rFonts w:ascii="Times New Roman" w:hAnsi="Times New Roman"/>
          <w:sz w:val="22"/>
          <w:lang w:val="lt-LT"/>
        </w:rPr>
        <w:t>4.5</w:t>
      </w:r>
      <w:r w:rsidRPr="00D3564A">
        <w:rPr>
          <w:rFonts w:ascii="Times New Roman" w:hAnsi="Times New Roman"/>
          <w:sz w:val="22"/>
          <w:lang w:val="lt-LT"/>
        </w:rPr>
        <w:tab/>
        <w:t>Sąveika su kitais vaistiniais preparatais ir kitokia sąveika</w:t>
      </w:r>
    </w:p>
    <w:p w14:paraId="3CE948E6" w14:textId="77777777" w:rsidR="00D72C83" w:rsidRPr="002E32EF" w:rsidRDefault="00D72C83" w:rsidP="00D72C83">
      <w:pPr>
        <w:spacing w:after="0" w:line="240" w:lineRule="auto"/>
        <w:rPr>
          <w:rFonts w:ascii="Times New Roman" w:hAnsi="Times New Roman" w:cs="Times New Roman"/>
        </w:rPr>
      </w:pPr>
    </w:p>
    <w:p w14:paraId="5C9E72F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r w:rsidRPr="002E32EF">
        <w:rPr>
          <w:rFonts w:ascii="Times New Roman" w:hAnsi="Times New Roman" w:cs="Times New Roman"/>
        </w:rPr>
        <w:t>Sąveika tirta tik suaugusiems.</w:t>
      </w:r>
    </w:p>
    <w:p w14:paraId="45ACB47C"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0D94DB9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Erlotinibas ir kiti CYP substratai</w:t>
      </w:r>
    </w:p>
    <w:p w14:paraId="22B8912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i/>
        </w:rPr>
        <w:t>In vitro</w:t>
      </w:r>
      <w:r w:rsidRPr="002E32EF">
        <w:rPr>
          <w:rFonts w:ascii="Times New Roman" w:eastAsiaTheme="minorEastAsia" w:hAnsi="Times New Roman" w:cs="Times New Roman"/>
        </w:rPr>
        <w:t xml:space="preserve"> erlotinibas yra stiprus CYP1A1 ir vidutinio stiprumo CYP3A4 bei CYP2C8 inhibitorius, taip pat stiprus UGT1A1 vykdomo gliukuronidinimo inhibitorius.</w:t>
      </w:r>
    </w:p>
    <w:p w14:paraId="1DA4B36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Stipraus CYP1A1 slopinimo fiziologinė svarba nežinoma, nes CYP1A1 ekspresija žmogaus audiniuose labai ribota.</w:t>
      </w:r>
    </w:p>
    <w:p w14:paraId="5284098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2E6F65D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Erlotinibą vartojant kartu su ciprofloksacinu, kuris yra vidutinio stiprumo CYP1A2 inhibitorius, ekspozicija erlotinibui [AUC] ryškiai padidėjo – 39 %, o statistiškai reikšmingo C</w:t>
      </w:r>
      <w:r w:rsidRPr="002E32EF">
        <w:rPr>
          <w:rFonts w:ascii="Times New Roman" w:eastAsiaTheme="minorEastAsia" w:hAnsi="Times New Roman" w:cs="Times New Roman"/>
          <w:vertAlign w:val="subscript"/>
        </w:rPr>
        <w:t>max</w:t>
      </w:r>
      <w:r w:rsidRPr="002E32EF">
        <w:rPr>
          <w:rFonts w:ascii="Times New Roman" w:eastAsiaTheme="minorEastAsia" w:hAnsi="Times New Roman" w:cs="Times New Roman"/>
        </w:rPr>
        <w:t xml:space="preserve"> pokyčio nebuvo. O štai ekspozicijos veikliajam metabolitui rodmenys padidėjo taip: AUC – apie 60 %, C</w:t>
      </w:r>
      <w:r w:rsidRPr="002E32EF">
        <w:rPr>
          <w:rFonts w:ascii="Times New Roman" w:eastAsiaTheme="minorEastAsia" w:hAnsi="Times New Roman" w:cs="Times New Roman"/>
          <w:vertAlign w:val="subscript"/>
        </w:rPr>
        <w:t>max</w:t>
      </w:r>
      <w:r w:rsidRPr="002E32EF">
        <w:rPr>
          <w:rFonts w:ascii="Times New Roman" w:eastAsiaTheme="minorEastAsia" w:hAnsi="Times New Roman" w:cs="Times New Roman"/>
        </w:rPr>
        <w:t xml:space="preserve"> – 48 %. Šio padidėjimo klinikinė reikšmė nenustatyta. Erlotinibą derinant su ciprofloksacinu arba stipriais CYP1A2 inhibitoriais (pvz. fluvoksaminu), reikia būti atsargiems. Jeigu atsiranda su erlotinibo vartojimu susijusių nepageidaujamų reakcijų, jo dozę galima sumažinti.</w:t>
      </w:r>
    </w:p>
    <w:p w14:paraId="02A2364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240A225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Ankstesnis ar vienalaikis gydymas </w:t>
      </w:r>
      <w:r>
        <w:rPr>
          <w:rFonts w:ascii="Times New Roman" w:eastAsiaTheme="minorEastAsia" w:hAnsi="Times New Roman" w:cs="Times New Roman"/>
        </w:rPr>
        <w:t>erlotinibu</w:t>
      </w:r>
      <w:r w:rsidRPr="002E32EF">
        <w:rPr>
          <w:rFonts w:ascii="Times New Roman" w:eastAsiaTheme="minorEastAsia" w:hAnsi="Times New Roman" w:cs="Times New Roman"/>
        </w:rPr>
        <w:t xml:space="preserve"> nekeičia tipinių CYP3A4 substratų midazolamo ir eritromicino klirenso, tačiau iki 24 % mažina geriamojo midazolamo biologinį prieinamumą. Kito klinikinio tyrimo duomenimis, erlotinibas neveikė kartu vartoto CYP3A4/2C8 substrato paklitakselio farmakokinetikos. Taigi, ryškaus poveikio kitų CYP3A4 substratų klirensui neturėtų būti.</w:t>
      </w:r>
      <w:r w:rsidRPr="002E32EF">
        <w:rPr>
          <w:rFonts w:ascii="Times New Roman" w:hAnsi="Times New Roman" w:cs="Times New Roman"/>
          <w:highlight w:val="yellow"/>
        </w:rPr>
        <w:t xml:space="preserve"> </w:t>
      </w:r>
    </w:p>
    <w:p w14:paraId="33D3E21C"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629624BC" w14:textId="63FA8D7F"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Dėl gliukuronidinimo slopinimo gali pasireikšti sąveika su vaistiniais preparatais, kurie yra UGT1A1 substratai ir šalinami beveik vien šiuo būdu.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kurių organizme UGT1A1 ekspresija maža arba yra genetinis gliukuronidinimo sutrikimas (pvz., Žilberto (</w:t>
      </w:r>
      <w:r w:rsidRPr="002E32EF">
        <w:rPr>
          <w:rFonts w:ascii="Times New Roman" w:eastAsiaTheme="minorEastAsia" w:hAnsi="Times New Roman" w:cs="Times New Roman"/>
          <w:i/>
        </w:rPr>
        <w:t>Gilbert</w:t>
      </w:r>
      <w:r w:rsidRPr="002E32EF">
        <w:rPr>
          <w:rFonts w:ascii="Times New Roman" w:eastAsiaTheme="minorEastAsia" w:hAnsi="Times New Roman" w:cs="Times New Roman"/>
        </w:rPr>
        <w:t>) sindromas), kraujo serume gali padidėti bilirubino koncentracija, todėl juos reikia gydyti atsargiai.</w:t>
      </w:r>
    </w:p>
    <w:p w14:paraId="350C34F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058941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Žmogaus kepenyse erlotinibą metabolizuoja kepenų citochromai, daugiausia CYP3A4, mažiau – CYP1A2. Ne kepenyse CYP3A4 katalizuojama apykaita žarnyne, CYP1A1 katalizuojama apykaita plaučiuose ir CYP1B1 – navikų audiniuose taip pat gali prisidėti prie erlotinibo metabolinio klirenso. Gali </w:t>
      </w:r>
      <w:r w:rsidRPr="002E32EF">
        <w:rPr>
          <w:rFonts w:ascii="Times New Roman" w:eastAsiaTheme="minorEastAsia" w:hAnsi="Times New Roman" w:cs="Times New Roman"/>
        </w:rPr>
        <w:lastRenderedPageBreak/>
        <w:t>pasireikšti erlotinibo sąveika su veikliosiomis medžiagomis, kurias metabolizuoja šie fermentai arba kurios yra šių fermentų inhibitoriai arba induktoriai.</w:t>
      </w:r>
    </w:p>
    <w:p w14:paraId="5135FE3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1F663EE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Stiprūs CYP3A4 aktyvumo inhibitoriai mažina erlotinibo apykaitą ir didina jo koncentraciją plazmoje. Atliekant klinikinį tyrimą, kartu su erlotinibu vartojamas ketokonazolas (geriamas po 200 mg dukart per parą 5 dienas), stipriai slopinantis CYP3A4, didino organizmo ekspoziciją erlotinibui (86 % AUC ir 69 % C</w:t>
      </w:r>
      <w:r w:rsidRPr="002E32EF">
        <w:rPr>
          <w:rFonts w:ascii="Times New Roman" w:eastAsiaTheme="minorEastAsia" w:hAnsi="Times New Roman" w:cs="Times New Roman"/>
          <w:vertAlign w:val="subscript"/>
        </w:rPr>
        <w:t>max</w:t>
      </w:r>
      <w:r w:rsidRPr="002E32EF">
        <w:rPr>
          <w:rFonts w:ascii="Times New Roman" w:eastAsiaTheme="minorEastAsia" w:hAnsi="Times New Roman" w:cs="Times New Roman"/>
        </w:rPr>
        <w:t>). Taigi erlotinibą reikia atsargiai vartoti su stipriais CYP3A4 inhibitoriais, pvz., azolo grupės vaistais nuo grybelių (t. y. ketokonazolu, itrakonazolu, vorikonazolu), proteazės inhibitoriais, eritromicinu arba klaritromicinu. Jeigu reikia, mažinama erlotinibo dozė, ypač pasireiškus toksiniam poveikiui.</w:t>
      </w:r>
    </w:p>
    <w:p w14:paraId="3086E860"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428D6BEA" w14:textId="1E13344E"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Stiprūs CYP3A4 aktyvumo induktoriai didina erlotinibo metabolizmą ir labai mažina jo koncentraciją kraujo plazmoje. Atliekant klinikinį tyrimą, kartu su erlotinibu vartojamas rifampicinas (geriamas po 600 mg kartą per parą 7 dienas), stiprus CYP3A4 induktorius, 69 % sumažino vidutinę erlotinibo AUC. Pavartojus rifampicino kartu su vienkartine 450 mg </w:t>
      </w:r>
      <w:r>
        <w:rPr>
          <w:rFonts w:ascii="Times New Roman" w:eastAsiaTheme="minorEastAsia" w:hAnsi="Times New Roman" w:cs="Times New Roman"/>
        </w:rPr>
        <w:t>erlotinibo</w:t>
      </w:r>
      <w:r w:rsidRPr="002E32EF">
        <w:rPr>
          <w:rFonts w:ascii="Times New Roman" w:eastAsiaTheme="minorEastAsia" w:hAnsi="Times New Roman" w:cs="Times New Roman"/>
        </w:rPr>
        <w:t xml:space="preserve"> doze, vidutinė ekspozicija erlotinibui (AUC) buvo 57,5 %, palyginti su ta, kuri būna po vienkartinės 150 mg </w:t>
      </w:r>
      <w:r>
        <w:rPr>
          <w:rFonts w:ascii="Times New Roman" w:eastAsiaTheme="minorEastAsia" w:hAnsi="Times New Roman" w:cs="Times New Roman"/>
        </w:rPr>
        <w:t>erlotinibo</w:t>
      </w:r>
      <w:r w:rsidRPr="002E32EF">
        <w:rPr>
          <w:rFonts w:ascii="Times New Roman" w:eastAsiaTheme="minorEastAsia" w:hAnsi="Times New Roman" w:cs="Times New Roman"/>
        </w:rPr>
        <w:t xml:space="preserve"> dozės, negydant rifampicinu. Taigi reikia vengti vartoti </w:t>
      </w:r>
      <w:r>
        <w:rPr>
          <w:rFonts w:ascii="Times New Roman" w:eastAsiaTheme="minorEastAsia" w:hAnsi="Times New Roman" w:cs="Times New Roman"/>
        </w:rPr>
        <w:t>erlotinibo</w:t>
      </w:r>
      <w:r w:rsidRPr="002E32EF">
        <w:rPr>
          <w:rFonts w:ascii="Times New Roman" w:eastAsiaTheme="minorEastAsia" w:hAnsi="Times New Roman" w:cs="Times New Roman"/>
        </w:rPr>
        <w:t xml:space="preserve"> kartu su CYP3A4 induktoriais. Jei reikia </w:t>
      </w:r>
      <w:r w:rsidR="007502A6">
        <w:rPr>
          <w:rFonts w:ascii="Times New Roman" w:eastAsiaTheme="minorEastAsia" w:hAnsi="Times New Roman" w:cs="Times New Roman"/>
        </w:rPr>
        <w:t>pacientą</w:t>
      </w:r>
      <w:r w:rsidRPr="002E32EF">
        <w:rPr>
          <w:rFonts w:ascii="Times New Roman" w:eastAsiaTheme="minorEastAsia" w:hAnsi="Times New Roman" w:cs="Times New Roman"/>
        </w:rPr>
        <w:t xml:space="preserve"> gydyti Varlota kartu su stipriu CYP3A4 induktoriumi, pavyzdžiui, rifampicinu, reikia pabandyti padidinti dozę iki 300 mg, kartu dažnai tikrinant gydymo saugumą (įskaitant inkstų ir kepenų funkcijos bei elektrolitų koncentracijos kraujo serume tyrimą); jei gydymas gerai toleruojamas daugiau kaip 2 savaites, galima bandyti padidinti dozę iki 450 mg ir dažnai tikrinti gydymo saugumą. Organizmo ekspozicija erlotinibui gali sumažėti vartojant ir kitus induktorius, pvz., fenitoiną, karbamazepiną, barbitūratus arba paprastąją jonažolę (</w:t>
      </w:r>
      <w:r w:rsidRPr="002E32EF">
        <w:rPr>
          <w:rFonts w:ascii="Times New Roman" w:eastAsiaTheme="minorEastAsia" w:hAnsi="Times New Roman" w:cs="Times New Roman"/>
          <w:i/>
        </w:rPr>
        <w:t>Hypericum perforatum</w:t>
      </w:r>
      <w:r w:rsidRPr="002E32EF">
        <w:rPr>
          <w:rFonts w:ascii="Times New Roman" w:eastAsiaTheme="minorEastAsia" w:hAnsi="Times New Roman" w:cs="Times New Roman"/>
        </w:rPr>
        <w:t>). Šias veikliąsias medžiagas vartoti su erlotinibu reikia atsargiai. Jei įmanoma, galbūt geriau pasirinkti kitą vaistą, kuris nėra stiprus CYP3A4 induktorius.</w:t>
      </w:r>
    </w:p>
    <w:p w14:paraId="4671BCF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146AF1C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Erlotinibas ir kumarinų grupės antikoaguliantai</w:t>
      </w:r>
    </w:p>
    <w:p w14:paraId="65C9180F" w14:textId="61CA4EC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Pranešta apie </w:t>
      </w:r>
      <w:r>
        <w:rPr>
          <w:rFonts w:ascii="Times New Roman" w:eastAsiaTheme="minorEastAsia" w:hAnsi="Times New Roman" w:cs="Times New Roman"/>
        </w:rPr>
        <w:t>erlotinibo</w:t>
      </w:r>
      <w:r w:rsidRPr="002E32EF">
        <w:rPr>
          <w:rFonts w:ascii="Times New Roman" w:eastAsiaTheme="minorEastAsia" w:hAnsi="Times New Roman" w:cs="Times New Roman"/>
        </w:rPr>
        <w:t xml:space="preserve"> vartojantiems pacientams pasireiškusius vaistinio preparato sąveikos su kumarinų grupės antikoaguliantais, įskaitant varfariną, atvejus, dėl kurios didėja Tarptautinio normalizuoto santykio (angl. </w:t>
      </w:r>
      <w:r w:rsidRPr="002E32EF">
        <w:rPr>
          <w:rFonts w:ascii="Times New Roman" w:eastAsiaTheme="minorEastAsia" w:hAnsi="Times New Roman" w:cs="Times New Roman"/>
          <w:i/>
        </w:rPr>
        <w:t>International Normalized Ratio</w:t>
      </w:r>
      <w:r w:rsidRPr="002E32EF">
        <w:rPr>
          <w:rFonts w:ascii="Times New Roman" w:eastAsiaTheme="minorEastAsia" w:hAnsi="Times New Roman" w:cs="Times New Roman"/>
        </w:rPr>
        <w:t xml:space="preserve"> – INR) rodiklis ir pasireiškia kraujavimas, kuris kai kada lėmė mirtį. </w:t>
      </w:r>
      <w:r w:rsidR="007502A6">
        <w:rPr>
          <w:rFonts w:ascii="Times New Roman" w:eastAsiaTheme="minorEastAsia" w:hAnsi="Times New Roman" w:cs="Times New Roman"/>
        </w:rPr>
        <w:t>Pacientams</w:t>
      </w:r>
      <w:r w:rsidRPr="002E32EF">
        <w:rPr>
          <w:rFonts w:ascii="Times New Roman" w:eastAsiaTheme="minorEastAsia" w:hAnsi="Times New Roman" w:cs="Times New Roman"/>
        </w:rPr>
        <w:t>, vartojantiems kumarinų grupės antikoaguliantų, reikia reguliariai tirti protrombino laiką arba INR.</w:t>
      </w:r>
    </w:p>
    <w:p w14:paraId="6EACD1F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76FFB46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Erlotinibas ir statinai</w:t>
      </w:r>
    </w:p>
    <w:p w14:paraId="4AB83B11"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Erlotinibo</w:t>
      </w:r>
      <w:r w:rsidRPr="002E32EF">
        <w:rPr>
          <w:rFonts w:ascii="Times New Roman" w:eastAsiaTheme="minorEastAsia" w:hAnsi="Times New Roman" w:cs="Times New Roman"/>
        </w:rPr>
        <w:t xml:space="preserve"> ir statinų derinio vartojimas gali didinti statinų sukeliamos miopatijos išsivystymo galimybę, įskaitant retai pasireiškiančius rabdomiolizės atvejus.</w:t>
      </w:r>
    </w:p>
    <w:p w14:paraId="18BED3D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6BD0CE31"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Erlotinibas ir rūkymas</w:t>
      </w:r>
    </w:p>
    <w:p w14:paraId="448322C4" w14:textId="23CBDCD4"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Farmakokinetinės sąveikos rūkančių ir nerūkančių sveikų savanorių organizme tyrimo duomenimis, rūkymas labai sumažino AUC</w:t>
      </w:r>
      <w:r w:rsidRPr="002E32EF">
        <w:rPr>
          <w:rFonts w:ascii="Times New Roman" w:eastAsiaTheme="minorEastAsia" w:hAnsi="Times New Roman" w:cs="Times New Roman"/>
          <w:vertAlign w:val="subscript"/>
        </w:rPr>
        <w:t>inf</w:t>
      </w:r>
      <w:r w:rsidRPr="002E32EF">
        <w:rPr>
          <w:rFonts w:ascii="Times New Roman" w:eastAsiaTheme="minorEastAsia" w:hAnsi="Times New Roman" w:cs="Times New Roman"/>
        </w:rPr>
        <w:t>, C</w:t>
      </w:r>
      <w:r w:rsidRPr="002E32EF">
        <w:rPr>
          <w:rFonts w:ascii="Times New Roman" w:eastAsiaTheme="minorEastAsia" w:hAnsi="Times New Roman" w:cs="Times New Roman"/>
          <w:vertAlign w:val="subscript"/>
        </w:rPr>
        <w:t>max</w:t>
      </w:r>
      <w:r w:rsidRPr="002E32EF">
        <w:rPr>
          <w:rFonts w:ascii="Times New Roman" w:eastAsiaTheme="minorEastAsia" w:hAnsi="Times New Roman" w:cs="Times New Roman"/>
        </w:rPr>
        <w:t xml:space="preserve"> ir koncentraciją plazmoje po 24 valandų (atitinkamai 2,8, 1,5 ir 9 kartus). Todėl teberūkantiems </w:t>
      </w:r>
      <w:r w:rsidR="004F204D">
        <w:rPr>
          <w:rFonts w:ascii="Times New Roman" w:eastAsiaTheme="minorEastAsia" w:hAnsi="Times New Roman" w:cs="Times New Roman"/>
        </w:rPr>
        <w:t xml:space="preserve">pacientams </w:t>
      </w:r>
      <w:r w:rsidRPr="002E32EF">
        <w:rPr>
          <w:rFonts w:ascii="Times New Roman" w:eastAsiaTheme="minorEastAsia" w:hAnsi="Times New Roman" w:cs="Times New Roman"/>
        </w:rPr>
        <w:t xml:space="preserve">reikia patarti liautis rūkyti kiek galima anksčiau prieš pradedant gydyti </w:t>
      </w:r>
      <w:r w:rsidR="004F204D">
        <w:rPr>
          <w:rFonts w:ascii="Times New Roman" w:eastAsiaTheme="minorEastAsia" w:hAnsi="Times New Roman" w:cs="Times New Roman"/>
        </w:rPr>
        <w:t>Varlota</w:t>
      </w:r>
      <w:r w:rsidRPr="002E32EF">
        <w:rPr>
          <w:rFonts w:ascii="Times New Roman" w:eastAsiaTheme="minorEastAsia" w:hAnsi="Times New Roman" w:cs="Times New Roman"/>
        </w:rPr>
        <w:t xml:space="preserve">, nes priešingu atveju sumažėja erlotinibo koncentracija kraujo plazmoje. </w:t>
      </w:r>
      <w:r w:rsidR="004F204D" w:rsidRPr="004F204D">
        <w:rPr>
          <w:rFonts w:ascii="Times New Roman" w:eastAsia="MS Mincho" w:hAnsi="Times New Roman" w:cs="Times New Roman"/>
        </w:rPr>
        <w:t xml:space="preserve"> </w:t>
      </w:r>
      <w:r w:rsidR="004F204D" w:rsidRPr="00914766">
        <w:rPr>
          <w:rFonts w:ascii="Times New Roman" w:eastAsia="MS Mincho" w:hAnsi="Times New Roman" w:cs="Times New Roman"/>
        </w:rPr>
        <w:t>Remiantis klinikinio tyrimo CURRENTS duomenimis, aktyviai rūkantiems asmenims jokių palankesnio didesnės erlotinibo dozės (300</w:t>
      </w:r>
      <w:r w:rsidR="004F204D">
        <w:rPr>
          <w:rFonts w:ascii="Times New Roman" w:eastAsia="MS Mincho" w:hAnsi="Times New Roman" w:cs="Times New Roman"/>
        </w:rPr>
        <w:t> mg</w:t>
      </w:r>
      <w:r w:rsidR="004F204D" w:rsidRPr="00914766">
        <w:rPr>
          <w:rFonts w:ascii="Times New Roman" w:eastAsia="MS Mincho" w:hAnsi="Times New Roman" w:cs="Times New Roman"/>
        </w:rPr>
        <w:t>) poveikio, palyginti su rekomenduojamos 150</w:t>
      </w:r>
      <w:r w:rsidR="004F204D">
        <w:rPr>
          <w:rFonts w:ascii="Times New Roman" w:eastAsia="MS Mincho" w:hAnsi="Times New Roman" w:cs="Times New Roman"/>
        </w:rPr>
        <w:t> mg</w:t>
      </w:r>
      <w:r w:rsidR="004F204D" w:rsidRPr="00914766">
        <w:rPr>
          <w:rFonts w:ascii="Times New Roman" w:eastAsia="MS Mincho" w:hAnsi="Times New Roman" w:cs="Times New Roman"/>
        </w:rPr>
        <w:t xml:space="preserve"> dozės poveikiu, įrodymų negauta. 300</w:t>
      </w:r>
      <w:r w:rsidR="004F204D">
        <w:rPr>
          <w:rFonts w:ascii="Times New Roman" w:eastAsia="MS Mincho" w:hAnsi="Times New Roman" w:cs="Times New Roman"/>
        </w:rPr>
        <w:t> mg</w:t>
      </w:r>
      <w:r w:rsidR="004F204D" w:rsidRPr="00914766">
        <w:rPr>
          <w:rFonts w:ascii="Times New Roman" w:eastAsia="MS Mincho" w:hAnsi="Times New Roman" w:cs="Times New Roman"/>
        </w:rPr>
        <w:t xml:space="preserve"> ir 150</w:t>
      </w:r>
      <w:r w:rsidR="004F204D">
        <w:rPr>
          <w:rFonts w:ascii="Times New Roman" w:eastAsia="MS Mincho" w:hAnsi="Times New Roman" w:cs="Times New Roman"/>
        </w:rPr>
        <w:t> mg</w:t>
      </w:r>
      <w:r w:rsidR="004F204D" w:rsidRPr="00914766">
        <w:rPr>
          <w:rFonts w:ascii="Times New Roman" w:eastAsia="MS Mincho" w:hAnsi="Times New Roman" w:cs="Times New Roman"/>
        </w:rPr>
        <w:t xml:space="preserve"> dozių vartojimo saugumo duomenys buvo panašūs; vis dėlto didesnėmis dozėmis erlotinibą vartojusiems pacientams dažniau pasireiškė išbėrimas, intersticinė plaučių liga ir viduriavimas (žr. 4.2, 4.4, 5.1 ir 5.2 skyrius).</w:t>
      </w:r>
    </w:p>
    <w:p w14:paraId="75D9818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44A3CE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Erlotinibas ir P-glikoproteino inhibitoriai</w:t>
      </w:r>
    </w:p>
    <w:p w14:paraId="1F10551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Erlotinibas yra veikliosios medžiagos nešėjo P glikoproteino substratas. Kartu su erlotinibu vartojant Pgp inhibitorius, pvz., ciklosporiną ir verapamilį, gali pakisti erlotinibo pasiskirstymas ir (arba) pasišalinimas. Ar ši sąveika turi įtakos, pvz., toksiniam poveikiui CNS, nenustatyta. Gydyti tokiais deriniais reikia atsargiai.</w:t>
      </w:r>
    </w:p>
    <w:p w14:paraId="509D635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40F9EB5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Erlotinibas ir pH keičiantys vaistiniai preparatai</w:t>
      </w:r>
    </w:p>
    <w:p w14:paraId="4EC6021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lastRenderedPageBreak/>
        <w:t>Kai pH didesnis už 5, erlotinibo tirpumas sumažėja. Vaistiniai preparatai, keičiantys viršutinės virškinimo trakto dalies pH, gali keisti erlotinibo tirpumą, taigi ir jo biologinį prieinamumą. Erlotinibo vartojimas kartu su protonų siurblio inhibitoriumi (PSI) omeprazolu sumažino ekspoziciją erlotinibui (AUC) ir didžiausią jo koncentraciją (C</w:t>
      </w:r>
      <w:r w:rsidRPr="002E32EF">
        <w:rPr>
          <w:rFonts w:ascii="Times New Roman" w:eastAsiaTheme="minorEastAsia" w:hAnsi="Times New Roman" w:cs="Times New Roman"/>
          <w:vertAlign w:val="subscript"/>
        </w:rPr>
        <w:t>max</w:t>
      </w:r>
      <w:r w:rsidRPr="002E32EF">
        <w:rPr>
          <w:rFonts w:ascii="Times New Roman" w:eastAsiaTheme="minorEastAsia" w:hAnsi="Times New Roman" w:cs="Times New Roman"/>
        </w:rPr>
        <w:t>) atitinkamai 46 % ir 61 %. T</w:t>
      </w:r>
      <w:r w:rsidRPr="002E32EF">
        <w:rPr>
          <w:rFonts w:ascii="Times New Roman" w:eastAsiaTheme="minorEastAsia" w:hAnsi="Times New Roman" w:cs="Times New Roman"/>
          <w:vertAlign w:val="subscript"/>
        </w:rPr>
        <w:t>max</w:t>
      </w:r>
      <w:r w:rsidRPr="002E32EF">
        <w:rPr>
          <w:rFonts w:ascii="Times New Roman" w:eastAsiaTheme="minorEastAsia" w:hAnsi="Times New Roman" w:cs="Times New Roman"/>
        </w:rPr>
        <w:t xml:space="preserve"> ir pusinės eliminacijos laikas nekito. Erlotinibą vartojant kartu su 300 mg H2 receptorių antagonistu ranitidinu, ekspozicija erlotinibui (AUC) ir didžiausioji koncentracija (C</w:t>
      </w:r>
      <w:r w:rsidRPr="002E32EF">
        <w:rPr>
          <w:rFonts w:ascii="Times New Roman" w:eastAsiaTheme="minorEastAsia" w:hAnsi="Times New Roman" w:cs="Times New Roman"/>
          <w:vertAlign w:val="subscript"/>
        </w:rPr>
        <w:t>max</w:t>
      </w:r>
      <w:r w:rsidRPr="002E32EF">
        <w:rPr>
          <w:rFonts w:ascii="Times New Roman" w:eastAsiaTheme="minorEastAsia" w:hAnsi="Times New Roman" w:cs="Times New Roman"/>
        </w:rPr>
        <w:t xml:space="preserve">) sumažėjo atitinkamai 33 % ir 54 %. Kartu su šiais vaistais vartojamo </w:t>
      </w:r>
      <w:r>
        <w:rPr>
          <w:rFonts w:ascii="Times New Roman" w:eastAsiaTheme="minorEastAsia" w:hAnsi="Times New Roman" w:cs="Times New Roman"/>
        </w:rPr>
        <w:t>Erlotinibo</w:t>
      </w:r>
      <w:r w:rsidRPr="002E32EF">
        <w:rPr>
          <w:rFonts w:ascii="Times New Roman" w:eastAsiaTheme="minorEastAsia" w:hAnsi="Times New Roman" w:cs="Times New Roman"/>
        </w:rPr>
        <w:t xml:space="preserve"> dozės didinimas, greičiausiai, nekompensuotų šio ekspozicijos sumažėjimo. Tačiau kai </w:t>
      </w:r>
      <w:r>
        <w:rPr>
          <w:rFonts w:ascii="Times New Roman" w:eastAsiaTheme="minorEastAsia" w:hAnsi="Times New Roman" w:cs="Times New Roman"/>
        </w:rPr>
        <w:t>erlotinibas</w:t>
      </w:r>
      <w:r w:rsidRPr="002E32EF">
        <w:rPr>
          <w:rFonts w:ascii="Times New Roman" w:eastAsiaTheme="minorEastAsia" w:hAnsi="Times New Roman" w:cs="Times New Roman"/>
        </w:rPr>
        <w:t xml:space="preserve"> buvo skiriamas 2 val. prieš arba 10 val. po ranitidino, vartojamo po 150 mg dukart per parą, ekspozicija erlotinibui (AUC) ir didžiausioji koncentracija (C</w:t>
      </w:r>
      <w:r w:rsidRPr="002E32EF">
        <w:rPr>
          <w:rFonts w:ascii="Times New Roman" w:eastAsiaTheme="minorEastAsia" w:hAnsi="Times New Roman" w:cs="Times New Roman"/>
          <w:vertAlign w:val="subscript"/>
        </w:rPr>
        <w:t>max</w:t>
      </w:r>
      <w:r w:rsidRPr="002E32EF">
        <w:rPr>
          <w:rFonts w:ascii="Times New Roman" w:eastAsiaTheme="minorEastAsia" w:hAnsi="Times New Roman" w:cs="Times New Roman"/>
        </w:rPr>
        <w:t>) sumažėjo atitinkamai tik 15 % ir 17 %. Antacidinių vaistų poveikis erlotinibo absorbcijai netirtas, tačiau absorbcija gali sutrikti, taigi gali sumažėti jo koncentracija plazmoje. Išvada – reikia vengti vartoti erlotinibą kartu su protonų siurblio inhibitoriais. Jeigu manoma, kad gydant Varlota antacidinius vaistus vartoti būtina, juos reikia gerti ne mažiau kaip prieš 4 valandas iki kasdieninės Varlota dozes arba praėjus 2 valandoms po jos. Jeigu tikslinga vartoti ranitidiną, vaistus reikia tinkamai išdėstyti, t.y. Varlota vartoti bent 2 val. prieš arba 10 val. po ranitidino pavartojimo.</w:t>
      </w:r>
    </w:p>
    <w:p w14:paraId="1D4AB02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5555924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Erlotinibas ir gemcitabinas</w:t>
      </w:r>
    </w:p>
    <w:p w14:paraId="4EDA79A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Atliekant Ib fazės tyrimą gemcitabinas reikšmingai neveikė erlotinibo farmakokinetikos, o erlotinibas reikšmingai neveikė gemcitabino farmakokinetikos.</w:t>
      </w:r>
    </w:p>
    <w:p w14:paraId="2E79C1C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100CAFE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Erlotinibas ir karboplatina ar paklitakselis</w:t>
      </w:r>
    </w:p>
    <w:p w14:paraId="51C560B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Erlotinibas didina platinos koncentraciją. Atliekant klinikinį tyrimą, erlotinibo vartojimas kartu su karboplatina ir paklitakseliu 10,6 % padidino bendrąjį platinos AUC0-48. Nors šis skirtumas statistiškai reikšmingas, manoma, kad klinikai jis nėra svarbus. Klinikinėje praktikoje gali būti kitų veiksnių, didinančių ekspoziciją karboplatinai, pavyzdžiui, inkstų nepakankamumas. Nei karboplatina, nei paklitakselis erlotinibo koncentracijos reikšmingai neveikė.</w:t>
      </w:r>
    </w:p>
    <w:p w14:paraId="1C1B91D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68B5A9C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Erlotinibas ir kapecitabinas</w:t>
      </w:r>
    </w:p>
    <w:p w14:paraId="1C3F59F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Erlotinibo koncentraciją gali padidinti kapecitabinas. Kai erlotinibas buvo vartojamas kartu su kapecitabinu, statistiškai reikšmingai padidėjo erlotinibo AUC ir iki patikimumo ribos padidėjo C</w:t>
      </w:r>
      <w:r w:rsidRPr="002E32EF">
        <w:rPr>
          <w:rFonts w:ascii="Times New Roman" w:eastAsiaTheme="minorEastAsia" w:hAnsi="Times New Roman" w:cs="Times New Roman"/>
          <w:vertAlign w:val="subscript"/>
        </w:rPr>
        <w:t>max</w:t>
      </w:r>
      <w:r w:rsidRPr="002E32EF">
        <w:rPr>
          <w:rFonts w:ascii="Times New Roman" w:eastAsiaTheme="minorEastAsia" w:hAnsi="Times New Roman" w:cs="Times New Roman"/>
        </w:rPr>
        <w:t>, palyginti su šių rodiklių reikšmėmis atliekant kitą tyrimą, kuriame erlotinibas buvo vartojamas vienas. Kapecitabino farmakokinetikos erlotinibas reikšmingai neveikė.</w:t>
      </w:r>
    </w:p>
    <w:p w14:paraId="456B195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8B7284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Erlotinibas ir proteosomų inhibitoriai</w:t>
      </w:r>
    </w:p>
    <w:p w14:paraId="6591A65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Tikėtina, kad dėl savo veikimo mechanizmo proteosomų inhibitoriai, įskaitant bortezomibą, gali turėti įtakos EGFR inhibitorių, įskaitant erlotinibą, veikimui. Tokį poveikį pagrindžia nedaug klinikinių ir ikiklinikinių tyrimų metu gautų duomenų, rodančių EGFR degradaciją proteosomose.</w:t>
      </w:r>
    </w:p>
    <w:p w14:paraId="1FA7B41F" w14:textId="77777777" w:rsidR="00D72C83" w:rsidRPr="002E32EF" w:rsidRDefault="00D72C83" w:rsidP="00D72C83">
      <w:pPr>
        <w:spacing w:after="0" w:line="240" w:lineRule="auto"/>
        <w:rPr>
          <w:rFonts w:ascii="Times New Roman" w:hAnsi="Times New Roman" w:cs="Times New Roman"/>
        </w:rPr>
      </w:pPr>
    </w:p>
    <w:p w14:paraId="7FB5D28A" w14:textId="77777777" w:rsidR="00D72C83" w:rsidRPr="00E35BE6" w:rsidRDefault="00D72C83" w:rsidP="00D3564A">
      <w:pPr>
        <w:pStyle w:val="Antrat4"/>
        <w:spacing w:line="240" w:lineRule="auto"/>
        <w:jc w:val="left"/>
        <w:rPr>
          <w:rFonts w:ascii="Times New Roman" w:hAnsi="Times New Roman"/>
          <w:b w:val="0"/>
          <w:lang w:val="pt-PT"/>
        </w:rPr>
      </w:pPr>
      <w:r w:rsidRPr="00D3564A">
        <w:rPr>
          <w:rFonts w:ascii="Times New Roman" w:hAnsi="Times New Roman"/>
          <w:sz w:val="22"/>
          <w:lang w:val="lt-LT"/>
        </w:rPr>
        <w:t>4.6</w:t>
      </w:r>
      <w:r w:rsidRPr="00D3564A">
        <w:rPr>
          <w:rFonts w:ascii="Times New Roman" w:hAnsi="Times New Roman"/>
          <w:sz w:val="22"/>
          <w:lang w:val="lt-LT"/>
        </w:rPr>
        <w:tab/>
        <w:t>Vaisingumas, nėštumo ir žindymo laikotarpis</w:t>
      </w:r>
    </w:p>
    <w:p w14:paraId="7D5AEAB2" w14:textId="77777777" w:rsidR="00D72C83" w:rsidRPr="002E32EF" w:rsidRDefault="00D72C83" w:rsidP="00D72C83">
      <w:pPr>
        <w:spacing w:after="0" w:line="240" w:lineRule="auto"/>
        <w:rPr>
          <w:rFonts w:ascii="Times New Roman" w:hAnsi="Times New Roman" w:cs="Times New Roman"/>
        </w:rPr>
      </w:pPr>
    </w:p>
    <w:p w14:paraId="23EAA48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Nėštumas</w:t>
      </w:r>
    </w:p>
    <w:p w14:paraId="7BB69E3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Pakankamų duomenų apie erlotinibo vartojimą nėščioms moterims nėra. Su gyvūnais atlikti tyrimai teratogeninio poveikio ar palikuonių atsivedimo sutrikimo neparodė. Tačiau negalima atmesti nepageidaujamo vaistinio preparato poveikio nėštumui, kadangi su žiurkėmis ir triušiais atlikti tyrimai parodė padidėjusį embrionų ar vaisių mirtingumą (žr. 5.3 skyrių). Galimas pavojus žmogui nežinomas.</w:t>
      </w:r>
    </w:p>
    <w:p w14:paraId="27E18A2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127D43D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Vaisingo amžiaus moterys</w:t>
      </w:r>
    </w:p>
    <w:p w14:paraId="6AA09B3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Varlota gydomoms vaisingoms moterims patartina vengti nėštumo. Vaisingos moterys turi naudoti veiksmingą kontracepcijos metodą gydymo metu ir paskui bent 2 savaites. Nėščios moterys gydytinos tik jei galima nauda moteriai didesnė už pavojų vaisiui.</w:t>
      </w:r>
    </w:p>
    <w:p w14:paraId="2E6FA6C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C5F298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Žindymas</w:t>
      </w:r>
    </w:p>
    <w:p w14:paraId="5E57DADD" w14:textId="5886D9EC" w:rsidR="00D72C83" w:rsidRPr="002E32EF" w:rsidRDefault="00D72C83" w:rsidP="00E35BE6">
      <w:pPr>
        <w:widowControl w:val="0"/>
        <w:autoSpaceDE w:val="0"/>
        <w:autoSpaceDN w:val="0"/>
        <w:adjustRightInd w:val="0"/>
        <w:rPr>
          <w:rFonts w:ascii="Times New Roman" w:eastAsiaTheme="minorEastAsia" w:hAnsi="Times New Roman" w:cs="Times New Roman"/>
        </w:rPr>
      </w:pPr>
      <w:r w:rsidRPr="002E32EF">
        <w:rPr>
          <w:rFonts w:ascii="Times New Roman" w:eastAsiaTheme="minorEastAsia" w:hAnsi="Times New Roman" w:cs="Times New Roman"/>
        </w:rPr>
        <w:t xml:space="preserve">Nežinoma, ar erlotinibo patenka į moters pieną. </w:t>
      </w:r>
      <w:r w:rsidR="004F204D" w:rsidRPr="00914766">
        <w:rPr>
          <w:rFonts w:ascii="Times New Roman" w:eastAsia="MS Mincho" w:hAnsi="Times New Roman" w:cs="Times New Roman"/>
        </w:rPr>
        <w:t xml:space="preserve">Tyrimų, kuriais būtų įvertintas erlortinibo poveikis pieno </w:t>
      </w:r>
      <w:r w:rsidR="004F204D" w:rsidRPr="00914766">
        <w:rPr>
          <w:rFonts w:ascii="Times New Roman" w:eastAsia="MS Mincho" w:hAnsi="Times New Roman" w:cs="Times New Roman"/>
        </w:rPr>
        <w:lastRenderedPageBreak/>
        <w:t xml:space="preserve">gamybai ar jo buvimas motinos piene, neatlikta. Galimas žalingas poveikis žindomam kūdikiui nėra žinomas, moterims reikia patari nežindyti </w:t>
      </w:r>
      <w:r w:rsidR="004F204D">
        <w:rPr>
          <w:rFonts w:ascii="Times New Roman" w:eastAsia="MS Mincho" w:hAnsi="Times New Roman" w:cs="Times New Roman"/>
        </w:rPr>
        <w:t>Varlota</w:t>
      </w:r>
      <w:r w:rsidR="004F204D" w:rsidRPr="00914766">
        <w:rPr>
          <w:rFonts w:ascii="Times New Roman" w:eastAsia="MS Mincho" w:hAnsi="Times New Roman" w:cs="Times New Roman"/>
        </w:rPr>
        <w:t xml:space="preserve"> gydymo metu ir ne mažiau kaip 2 savaites po paskutiniosios dozės pavartojimo.</w:t>
      </w:r>
    </w:p>
    <w:p w14:paraId="6B74334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Vaisingumas</w:t>
      </w:r>
    </w:p>
    <w:p w14:paraId="63DF8F8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Su gyvūnais atlikti tyrimai vaisingumo sutrikimo neparodė. Tačiau negalima atmesti nepageidaujamo vaistinio preparato poveikio vaisingumui, kadangi su gyvūnais atlikti tyrimai parodė poveikį reprodukcijos parametrams (žr. 5.3 skyrių). Galimas pavojus žmogui nežinomas.</w:t>
      </w:r>
    </w:p>
    <w:p w14:paraId="1291B6AA" w14:textId="77777777" w:rsidR="00D72C83" w:rsidRPr="002E32EF" w:rsidRDefault="00D72C83" w:rsidP="00D72C83">
      <w:pPr>
        <w:spacing w:after="0" w:line="240" w:lineRule="auto"/>
        <w:rPr>
          <w:rFonts w:ascii="Times New Roman" w:hAnsi="Times New Roman" w:cs="Times New Roman"/>
        </w:rPr>
      </w:pPr>
    </w:p>
    <w:p w14:paraId="7B1946F6" w14:textId="77777777" w:rsidR="00D72C83" w:rsidRPr="00E35BE6" w:rsidRDefault="00D72C83" w:rsidP="00D3564A">
      <w:pPr>
        <w:pStyle w:val="Antrat4"/>
        <w:spacing w:line="240" w:lineRule="auto"/>
        <w:rPr>
          <w:rFonts w:ascii="Times New Roman" w:hAnsi="Times New Roman"/>
          <w:b w:val="0"/>
          <w:lang w:val="lt-LT"/>
        </w:rPr>
      </w:pPr>
      <w:r w:rsidRPr="00D3564A">
        <w:rPr>
          <w:rFonts w:ascii="Times New Roman" w:hAnsi="Times New Roman"/>
          <w:sz w:val="22"/>
          <w:lang w:val="lt-LT"/>
        </w:rPr>
        <w:t>4.7</w:t>
      </w:r>
      <w:r w:rsidRPr="00D3564A">
        <w:rPr>
          <w:rFonts w:ascii="Times New Roman" w:hAnsi="Times New Roman"/>
          <w:sz w:val="22"/>
          <w:lang w:val="lt-LT"/>
        </w:rPr>
        <w:tab/>
        <w:t>Poveikis gebėjimui vairuoti ir valdyti mechanizmus</w:t>
      </w:r>
    </w:p>
    <w:p w14:paraId="13C435D8" w14:textId="77777777" w:rsidR="00D72C83" w:rsidRPr="002E32EF" w:rsidRDefault="00D72C83" w:rsidP="00D72C83">
      <w:pPr>
        <w:spacing w:after="0" w:line="240" w:lineRule="auto"/>
        <w:rPr>
          <w:rFonts w:ascii="Times New Roman" w:hAnsi="Times New Roman" w:cs="Times New Roman"/>
        </w:rPr>
      </w:pPr>
    </w:p>
    <w:p w14:paraId="6952574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Poveikis gebėjimui vairuoti ir valdyti mechanizmus netirtas, tačiau erlotinibas netrikdo protinės veiklos.</w:t>
      </w:r>
    </w:p>
    <w:p w14:paraId="16EB9816" w14:textId="77777777" w:rsidR="00D72C83" w:rsidRPr="002E32EF" w:rsidRDefault="00D72C83" w:rsidP="00D72C83">
      <w:pPr>
        <w:spacing w:after="0" w:line="240" w:lineRule="auto"/>
        <w:rPr>
          <w:rFonts w:ascii="Times New Roman" w:hAnsi="Times New Roman" w:cs="Times New Roman"/>
        </w:rPr>
      </w:pPr>
    </w:p>
    <w:p w14:paraId="6736548A" w14:textId="77777777" w:rsidR="00D72C83" w:rsidRPr="002E32EF" w:rsidRDefault="00D72C83" w:rsidP="00D72C83">
      <w:pPr>
        <w:spacing w:after="0" w:line="240" w:lineRule="auto"/>
        <w:outlineLvl w:val="0"/>
        <w:rPr>
          <w:rFonts w:ascii="Times New Roman" w:hAnsi="Times New Roman" w:cs="Times New Roman"/>
        </w:rPr>
      </w:pPr>
      <w:r w:rsidRPr="002E32EF">
        <w:rPr>
          <w:rFonts w:ascii="Times New Roman" w:hAnsi="Times New Roman" w:cs="Times New Roman"/>
          <w:b/>
          <w:bCs/>
        </w:rPr>
        <w:t>4.8</w:t>
      </w:r>
      <w:r w:rsidRPr="002E32EF">
        <w:rPr>
          <w:rFonts w:ascii="Times New Roman" w:hAnsi="Times New Roman" w:cs="Times New Roman"/>
          <w:b/>
          <w:bCs/>
        </w:rPr>
        <w:tab/>
        <w:t>Nepageidaujamas poveikis</w:t>
      </w:r>
    </w:p>
    <w:p w14:paraId="2A561617" w14:textId="6BA3E1BE" w:rsidR="00D72C83" w:rsidRDefault="00D72C83" w:rsidP="00D72C83">
      <w:pPr>
        <w:spacing w:after="0" w:line="240" w:lineRule="auto"/>
        <w:rPr>
          <w:rFonts w:ascii="Times New Roman" w:hAnsi="Times New Roman" w:cs="Times New Roman"/>
          <w:u w:val="single"/>
        </w:rPr>
      </w:pPr>
    </w:p>
    <w:p w14:paraId="47B6BC00" w14:textId="77777777" w:rsidR="00EA52CA" w:rsidRDefault="00EA52CA" w:rsidP="00E35BE6">
      <w:pPr>
        <w:widowControl w:val="0"/>
        <w:autoSpaceDE w:val="0"/>
        <w:autoSpaceDN w:val="0"/>
        <w:adjustRightInd w:val="0"/>
        <w:spacing w:after="0" w:line="240" w:lineRule="auto"/>
        <w:rPr>
          <w:rFonts w:ascii="Times New Roman" w:eastAsia="MS Mincho" w:hAnsi="Times New Roman" w:cs="Times New Roman"/>
        </w:rPr>
      </w:pPr>
      <w:r w:rsidRPr="00914766">
        <w:rPr>
          <w:rFonts w:ascii="Times New Roman" w:eastAsia="MS Mincho" w:hAnsi="Times New Roman" w:cs="Times New Roman"/>
        </w:rPr>
        <w:t>Erlotinibo saugumo vertinimas yra pagrįstas duomenimis apie daugiau kaip 1 500 pacientų, kurie buvo gydyti bent viena 150</w:t>
      </w:r>
      <w:r>
        <w:rPr>
          <w:rFonts w:ascii="Times New Roman" w:eastAsia="MS Mincho" w:hAnsi="Times New Roman" w:cs="Times New Roman"/>
        </w:rPr>
        <w:t> mg</w:t>
      </w:r>
      <w:r w:rsidRPr="00914766">
        <w:rPr>
          <w:rFonts w:ascii="Times New Roman" w:eastAsia="MS Mincho" w:hAnsi="Times New Roman" w:cs="Times New Roman"/>
        </w:rPr>
        <w:t xml:space="preserve"> erlotinibo doze taikant monoterapiją</w:t>
      </w:r>
      <w:r>
        <w:rPr>
          <w:rFonts w:ascii="Times New Roman" w:eastAsia="MS Mincho" w:hAnsi="Times New Roman" w:cs="Times New Roman"/>
        </w:rPr>
        <w:t>,</w:t>
      </w:r>
      <w:r w:rsidRPr="00914766">
        <w:rPr>
          <w:rFonts w:ascii="Times New Roman" w:eastAsia="MS Mincho" w:hAnsi="Times New Roman" w:cs="Times New Roman"/>
        </w:rPr>
        <w:t xml:space="preserve"> ir apie daugiau kaip 300 pacientų, gydytų 100</w:t>
      </w:r>
      <w:r>
        <w:rPr>
          <w:rFonts w:ascii="Times New Roman" w:eastAsia="MS Mincho" w:hAnsi="Times New Roman" w:cs="Times New Roman"/>
        </w:rPr>
        <w:t> mg</w:t>
      </w:r>
      <w:r w:rsidRPr="00914766">
        <w:rPr>
          <w:rFonts w:ascii="Times New Roman" w:eastAsia="MS Mincho" w:hAnsi="Times New Roman" w:cs="Times New Roman"/>
        </w:rPr>
        <w:t xml:space="preserve"> arba 150</w:t>
      </w:r>
      <w:r>
        <w:rPr>
          <w:rFonts w:ascii="Times New Roman" w:eastAsia="MS Mincho" w:hAnsi="Times New Roman" w:cs="Times New Roman"/>
        </w:rPr>
        <w:t> mg</w:t>
      </w:r>
      <w:r w:rsidRPr="00914766">
        <w:rPr>
          <w:rFonts w:ascii="Times New Roman" w:eastAsia="MS Mincho" w:hAnsi="Times New Roman" w:cs="Times New Roman"/>
        </w:rPr>
        <w:t xml:space="preserve"> erlotinibo doze kartu su gemcitabinu.</w:t>
      </w:r>
    </w:p>
    <w:p w14:paraId="3941A003" w14:textId="36063B69" w:rsidR="00EA52CA" w:rsidRDefault="00EA52CA" w:rsidP="00EA52CA">
      <w:pPr>
        <w:widowControl w:val="0"/>
        <w:autoSpaceDE w:val="0"/>
        <w:autoSpaceDN w:val="0"/>
        <w:adjustRightInd w:val="0"/>
        <w:spacing w:after="0" w:line="240" w:lineRule="auto"/>
        <w:rPr>
          <w:rFonts w:ascii="Times New Roman" w:eastAsia="MS Mincho" w:hAnsi="Times New Roman" w:cs="Times New Roman"/>
        </w:rPr>
      </w:pPr>
      <w:r w:rsidRPr="00914766">
        <w:rPr>
          <w:rFonts w:ascii="Times New Roman" w:eastAsia="MS Mincho" w:hAnsi="Times New Roman" w:cs="Times New Roman"/>
        </w:rPr>
        <w:t xml:space="preserve">Nepageidaujamų reakcijų į vaistinį preparatą (NRV) dažnis, nustatytas klinikinių tyrimų metu vartojant vien erlotinibo arba kartu taikant chemoterapiją, yra apibendrintas pagal Nacionalinio vėžio instituto bendrųjų toksiškumo kriterijų (angl. </w:t>
      </w:r>
      <w:r w:rsidRPr="00914766">
        <w:rPr>
          <w:rFonts w:ascii="Times New Roman" w:eastAsia="MS Mincho" w:hAnsi="Times New Roman" w:cs="Times New Roman"/>
          <w:i/>
          <w:iCs/>
        </w:rPr>
        <w:t>National Cancer Institute-Common Toxicity Criteria</w:t>
      </w:r>
      <w:r w:rsidRPr="00914766">
        <w:rPr>
          <w:rFonts w:ascii="Times New Roman" w:eastAsia="MS Mincho" w:hAnsi="Times New Roman" w:cs="Times New Roman"/>
        </w:rPr>
        <w:t>, NCI-CTC) laipsnius 1 lentelėje. Joje išvardytos NRV praneštos ne mažiau kaip 10 % erlotinibo grupės pacientų bei dažniau (≥ 3 %) pasireiškė erlotinibu gydytiems pacientams, palyginti su lyginamosios grupės pacientais. Kitos NRV, įskaitant nustatytas kituose klinikiniuose tyrimuose, yra apibendrintos 2 lentelėje.</w:t>
      </w:r>
    </w:p>
    <w:p w14:paraId="57EDA4A5" w14:textId="7E24D97D" w:rsidR="00EA52CA" w:rsidRPr="00EA52CA" w:rsidRDefault="00EA52CA" w:rsidP="00EA52CA">
      <w:pPr>
        <w:widowControl w:val="0"/>
        <w:autoSpaceDE w:val="0"/>
        <w:autoSpaceDN w:val="0"/>
        <w:adjustRightInd w:val="0"/>
        <w:spacing w:after="0" w:line="240" w:lineRule="auto"/>
        <w:rPr>
          <w:rFonts w:ascii="Times New Roman" w:eastAsia="MS Mincho" w:hAnsi="Times New Roman" w:cs="Times New Roman"/>
        </w:rPr>
      </w:pPr>
      <w:r w:rsidRPr="00EA52CA">
        <w:rPr>
          <w:rFonts w:ascii="Times New Roman" w:eastAsia="MS Mincho" w:hAnsi="Times New Roman" w:cs="Times New Roman"/>
        </w:rPr>
        <w:t xml:space="preserve">Klinikinių tyrimų metu nustatytos nepageidaujamos reakcijos į vaistinį preparatą (1 lentelė) yra suskirstytos pagal MedDRA organų sistemų klases. </w:t>
      </w:r>
      <w:r w:rsidR="00537A9B">
        <w:rPr>
          <w:rFonts w:ascii="Times New Roman" w:eastAsia="MS Mincho" w:hAnsi="Times New Roman" w:cs="Times New Roman"/>
        </w:rPr>
        <w:t>N</w:t>
      </w:r>
      <w:r w:rsidRPr="00EA52CA">
        <w:rPr>
          <w:rFonts w:ascii="Times New Roman" w:eastAsia="MS Mincho" w:hAnsi="Times New Roman" w:cs="Times New Roman"/>
        </w:rPr>
        <w:t>epageidaujam</w:t>
      </w:r>
      <w:r w:rsidR="00537A9B">
        <w:rPr>
          <w:rFonts w:ascii="Times New Roman" w:eastAsia="MS Mincho" w:hAnsi="Times New Roman" w:cs="Times New Roman"/>
        </w:rPr>
        <w:t>o poveikio</w:t>
      </w:r>
      <w:r w:rsidRPr="00EA52CA">
        <w:rPr>
          <w:rFonts w:ascii="Times New Roman" w:eastAsia="MS Mincho" w:hAnsi="Times New Roman" w:cs="Times New Roman"/>
        </w:rPr>
        <w:t xml:space="preserve"> dažnis apibūdinamas taip: labai dažnas (≥ 1/10), dažnas (nuo ≥ 1/100 iki &lt; 1/10), nedažnas (nuo ≥ 1/1 000 iki &lt; 1/100), retas (nuo ≥ 1/10 000 iki &lt; 1/1 000), labai retas (&lt; 1/10 000) ir nežinomas (negali būti apskaičiuotas pagal turimus duomenis).</w:t>
      </w:r>
    </w:p>
    <w:p w14:paraId="2821EB53" w14:textId="31B32834" w:rsidR="00EA52CA" w:rsidRPr="00914766" w:rsidRDefault="00EA52CA" w:rsidP="00E35BE6">
      <w:pPr>
        <w:widowControl w:val="0"/>
        <w:autoSpaceDE w:val="0"/>
        <w:autoSpaceDN w:val="0"/>
        <w:adjustRightInd w:val="0"/>
        <w:spacing w:after="0" w:line="240" w:lineRule="auto"/>
        <w:rPr>
          <w:rFonts w:ascii="Times New Roman" w:eastAsia="MS Mincho" w:hAnsi="Times New Roman" w:cs="Times New Roman"/>
        </w:rPr>
      </w:pPr>
      <w:r w:rsidRPr="00EA52CA">
        <w:rPr>
          <w:rFonts w:ascii="Times New Roman" w:eastAsia="MS Mincho" w:hAnsi="Times New Roman" w:cs="Times New Roman"/>
        </w:rPr>
        <w:t>Kiekvienoje dažnio grupėje nepageidaujamos reakcijos pateikiamos mažėjančio sunkumo tvarka.</w:t>
      </w:r>
    </w:p>
    <w:p w14:paraId="09181F14" w14:textId="77777777" w:rsidR="00EA52CA" w:rsidRPr="002E32EF" w:rsidRDefault="00EA52CA" w:rsidP="00EA52CA">
      <w:pPr>
        <w:spacing w:after="0" w:line="240" w:lineRule="auto"/>
        <w:rPr>
          <w:rFonts w:ascii="Times New Roman" w:hAnsi="Times New Roman" w:cs="Times New Roman"/>
          <w:u w:val="single"/>
        </w:rPr>
      </w:pPr>
    </w:p>
    <w:p w14:paraId="439A2FAC"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r w:rsidRPr="002E32EF">
        <w:rPr>
          <w:rFonts w:ascii="Times New Roman" w:eastAsiaTheme="minorEastAsia" w:hAnsi="Times New Roman" w:cs="Times New Roman"/>
          <w:u w:val="single"/>
        </w:rPr>
        <w:t xml:space="preserve">Nesmulkialąstelinis plaučių vėžys (kai skiriama </w:t>
      </w:r>
      <w:r>
        <w:rPr>
          <w:rFonts w:ascii="Times New Roman" w:eastAsiaTheme="minorEastAsia" w:hAnsi="Times New Roman" w:cs="Times New Roman"/>
          <w:u w:val="single"/>
        </w:rPr>
        <w:t>erlotinibo</w:t>
      </w:r>
      <w:r w:rsidRPr="002E32EF">
        <w:rPr>
          <w:rFonts w:ascii="Times New Roman" w:eastAsiaTheme="minorEastAsia" w:hAnsi="Times New Roman" w:cs="Times New Roman"/>
          <w:u w:val="single"/>
        </w:rPr>
        <w:t xml:space="preserve"> monoterapija)</w:t>
      </w:r>
    </w:p>
    <w:p w14:paraId="7FD54B2B"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i/>
          <w:iCs/>
          <w:u w:val="single"/>
        </w:rPr>
      </w:pPr>
      <w:r w:rsidRPr="00EA52CA">
        <w:rPr>
          <w:rFonts w:ascii="Times New Roman" w:eastAsiaTheme="minorEastAsia" w:hAnsi="Times New Roman" w:cs="Times New Roman"/>
          <w:i/>
          <w:iCs/>
          <w:u w:val="single"/>
        </w:rPr>
        <w:t>EGFR mutacijų turinčių pacientų pirmos eilės gydymas</w:t>
      </w:r>
    </w:p>
    <w:p w14:paraId="34B19B8B"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rPr>
      </w:pPr>
      <w:r w:rsidRPr="00EA52CA">
        <w:rPr>
          <w:rFonts w:ascii="Times New Roman" w:eastAsiaTheme="minorEastAsia" w:hAnsi="Times New Roman" w:cs="Times New Roman"/>
        </w:rPr>
        <w:t>Atviro, atsitiktinių imčių, III fazės tyrimo ML20650, kuriame dalyvavo 154 pacientai, metu 75 pacientams buvo įvertintas erlotinibo saugumas vaistinio preparato skiriant pirmos eilės gydymui NSLPV sergantiems pacientams, kuriems nustatytos EGFR aktyvinančios mutacijos; naujų svarbių saugumo duomenų šiems pacientams nepastebėta.</w:t>
      </w:r>
    </w:p>
    <w:p w14:paraId="1CA90521"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rPr>
      </w:pPr>
      <w:r w:rsidRPr="00EA52CA">
        <w:rPr>
          <w:rFonts w:ascii="Times New Roman" w:eastAsiaTheme="minorEastAsia" w:hAnsi="Times New Roman" w:cs="Times New Roman"/>
        </w:rPr>
        <w:t>ML20650 tyrimo metu dažniausios erlotinibu gydytiems pacientams pasireiškusios nepageidaujamos reakcijos buvo išbėrimas ir viduriavimas (bet kokio laipsnio, atitinkamai 80 % ir 57 %), dauguma šių reakcijų buvo 1</w:t>
      </w:r>
      <w:r w:rsidRPr="00EA52CA">
        <w:rPr>
          <w:rFonts w:ascii="Times New Roman" w:eastAsiaTheme="minorEastAsia" w:hAnsi="Times New Roman" w:cs="Times New Roman"/>
        </w:rPr>
        <w:noBreakHyphen/>
        <w:t>2 sunkumo laipsnio ir buvo kontroliuojamos be papildomos intervencijos. 3 laipsnio išbėrimas ir viduriavimas pasireiškė atitinkamai 9 % ir 4 % pacientų. 4 laipsnio išbėrimo ar viduriavimo atvejų nebuvo. Tiek dėl išbėrimo, tiek dėl viduriavimo gydymą erlotinibu prireikė nutraukti 1 % pacientų. Keisti dozavimą (vartojimą laikinai nutraukti ar sumažinti dozę) dėl išbėrimo ar viduriavimo reikėjo atitinkamai 11 % ir 7 % pacientų.</w:t>
      </w:r>
    </w:p>
    <w:p w14:paraId="1B369077"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rPr>
      </w:pPr>
    </w:p>
    <w:p w14:paraId="1750F807"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i/>
          <w:iCs/>
          <w:u w:val="single"/>
        </w:rPr>
      </w:pPr>
      <w:r w:rsidRPr="00EA52CA">
        <w:rPr>
          <w:rFonts w:ascii="Times New Roman" w:eastAsiaTheme="minorEastAsia" w:hAnsi="Times New Roman" w:cs="Times New Roman"/>
          <w:i/>
          <w:iCs/>
          <w:u w:val="single"/>
        </w:rPr>
        <w:t>Palaikomasis gydymas</w:t>
      </w:r>
    </w:p>
    <w:p w14:paraId="1847F35F"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rPr>
      </w:pPr>
      <w:r w:rsidRPr="00EA52CA">
        <w:rPr>
          <w:rFonts w:ascii="Times New Roman" w:eastAsiaTheme="minorEastAsia" w:hAnsi="Times New Roman" w:cs="Times New Roman"/>
        </w:rPr>
        <w:t xml:space="preserve">Kitų dviejų dvigubai koduotų, atsitiktinių imčių, placebu kontroliuotų III fazės klinikinių tyrimų BO18192 (SATURN) ir BO25460 (IUNO) metu erlotinibo buvo vartojama palaikomajam gydymui po pirmos eilės chemoterapijos. Šiuose tyrimuose iš viso dalyvavo 1532 pacientai, sirgę progresavusiu, pasikartojančiu arba metastazavusiu NSLPV ir jau gydyti pirmos eilės standartine chemoterapija, paremta platinos preparatais; naujų signalų dėl vaistinio preparato saugumo nebuvo nustatyta. Dažniausiai pastebėtos NRV, klinikinių tyrimų BO18192 ir BO25460 metu pasireiškusios erlotinibu gydytiems pacientams, buvo išbėrimas (BO18192: bet kokio laipsnio − 49,2 %, 3 laipsnio − 6,0 %; BO25460: bet kurio laipsnio − </w:t>
      </w:r>
      <w:r w:rsidRPr="00EA52CA">
        <w:rPr>
          <w:rFonts w:ascii="Times New Roman" w:eastAsiaTheme="minorEastAsia" w:hAnsi="Times New Roman" w:cs="Times New Roman"/>
        </w:rPr>
        <w:lastRenderedPageBreak/>
        <w:t>39,4 %, 3 laipsnio − 5,0 %) ir viduriavimas (BO18192: bet kokio laipsnio − 20,3 %, 3 laipsnio − 1,8 %; BO25460: bet kokio laipsnio − 24,2 %, 3 laipsnio − 2,5 %). Abiejų tyrimų metu 4 laipsnio išbėrimo ar viduriavimo atvejų nebuvo. Klinikinio tyrimo BO18192 metu gydymą erlotinibu dėl išbėrimo ar viduriavimo prireikė nutraukti atitinkamai 1 % ir &lt; 1 % pacientų, o klinikinio tyrimo BO25460 metu dėl išbėrimo ar viduriavimo nė vieno paciento gydymo nutraukti nereikėjo. Keisti dozavimą (vartojimą laikinai nutraukti ar sumažinti dozę) dėl išbėrimo ar viduriavimo reikėjo atitinkamai 8,3 % ir 3 % klinikinio tyrimo BO18192 pacientų bei atitinkamai 5,6 % ir 2,8 % klinikinio tyrimo BO25460 pacientų.</w:t>
      </w:r>
    </w:p>
    <w:p w14:paraId="1B503A49"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rPr>
      </w:pPr>
    </w:p>
    <w:p w14:paraId="6FD8D3E4" w14:textId="77777777" w:rsidR="00EA52CA" w:rsidRPr="00EA52CA" w:rsidRDefault="00EA52CA" w:rsidP="00EA52CA">
      <w:pPr>
        <w:widowControl w:val="0"/>
        <w:autoSpaceDE w:val="0"/>
        <w:autoSpaceDN w:val="0"/>
        <w:adjustRightInd w:val="0"/>
        <w:spacing w:after="0" w:line="240" w:lineRule="auto"/>
        <w:rPr>
          <w:rFonts w:ascii="Times New Roman" w:eastAsiaTheme="minorEastAsia" w:hAnsi="Times New Roman" w:cs="Times New Roman"/>
          <w:u w:val="single"/>
        </w:rPr>
      </w:pPr>
      <w:r w:rsidRPr="00EA52CA">
        <w:rPr>
          <w:rFonts w:ascii="Times New Roman" w:eastAsiaTheme="minorEastAsia" w:hAnsi="Times New Roman" w:cs="Times New Roman"/>
          <w:u w:val="single"/>
        </w:rPr>
        <w:t>Antros ir tolesnės eilės gydymas</w:t>
      </w:r>
    </w:p>
    <w:p w14:paraId="0D239F9F" w14:textId="51502D73"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Atsitiktinių imčių dvigubai aklu būdu atlikto klinikinio tyrimo metu (BR.21, kuriame erlotinibas buvo skiriamas kaip antros eilės gydymas) dažniausiai pastebėtos nepageidaujamos reakcijos (NR) buvo bėrimas (75 %) ir viduriavimas (54 %). Dauguma jų buvo 1/2 sunkumo laipsnio ir nesunkiai pagydomos. 3/4 laipsnio bėrimas ir viduriavimas atsirado atitinkamai 9 % ir 6 % erlotinibu gydytų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ir dėl vieno, ir dėl kito 1 %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gydymą teko nutraukti. Dėl bėrimo ir viduriavimo atitinkamai 6 % ir 1 %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reikėjo sumažinti dozę. Atliekant BR.21 tyrimą bėrimas prasidėdavo vidutiniškai po 8 dienų, o viduriavimas – po 12 dienų.</w:t>
      </w:r>
    </w:p>
    <w:p w14:paraId="2AAF4AD7"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21D6D6C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Apskritai, bėrimas pasireiškia kaip lengvas ar vidutinio sunkumo eriteminis ir papulopustulinis bėrimas, kuris gali išryškėti arba pablogėti saulės apšviestose vietose. Pacientams, kurie būna saulėje, galima patarti dėvėti nuo saulės saugančius drabužius ir (arba) naudoti nuo saulės poveikio apsaugančius (pvz., mineralų turinčius) preparatus.</w:t>
      </w:r>
    </w:p>
    <w:p w14:paraId="49FB2EE5"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370C32BB"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r w:rsidRPr="002E32EF">
        <w:rPr>
          <w:rFonts w:ascii="Times New Roman" w:eastAsiaTheme="minorEastAsia" w:hAnsi="Times New Roman" w:cs="Times New Roman"/>
          <w:u w:val="single"/>
        </w:rPr>
        <w:t>Kasos vėžys (</w:t>
      </w:r>
      <w:r>
        <w:rPr>
          <w:rFonts w:ascii="Times New Roman" w:eastAsiaTheme="minorEastAsia" w:hAnsi="Times New Roman" w:cs="Times New Roman"/>
          <w:u w:val="single"/>
        </w:rPr>
        <w:t>erlotinibas</w:t>
      </w:r>
      <w:r w:rsidRPr="002E32EF">
        <w:rPr>
          <w:rFonts w:ascii="Times New Roman" w:eastAsiaTheme="minorEastAsia" w:hAnsi="Times New Roman" w:cs="Times New Roman"/>
          <w:u w:val="single"/>
        </w:rPr>
        <w:t xml:space="preserve"> vartotas kartu su gemcitabinu)</w:t>
      </w:r>
    </w:p>
    <w:p w14:paraId="6A031310" w14:textId="1B667D24"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Pagrindinio tyrimo PA.3 metu dažniausios nepageidaujamos reakcijos gydant kasos vėžiu sergančius </w:t>
      </w:r>
      <w:r w:rsidR="007502A6">
        <w:rPr>
          <w:rFonts w:ascii="Times New Roman" w:eastAsiaTheme="minorEastAsia" w:hAnsi="Times New Roman" w:cs="Times New Roman"/>
        </w:rPr>
        <w:t>pacientus</w:t>
      </w:r>
      <w:r w:rsidRPr="002E32EF">
        <w:rPr>
          <w:rFonts w:ascii="Times New Roman" w:eastAsiaTheme="minorEastAsia" w:hAnsi="Times New Roman" w:cs="Times New Roman"/>
        </w:rPr>
        <w:t xml:space="preserve"> erlotinibu po 100 mg kartu su gemcitabinu buvo nuovargis, bėrimas ir viduriavimas. Erlotinibu su gemcitabinu grupėje tiek 3/4 laipsnio bėrimas, tiek viduriavimas užregistruotas 5 %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Vidutinis laikas iki bėrimo ir viduriavimo pradžios buvo atitinkamai 10 ir 15 dienų. Dėl bėrimo dozę reikėjo sumažinti 2 %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tiek pat – ir dėl viduriavimo, o iki 1 % erlotinibu ir gemcitabinu gydytų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tyrimą teko nutraukti.</w:t>
      </w:r>
    </w:p>
    <w:p w14:paraId="12FF3291" w14:textId="172913E5"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0977EEF" w14:textId="77777777" w:rsidR="00EA52CA" w:rsidRPr="00914766" w:rsidRDefault="00EA52CA" w:rsidP="00EA52CA">
      <w:pPr>
        <w:widowControl w:val="0"/>
        <w:autoSpaceDE w:val="0"/>
        <w:autoSpaceDN w:val="0"/>
        <w:adjustRightInd w:val="0"/>
        <w:rPr>
          <w:rFonts w:ascii="Times New Roman" w:eastAsia="Calibri" w:hAnsi="Times New Roman" w:cs="Times New Roman"/>
        </w:rPr>
      </w:pPr>
      <w:r w:rsidRPr="00914766">
        <w:rPr>
          <w:rFonts w:ascii="Times New Roman" w:eastAsia="Calibri" w:hAnsi="Times New Roman" w:cs="Times New Roman"/>
        </w:rPr>
        <w:t>1 lentelė. NRV, kurios nustatytos ≥ 10 % klinikinių tyrimų BR.21 (vartota erlotinibo) bei PA.3 (vartota erlotinibo ir gemcitabino) metu ir kurios pasireiškė dažniau (≥ 3 %) nei vartojant placebą klinikinių tyrimų BR.21 (vartota erlotinibo) bei PA.3 (vartota erlotinibo ir gemcitabino) metu</w:t>
      </w:r>
    </w:p>
    <w:p w14:paraId="73E0B561"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tbl>
      <w:tblPr>
        <w:tblW w:w="9666" w:type="dxa"/>
        <w:tblInd w:w="106" w:type="dxa"/>
        <w:tblLayout w:type="fixed"/>
        <w:tblCellMar>
          <w:left w:w="0" w:type="dxa"/>
          <w:right w:w="0" w:type="dxa"/>
        </w:tblCellMar>
        <w:tblLook w:val="01E0" w:firstRow="1" w:lastRow="1" w:firstColumn="1" w:lastColumn="1" w:noHBand="0" w:noVBand="0"/>
      </w:tblPr>
      <w:tblGrid>
        <w:gridCol w:w="3164"/>
        <w:gridCol w:w="974"/>
        <w:gridCol w:w="709"/>
        <w:gridCol w:w="708"/>
        <w:gridCol w:w="993"/>
        <w:gridCol w:w="708"/>
        <w:gridCol w:w="709"/>
        <w:gridCol w:w="1701"/>
      </w:tblGrid>
      <w:tr w:rsidR="003A5C39" w:rsidRPr="002E32EF" w14:paraId="6B5413CB" w14:textId="1CF70776" w:rsidTr="00E35BE6">
        <w:trPr>
          <w:trHeight w:hRule="exact" w:val="804"/>
        </w:trPr>
        <w:tc>
          <w:tcPr>
            <w:tcW w:w="3164" w:type="dxa"/>
            <w:tcBorders>
              <w:top w:val="single" w:sz="7" w:space="0" w:color="000000"/>
              <w:left w:val="single" w:sz="7" w:space="0" w:color="000000"/>
              <w:bottom w:val="single" w:sz="3" w:space="0" w:color="000000"/>
              <w:right w:val="single" w:sz="3" w:space="0" w:color="000000"/>
            </w:tcBorders>
          </w:tcPr>
          <w:p w14:paraId="0E9B3BAF" w14:textId="77777777" w:rsidR="003A5C39" w:rsidRPr="002E32EF" w:rsidRDefault="003A5C39" w:rsidP="00E23115">
            <w:pPr>
              <w:spacing w:after="0" w:line="240" w:lineRule="auto"/>
              <w:rPr>
                <w:rFonts w:ascii="Times New Roman" w:hAnsi="Times New Roman" w:cs="Times New Roman"/>
              </w:rPr>
            </w:pPr>
          </w:p>
        </w:tc>
        <w:tc>
          <w:tcPr>
            <w:tcW w:w="2391" w:type="dxa"/>
            <w:gridSpan w:val="3"/>
            <w:tcBorders>
              <w:top w:val="single" w:sz="7" w:space="0" w:color="000000"/>
              <w:left w:val="single" w:sz="3" w:space="0" w:color="000000"/>
              <w:bottom w:val="single" w:sz="3" w:space="0" w:color="000000"/>
              <w:right w:val="single" w:sz="3" w:space="0" w:color="000000"/>
            </w:tcBorders>
          </w:tcPr>
          <w:p w14:paraId="1DDFBD46" w14:textId="711BF80F" w:rsidR="003A5C39" w:rsidRDefault="003A5C39" w:rsidP="00D3564A">
            <w:pPr>
              <w:pStyle w:val="TableParagraph"/>
              <w:jc w:val="center"/>
              <w:rPr>
                <w:rFonts w:ascii="Times New Roman" w:hAnsi="Times New Roman"/>
                <w:b/>
                <w:spacing w:val="20"/>
                <w:lang w:val="lt-LT"/>
              </w:rPr>
            </w:pPr>
            <w:r w:rsidRPr="00D3564A">
              <w:rPr>
                <w:rFonts w:ascii="Times New Roman" w:hAnsi="Times New Roman"/>
                <w:b/>
                <w:spacing w:val="-1"/>
                <w:lang w:val="lt-LT"/>
              </w:rPr>
              <w:t>Erlotinibas</w:t>
            </w:r>
            <w:r w:rsidRPr="00D3564A">
              <w:rPr>
                <w:rFonts w:ascii="Times New Roman" w:hAnsi="Times New Roman"/>
                <w:b/>
                <w:spacing w:val="20"/>
                <w:lang w:val="lt-LT"/>
              </w:rPr>
              <w:t xml:space="preserve"> </w:t>
            </w:r>
            <w:r>
              <w:rPr>
                <w:rFonts w:ascii="Times New Roman" w:hAnsi="Times New Roman"/>
                <w:b/>
                <w:spacing w:val="20"/>
                <w:lang w:val="lt-LT"/>
              </w:rPr>
              <w:t>(BR.21)</w:t>
            </w:r>
          </w:p>
          <w:p w14:paraId="744D5C59" w14:textId="0BDA9A02"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N =</w:t>
            </w:r>
            <w:r w:rsidRPr="00D3564A">
              <w:rPr>
                <w:rFonts w:ascii="Times New Roman" w:hAnsi="Times New Roman"/>
                <w:b/>
                <w:spacing w:val="-1"/>
                <w:lang w:val="lt-LT"/>
              </w:rPr>
              <w:t xml:space="preserve"> </w:t>
            </w:r>
            <w:r>
              <w:rPr>
                <w:rFonts w:ascii="Times New Roman" w:hAnsi="Times New Roman"/>
                <w:b/>
                <w:spacing w:val="-1"/>
                <w:lang w:val="lt-LT"/>
              </w:rPr>
              <w:t>485</w:t>
            </w:r>
          </w:p>
        </w:tc>
        <w:tc>
          <w:tcPr>
            <w:tcW w:w="2410" w:type="dxa"/>
            <w:gridSpan w:val="3"/>
            <w:tcBorders>
              <w:top w:val="single" w:sz="7" w:space="0" w:color="000000"/>
              <w:left w:val="single" w:sz="3" w:space="0" w:color="000000"/>
              <w:bottom w:val="single" w:sz="3" w:space="0" w:color="000000"/>
              <w:right w:val="single" w:sz="7" w:space="0" w:color="000000"/>
            </w:tcBorders>
          </w:tcPr>
          <w:p w14:paraId="0C644205" w14:textId="5C52F978" w:rsidR="003A5C39" w:rsidRDefault="003A5C39" w:rsidP="00D3564A">
            <w:pPr>
              <w:pStyle w:val="TableParagraph"/>
              <w:jc w:val="center"/>
              <w:rPr>
                <w:rFonts w:ascii="Times New Roman" w:hAnsi="Times New Roman"/>
                <w:b/>
                <w:lang w:val="lt-LT"/>
              </w:rPr>
            </w:pPr>
            <w:r>
              <w:rPr>
                <w:rFonts w:ascii="Times New Roman" w:hAnsi="Times New Roman"/>
                <w:b/>
                <w:lang w:val="lt-LT"/>
              </w:rPr>
              <w:t>Erlotinibas (PA.3)</w:t>
            </w:r>
          </w:p>
          <w:p w14:paraId="56DCAFE0" w14:textId="113F3B19"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N =</w:t>
            </w:r>
            <w:r w:rsidRPr="00D3564A">
              <w:rPr>
                <w:rFonts w:ascii="Times New Roman" w:hAnsi="Times New Roman"/>
                <w:b/>
                <w:spacing w:val="-1"/>
                <w:lang w:val="lt-LT"/>
              </w:rPr>
              <w:t xml:space="preserve"> 25</w:t>
            </w:r>
            <w:r>
              <w:rPr>
                <w:rFonts w:ascii="Times New Roman" w:hAnsi="Times New Roman"/>
                <w:b/>
                <w:spacing w:val="-1"/>
                <w:lang w:val="lt-LT"/>
              </w:rPr>
              <w:t>9</w:t>
            </w:r>
          </w:p>
        </w:tc>
        <w:tc>
          <w:tcPr>
            <w:tcW w:w="1701" w:type="dxa"/>
            <w:tcBorders>
              <w:top w:val="single" w:sz="7" w:space="0" w:color="000000"/>
              <w:left w:val="single" w:sz="3" w:space="0" w:color="000000"/>
              <w:bottom w:val="single" w:sz="3" w:space="0" w:color="000000"/>
              <w:right w:val="single" w:sz="7" w:space="0" w:color="000000"/>
            </w:tcBorders>
          </w:tcPr>
          <w:p w14:paraId="4BE5F9C8" w14:textId="3E1B0FE3" w:rsidR="003A5C39" w:rsidRDefault="003A5C39" w:rsidP="00A64E52">
            <w:pPr>
              <w:pStyle w:val="TableParagraph"/>
              <w:jc w:val="center"/>
              <w:rPr>
                <w:rFonts w:ascii="Times New Roman" w:hAnsi="Times New Roman"/>
                <w:b/>
                <w:lang w:val="lt-LT"/>
              </w:rPr>
            </w:pPr>
            <w:r w:rsidRPr="00914766">
              <w:rPr>
                <w:rFonts w:ascii="Times New Roman" w:eastAsia="Times New Roman" w:hAnsi="Times New Roman"/>
                <w:b/>
                <w:bCs/>
                <w:szCs w:val="20"/>
                <w:lang w:val="lt-LT" w:eastAsia="sl-SI"/>
              </w:rPr>
              <w:t>Dažnio kategorija, kai dažnis didžiausias</w:t>
            </w:r>
          </w:p>
        </w:tc>
      </w:tr>
      <w:tr w:rsidR="003A5C39" w:rsidRPr="002E32EF" w14:paraId="05690E3A" w14:textId="50AC452C" w:rsidTr="00E35BE6">
        <w:trPr>
          <w:trHeight w:hRule="exact" w:val="584"/>
        </w:trPr>
        <w:tc>
          <w:tcPr>
            <w:tcW w:w="3164" w:type="dxa"/>
            <w:tcBorders>
              <w:top w:val="single" w:sz="3" w:space="0" w:color="000000"/>
              <w:left w:val="single" w:sz="7" w:space="0" w:color="000000"/>
              <w:bottom w:val="single" w:sz="3" w:space="0" w:color="000000"/>
              <w:right w:val="single" w:sz="3" w:space="0" w:color="000000"/>
            </w:tcBorders>
          </w:tcPr>
          <w:p w14:paraId="13883069" w14:textId="77777777" w:rsidR="003A5C39" w:rsidRPr="00D3564A" w:rsidRDefault="003A5C39" w:rsidP="00D3564A">
            <w:pPr>
              <w:pStyle w:val="TableParagraph"/>
              <w:rPr>
                <w:rFonts w:ascii="Times New Roman" w:hAnsi="Times New Roman"/>
              </w:rPr>
            </w:pPr>
          </w:p>
          <w:p w14:paraId="6AB5E1B7" w14:textId="77777777" w:rsidR="003A5C39" w:rsidRPr="00D3564A" w:rsidRDefault="003A5C39" w:rsidP="00D3564A">
            <w:pPr>
              <w:pStyle w:val="TableParagraph"/>
              <w:rPr>
                <w:rFonts w:ascii="Times New Roman" w:hAnsi="Times New Roman"/>
              </w:rPr>
            </w:pPr>
            <w:r w:rsidRPr="00D3564A">
              <w:rPr>
                <w:rFonts w:ascii="Times New Roman" w:hAnsi="Times New Roman"/>
                <w:b/>
                <w:spacing w:val="-1"/>
                <w:lang w:val="lt-LT"/>
              </w:rPr>
              <w:t>NCI-CTC laipsniai</w:t>
            </w:r>
          </w:p>
        </w:tc>
        <w:tc>
          <w:tcPr>
            <w:tcW w:w="974" w:type="dxa"/>
            <w:tcBorders>
              <w:top w:val="single" w:sz="3" w:space="0" w:color="000000"/>
              <w:left w:val="single" w:sz="3" w:space="0" w:color="000000"/>
              <w:bottom w:val="single" w:sz="3" w:space="0" w:color="000000"/>
              <w:right w:val="single" w:sz="3" w:space="0" w:color="000000"/>
            </w:tcBorders>
          </w:tcPr>
          <w:p w14:paraId="5EA124D0" w14:textId="77777777" w:rsidR="003A5C39" w:rsidRPr="00D3564A" w:rsidRDefault="003A5C39" w:rsidP="00D3564A">
            <w:pPr>
              <w:pStyle w:val="TableParagraph"/>
              <w:ind w:firstLine="94"/>
              <w:rPr>
                <w:rFonts w:ascii="Times New Roman" w:hAnsi="Times New Roman"/>
              </w:rPr>
            </w:pPr>
            <w:r w:rsidRPr="00D3564A">
              <w:rPr>
                <w:rFonts w:ascii="Times New Roman" w:hAnsi="Times New Roman"/>
                <w:b/>
                <w:spacing w:val="-1"/>
                <w:lang w:val="lt-LT"/>
              </w:rPr>
              <w:t>Bet kuris</w:t>
            </w:r>
          </w:p>
        </w:tc>
        <w:tc>
          <w:tcPr>
            <w:tcW w:w="709" w:type="dxa"/>
            <w:tcBorders>
              <w:top w:val="single" w:sz="3" w:space="0" w:color="000000"/>
              <w:left w:val="single" w:sz="3" w:space="0" w:color="000000"/>
              <w:bottom w:val="single" w:sz="3" w:space="0" w:color="000000"/>
              <w:right w:val="single" w:sz="3" w:space="0" w:color="000000"/>
            </w:tcBorders>
          </w:tcPr>
          <w:p w14:paraId="670E18A6" w14:textId="77777777" w:rsidR="003A5C39" w:rsidRPr="00D3564A" w:rsidRDefault="003A5C39" w:rsidP="00D3564A">
            <w:pPr>
              <w:pStyle w:val="TableParagraph"/>
              <w:rPr>
                <w:rFonts w:ascii="Times New Roman" w:hAnsi="Times New Roman"/>
              </w:rPr>
            </w:pPr>
          </w:p>
          <w:p w14:paraId="22D49763"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3</w:t>
            </w:r>
          </w:p>
        </w:tc>
        <w:tc>
          <w:tcPr>
            <w:tcW w:w="708" w:type="dxa"/>
            <w:tcBorders>
              <w:top w:val="single" w:sz="3" w:space="0" w:color="000000"/>
              <w:left w:val="single" w:sz="3" w:space="0" w:color="000000"/>
              <w:bottom w:val="single" w:sz="3" w:space="0" w:color="000000"/>
              <w:right w:val="single" w:sz="3" w:space="0" w:color="000000"/>
            </w:tcBorders>
          </w:tcPr>
          <w:p w14:paraId="50C066D6" w14:textId="77777777" w:rsidR="003A5C39" w:rsidRPr="00D3564A" w:rsidRDefault="003A5C39" w:rsidP="00D3564A">
            <w:pPr>
              <w:pStyle w:val="TableParagraph"/>
              <w:rPr>
                <w:rFonts w:ascii="Times New Roman" w:hAnsi="Times New Roman"/>
              </w:rPr>
            </w:pPr>
          </w:p>
          <w:p w14:paraId="00361097"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4</w:t>
            </w:r>
          </w:p>
        </w:tc>
        <w:tc>
          <w:tcPr>
            <w:tcW w:w="993" w:type="dxa"/>
            <w:tcBorders>
              <w:top w:val="single" w:sz="3" w:space="0" w:color="000000"/>
              <w:left w:val="single" w:sz="3" w:space="0" w:color="000000"/>
              <w:bottom w:val="single" w:sz="3" w:space="0" w:color="000000"/>
              <w:right w:val="single" w:sz="3" w:space="0" w:color="000000"/>
            </w:tcBorders>
          </w:tcPr>
          <w:p w14:paraId="35271319" w14:textId="77777777" w:rsidR="003A5C39" w:rsidRPr="00D3564A" w:rsidRDefault="003A5C39" w:rsidP="00D3564A">
            <w:pPr>
              <w:pStyle w:val="TableParagraph"/>
              <w:ind w:firstLine="94"/>
              <w:rPr>
                <w:rFonts w:ascii="Times New Roman" w:hAnsi="Times New Roman"/>
              </w:rPr>
            </w:pPr>
            <w:r w:rsidRPr="00D3564A">
              <w:rPr>
                <w:rFonts w:ascii="Times New Roman" w:hAnsi="Times New Roman"/>
                <w:b/>
                <w:spacing w:val="-1"/>
                <w:lang w:val="lt-LT"/>
              </w:rPr>
              <w:t>Bet kuris</w:t>
            </w:r>
          </w:p>
        </w:tc>
        <w:tc>
          <w:tcPr>
            <w:tcW w:w="708" w:type="dxa"/>
            <w:tcBorders>
              <w:top w:val="single" w:sz="3" w:space="0" w:color="000000"/>
              <w:left w:val="single" w:sz="3" w:space="0" w:color="000000"/>
              <w:bottom w:val="single" w:sz="3" w:space="0" w:color="000000"/>
              <w:right w:val="single" w:sz="3" w:space="0" w:color="000000"/>
            </w:tcBorders>
          </w:tcPr>
          <w:p w14:paraId="3714804C" w14:textId="77777777" w:rsidR="003A5C39" w:rsidRPr="00D3564A" w:rsidRDefault="003A5C39" w:rsidP="00D3564A">
            <w:pPr>
              <w:pStyle w:val="TableParagraph"/>
              <w:rPr>
                <w:rFonts w:ascii="Times New Roman" w:hAnsi="Times New Roman"/>
              </w:rPr>
            </w:pPr>
          </w:p>
          <w:p w14:paraId="288AC026"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3</w:t>
            </w:r>
          </w:p>
        </w:tc>
        <w:tc>
          <w:tcPr>
            <w:tcW w:w="709" w:type="dxa"/>
            <w:tcBorders>
              <w:top w:val="single" w:sz="3" w:space="0" w:color="000000"/>
              <w:left w:val="single" w:sz="3" w:space="0" w:color="000000"/>
              <w:bottom w:val="single" w:sz="3" w:space="0" w:color="000000"/>
              <w:right w:val="single" w:sz="7" w:space="0" w:color="000000"/>
            </w:tcBorders>
          </w:tcPr>
          <w:p w14:paraId="6DFA31CA" w14:textId="77777777" w:rsidR="003A5C39" w:rsidRPr="00D3564A" w:rsidRDefault="003A5C39" w:rsidP="00D3564A">
            <w:pPr>
              <w:pStyle w:val="TableParagraph"/>
              <w:rPr>
                <w:rFonts w:ascii="Times New Roman" w:hAnsi="Times New Roman"/>
              </w:rPr>
            </w:pPr>
          </w:p>
          <w:p w14:paraId="3255173B"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4</w:t>
            </w:r>
          </w:p>
        </w:tc>
        <w:tc>
          <w:tcPr>
            <w:tcW w:w="1701" w:type="dxa"/>
            <w:tcBorders>
              <w:top w:val="single" w:sz="3" w:space="0" w:color="000000"/>
              <w:left w:val="single" w:sz="3" w:space="0" w:color="000000"/>
              <w:bottom w:val="single" w:sz="3" w:space="0" w:color="000000"/>
              <w:right w:val="single" w:sz="7" w:space="0" w:color="000000"/>
            </w:tcBorders>
          </w:tcPr>
          <w:p w14:paraId="7BE688D0" w14:textId="77777777" w:rsidR="003A5C39" w:rsidRPr="00D3564A" w:rsidRDefault="003A5C39" w:rsidP="00E35BE6">
            <w:pPr>
              <w:pStyle w:val="TableParagraph"/>
              <w:jc w:val="center"/>
              <w:rPr>
                <w:rFonts w:ascii="Times New Roman" w:hAnsi="Times New Roman"/>
              </w:rPr>
            </w:pPr>
          </w:p>
        </w:tc>
      </w:tr>
      <w:tr w:rsidR="003A5C39" w:rsidRPr="002E32EF" w14:paraId="2F3EC310" w14:textId="561B9FFA" w:rsidTr="00E35BE6">
        <w:trPr>
          <w:trHeight w:hRule="exact" w:val="355"/>
        </w:trPr>
        <w:tc>
          <w:tcPr>
            <w:tcW w:w="3164" w:type="dxa"/>
            <w:tcBorders>
              <w:top w:val="single" w:sz="3" w:space="0" w:color="000000"/>
              <w:left w:val="single" w:sz="7" w:space="0" w:color="000000"/>
              <w:bottom w:val="single" w:sz="3" w:space="0" w:color="000000"/>
              <w:right w:val="single" w:sz="3" w:space="0" w:color="000000"/>
            </w:tcBorders>
          </w:tcPr>
          <w:p w14:paraId="2A5367BE" w14:textId="77777777" w:rsidR="003A5C39" w:rsidRPr="00D3564A" w:rsidRDefault="003A5C39" w:rsidP="00D3564A">
            <w:pPr>
              <w:pStyle w:val="TableParagraph"/>
              <w:rPr>
                <w:rFonts w:ascii="Times New Roman" w:hAnsi="Times New Roman"/>
              </w:rPr>
            </w:pPr>
            <w:r w:rsidRPr="00D3564A">
              <w:rPr>
                <w:rFonts w:ascii="Times New Roman" w:hAnsi="Times New Roman"/>
                <w:b/>
                <w:spacing w:val="-1"/>
                <w:lang w:val="lt-LT"/>
              </w:rPr>
              <w:t>MedDRA siūlomi terminai</w:t>
            </w:r>
          </w:p>
        </w:tc>
        <w:tc>
          <w:tcPr>
            <w:tcW w:w="974" w:type="dxa"/>
            <w:tcBorders>
              <w:top w:val="single" w:sz="3" w:space="0" w:color="000000"/>
              <w:left w:val="single" w:sz="3" w:space="0" w:color="000000"/>
              <w:bottom w:val="single" w:sz="3" w:space="0" w:color="000000"/>
              <w:right w:val="single" w:sz="3" w:space="0" w:color="000000"/>
            </w:tcBorders>
          </w:tcPr>
          <w:p w14:paraId="5CBF9EFE"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w:t>
            </w:r>
          </w:p>
        </w:tc>
        <w:tc>
          <w:tcPr>
            <w:tcW w:w="709" w:type="dxa"/>
            <w:tcBorders>
              <w:top w:val="single" w:sz="3" w:space="0" w:color="000000"/>
              <w:left w:val="single" w:sz="3" w:space="0" w:color="000000"/>
              <w:bottom w:val="single" w:sz="3" w:space="0" w:color="000000"/>
              <w:right w:val="single" w:sz="3" w:space="0" w:color="000000"/>
            </w:tcBorders>
          </w:tcPr>
          <w:p w14:paraId="3E434E3D"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w:t>
            </w:r>
          </w:p>
        </w:tc>
        <w:tc>
          <w:tcPr>
            <w:tcW w:w="708" w:type="dxa"/>
            <w:tcBorders>
              <w:top w:val="single" w:sz="3" w:space="0" w:color="000000"/>
              <w:left w:val="single" w:sz="3" w:space="0" w:color="000000"/>
              <w:bottom w:val="single" w:sz="3" w:space="0" w:color="000000"/>
              <w:right w:val="single" w:sz="3" w:space="0" w:color="000000"/>
            </w:tcBorders>
          </w:tcPr>
          <w:p w14:paraId="371D5D71"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w:t>
            </w:r>
          </w:p>
        </w:tc>
        <w:tc>
          <w:tcPr>
            <w:tcW w:w="993" w:type="dxa"/>
            <w:tcBorders>
              <w:top w:val="single" w:sz="3" w:space="0" w:color="000000"/>
              <w:left w:val="single" w:sz="3" w:space="0" w:color="000000"/>
              <w:bottom w:val="single" w:sz="3" w:space="0" w:color="000000"/>
              <w:right w:val="single" w:sz="3" w:space="0" w:color="000000"/>
            </w:tcBorders>
          </w:tcPr>
          <w:p w14:paraId="7C968560"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w:t>
            </w:r>
          </w:p>
        </w:tc>
        <w:tc>
          <w:tcPr>
            <w:tcW w:w="708" w:type="dxa"/>
            <w:tcBorders>
              <w:top w:val="single" w:sz="3" w:space="0" w:color="000000"/>
              <w:left w:val="single" w:sz="3" w:space="0" w:color="000000"/>
              <w:bottom w:val="single" w:sz="3" w:space="0" w:color="000000"/>
              <w:right w:val="single" w:sz="3" w:space="0" w:color="000000"/>
            </w:tcBorders>
          </w:tcPr>
          <w:p w14:paraId="35879F19"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w:t>
            </w:r>
          </w:p>
        </w:tc>
        <w:tc>
          <w:tcPr>
            <w:tcW w:w="709" w:type="dxa"/>
            <w:tcBorders>
              <w:top w:val="single" w:sz="3" w:space="0" w:color="000000"/>
              <w:left w:val="single" w:sz="3" w:space="0" w:color="000000"/>
              <w:bottom w:val="single" w:sz="3" w:space="0" w:color="000000"/>
              <w:right w:val="single" w:sz="7" w:space="0" w:color="000000"/>
            </w:tcBorders>
          </w:tcPr>
          <w:p w14:paraId="2EEF593A"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b/>
                <w:lang w:val="lt-LT"/>
              </w:rPr>
              <w:t>%</w:t>
            </w:r>
          </w:p>
        </w:tc>
        <w:tc>
          <w:tcPr>
            <w:tcW w:w="1701" w:type="dxa"/>
            <w:tcBorders>
              <w:top w:val="single" w:sz="3" w:space="0" w:color="000000"/>
              <w:left w:val="single" w:sz="3" w:space="0" w:color="000000"/>
              <w:bottom w:val="single" w:sz="3" w:space="0" w:color="000000"/>
              <w:right w:val="single" w:sz="7" w:space="0" w:color="000000"/>
            </w:tcBorders>
          </w:tcPr>
          <w:p w14:paraId="7CD522F1" w14:textId="77777777" w:rsidR="003A5C39" w:rsidRPr="00D3564A" w:rsidRDefault="003A5C39" w:rsidP="00A64E52">
            <w:pPr>
              <w:pStyle w:val="TableParagraph"/>
              <w:jc w:val="center"/>
              <w:rPr>
                <w:rFonts w:ascii="Times New Roman" w:hAnsi="Times New Roman"/>
                <w:b/>
                <w:lang w:val="lt-LT"/>
              </w:rPr>
            </w:pPr>
          </w:p>
        </w:tc>
      </w:tr>
      <w:tr w:rsidR="003A5C39" w:rsidRPr="002E32EF" w14:paraId="6DB6DAA8" w14:textId="0B8ACDBB" w:rsidTr="00E35BE6">
        <w:trPr>
          <w:trHeight w:hRule="exact" w:val="644"/>
        </w:trPr>
        <w:tc>
          <w:tcPr>
            <w:tcW w:w="3164" w:type="dxa"/>
            <w:tcBorders>
              <w:top w:val="single" w:sz="3" w:space="0" w:color="000000"/>
              <w:left w:val="single" w:sz="7" w:space="0" w:color="000000"/>
              <w:bottom w:val="single" w:sz="3" w:space="0" w:color="000000"/>
              <w:right w:val="single" w:sz="3" w:space="0" w:color="000000"/>
            </w:tcBorders>
          </w:tcPr>
          <w:p w14:paraId="15F87E6A" w14:textId="77777777" w:rsidR="003A5C39" w:rsidRPr="00D3564A" w:rsidRDefault="003A5C39" w:rsidP="00D3564A">
            <w:pPr>
              <w:pStyle w:val="TableParagraph"/>
              <w:rPr>
                <w:rFonts w:ascii="Times New Roman" w:hAnsi="Times New Roman"/>
              </w:rPr>
            </w:pPr>
            <w:r w:rsidRPr="00D3564A">
              <w:rPr>
                <w:rFonts w:ascii="Times New Roman" w:hAnsi="Times New Roman"/>
                <w:i/>
                <w:spacing w:val="-1"/>
                <w:lang w:val="lt-LT"/>
              </w:rPr>
              <w:t>Infekcijos ir infestacijos</w:t>
            </w:r>
          </w:p>
          <w:p w14:paraId="79167109" w14:textId="77777777" w:rsidR="003A5C39" w:rsidRPr="00D3564A" w:rsidRDefault="003A5C39" w:rsidP="00D3564A">
            <w:pPr>
              <w:pStyle w:val="TableParagraph"/>
              <w:rPr>
                <w:rFonts w:ascii="Times New Roman" w:hAnsi="Times New Roman"/>
              </w:rPr>
            </w:pPr>
            <w:r w:rsidRPr="00D3564A">
              <w:rPr>
                <w:rFonts w:ascii="Times New Roman" w:hAnsi="Times New Roman"/>
                <w:spacing w:val="-1"/>
                <w:lang w:val="lt-LT"/>
              </w:rPr>
              <w:t>Infekcijos</w:t>
            </w:r>
            <w:r w:rsidRPr="00D3564A">
              <w:rPr>
                <w:rFonts w:ascii="Times New Roman" w:hAnsi="Times New Roman"/>
                <w:spacing w:val="-1"/>
                <w:vertAlign w:val="superscript"/>
                <w:lang w:val="lt-LT"/>
              </w:rPr>
              <w:t>*</w:t>
            </w:r>
          </w:p>
        </w:tc>
        <w:tc>
          <w:tcPr>
            <w:tcW w:w="974" w:type="dxa"/>
            <w:tcBorders>
              <w:top w:val="single" w:sz="3" w:space="0" w:color="000000"/>
              <w:left w:val="single" w:sz="3" w:space="0" w:color="000000"/>
              <w:bottom w:val="single" w:sz="3" w:space="0" w:color="000000"/>
              <w:right w:val="single" w:sz="3" w:space="0" w:color="000000"/>
            </w:tcBorders>
          </w:tcPr>
          <w:p w14:paraId="6CFB5FE0" w14:textId="77777777" w:rsidR="003A5C39" w:rsidRPr="00D3564A" w:rsidRDefault="003A5C39" w:rsidP="00D3564A">
            <w:pPr>
              <w:pStyle w:val="TableParagraph"/>
              <w:rPr>
                <w:rFonts w:ascii="Times New Roman" w:hAnsi="Times New Roman"/>
              </w:rPr>
            </w:pPr>
          </w:p>
          <w:p w14:paraId="029A0D17" w14:textId="41CAFA6F" w:rsidR="003A5C39" w:rsidRPr="00D3564A" w:rsidRDefault="003A5C39" w:rsidP="00D3564A">
            <w:pPr>
              <w:pStyle w:val="TableParagraph"/>
              <w:jc w:val="center"/>
              <w:rPr>
                <w:rFonts w:ascii="Times New Roman" w:hAnsi="Times New Roman"/>
              </w:rPr>
            </w:pPr>
            <w:r>
              <w:rPr>
                <w:rFonts w:ascii="Times New Roman" w:hAnsi="Times New Roman"/>
                <w:lang w:val="lt-LT"/>
              </w:rPr>
              <w:t>24</w:t>
            </w:r>
          </w:p>
        </w:tc>
        <w:tc>
          <w:tcPr>
            <w:tcW w:w="709" w:type="dxa"/>
            <w:tcBorders>
              <w:top w:val="single" w:sz="3" w:space="0" w:color="000000"/>
              <w:left w:val="single" w:sz="3" w:space="0" w:color="000000"/>
              <w:bottom w:val="single" w:sz="3" w:space="0" w:color="000000"/>
              <w:right w:val="single" w:sz="3" w:space="0" w:color="000000"/>
            </w:tcBorders>
          </w:tcPr>
          <w:p w14:paraId="6AF4D071" w14:textId="77777777" w:rsidR="003A5C39" w:rsidRPr="00D3564A" w:rsidRDefault="003A5C39" w:rsidP="00D3564A">
            <w:pPr>
              <w:pStyle w:val="TableParagraph"/>
              <w:rPr>
                <w:rFonts w:ascii="Times New Roman" w:hAnsi="Times New Roman"/>
              </w:rPr>
            </w:pPr>
          </w:p>
          <w:p w14:paraId="4CED7BE2" w14:textId="22F651B0" w:rsidR="003A5C39" w:rsidRPr="00D3564A" w:rsidRDefault="003A5C39" w:rsidP="00D3564A">
            <w:pPr>
              <w:pStyle w:val="TableParagraph"/>
              <w:jc w:val="center"/>
              <w:rPr>
                <w:rFonts w:ascii="Times New Roman" w:hAnsi="Times New Roman"/>
              </w:rPr>
            </w:pPr>
            <w:r>
              <w:rPr>
                <w:rFonts w:ascii="Times New Roman" w:hAnsi="Times New Roman"/>
                <w:lang w:val="lt-LT"/>
              </w:rPr>
              <w:t>4</w:t>
            </w:r>
          </w:p>
        </w:tc>
        <w:tc>
          <w:tcPr>
            <w:tcW w:w="708" w:type="dxa"/>
            <w:tcBorders>
              <w:top w:val="single" w:sz="3" w:space="0" w:color="000000"/>
              <w:left w:val="single" w:sz="3" w:space="0" w:color="000000"/>
              <w:bottom w:val="single" w:sz="3" w:space="0" w:color="000000"/>
              <w:right w:val="single" w:sz="3" w:space="0" w:color="000000"/>
            </w:tcBorders>
          </w:tcPr>
          <w:p w14:paraId="4DB66F2F" w14:textId="77777777" w:rsidR="003A5C39" w:rsidRPr="00D3564A" w:rsidRDefault="003A5C39" w:rsidP="00D3564A">
            <w:pPr>
              <w:pStyle w:val="TableParagraph"/>
              <w:rPr>
                <w:rFonts w:ascii="Times New Roman" w:hAnsi="Times New Roman"/>
              </w:rPr>
            </w:pPr>
          </w:p>
          <w:p w14:paraId="6AD42EFF" w14:textId="5EA88CDA" w:rsidR="003A5C39" w:rsidRPr="00D3564A" w:rsidRDefault="003A5C39" w:rsidP="00D3564A">
            <w:pPr>
              <w:pStyle w:val="TableParagraph"/>
              <w:jc w:val="center"/>
              <w:rPr>
                <w:rFonts w:ascii="Times New Roman" w:hAnsi="Times New Roman"/>
              </w:rPr>
            </w:pPr>
            <w:r>
              <w:rPr>
                <w:rFonts w:ascii="Times New Roman" w:hAnsi="Times New Roman"/>
                <w:lang w:val="lt-LT"/>
              </w:rPr>
              <w:t>0</w:t>
            </w:r>
          </w:p>
        </w:tc>
        <w:tc>
          <w:tcPr>
            <w:tcW w:w="993" w:type="dxa"/>
            <w:tcBorders>
              <w:top w:val="single" w:sz="3" w:space="0" w:color="000000"/>
              <w:left w:val="single" w:sz="3" w:space="0" w:color="000000"/>
              <w:bottom w:val="single" w:sz="3" w:space="0" w:color="000000"/>
              <w:right w:val="single" w:sz="3" w:space="0" w:color="000000"/>
            </w:tcBorders>
          </w:tcPr>
          <w:p w14:paraId="691BCD11" w14:textId="77777777" w:rsidR="003A5C39" w:rsidRPr="00D3564A" w:rsidRDefault="003A5C39" w:rsidP="00D3564A">
            <w:pPr>
              <w:pStyle w:val="TableParagraph"/>
              <w:rPr>
                <w:rFonts w:ascii="Times New Roman" w:hAnsi="Times New Roman"/>
              </w:rPr>
            </w:pPr>
          </w:p>
          <w:p w14:paraId="6A96FCAF" w14:textId="03305EB7" w:rsidR="003A5C39" w:rsidRPr="00D3564A" w:rsidRDefault="003A5C39" w:rsidP="00D3564A">
            <w:pPr>
              <w:pStyle w:val="TableParagraph"/>
              <w:jc w:val="center"/>
              <w:rPr>
                <w:rFonts w:ascii="Times New Roman" w:hAnsi="Times New Roman"/>
              </w:rPr>
            </w:pPr>
            <w:r>
              <w:rPr>
                <w:rFonts w:ascii="Times New Roman" w:hAnsi="Times New Roman"/>
                <w:lang w:val="lt-LT"/>
              </w:rPr>
              <w:t>31</w:t>
            </w:r>
          </w:p>
        </w:tc>
        <w:tc>
          <w:tcPr>
            <w:tcW w:w="708" w:type="dxa"/>
            <w:tcBorders>
              <w:top w:val="single" w:sz="3" w:space="0" w:color="000000"/>
              <w:left w:val="single" w:sz="3" w:space="0" w:color="000000"/>
              <w:bottom w:val="single" w:sz="3" w:space="0" w:color="000000"/>
              <w:right w:val="single" w:sz="3" w:space="0" w:color="000000"/>
            </w:tcBorders>
          </w:tcPr>
          <w:p w14:paraId="3D68BAEA" w14:textId="77777777" w:rsidR="003A5C39" w:rsidRPr="00D3564A" w:rsidRDefault="003A5C39" w:rsidP="00D3564A">
            <w:pPr>
              <w:pStyle w:val="TableParagraph"/>
              <w:rPr>
                <w:rFonts w:ascii="Times New Roman" w:hAnsi="Times New Roman"/>
              </w:rPr>
            </w:pPr>
          </w:p>
          <w:p w14:paraId="75D767B7" w14:textId="71AE4BF3" w:rsidR="003A5C39" w:rsidRPr="00D3564A" w:rsidRDefault="003A5C39" w:rsidP="00D3564A">
            <w:pPr>
              <w:pStyle w:val="TableParagraph"/>
              <w:jc w:val="center"/>
              <w:rPr>
                <w:rFonts w:ascii="Times New Roman" w:hAnsi="Times New Roman"/>
              </w:rPr>
            </w:pPr>
            <w:r>
              <w:rPr>
                <w:rFonts w:ascii="Times New Roman" w:hAnsi="Times New Roman"/>
                <w:lang w:val="lt-LT"/>
              </w:rPr>
              <w:t>3</w:t>
            </w:r>
          </w:p>
        </w:tc>
        <w:tc>
          <w:tcPr>
            <w:tcW w:w="709" w:type="dxa"/>
            <w:tcBorders>
              <w:top w:val="single" w:sz="3" w:space="0" w:color="000000"/>
              <w:left w:val="single" w:sz="3" w:space="0" w:color="000000"/>
              <w:bottom w:val="single" w:sz="3" w:space="0" w:color="000000"/>
              <w:right w:val="single" w:sz="7" w:space="0" w:color="000000"/>
            </w:tcBorders>
          </w:tcPr>
          <w:p w14:paraId="63B2C6F9" w14:textId="77777777" w:rsidR="003A5C39" w:rsidRPr="00D3564A" w:rsidRDefault="003A5C39" w:rsidP="00D3564A">
            <w:pPr>
              <w:pStyle w:val="TableParagraph"/>
              <w:rPr>
                <w:rFonts w:ascii="Times New Roman" w:hAnsi="Times New Roman"/>
              </w:rPr>
            </w:pPr>
          </w:p>
          <w:p w14:paraId="5C882316" w14:textId="77777777" w:rsidR="003A5C39" w:rsidRPr="00D3564A" w:rsidRDefault="003A5C39" w:rsidP="00D3564A">
            <w:pPr>
              <w:pStyle w:val="TableParagraph"/>
              <w:jc w:val="center"/>
              <w:rPr>
                <w:rFonts w:ascii="Times New Roman" w:hAnsi="Times New Roman"/>
              </w:rPr>
            </w:pPr>
            <w:r w:rsidRPr="00D3564A">
              <w:rPr>
                <w:rFonts w:ascii="Times New Roman" w:hAnsi="Times New Roman"/>
                <w:lang w:val="lt-LT"/>
              </w:rPr>
              <w:t>&lt;1</w:t>
            </w:r>
          </w:p>
        </w:tc>
        <w:tc>
          <w:tcPr>
            <w:tcW w:w="1701" w:type="dxa"/>
            <w:tcBorders>
              <w:top w:val="single" w:sz="3" w:space="0" w:color="000000"/>
              <w:left w:val="single" w:sz="3" w:space="0" w:color="000000"/>
              <w:bottom w:val="single" w:sz="3" w:space="0" w:color="000000"/>
              <w:right w:val="single" w:sz="7" w:space="0" w:color="000000"/>
            </w:tcBorders>
          </w:tcPr>
          <w:p w14:paraId="48815455" w14:textId="77777777" w:rsidR="003A5C39" w:rsidRDefault="003A5C39" w:rsidP="00E35BE6">
            <w:pPr>
              <w:pStyle w:val="TableParagraph"/>
              <w:jc w:val="center"/>
              <w:rPr>
                <w:rFonts w:ascii="Times New Roman" w:hAnsi="Times New Roman"/>
              </w:rPr>
            </w:pPr>
          </w:p>
          <w:p w14:paraId="67034165" w14:textId="1C98246E" w:rsidR="003A5C39" w:rsidRPr="00E35BE6" w:rsidRDefault="003A5C39" w:rsidP="00E35BE6">
            <w:pPr>
              <w:pStyle w:val="TableParagraph"/>
              <w:jc w:val="center"/>
              <w:rPr>
                <w:rFonts w:ascii="Times New Roman" w:hAnsi="Times New Roman"/>
                <w:lang w:val="lt-LT"/>
              </w:rPr>
            </w:pPr>
            <w:r>
              <w:rPr>
                <w:rFonts w:ascii="Times New Roman" w:hAnsi="Times New Roman"/>
              </w:rPr>
              <w:t>labai da</w:t>
            </w:r>
            <w:r>
              <w:rPr>
                <w:rFonts w:ascii="Times New Roman" w:hAnsi="Times New Roman"/>
                <w:lang w:val="lt-LT"/>
              </w:rPr>
              <w:t>žnas</w:t>
            </w:r>
          </w:p>
        </w:tc>
      </w:tr>
      <w:tr w:rsidR="0039347C" w:rsidRPr="002E32EF" w14:paraId="0189C518" w14:textId="02F09DF5" w:rsidTr="00E35BE6">
        <w:trPr>
          <w:trHeight w:hRule="exact" w:val="913"/>
        </w:trPr>
        <w:tc>
          <w:tcPr>
            <w:tcW w:w="3164" w:type="dxa"/>
            <w:tcBorders>
              <w:top w:val="single" w:sz="3" w:space="0" w:color="000000"/>
              <w:left w:val="single" w:sz="7" w:space="0" w:color="000000"/>
              <w:bottom w:val="single" w:sz="3" w:space="0" w:color="000000"/>
              <w:right w:val="single" w:sz="3" w:space="0" w:color="000000"/>
            </w:tcBorders>
          </w:tcPr>
          <w:p w14:paraId="1AEF4CCE" w14:textId="77777777" w:rsidR="0039347C" w:rsidRPr="00E35BE6" w:rsidRDefault="0039347C" w:rsidP="0039347C">
            <w:pPr>
              <w:pStyle w:val="TableParagraph"/>
              <w:rPr>
                <w:rFonts w:ascii="Times New Roman" w:hAnsi="Times New Roman"/>
                <w:lang w:val="lt-LT"/>
              </w:rPr>
            </w:pPr>
            <w:r w:rsidRPr="00D3564A">
              <w:rPr>
                <w:rFonts w:ascii="Times New Roman" w:hAnsi="Times New Roman"/>
                <w:i/>
                <w:spacing w:val="-1"/>
                <w:lang w:val="lt-LT"/>
              </w:rPr>
              <w:t>Metabolizmo ir mitybos sutrikimai</w:t>
            </w:r>
          </w:p>
          <w:p w14:paraId="74072837" w14:textId="29A055DD" w:rsidR="0039347C" w:rsidRDefault="0039347C" w:rsidP="0039347C">
            <w:pPr>
              <w:pStyle w:val="TableParagraph"/>
              <w:rPr>
                <w:rFonts w:ascii="Times New Roman" w:hAnsi="Times New Roman"/>
                <w:spacing w:val="-1"/>
                <w:lang w:val="lt-LT"/>
              </w:rPr>
            </w:pPr>
            <w:r>
              <w:rPr>
                <w:rFonts w:ascii="Times New Roman" w:hAnsi="Times New Roman"/>
                <w:spacing w:val="-1"/>
                <w:lang w:val="lt-LT"/>
              </w:rPr>
              <w:t>Anoreksija</w:t>
            </w:r>
          </w:p>
          <w:p w14:paraId="6962325B" w14:textId="4B82CD34" w:rsidR="0039347C" w:rsidRPr="00E35BE6" w:rsidRDefault="0039347C" w:rsidP="0039347C">
            <w:pPr>
              <w:pStyle w:val="TableParagraph"/>
              <w:rPr>
                <w:rFonts w:ascii="Times New Roman" w:hAnsi="Times New Roman"/>
                <w:lang w:val="lt-LT"/>
              </w:rPr>
            </w:pPr>
            <w:r w:rsidRPr="00D3564A">
              <w:rPr>
                <w:rFonts w:ascii="Times New Roman" w:hAnsi="Times New Roman"/>
                <w:spacing w:val="-1"/>
                <w:lang w:val="lt-LT"/>
              </w:rPr>
              <w:t>Svorio sumažėjimas</w:t>
            </w:r>
          </w:p>
        </w:tc>
        <w:tc>
          <w:tcPr>
            <w:tcW w:w="974" w:type="dxa"/>
            <w:tcBorders>
              <w:top w:val="single" w:sz="3" w:space="0" w:color="000000"/>
              <w:left w:val="single" w:sz="3" w:space="0" w:color="000000"/>
              <w:bottom w:val="single" w:sz="3" w:space="0" w:color="000000"/>
              <w:right w:val="single" w:sz="3" w:space="0" w:color="000000"/>
            </w:tcBorders>
          </w:tcPr>
          <w:p w14:paraId="7732BDBF" w14:textId="77777777" w:rsidR="0039347C" w:rsidRPr="00E35BE6" w:rsidRDefault="0039347C" w:rsidP="0039347C">
            <w:pPr>
              <w:pStyle w:val="TableParagraph"/>
              <w:rPr>
                <w:rFonts w:ascii="Times New Roman" w:hAnsi="Times New Roman"/>
                <w:lang w:val="lt-LT"/>
              </w:rPr>
            </w:pPr>
          </w:p>
          <w:p w14:paraId="25B36C79" w14:textId="46A48F55" w:rsidR="0039347C" w:rsidRDefault="0039347C" w:rsidP="0039347C">
            <w:pPr>
              <w:pStyle w:val="TableParagraph"/>
              <w:jc w:val="center"/>
              <w:rPr>
                <w:rFonts w:ascii="Times New Roman" w:hAnsi="Times New Roman"/>
                <w:lang w:val="lt-LT"/>
              </w:rPr>
            </w:pPr>
            <w:r>
              <w:rPr>
                <w:rFonts w:ascii="Times New Roman" w:hAnsi="Times New Roman"/>
                <w:lang w:val="lt-LT"/>
              </w:rPr>
              <w:t>52</w:t>
            </w:r>
          </w:p>
          <w:p w14:paraId="70A64FC8" w14:textId="6F552091"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709" w:type="dxa"/>
            <w:tcBorders>
              <w:top w:val="single" w:sz="3" w:space="0" w:color="000000"/>
              <w:left w:val="single" w:sz="3" w:space="0" w:color="000000"/>
              <w:bottom w:val="single" w:sz="3" w:space="0" w:color="000000"/>
              <w:right w:val="single" w:sz="3" w:space="0" w:color="000000"/>
            </w:tcBorders>
          </w:tcPr>
          <w:p w14:paraId="374F8E30" w14:textId="77777777" w:rsidR="0039347C" w:rsidRPr="00D3564A" w:rsidRDefault="0039347C" w:rsidP="0039347C">
            <w:pPr>
              <w:pStyle w:val="TableParagraph"/>
              <w:rPr>
                <w:rFonts w:ascii="Times New Roman" w:hAnsi="Times New Roman"/>
              </w:rPr>
            </w:pPr>
          </w:p>
          <w:p w14:paraId="471523DB" w14:textId="321B8992" w:rsidR="0039347C" w:rsidRDefault="0039347C" w:rsidP="0039347C">
            <w:pPr>
              <w:pStyle w:val="TableParagraph"/>
              <w:jc w:val="center"/>
              <w:rPr>
                <w:rFonts w:ascii="Times New Roman" w:hAnsi="Times New Roman"/>
                <w:lang w:val="lt-LT"/>
              </w:rPr>
            </w:pPr>
            <w:r>
              <w:rPr>
                <w:rFonts w:ascii="Times New Roman" w:hAnsi="Times New Roman"/>
                <w:lang w:val="lt-LT"/>
              </w:rPr>
              <w:t>8</w:t>
            </w:r>
          </w:p>
          <w:p w14:paraId="020E9BE3" w14:textId="110D67DF"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708" w:type="dxa"/>
            <w:tcBorders>
              <w:top w:val="single" w:sz="3" w:space="0" w:color="000000"/>
              <w:left w:val="single" w:sz="3" w:space="0" w:color="000000"/>
              <w:bottom w:val="single" w:sz="3" w:space="0" w:color="000000"/>
              <w:right w:val="single" w:sz="3" w:space="0" w:color="000000"/>
            </w:tcBorders>
          </w:tcPr>
          <w:p w14:paraId="057EFBC8" w14:textId="77777777" w:rsidR="0039347C" w:rsidRPr="00D3564A" w:rsidRDefault="0039347C" w:rsidP="0039347C">
            <w:pPr>
              <w:pStyle w:val="TableParagraph"/>
              <w:rPr>
                <w:rFonts w:ascii="Times New Roman" w:hAnsi="Times New Roman"/>
              </w:rPr>
            </w:pPr>
          </w:p>
          <w:p w14:paraId="627617FB" w14:textId="657969C6" w:rsidR="0039347C" w:rsidRDefault="0039347C" w:rsidP="0039347C">
            <w:pPr>
              <w:pStyle w:val="TableParagraph"/>
              <w:jc w:val="center"/>
              <w:rPr>
                <w:rFonts w:ascii="Times New Roman" w:hAnsi="Times New Roman"/>
                <w:lang w:val="lt-LT"/>
              </w:rPr>
            </w:pPr>
            <w:r>
              <w:rPr>
                <w:rFonts w:ascii="Times New Roman" w:hAnsi="Times New Roman"/>
                <w:lang w:val="lt-LT"/>
              </w:rPr>
              <w:t>1</w:t>
            </w:r>
          </w:p>
          <w:p w14:paraId="738DD07E" w14:textId="6782E98C"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993" w:type="dxa"/>
            <w:tcBorders>
              <w:top w:val="single" w:sz="3" w:space="0" w:color="000000"/>
              <w:left w:val="single" w:sz="3" w:space="0" w:color="000000"/>
              <w:bottom w:val="single" w:sz="3" w:space="0" w:color="000000"/>
              <w:right w:val="single" w:sz="3" w:space="0" w:color="000000"/>
            </w:tcBorders>
          </w:tcPr>
          <w:p w14:paraId="22846262" w14:textId="77777777" w:rsidR="0039347C" w:rsidRPr="00D3564A" w:rsidRDefault="0039347C" w:rsidP="0039347C">
            <w:pPr>
              <w:pStyle w:val="TableParagraph"/>
              <w:rPr>
                <w:rFonts w:ascii="Times New Roman" w:hAnsi="Times New Roman"/>
              </w:rPr>
            </w:pPr>
          </w:p>
          <w:p w14:paraId="5736DD41" w14:textId="7DDBB28F" w:rsidR="0039347C" w:rsidRDefault="0039347C" w:rsidP="0039347C">
            <w:pPr>
              <w:pStyle w:val="TableParagraph"/>
              <w:jc w:val="center"/>
              <w:rPr>
                <w:rFonts w:ascii="Times New Roman" w:hAnsi="Times New Roman"/>
                <w:lang w:val="lt-LT"/>
              </w:rPr>
            </w:pPr>
            <w:r>
              <w:rPr>
                <w:rFonts w:ascii="Times New Roman" w:hAnsi="Times New Roman"/>
                <w:lang w:val="lt-LT"/>
              </w:rPr>
              <w:t>-</w:t>
            </w:r>
          </w:p>
          <w:p w14:paraId="4BBF1474" w14:textId="2EFBC5A5" w:rsidR="0039347C" w:rsidRPr="00D3564A" w:rsidRDefault="0039347C" w:rsidP="0039347C">
            <w:pPr>
              <w:pStyle w:val="TableParagraph"/>
              <w:jc w:val="center"/>
              <w:rPr>
                <w:rFonts w:ascii="Times New Roman" w:hAnsi="Times New Roman"/>
              </w:rPr>
            </w:pPr>
            <w:r>
              <w:rPr>
                <w:rFonts w:ascii="Times New Roman" w:hAnsi="Times New Roman"/>
                <w:lang w:val="lt-LT"/>
              </w:rPr>
              <w:t>29</w:t>
            </w:r>
          </w:p>
        </w:tc>
        <w:tc>
          <w:tcPr>
            <w:tcW w:w="708" w:type="dxa"/>
            <w:tcBorders>
              <w:top w:val="single" w:sz="3" w:space="0" w:color="000000"/>
              <w:left w:val="single" w:sz="3" w:space="0" w:color="000000"/>
              <w:bottom w:val="single" w:sz="3" w:space="0" w:color="000000"/>
              <w:right w:val="single" w:sz="3" w:space="0" w:color="000000"/>
            </w:tcBorders>
          </w:tcPr>
          <w:p w14:paraId="7C809196" w14:textId="77777777" w:rsidR="0039347C" w:rsidRPr="00D3564A" w:rsidRDefault="0039347C" w:rsidP="0039347C">
            <w:pPr>
              <w:pStyle w:val="TableParagraph"/>
              <w:rPr>
                <w:rFonts w:ascii="Times New Roman" w:hAnsi="Times New Roman"/>
              </w:rPr>
            </w:pPr>
          </w:p>
          <w:p w14:paraId="0B9E0216" w14:textId="705E0BC9" w:rsidR="0039347C" w:rsidRDefault="0039347C" w:rsidP="0039347C">
            <w:pPr>
              <w:pStyle w:val="TableParagraph"/>
              <w:jc w:val="center"/>
              <w:rPr>
                <w:rFonts w:ascii="Times New Roman" w:hAnsi="Times New Roman"/>
                <w:lang w:val="lt-LT"/>
              </w:rPr>
            </w:pPr>
            <w:r>
              <w:rPr>
                <w:rFonts w:ascii="Times New Roman" w:hAnsi="Times New Roman"/>
                <w:lang w:val="lt-LT"/>
              </w:rPr>
              <w:t>-</w:t>
            </w:r>
          </w:p>
          <w:p w14:paraId="6B5E1376" w14:textId="47C2CB60" w:rsidR="0039347C" w:rsidRPr="00D3564A" w:rsidRDefault="0039347C" w:rsidP="0039347C">
            <w:pPr>
              <w:pStyle w:val="TableParagraph"/>
              <w:jc w:val="center"/>
              <w:rPr>
                <w:rFonts w:ascii="Times New Roman" w:hAnsi="Times New Roman"/>
              </w:rPr>
            </w:pPr>
            <w:r>
              <w:rPr>
                <w:rFonts w:ascii="Times New Roman" w:hAnsi="Times New Roman"/>
                <w:lang w:val="lt-LT"/>
              </w:rPr>
              <w:t>2</w:t>
            </w:r>
          </w:p>
        </w:tc>
        <w:tc>
          <w:tcPr>
            <w:tcW w:w="709" w:type="dxa"/>
            <w:tcBorders>
              <w:top w:val="single" w:sz="3" w:space="0" w:color="000000"/>
              <w:left w:val="single" w:sz="3" w:space="0" w:color="000000"/>
              <w:bottom w:val="single" w:sz="3" w:space="0" w:color="000000"/>
              <w:right w:val="single" w:sz="7" w:space="0" w:color="000000"/>
            </w:tcBorders>
          </w:tcPr>
          <w:p w14:paraId="131D8C55" w14:textId="77777777" w:rsidR="0039347C" w:rsidRPr="00D3564A" w:rsidRDefault="0039347C" w:rsidP="0039347C">
            <w:pPr>
              <w:pStyle w:val="TableParagraph"/>
              <w:rPr>
                <w:rFonts w:ascii="Times New Roman" w:hAnsi="Times New Roman"/>
              </w:rPr>
            </w:pPr>
          </w:p>
          <w:p w14:paraId="6A1612DB" w14:textId="62F71754" w:rsidR="0039347C" w:rsidRDefault="0039347C" w:rsidP="0039347C">
            <w:pPr>
              <w:pStyle w:val="TableParagraph"/>
              <w:jc w:val="center"/>
              <w:rPr>
                <w:rFonts w:ascii="Times New Roman" w:hAnsi="Times New Roman"/>
                <w:lang w:val="lt-LT"/>
              </w:rPr>
            </w:pPr>
            <w:r>
              <w:rPr>
                <w:rFonts w:ascii="Times New Roman" w:hAnsi="Times New Roman"/>
                <w:lang w:val="lt-LT"/>
              </w:rPr>
              <w:t>-</w:t>
            </w:r>
          </w:p>
          <w:p w14:paraId="6F9D5318" w14:textId="6BDE3FE3" w:rsidR="0039347C" w:rsidRPr="00D3564A" w:rsidRDefault="0039347C" w:rsidP="0039347C">
            <w:pPr>
              <w:pStyle w:val="TableParagraph"/>
              <w:jc w:val="center"/>
              <w:rPr>
                <w:rFonts w:ascii="Times New Roman" w:hAnsi="Times New Roman"/>
              </w:rPr>
            </w:pPr>
            <w:r>
              <w:rPr>
                <w:rFonts w:ascii="Times New Roman" w:hAnsi="Times New Roman"/>
                <w:lang w:val="lt-LT"/>
              </w:rPr>
              <w:t>0</w:t>
            </w:r>
          </w:p>
        </w:tc>
        <w:tc>
          <w:tcPr>
            <w:tcW w:w="1701" w:type="dxa"/>
            <w:tcBorders>
              <w:top w:val="single" w:sz="3" w:space="0" w:color="000000"/>
              <w:left w:val="single" w:sz="3" w:space="0" w:color="000000"/>
              <w:bottom w:val="single" w:sz="3" w:space="0" w:color="000000"/>
              <w:right w:val="single" w:sz="7" w:space="0" w:color="000000"/>
            </w:tcBorders>
          </w:tcPr>
          <w:p w14:paraId="039658EE" w14:textId="77777777" w:rsidR="0039347C" w:rsidRDefault="0039347C" w:rsidP="0039347C">
            <w:pPr>
              <w:pStyle w:val="TableParagraph"/>
              <w:jc w:val="center"/>
              <w:rPr>
                <w:rFonts w:ascii="Times New Roman" w:hAnsi="Times New Roman"/>
              </w:rPr>
            </w:pPr>
          </w:p>
          <w:p w14:paraId="0C7BFC35" w14:textId="5A517F88" w:rsidR="0039347C" w:rsidRDefault="0039347C" w:rsidP="0039347C">
            <w:pPr>
              <w:pStyle w:val="TableParagraph"/>
              <w:jc w:val="center"/>
              <w:rPr>
                <w:rFonts w:ascii="Times New Roman" w:hAnsi="Times New Roman"/>
                <w:lang w:val="lt-LT"/>
              </w:rPr>
            </w:pPr>
            <w:r>
              <w:rPr>
                <w:rFonts w:ascii="Times New Roman" w:hAnsi="Times New Roman"/>
              </w:rPr>
              <w:t>labai da</w:t>
            </w:r>
            <w:r>
              <w:rPr>
                <w:rFonts w:ascii="Times New Roman" w:hAnsi="Times New Roman"/>
                <w:lang w:val="lt-LT"/>
              </w:rPr>
              <w:t>žnas</w:t>
            </w:r>
          </w:p>
          <w:p w14:paraId="63E86072" w14:textId="0B8722DF" w:rsidR="0039347C" w:rsidRPr="00D3564A" w:rsidRDefault="0039347C" w:rsidP="00E35BE6">
            <w:pPr>
              <w:pStyle w:val="TableParagraph"/>
              <w:jc w:val="center"/>
              <w:rPr>
                <w:rFonts w:ascii="Times New Roman" w:hAnsi="Times New Roman"/>
              </w:rPr>
            </w:pPr>
            <w:r>
              <w:rPr>
                <w:rFonts w:ascii="Times New Roman" w:hAnsi="Times New Roman"/>
              </w:rPr>
              <w:t>labai da</w:t>
            </w:r>
            <w:r>
              <w:rPr>
                <w:rFonts w:ascii="Times New Roman" w:hAnsi="Times New Roman"/>
                <w:lang w:val="lt-LT"/>
              </w:rPr>
              <w:t>žnas</w:t>
            </w:r>
          </w:p>
        </w:tc>
      </w:tr>
      <w:tr w:rsidR="0039347C" w:rsidRPr="002E32EF" w14:paraId="3F4A129B" w14:textId="64C8E834" w:rsidTr="00E35BE6">
        <w:trPr>
          <w:trHeight w:hRule="exact" w:val="913"/>
        </w:trPr>
        <w:tc>
          <w:tcPr>
            <w:tcW w:w="3164" w:type="dxa"/>
            <w:tcBorders>
              <w:top w:val="single" w:sz="3" w:space="0" w:color="000000"/>
              <w:left w:val="single" w:sz="7" w:space="0" w:color="000000"/>
              <w:bottom w:val="single" w:sz="3" w:space="0" w:color="000000"/>
              <w:right w:val="single" w:sz="3" w:space="0" w:color="000000"/>
            </w:tcBorders>
          </w:tcPr>
          <w:p w14:paraId="796EB767" w14:textId="77777777" w:rsidR="0039347C" w:rsidRDefault="0039347C" w:rsidP="0039347C">
            <w:pPr>
              <w:pStyle w:val="TableParagraph"/>
              <w:rPr>
                <w:rFonts w:ascii="Times New Roman" w:hAnsi="Times New Roman"/>
                <w:i/>
                <w:spacing w:val="-1"/>
                <w:lang w:val="lt-LT"/>
              </w:rPr>
            </w:pPr>
            <w:r>
              <w:rPr>
                <w:rFonts w:ascii="Times New Roman" w:hAnsi="Times New Roman"/>
                <w:i/>
                <w:spacing w:val="-1"/>
                <w:lang w:val="lt-LT"/>
              </w:rPr>
              <w:t>Akių sutrikimai</w:t>
            </w:r>
          </w:p>
          <w:p w14:paraId="3D11B349" w14:textId="77777777" w:rsidR="0039347C" w:rsidRDefault="0039347C" w:rsidP="0039347C">
            <w:pPr>
              <w:pStyle w:val="TableParagraph"/>
              <w:rPr>
                <w:rFonts w:ascii="Times New Roman" w:hAnsi="Times New Roman"/>
                <w:iCs/>
                <w:spacing w:val="-1"/>
                <w:lang w:val="lt-LT"/>
              </w:rPr>
            </w:pPr>
            <w:r>
              <w:rPr>
                <w:rFonts w:ascii="Times New Roman" w:hAnsi="Times New Roman"/>
                <w:iCs/>
                <w:spacing w:val="-1"/>
                <w:lang w:val="lt-LT"/>
              </w:rPr>
              <w:t>Sausasis keratokonjunktyvitas</w:t>
            </w:r>
          </w:p>
          <w:p w14:paraId="75459593" w14:textId="2BBA762C" w:rsidR="0039347C" w:rsidRPr="00E35BE6" w:rsidRDefault="0039347C" w:rsidP="0039347C">
            <w:pPr>
              <w:pStyle w:val="TableParagraph"/>
              <w:rPr>
                <w:rFonts w:ascii="Times New Roman" w:hAnsi="Times New Roman"/>
                <w:iCs/>
                <w:spacing w:val="-1"/>
                <w:lang w:val="lt-LT"/>
              </w:rPr>
            </w:pPr>
            <w:r>
              <w:rPr>
                <w:rFonts w:ascii="Times New Roman" w:hAnsi="Times New Roman"/>
                <w:iCs/>
                <w:spacing w:val="-1"/>
                <w:lang w:val="lt-LT"/>
              </w:rPr>
              <w:t>Konjunktyvitas</w:t>
            </w:r>
          </w:p>
        </w:tc>
        <w:tc>
          <w:tcPr>
            <w:tcW w:w="974" w:type="dxa"/>
            <w:tcBorders>
              <w:top w:val="single" w:sz="3" w:space="0" w:color="000000"/>
              <w:left w:val="single" w:sz="3" w:space="0" w:color="000000"/>
              <w:bottom w:val="single" w:sz="3" w:space="0" w:color="000000"/>
              <w:right w:val="single" w:sz="3" w:space="0" w:color="000000"/>
            </w:tcBorders>
          </w:tcPr>
          <w:p w14:paraId="589630B7" w14:textId="77777777" w:rsidR="0039347C" w:rsidRPr="00E35BE6" w:rsidRDefault="0039347C" w:rsidP="00E35BE6">
            <w:pPr>
              <w:pStyle w:val="TableParagraph"/>
              <w:jc w:val="center"/>
              <w:rPr>
                <w:rFonts w:ascii="Times New Roman" w:hAnsi="Times New Roman"/>
                <w:lang w:val="lt-LT"/>
              </w:rPr>
            </w:pPr>
          </w:p>
          <w:p w14:paraId="58FDEEFF" w14:textId="77777777" w:rsidR="0039347C" w:rsidRDefault="0039347C" w:rsidP="0039347C">
            <w:pPr>
              <w:pStyle w:val="TableParagraph"/>
              <w:jc w:val="center"/>
              <w:rPr>
                <w:rFonts w:ascii="Times New Roman" w:hAnsi="Times New Roman"/>
              </w:rPr>
            </w:pPr>
            <w:r>
              <w:rPr>
                <w:rFonts w:ascii="Times New Roman" w:hAnsi="Times New Roman"/>
              </w:rPr>
              <w:t>12</w:t>
            </w:r>
          </w:p>
          <w:p w14:paraId="098823F6" w14:textId="7B47264F" w:rsidR="0039347C" w:rsidRPr="00E35BE6" w:rsidRDefault="0039347C" w:rsidP="00E35BE6">
            <w:pPr>
              <w:pStyle w:val="TableParagraph"/>
              <w:jc w:val="center"/>
              <w:rPr>
                <w:rFonts w:ascii="Times New Roman" w:hAnsi="Times New Roman"/>
              </w:rPr>
            </w:pPr>
            <w:r>
              <w:rPr>
                <w:rFonts w:ascii="Times New Roman" w:hAnsi="Times New Roman"/>
              </w:rPr>
              <w:t>12</w:t>
            </w:r>
          </w:p>
        </w:tc>
        <w:tc>
          <w:tcPr>
            <w:tcW w:w="709" w:type="dxa"/>
            <w:tcBorders>
              <w:top w:val="single" w:sz="3" w:space="0" w:color="000000"/>
              <w:left w:val="single" w:sz="3" w:space="0" w:color="000000"/>
              <w:bottom w:val="single" w:sz="3" w:space="0" w:color="000000"/>
              <w:right w:val="single" w:sz="3" w:space="0" w:color="000000"/>
            </w:tcBorders>
          </w:tcPr>
          <w:p w14:paraId="4C8B3EC5" w14:textId="77777777" w:rsidR="0039347C" w:rsidRDefault="0039347C" w:rsidP="0039347C">
            <w:pPr>
              <w:pStyle w:val="TableParagraph"/>
              <w:jc w:val="center"/>
              <w:rPr>
                <w:rFonts w:ascii="Times New Roman" w:hAnsi="Times New Roman"/>
              </w:rPr>
            </w:pPr>
          </w:p>
          <w:p w14:paraId="76C81676" w14:textId="77777777" w:rsidR="0039347C" w:rsidRDefault="0039347C" w:rsidP="0039347C">
            <w:pPr>
              <w:pStyle w:val="TableParagraph"/>
              <w:jc w:val="center"/>
              <w:rPr>
                <w:rFonts w:ascii="Times New Roman" w:hAnsi="Times New Roman"/>
              </w:rPr>
            </w:pPr>
            <w:r>
              <w:rPr>
                <w:rFonts w:ascii="Times New Roman" w:hAnsi="Times New Roman"/>
              </w:rPr>
              <w:t>0</w:t>
            </w:r>
          </w:p>
          <w:p w14:paraId="46D85C13" w14:textId="5CF8BFD3" w:rsidR="0039347C" w:rsidRPr="00D3564A" w:rsidRDefault="0039347C" w:rsidP="00E35BE6">
            <w:pPr>
              <w:pStyle w:val="TableParagraph"/>
              <w:jc w:val="center"/>
              <w:rPr>
                <w:rFonts w:ascii="Times New Roman" w:hAnsi="Times New Roman"/>
              </w:rPr>
            </w:pPr>
            <w:r>
              <w:rPr>
                <w:rFonts w:ascii="Times New Roman" w:hAnsi="Times New Roman"/>
              </w:rPr>
              <w:t>&lt;1</w:t>
            </w:r>
          </w:p>
        </w:tc>
        <w:tc>
          <w:tcPr>
            <w:tcW w:w="708" w:type="dxa"/>
            <w:tcBorders>
              <w:top w:val="single" w:sz="3" w:space="0" w:color="000000"/>
              <w:left w:val="single" w:sz="3" w:space="0" w:color="000000"/>
              <w:bottom w:val="single" w:sz="3" w:space="0" w:color="000000"/>
              <w:right w:val="single" w:sz="3" w:space="0" w:color="000000"/>
            </w:tcBorders>
          </w:tcPr>
          <w:p w14:paraId="3D2E16FE" w14:textId="77777777" w:rsidR="0039347C" w:rsidRDefault="0039347C" w:rsidP="0039347C">
            <w:pPr>
              <w:pStyle w:val="TableParagraph"/>
              <w:jc w:val="center"/>
              <w:rPr>
                <w:rFonts w:ascii="Times New Roman" w:hAnsi="Times New Roman"/>
              </w:rPr>
            </w:pPr>
          </w:p>
          <w:p w14:paraId="1684DE8D" w14:textId="77777777" w:rsidR="0039347C" w:rsidRDefault="0039347C" w:rsidP="0039347C">
            <w:pPr>
              <w:pStyle w:val="TableParagraph"/>
              <w:jc w:val="center"/>
              <w:rPr>
                <w:rFonts w:ascii="Times New Roman" w:hAnsi="Times New Roman"/>
              </w:rPr>
            </w:pPr>
            <w:r>
              <w:rPr>
                <w:rFonts w:ascii="Times New Roman" w:hAnsi="Times New Roman"/>
              </w:rPr>
              <w:t>0</w:t>
            </w:r>
          </w:p>
          <w:p w14:paraId="75511838" w14:textId="025A8139" w:rsidR="0039347C" w:rsidRPr="00D3564A" w:rsidRDefault="0039347C" w:rsidP="00E35BE6">
            <w:pPr>
              <w:pStyle w:val="TableParagraph"/>
              <w:jc w:val="center"/>
              <w:rPr>
                <w:rFonts w:ascii="Times New Roman" w:hAnsi="Times New Roman"/>
              </w:rPr>
            </w:pPr>
            <w:r>
              <w:rPr>
                <w:rFonts w:ascii="Times New Roman" w:hAnsi="Times New Roman"/>
              </w:rPr>
              <w:t>0</w:t>
            </w:r>
          </w:p>
        </w:tc>
        <w:tc>
          <w:tcPr>
            <w:tcW w:w="993" w:type="dxa"/>
            <w:tcBorders>
              <w:top w:val="single" w:sz="3" w:space="0" w:color="000000"/>
              <w:left w:val="single" w:sz="3" w:space="0" w:color="000000"/>
              <w:bottom w:val="single" w:sz="3" w:space="0" w:color="000000"/>
              <w:right w:val="single" w:sz="3" w:space="0" w:color="000000"/>
            </w:tcBorders>
          </w:tcPr>
          <w:p w14:paraId="7FF006E7" w14:textId="77777777" w:rsidR="0039347C" w:rsidRDefault="0039347C" w:rsidP="0039347C">
            <w:pPr>
              <w:pStyle w:val="TableParagraph"/>
              <w:jc w:val="center"/>
              <w:rPr>
                <w:rFonts w:ascii="Times New Roman" w:hAnsi="Times New Roman"/>
              </w:rPr>
            </w:pPr>
          </w:p>
          <w:p w14:paraId="2F1C79C2" w14:textId="77777777" w:rsidR="0039347C" w:rsidRDefault="0039347C" w:rsidP="0039347C">
            <w:pPr>
              <w:pStyle w:val="TableParagraph"/>
              <w:jc w:val="center"/>
              <w:rPr>
                <w:rFonts w:ascii="Times New Roman" w:hAnsi="Times New Roman"/>
              </w:rPr>
            </w:pPr>
            <w:r>
              <w:rPr>
                <w:rFonts w:ascii="Times New Roman" w:hAnsi="Times New Roman"/>
              </w:rPr>
              <w:t>-</w:t>
            </w:r>
          </w:p>
          <w:p w14:paraId="431B1BF2" w14:textId="7277C331" w:rsidR="0039347C" w:rsidRPr="00D3564A" w:rsidRDefault="0039347C" w:rsidP="00E35BE6">
            <w:pPr>
              <w:pStyle w:val="TableParagraph"/>
              <w:jc w:val="center"/>
              <w:rPr>
                <w:rFonts w:ascii="Times New Roman" w:hAnsi="Times New Roman"/>
              </w:rPr>
            </w:pPr>
            <w:r>
              <w:rPr>
                <w:rFonts w:ascii="Times New Roman" w:hAnsi="Times New Roman"/>
              </w:rPr>
              <w:t>-</w:t>
            </w:r>
          </w:p>
        </w:tc>
        <w:tc>
          <w:tcPr>
            <w:tcW w:w="708" w:type="dxa"/>
            <w:tcBorders>
              <w:top w:val="single" w:sz="3" w:space="0" w:color="000000"/>
              <w:left w:val="single" w:sz="3" w:space="0" w:color="000000"/>
              <w:bottom w:val="single" w:sz="3" w:space="0" w:color="000000"/>
              <w:right w:val="single" w:sz="3" w:space="0" w:color="000000"/>
            </w:tcBorders>
          </w:tcPr>
          <w:p w14:paraId="3D29FA6D" w14:textId="77777777" w:rsidR="0039347C" w:rsidRDefault="0039347C" w:rsidP="0039347C">
            <w:pPr>
              <w:pStyle w:val="TableParagraph"/>
              <w:jc w:val="center"/>
              <w:rPr>
                <w:rFonts w:ascii="Times New Roman" w:hAnsi="Times New Roman"/>
              </w:rPr>
            </w:pPr>
          </w:p>
          <w:p w14:paraId="538E627E" w14:textId="77777777" w:rsidR="0039347C" w:rsidRDefault="0039347C" w:rsidP="0039347C">
            <w:pPr>
              <w:pStyle w:val="TableParagraph"/>
              <w:jc w:val="center"/>
              <w:rPr>
                <w:rFonts w:ascii="Times New Roman" w:hAnsi="Times New Roman"/>
              </w:rPr>
            </w:pPr>
            <w:r>
              <w:rPr>
                <w:rFonts w:ascii="Times New Roman" w:hAnsi="Times New Roman"/>
              </w:rPr>
              <w:t>-</w:t>
            </w:r>
          </w:p>
          <w:p w14:paraId="020BF9A5" w14:textId="18656B45" w:rsidR="0039347C" w:rsidRPr="00D3564A" w:rsidRDefault="0039347C" w:rsidP="00E35BE6">
            <w:pPr>
              <w:pStyle w:val="TableParagraph"/>
              <w:jc w:val="center"/>
              <w:rPr>
                <w:rFonts w:ascii="Times New Roman" w:hAnsi="Times New Roman"/>
              </w:rPr>
            </w:pPr>
            <w:r>
              <w:rPr>
                <w:rFonts w:ascii="Times New Roman" w:hAnsi="Times New Roman"/>
              </w:rPr>
              <w:t>-</w:t>
            </w:r>
          </w:p>
        </w:tc>
        <w:tc>
          <w:tcPr>
            <w:tcW w:w="709" w:type="dxa"/>
            <w:tcBorders>
              <w:top w:val="single" w:sz="3" w:space="0" w:color="000000"/>
              <w:left w:val="single" w:sz="3" w:space="0" w:color="000000"/>
              <w:bottom w:val="single" w:sz="3" w:space="0" w:color="000000"/>
              <w:right w:val="single" w:sz="7" w:space="0" w:color="000000"/>
            </w:tcBorders>
          </w:tcPr>
          <w:p w14:paraId="3C3A388C" w14:textId="77777777" w:rsidR="0039347C" w:rsidRDefault="0039347C" w:rsidP="0039347C">
            <w:pPr>
              <w:pStyle w:val="TableParagraph"/>
              <w:jc w:val="center"/>
              <w:rPr>
                <w:rFonts w:ascii="Times New Roman" w:hAnsi="Times New Roman"/>
              </w:rPr>
            </w:pPr>
          </w:p>
          <w:p w14:paraId="27330B51" w14:textId="77777777" w:rsidR="0039347C" w:rsidRDefault="0039347C" w:rsidP="0039347C">
            <w:pPr>
              <w:pStyle w:val="TableParagraph"/>
              <w:jc w:val="center"/>
              <w:rPr>
                <w:rFonts w:ascii="Times New Roman" w:hAnsi="Times New Roman"/>
              </w:rPr>
            </w:pPr>
            <w:r>
              <w:rPr>
                <w:rFonts w:ascii="Times New Roman" w:hAnsi="Times New Roman"/>
              </w:rPr>
              <w:t>-</w:t>
            </w:r>
          </w:p>
          <w:p w14:paraId="0D767FD0" w14:textId="77777777" w:rsidR="0039347C" w:rsidRDefault="0039347C" w:rsidP="0039347C">
            <w:pPr>
              <w:pStyle w:val="TableParagraph"/>
              <w:jc w:val="center"/>
              <w:rPr>
                <w:rFonts w:ascii="Times New Roman" w:hAnsi="Times New Roman"/>
              </w:rPr>
            </w:pPr>
            <w:r>
              <w:rPr>
                <w:rFonts w:ascii="Times New Roman" w:hAnsi="Times New Roman"/>
              </w:rPr>
              <w:t>-</w:t>
            </w:r>
          </w:p>
          <w:p w14:paraId="2074E38B" w14:textId="4FDDDD10" w:rsidR="0039347C" w:rsidRPr="00D3564A" w:rsidRDefault="0039347C" w:rsidP="00E35BE6">
            <w:pPr>
              <w:pStyle w:val="TableParagraph"/>
              <w:jc w:val="center"/>
              <w:rPr>
                <w:rFonts w:ascii="Times New Roman" w:hAnsi="Times New Roman"/>
              </w:rPr>
            </w:pPr>
          </w:p>
        </w:tc>
        <w:tc>
          <w:tcPr>
            <w:tcW w:w="1701" w:type="dxa"/>
            <w:tcBorders>
              <w:top w:val="single" w:sz="3" w:space="0" w:color="000000"/>
              <w:left w:val="single" w:sz="3" w:space="0" w:color="000000"/>
              <w:bottom w:val="single" w:sz="3" w:space="0" w:color="000000"/>
              <w:right w:val="single" w:sz="7" w:space="0" w:color="000000"/>
            </w:tcBorders>
          </w:tcPr>
          <w:p w14:paraId="3A0F216F" w14:textId="77777777" w:rsidR="0039347C" w:rsidRDefault="0039347C" w:rsidP="0039347C">
            <w:pPr>
              <w:pStyle w:val="TableParagraph"/>
              <w:jc w:val="center"/>
              <w:rPr>
                <w:rFonts w:ascii="Times New Roman" w:hAnsi="Times New Roman"/>
              </w:rPr>
            </w:pPr>
          </w:p>
          <w:p w14:paraId="19810C70" w14:textId="163CEAF9" w:rsidR="0039347C" w:rsidRDefault="0039347C" w:rsidP="0039347C">
            <w:pPr>
              <w:pStyle w:val="TableParagraph"/>
              <w:jc w:val="center"/>
              <w:rPr>
                <w:rFonts w:ascii="Times New Roman" w:hAnsi="Times New Roman"/>
                <w:lang w:val="lt-LT"/>
              </w:rPr>
            </w:pPr>
            <w:r>
              <w:rPr>
                <w:rFonts w:ascii="Times New Roman" w:hAnsi="Times New Roman"/>
              </w:rPr>
              <w:t>labai da</w:t>
            </w:r>
            <w:r>
              <w:rPr>
                <w:rFonts w:ascii="Times New Roman" w:hAnsi="Times New Roman"/>
                <w:lang w:val="lt-LT"/>
              </w:rPr>
              <w:t>žnas</w:t>
            </w:r>
          </w:p>
          <w:p w14:paraId="0A810E3A" w14:textId="06C6DDF0" w:rsidR="0039347C" w:rsidRDefault="0039347C" w:rsidP="00A64E52">
            <w:pPr>
              <w:pStyle w:val="TableParagraph"/>
              <w:jc w:val="center"/>
              <w:rPr>
                <w:rFonts w:ascii="Times New Roman" w:hAnsi="Times New Roman"/>
              </w:rPr>
            </w:pPr>
            <w:r>
              <w:rPr>
                <w:rFonts w:ascii="Times New Roman" w:hAnsi="Times New Roman"/>
              </w:rPr>
              <w:t>labai da</w:t>
            </w:r>
            <w:r>
              <w:rPr>
                <w:rFonts w:ascii="Times New Roman" w:hAnsi="Times New Roman"/>
                <w:lang w:val="lt-LT"/>
              </w:rPr>
              <w:t>žnas</w:t>
            </w:r>
          </w:p>
        </w:tc>
      </w:tr>
      <w:tr w:rsidR="0039347C" w:rsidRPr="002E32EF" w14:paraId="4CDC64F6" w14:textId="140B79CD" w:rsidTr="00E35BE6">
        <w:trPr>
          <w:trHeight w:hRule="exact" w:val="644"/>
        </w:trPr>
        <w:tc>
          <w:tcPr>
            <w:tcW w:w="3164" w:type="dxa"/>
            <w:tcBorders>
              <w:top w:val="single" w:sz="3" w:space="0" w:color="000000"/>
              <w:left w:val="single" w:sz="7" w:space="0" w:color="000000"/>
              <w:bottom w:val="single" w:sz="3" w:space="0" w:color="000000"/>
              <w:right w:val="single" w:sz="3" w:space="0" w:color="000000"/>
            </w:tcBorders>
          </w:tcPr>
          <w:p w14:paraId="1D5AE97C" w14:textId="77777777" w:rsidR="0039347C" w:rsidRPr="00D3564A" w:rsidRDefault="0039347C" w:rsidP="0039347C">
            <w:pPr>
              <w:pStyle w:val="TableParagraph"/>
              <w:rPr>
                <w:rFonts w:ascii="Times New Roman" w:hAnsi="Times New Roman"/>
              </w:rPr>
            </w:pPr>
            <w:r w:rsidRPr="00D3564A">
              <w:rPr>
                <w:rFonts w:ascii="Times New Roman" w:hAnsi="Times New Roman"/>
                <w:i/>
                <w:spacing w:val="-1"/>
                <w:lang w:val="lt-LT"/>
              </w:rPr>
              <w:lastRenderedPageBreak/>
              <w:t>Psichikos sutrikimai</w:t>
            </w:r>
          </w:p>
          <w:p w14:paraId="43BC03A1" w14:textId="77777777" w:rsidR="0039347C" w:rsidRPr="00D3564A" w:rsidRDefault="0039347C" w:rsidP="0039347C">
            <w:pPr>
              <w:pStyle w:val="TableParagraph"/>
              <w:rPr>
                <w:rFonts w:ascii="Times New Roman" w:hAnsi="Times New Roman"/>
              </w:rPr>
            </w:pPr>
            <w:r w:rsidRPr="00D3564A">
              <w:rPr>
                <w:rFonts w:ascii="Times New Roman" w:hAnsi="Times New Roman"/>
                <w:spacing w:val="-1"/>
                <w:lang w:val="lt-LT"/>
              </w:rPr>
              <w:t>Depresija</w:t>
            </w:r>
          </w:p>
        </w:tc>
        <w:tc>
          <w:tcPr>
            <w:tcW w:w="974" w:type="dxa"/>
            <w:tcBorders>
              <w:top w:val="single" w:sz="3" w:space="0" w:color="000000"/>
              <w:left w:val="single" w:sz="3" w:space="0" w:color="000000"/>
              <w:bottom w:val="single" w:sz="3" w:space="0" w:color="000000"/>
              <w:right w:val="single" w:sz="3" w:space="0" w:color="000000"/>
            </w:tcBorders>
          </w:tcPr>
          <w:p w14:paraId="1EE404B4" w14:textId="77777777" w:rsidR="0039347C" w:rsidRPr="00D3564A" w:rsidRDefault="0039347C" w:rsidP="0039347C">
            <w:pPr>
              <w:pStyle w:val="TableParagraph"/>
              <w:rPr>
                <w:rFonts w:ascii="Times New Roman" w:hAnsi="Times New Roman"/>
              </w:rPr>
            </w:pPr>
          </w:p>
          <w:p w14:paraId="2C953B05" w14:textId="3C46CE5A"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709" w:type="dxa"/>
            <w:tcBorders>
              <w:top w:val="single" w:sz="3" w:space="0" w:color="000000"/>
              <w:left w:val="single" w:sz="3" w:space="0" w:color="000000"/>
              <w:bottom w:val="single" w:sz="3" w:space="0" w:color="000000"/>
              <w:right w:val="single" w:sz="3" w:space="0" w:color="000000"/>
            </w:tcBorders>
          </w:tcPr>
          <w:p w14:paraId="021B372F" w14:textId="03672E90" w:rsidR="0039347C" w:rsidRDefault="0039347C" w:rsidP="0039347C">
            <w:pPr>
              <w:pStyle w:val="TableParagraph"/>
              <w:jc w:val="center"/>
              <w:rPr>
                <w:rFonts w:ascii="Times New Roman" w:hAnsi="Times New Roman"/>
                <w:lang w:val="lt-LT"/>
              </w:rPr>
            </w:pPr>
          </w:p>
          <w:p w14:paraId="21CF9D06" w14:textId="6920B14E"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708" w:type="dxa"/>
            <w:tcBorders>
              <w:top w:val="single" w:sz="3" w:space="0" w:color="000000"/>
              <w:left w:val="single" w:sz="3" w:space="0" w:color="000000"/>
              <w:bottom w:val="single" w:sz="3" w:space="0" w:color="000000"/>
              <w:right w:val="single" w:sz="3" w:space="0" w:color="000000"/>
            </w:tcBorders>
          </w:tcPr>
          <w:p w14:paraId="34C7A6DA" w14:textId="77777777" w:rsidR="0039347C" w:rsidRPr="00D3564A" w:rsidRDefault="0039347C" w:rsidP="0039347C">
            <w:pPr>
              <w:pStyle w:val="TableParagraph"/>
              <w:rPr>
                <w:rFonts w:ascii="Times New Roman" w:hAnsi="Times New Roman"/>
              </w:rPr>
            </w:pPr>
          </w:p>
          <w:p w14:paraId="6A58D175" w14:textId="2871F1F4"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993" w:type="dxa"/>
            <w:tcBorders>
              <w:top w:val="single" w:sz="3" w:space="0" w:color="000000"/>
              <w:left w:val="single" w:sz="3" w:space="0" w:color="000000"/>
              <w:bottom w:val="single" w:sz="3" w:space="0" w:color="000000"/>
              <w:right w:val="single" w:sz="3" w:space="0" w:color="000000"/>
            </w:tcBorders>
          </w:tcPr>
          <w:p w14:paraId="6C6874A8" w14:textId="77777777" w:rsidR="0039347C" w:rsidRPr="00D3564A" w:rsidRDefault="0039347C" w:rsidP="0039347C">
            <w:pPr>
              <w:pStyle w:val="TableParagraph"/>
              <w:rPr>
                <w:rFonts w:ascii="Times New Roman" w:hAnsi="Times New Roman"/>
              </w:rPr>
            </w:pPr>
          </w:p>
          <w:p w14:paraId="7E50343C" w14:textId="365BD47D" w:rsidR="0039347C" w:rsidRPr="00D3564A" w:rsidRDefault="0039347C" w:rsidP="0039347C">
            <w:pPr>
              <w:pStyle w:val="TableParagraph"/>
              <w:jc w:val="center"/>
              <w:rPr>
                <w:rFonts w:ascii="Times New Roman" w:hAnsi="Times New Roman"/>
              </w:rPr>
            </w:pPr>
            <w:r>
              <w:rPr>
                <w:rFonts w:ascii="Times New Roman" w:hAnsi="Times New Roman"/>
                <w:lang w:val="lt-LT"/>
              </w:rPr>
              <w:t>19</w:t>
            </w:r>
          </w:p>
        </w:tc>
        <w:tc>
          <w:tcPr>
            <w:tcW w:w="708" w:type="dxa"/>
            <w:tcBorders>
              <w:top w:val="single" w:sz="3" w:space="0" w:color="000000"/>
              <w:left w:val="single" w:sz="3" w:space="0" w:color="000000"/>
              <w:bottom w:val="single" w:sz="3" w:space="0" w:color="000000"/>
              <w:right w:val="single" w:sz="3" w:space="0" w:color="000000"/>
            </w:tcBorders>
          </w:tcPr>
          <w:p w14:paraId="65F0CE84" w14:textId="77777777" w:rsidR="0039347C" w:rsidRPr="00D3564A" w:rsidRDefault="0039347C" w:rsidP="0039347C">
            <w:pPr>
              <w:pStyle w:val="TableParagraph"/>
              <w:rPr>
                <w:rFonts w:ascii="Times New Roman" w:hAnsi="Times New Roman"/>
              </w:rPr>
            </w:pPr>
          </w:p>
          <w:p w14:paraId="622F8D5F" w14:textId="7BF397BF" w:rsidR="0039347C" w:rsidRPr="00D3564A" w:rsidRDefault="0039347C" w:rsidP="0039347C">
            <w:pPr>
              <w:pStyle w:val="TableParagraph"/>
              <w:jc w:val="center"/>
              <w:rPr>
                <w:rFonts w:ascii="Times New Roman" w:hAnsi="Times New Roman"/>
              </w:rPr>
            </w:pPr>
            <w:r>
              <w:rPr>
                <w:rFonts w:ascii="Times New Roman" w:hAnsi="Times New Roman"/>
                <w:lang w:val="lt-LT"/>
              </w:rPr>
              <w:t>2</w:t>
            </w:r>
          </w:p>
        </w:tc>
        <w:tc>
          <w:tcPr>
            <w:tcW w:w="709" w:type="dxa"/>
            <w:tcBorders>
              <w:top w:val="single" w:sz="3" w:space="0" w:color="000000"/>
              <w:left w:val="single" w:sz="3" w:space="0" w:color="000000"/>
              <w:bottom w:val="single" w:sz="3" w:space="0" w:color="000000"/>
              <w:right w:val="single" w:sz="7" w:space="0" w:color="000000"/>
            </w:tcBorders>
          </w:tcPr>
          <w:p w14:paraId="554F532C" w14:textId="77777777" w:rsidR="0039347C" w:rsidRPr="00D3564A" w:rsidRDefault="0039347C" w:rsidP="0039347C">
            <w:pPr>
              <w:pStyle w:val="TableParagraph"/>
              <w:rPr>
                <w:rFonts w:ascii="Times New Roman" w:hAnsi="Times New Roman"/>
              </w:rPr>
            </w:pPr>
          </w:p>
          <w:p w14:paraId="5F369AC5"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1701" w:type="dxa"/>
            <w:tcBorders>
              <w:top w:val="single" w:sz="3" w:space="0" w:color="000000"/>
              <w:left w:val="single" w:sz="3" w:space="0" w:color="000000"/>
              <w:bottom w:val="single" w:sz="3" w:space="0" w:color="000000"/>
              <w:right w:val="single" w:sz="7" w:space="0" w:color="000000"/>
            </w:tcBorders>
          </w:tcPr>
          <w:p w14:paraId="32447667" w14:textId="77777777" w:rsidR="0039347C" w:rsidRDefault="0039347C" w:rsidP="0039347C">
            <w:pPr>
              <w:pStyle w:val="TableParagraph"/>
              <w:jc w:val="center"/>
              <w:rPr>
                <w:rFonts w:ascii="Times New Roman" w:hAnsi="Times New Roman"/>
              </w:rPr>
            </w:pPr>
          </w:p>
          <w:p w14:paraId="174C5FD4" w14:textId="077F0BB0" w:rsidR="0039347C" w:rsidRPr="00D3564A" w:rsidRDefault="0039347C" w:rsidP="00E35BE6">
            <w:pPr>
              <w:pStyle w:val="TableParagraph"/>
              <w:jc w:val="center"/>
              <w:rPr>
                <w:rFonts w:ascii="Times New Roman" w:hAnsi="Times New Roman"/>
              </w:rPr>
            </w:pPr>
            <w:r>
              <w:rPr>
                <w:rFonts w:ascii="Times New Roman" w:hAnsi="Times New Roman"/>
              </w:rPr>
              <w:t>labai da</w:t>
            </w:r>
            <w:r>
              <w:rPr>
                <w:rFonts w:ascii="Times New Roman" w:hAnsi="Times New Roman"/>
                <w:lang w:val="lt-LT"/>
              </w:rPr>
              <w:t>žnas</w:t>
            </w:r>
          </w:p>
        </w:tc>
      </w:tr>
      <w:tr w:rsidR="0039347C" w:rsidRPr="002E32EF" w14:paraId="4D577A98" w14:textId="6804FDE3" w:rsidTr="004A2B63">
        <w:trPr>
          <w:trHeight w:hRule="exact" w:val="330"/>
        </w:trPr>
        <w:tc>
          <w:tcPr>
            <w:tcW w:w="3164" w:type="dxa"/>
            <w:tcBorders>
              <w:top w:val="single" w:sz="3" w:space="0" w:color="000000"/>
              <w:left w:val="single" w:sz="7" w:space="0" w:color="000000"/>
              <w:bottom w:val="nil"/>
              <w:right w:val="single" w:sz="3" w:space="0" w:color="000000"/>
            </w:tcBorders>
          </w:tcPr>
          <w:p w14:paraId="3E1A12B3" w14:textId="77777777" w:rsidR="0039347C" w:rsidRPr="00D3564A" w:rsidRDefault="0039347C" w:rsidP="0039347C">
            <w:pPr>
              <w:pStyle w:val="TableParagraph"/>
              <w:rPr>
                <w:rFonts w:ascii="Times New Roman" w:hAnsi="Times New Roman"/>
              </w:rPr>
            </w:pPr>
            <w:r w:rsidRPr="00D3564A">
              <w:rPr>
                <w:rFonts w:ascii="Times New Roman" w:hAnsi="Times New Roman"/>
                <w:i/>
                <w:spacing w:val="-1"/>
                <w:lang w:val="lt-LT"/>
              </w:rPr>
              <w:t>Nervų sistemos sutrikimai</w:t>
            </w:r>
          </w:p>
        </w:tc>
        <w:tc>
          <w:tcPr>
            <w:tcW w:w="974" w:type="dxa"/>
            <w:vMerge w:val="restart"/>
            <w:tcBorders>
              <w:top w:val="single" w:sz="3" w:space="0" w:color="000000"/>
              <w:left w:val="single" w:sz="3" w:space="0" w:color="000000"/>
              <w:right w:val="single" w:sz="3" w:space="0" w:color="000000"/>
            </w:tcBorders>
          </w:tcPr>
          <w:p w14:paraId="094C34FF" w14:textId="77777777" w:rsidR="0039347C" w:rsidRPr="00D3564A" w:rsidRDefault="0039347C" w:rsidP="0039347C">
            <w:pPr>
              <w:pStyle w:val="TableParagraph"/>
              <w:rPr>
                <w:rFonts w:ascii="Times New Roman" w:hAnsi="Times New Roman"/>
              </w:rPr>
            </w:pPr>
          </w:p>
          <w:p w14:paraId="4B99D78E" w14:textId="4B118082"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709" w:type="dxa"/>
            <w:vMerge w:val="restart"/>
            <w:tcBorders>
              <w:top w:val="single" w:sz="3" w:space="0" w:color="000000"/>
              <w:left w:val="single" w:sz="3" w:space="0" w:color="000000"/>
              <w:right w:val="single" w:sz="3" w:space="0" w:color="000000"/>
            </w:tcBorders>
          </w:tcPr>
          <w:p w14:paraId="67EF2FE9" w14:textId="77777777" w:rsidR="0039347C" w:rsidRPr="00D3564A" w:rsidRDefault="0039347C" w:rsidP="0039347C">
            <w:pPr>
              <w:pStyle w:val="TableParagraph"/>
              <w:rPr>
                <w:rFonts w:ascii="Times New Roman" w:hAnsi="Times New Roman"/>
              </w:rPr>
            </w:pPr>
          </w:p>
          <w:p w14:paraId="5E0DE8DE" w14:textId="797BDA75"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708" w:type="dxa"/>
            <w:vMerge w:val="restart"/>
            <w:tcBorders>
              <w:top w:val="single" w:sz="3" w:space="0" w:color="000000"/>
              <w:left w:val="single" w:sz="3" w:space="0" w:color="000000"/>
              <w:right w:val="single" w:sz="3" w:space="0" w:color="000000"/>
            </w:tcBorders>
          </w:tcPr>
          <w:p w14:paraId="56AB63B7" w14:textId="77777777" w:rsidR="0039347C" w:rsidRPr="00D3564A" w:rsidRDefault="0039347C" w:rsidP="0039347C">
            <w:pPr>
              <w:pStyle w:val="TableParagraph"/>
              <w:rPr>
                <w:rFonts w:ascii="Times New Roman" w:hAnsi="Times New Roman"/>
              </w:rPr>
            </w:pPr>
          </w:p>
          <w:p w14:paraId="081D3FDF" w14:textId="1F78B58A"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993" w:type="dxa"/>
            <w:vMerge w:val="restart"/>
            <w:tcBorders>
              <w:top w:val="single" w:sz="3" w:space="0" w:color="000000"/>
              <w:left w:val="single" w:sz="3" w:space="0" w:color="000000"/>
              <w:right w:val="single" w:sz="3" w:space="0" w:color="000000"/>
            </w:tcBorders>
          </w:tcPr>
          <w:p w14:paraId="65280010" w14:textId="77777777" w:rsidR="0039347C" w:rsidRPr="00D3564A" w:rsidRDefault="0039347C" w:rsidP="0039347C">
            <w:pPr>
              <w:pStyle w:val="TableParagraph"/>
              <w:rPr>
                <w:rFonts w:ascii="Times New Roman" w:hAnsi="Times New Roman"/>
              </w:rPr>
            </w:pPr>
          </w:p>
          <w:p w14:paraId="4A974C8A" w14:textId="74D92C7F"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1</w:t>
            </w:r>
            <w:r>
              <w:rPr>
                <w:rFonts w:ascii="Times New Roman" w:hAnsi="Times New Roman"/>
                <w:lang w:val="lt-LT"/>
              </w:rPr>
              <w:t>3</w:t>
            </w:r>
          </w:p>
        </w:tc>
        <w:tc>
          <w:tcPr>
            <w:tcW w:w="708" w:type="dxa"/>
            <w:vMerge w:val="restart"/>
            <w:tcBorders>
              <w:top w:val="single" w:sz="3" w:space="0" w:color="000000"/>
              <w:left w:val="single" w:sz="3" w:space="0" w:color="000000"/>
              <w:right w:val="single" w:sz="3" w:space="0" w:color="000000"/>
            </w:tcBorders>
          </w:tcPr>
          <w:p w14:paraId="29602519" w14:textId="77777777" w:rsidR="0039347C" w:rsidRPr="00D3564A" w:rsidRDefault="0039347C" w:rsidP="0039347C">
            <w:pPr>
              <w:pStyle w:val="TableParagraph"/>
              <w:rPr>
                <w:rFonts w:ascii="Times New Roman" w:hAnsi="Times New Roman"/>
              </w:rPr>
            </w:pPr>
          </w:p>
          <w:p w14:paraId="687BF730" w14:textId="4A8CFB46"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1</w:t>
            </w:r>
          </w:p>
        </w:tc>
        <w:tc>
          <w:tcPr>
            <w:tcW w:w="709" w:type="dxa"/>
            <w:vMerge w:val="restart"/>
            <w:tcBorders>
              <w:top w:val="single" w:sz="3" w:space="0" w:color="000000"/>
              <w:left w:val="single" w:sz="3" w:space="0" w:color="000000"/>
              <w:right w:val="single" w:sz="7" w:space="0" w:color="000000"/>
            </w:tcBorders>
          </w:tcPr>
          <w:p w14:paraId="76C6D4BC" w14:textId="77777777" w:rsidR="0039347C" w:rsidRPr="00D3564A" w:rsidRDefault="0039347C" w:rsidP="0039347C">
            <w:pPr>
              <w:pStyle w:val="TableParagraph"/>
              <w:rPr>
                <w:rFonts w:ascii="Times New Roman" w:hAnsi="Times New Roman"/>
              </w:rPr>
            </w:pPr>
          </w:p>
          <w:p w14:paraId="44DC2A81" w14:textId="1D907F14" w:rsidR="0039347C" w:rsidRPr="00D3564A" w:rsidRDefault="0039347C" w:rsidP="0039347C">
            <w:pPr>
              <w:pStyle w:val="TableParagraph"/>
              <w:jc w:val="center"/>
              <w:rPr>
                <w:rFonts w:ascii="Times New Roman" w:hAnsi="Times New Roman"/>
              </w:rPr>
            </w:pPr>
            <w:r>
              <w:rPr>
                <w:rFonts w:ascii="Times New Roman" w:hAnsi="Times New Roman"/>
                <w:lang w:val="lt-LT"/>
              </w:rPr>
              <w:t>&lt;1</w:t>
            </w:r>
          </w:p>
        </w:tc>
        <w:tc>
          <w:tcPr>
            <w:tcW w:w="1701" w:type="dxa"/>
            <w:vMerge w:val="restart"/>
            <w:tcBorders>
              <w:top w:val="single" w:sz="3" w:space="0" w:color="000000"/>
              <w:left w:val="single" w:sz="3" w:space="0" w:color="000000"/>
              <w:right w:val="single" w:sz="7" w:space="0" w:color="000000"/>
            </w:tcBorders>
          </w:tcPr>
          <w:p w14:paraId="4956C3A2" w14:textId="77777777" w:rsidR="0039347C" w:rsidRPr="00E35BE6" w:rsidRDefault="0039347C" w:rsidP="00E35BE6">
            <w:pPr>
              <w:pStyle w:val="TableParagraph"/>
              <w:rPr>
                <w:rFonts w:ascii="Times New Roman" w:hAnsi="Times New Roman"/>
              </w:rPr>
            </w:pPr>
          </w:p>
          <w:p w14:paraId="35EFD1B5" w14:textId="003183D1" w:rsidR="0039347C" w:rsidRDefault="0039347C" w:rsidP="0039347C">
            <w:pPr>
              <w:pStyle w:val="TableParagraph"/>
              <w:jc w:val="center"/>
              <w:rPr>
                <w:rFonts w:ascii="Times New Roman" w:hAnsi="Times New Roman"/>
              </w:rPr>
            </w:pPr>
            <w:r w:rsidRPr="00E35BE6">
              <w:rPr>
                <w:rFonts w:ascii="Times New Roman" w:hAnsi="Times New Roman"/>
              </w:rPr>
              <w:t>labai daž</w:t>
            </w:r>
            <w:r>
              <w:rPr>
                <w:rFonts w:ascii="Times New Roman" w:hAnsi="Times New Roman"/>
              </w:rPr>
              <w:t>nas</w:t>
            </w:r>
          </w:p>
          <w:p w14:paraId="228CDE4F" w14:textId="4C4CD788" w:rsidR="0039347C" w:rsidRPr="00D3564A" w:rsidRDefault="0039347C" w:rsidP="00E35BE6">
            <w:pPr>
              <w:pStyle w:val="TableParagraph"/>
              <w:jc w:val="center"/>
              <w:rPr>
                <w:rFonts w:ascii="Times New Roman" w:hAnsi="Times New Roman"/>
              </w:rPr>
            </w:pPr>
            <w:r>
              <w:rPr>
                <w:rFonts w:ascii="Times New Roman" w:hAnsi="Times New Roman"/>
              </w:rPr>
              <w:t>labai da</w:t>
            </w:r>
            <w:r w:rsidRPr="00E35BE6">
              <w:rPr>
                <w:rFonts w:ascii="Times New Roman" w:hAnsi="Times New Roman"/>
              </w:rPr>
              <w:t>žnas</w:t>
            </w:r>
          </w:p>
        </w:tc>
      </w:tr>
      <w:tr w:rsidR="0039347C" w:rsidRPr="002E32EF" w14:paraId="639B02F0" w14:textId="1139454F" w:rsidTr="004A2B63">
        <w:trPr>
          <w:trHeight w:hRule="exact" w:val="290"/>
        </w:trPr>
        <w:tc>
          <w:tcPr>
            <w:tcW w:w="3164" w:type="dxa"/>
            <w:tcBorders>
              <w:top w:val="nil"/>
              <w:left w:val="single" w:sz="7" w:space="0" w:color="000000"/>
              <w:bottom w:val="nil"/>
              <w:right w:val="single" w:sz="3" w:space="0" w:color="000000"/>
            </w:tcBorders>
          </w:tcPr>
          <w:p w14:paraId="3006E9FE" w14:textId="77777777" w:rsidR="0039347C" w:rsidRPr="00D3564A" w:rsidRDefault="0039347C" w:rsidP="0039347C">
            <w:pPr>
              <w:pStyle w:val="TableParagraph"/>
              <w:rPr>
                <w:rFonts w:ascii="Times New Roman" w:hAnsi="Times New Roman"/>
              </w:rPr>
            </w:pPr>
            <w:r w:rsidRPr="00D3564A">
              <w:rPr>
                <w:rFonts w:ascii="Times New Roman" w:hAnsi="Times New Roman"/>
                <w:spacing w:val="-1"/>
                <w:lang w:val="lt-LT"/>
              </w:rPr>
              <w:t>Neuropatija</w:t>
            </w:r>
          </w:p>
        </w:tc>
        <w:tc>
          <w:tcPr>
            <w:tcW w:w="974" w:type="dxa"/>
            <w:vMerge/>
            <w:tcBorders>
              <w:left w:val="single" w:sz="3" w:space="0" w:color="000000"/>
              <w:bottom w:val="nil"/>
              <w:right w:val="single" w:sz="3" w:space="0" w:color="000000"/>
            </w:tcBorders>
          </w:tcPr>
          <w:p w14:paraId="144B87C6" w14:textId="77777777" w:rsidR="0039347C" w:rsidRPr="002E32EF" w:rsidRDefault="0039347C" w:rsidP="0039347C">
            <w:pPr>
              <w:spacing w:after="0" w:line="240" w:lineRule="auto"/>
              <w:rPr>
                <w:rFonts w:ascii="Times New Roman" w:hAnsi="Times New Roman" w:cs="Times New Roman"/>
              </w:rPr>
            </w:pPr>
          </w:p>
        </w:tc>
        <w:tc>
          <w:tcPr>
            <w:tcW w:w="709" w:type="dxa"/>
            <w:vMerge/>
            <w:tcBorders>
              <w:left w:val="single" w:sz="3" w:space="0" w:color="000000"/>
              <w:bottom w:val="nil"/>
              <w:right w:val="single" w:sz="3" w:space="0" w:color="000000"/>
            </w:tcBorders>
          </w:tcPr>
          <w:p w14:paraId="30A469E2" w14:textId="77777777" w:rsidR="0039347C" w:rsidRPr="002E32EF" w:rsidRDefault="0039347C" w:rsidP="0039347C">
            <w:pPr>
              <w:spacing w:after="0" w:line="240" w:lineRule="auto"/>
              <w:rPr>
                <w:rFonts w:ascii="Times New Roman" w:hAnsi="Times New Roman" w:cs="Times New Roman"/>
              </w:rPr>
            </w:pPr>
          </w:p>
        </w:tc>
        <w:tc>
          <w:tcPr>
            <w:tcW w:w="708" w:type="dxa"/>
            <w:vMerge/>
            <w:tcBorders>
              <w:left w:val="single" w:sz="3" w:space="0" w:color="000000"/>
              <w:bottom w:val="nil"/>
              <w:right w:val="single" w:sz="3" w:space="0" w:color="000000"/>
            </w:tcBorders>
          </w:tcPr>
          <w:p w14:paraId="2E7ECA5C" w14:textId="77777777" w:rsidR="0039347C" w:rsidRPr="002E32EF" w:rsidRDefault="0039347C" w:rsidP="0039347C">
            <w:pPr>
              <w:spacing w:after="0" w:line="240" w:lineRule="auto"/>
              <w:rPr>
                <w:rFonts w:ascii="Times New Roman" w:hAnsi="Times New Roman" w:cs="Times New Roman"/>
              </w:rPr>
            </w:pPr>
          </w:p>
        </w:tc>
        <w:tc>
          <w:tcPr>
            <w:tcW w:w="993" w:type="dxa"/>
            <w:vMerge/>
            <w:tcBorders>
              <w:left w:val="single" w:sz="3" w:space="0" w:color="000000"/>
              <w:bottom w:val="nil"/>
              <w:right w:val="single" w:sz="3" w:space="0" w:color="000000"/>
            </w:tcBorders>
          </w:tcPr>
          <w:p w14:paraId="5125FB4B" w14:textId="77777777" w:rsidR="0039347C" w:rsidRPr="002E32EF" w:rsidRDefault="0039347C" w:rsidP="0039347C">
            <w:pPr>
              <w:spacing w:after="0" w:line="240" w:lineRule="auto"/>
              <w:rPr>
                <w:rFonts w:ascii="Times New Roman" w:hAnsi="Times New Roman" w:cs="Times New Roman"/>
              </w:rPr>
            </w:pPr>
          </w:p>
        </w:tc>
        <w:tc>
          <w:tcPr>
            <w:tcW w:w="708" w:type="dxa"/>
            <w:vMerge/>
            <w:tcBorders>
              <w:left w:val="single" w:sz="3" w:space="0" w:color="000000"/>
              <w:bottom w:val="nil"/>
              <w:right w:val="single" w:sz="3" w:space="0" w:color="000000"/>
            </w:tcBorders>
          </w:tcPr>
          <w:p w14:paraId="39265E36" w14:textId="77777777" w:rsidR="0039347C" w:rsidRPr="002E32EF" w:rsidRDefault="0039347C" w:rsidP="0039347C">
            <w:pPr>
              <w:spacing w:after="0" w:line="240" w:lineRule="auto"/>
              <w:rPr>
                <w:rFonts w:ascii="Times New Roman" w:hAnsi="Times New Roman" w:cs="Times New Roman"/>
              </w:rPr>
            </w:pPr>
          </w:p>
        </w:tc>
        <w:tc>
          <w:tcPr>
            <w:tcW w:w="709" w:type="dxa"/>
            <w:vMerge/>
            <w:tcBorders>
              <w:left w:val="single" w:sz="3" w:space="0" w:color="000000"/>
              <w:bottom w:val="nil"/>
              <w:right w:val="single" w:sz="7" w:space="0" w:color="000000"/>
            </w:tcBorders>
          </w:tcPr>
          <w:p w14:paraId="0FF92206" w14:textId="77777777" w:rsidR="0039347C" w:rsidRPr="002E32EF" w:rsidRDefault="0039347C" w:rsidP="0039347C">
            <w:pPr>
              <w:spacing w:after="0" w:line="240" w:lineRule="auto"/>
              <w:rPr>
                <w:rFonts w:ascii="Times New Roman" w:hAnsi="Times New Roman" w:cs="Times New Roman"/>
              </w:rPr>
            </w:pPr>
          </w:p>
        </w:tc>
        <w:tc>
          <w:tcPr>
            <w:tcW w:w="1701" w:type="dxa"/>
            <w:vMerge/>
            <w:tcBorders>
              <w:left w:val="single" w:sz="3" w:space="0" w:color="000000"/>
              <w:right w:val="single" w:sz="7" w:space="0" w:color="000000"/>
            </w:tcBorders>
          </w:tcPr>
          <w:p w14:paraId="5D249B8C" w14:textId="77777777" w:rsidR="0039347C" w:rsidRPr="002E32EF" w:rsidRDefault="0039347C" w:rsidP="00E35BE6">
            <w:pPr>
              <w:pStyle w:val="TableParagraph"/>
              <w:jc w:val="center"/>
              <w:rPr>
                <w:rFonts w:ascii="Times New Roman" w:hAnsi="Times New Roman"/>
              </w:rPr>
            </w:pPr>
          </w:p>
        </w:tc>
      </w:tr>
      <w:tr w:rsidR="0039347C" w:rsidRPr="002E32EF" w14:paraId="4782DFD6" w14:textId="60703E5F" w:rsidTr="004A2B63">
        <w:trPr>
          <w:trHeight w:hRule="exact" w:val="315"/>
        </w:trPr>
        <w:tc>
          <w:tcPr>
            <w:tcW w:w="3164" w:type="dxa"/>
            <w:tcBorders>
              <w:top w:val="nil"/>
              <w:left w:val="single" w:sz="7" w:space="0" w:color="000000"/>
              <w:bottom w:val="single" w:sz="3" w:space="0" w:color="000000"/>
              <w:right w:val="single" w:sz="3" w:space="0" w:color="000000"/>
            </w:tcBorders>
          </w:tcPr>
          <w:p w14:paraId="4CCCAB52" w14:textId="77777777" w:rsidR="0039347C" w:rsidRPr="00D3564A" w:rsidRDefault="0039347C" w:rsidP="0039347C">
            <w:pPr>
              <w:pStyle w:val="TableParagraph"/>
              <w:rPr>
                <w:rFonts w:ascii="Times New Roman" w:hAnsi="Times New Roman"/>
              </w:rPr>
            </w:pPr>
            <w:r w:rsidRPr="00D3564A">
              <w:rPr>
                <w:rFonts w:ascii="Times New Roman" w:hAnsi="Times New Roman"/>
                <w:spacing w:val="-1"/>
                <w:lang w:val="lt-LT"/>
              </w:rPr>
              <w:t>Galvos skausmas</w:t>
            </w:r>
          </w:p>
        </w:tc>
        <w:tc>
          <w:tcPr>
            <w:tcW w:w="974" w:type="dxa"/>
            <w:tcBorders>
              <w:top w:val="nil"/>
              <w:left w:val="single" w:sz="3" w:space="0" w:color="000000"/>
              <w:bottom w:val="single" w:sz="3" w:space="0" w:color="000000"/>
              <w:right w:val="single" w:sz="3" w:space="0" w:color="000000"/>
            </w:tcBorders>
          </w:tcPr>
          <w:p w14:paraId="62D54579" w14:textId="6B82348B"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709" w:type="dxa"/>
            <w:tcBorders>
              <w:top w:val="nil"/>
              <w:left w:val="single" w:sz="3" w:space="0" w:color="000000"/>
              <w:bottom w:val="single" w:sz="3" w:space="0" w:color="000000"/>
              <w:right w:val="single" w:sz="3" w:space="0" w:color="000000"/>
            </w:tcBorders>
          </w:tcPr>
          <w:p w14:paraId="2AD7273F" w14:textId="7D26AF7B"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708" w:type="dxa"/>
            <w:tcBorders>
              <w:top w:val="nil"/>
              <w:left w:val="single" w:sz="3" w:space="0" w:color="000000"/>
              <w:bottom w:val="single" w:sz="3" w:space="0" w:color="000000"/>
              <w:right w:val="single" w:sz="3" w:space="0" w:color="000000"/>
            </w:tcBorders>
          </w:tcPr>
          <w:p w14:paraId="1B097222" w14:textId="5026EC9B" w:rsidR="0039347C" w:rsidRPr="00D3564A" w:rsidRDefault="0039347C" w:rsidP="0039347C">
            <w:pPr>
              <w:pStyle w:val="TableParagraph"/>
              <w:jc w:val="center"/>
              <w:rPr>
                <w:rFonts w:ascii="Times New Roman" w:hAnsi="Times New Roman"/>
              </w:rPr>
            </w:pPr>
            <w:r>
              <w:rPr>
                <w:rFonts w:ascii="Times New Roman" w:hAnsi="Times New Roman"/>
                <w:lang w:val="lt-LT"/>
              </w:rPr>
              <w:t>-</w:t>
            </w:r>
          </w:p>
        </w:tc>
        <w:tc>
          <w:tcPr>
            <w:tcW w:w="993" w:type="dxa"/>
            <w:tcBorders>
              <w:top w:val="nil"/>
              <w:left w:val="single" w:sz="3" w:space="0" w:color="000000"/>
              <w:bottom w:val="single" w:sz="3" w:space="0" w:color="000000"/>
              <w:right w:val="single" w:sz="3" w:space="0" w:color="000000"/>
            </w:tcBorders>
          </w:tcPr>
          <w:p w14:paraId="546C3873" w14:textId="004FD7F2"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1</w:t>
            </w:r>
            <w:r>
              <w:rPr>
                <w:rFonts w:ascii="Times New Roman" w:hAnsi="Times New Roman"/>
                <w:lang w:val="lt-LT"/>
              </w:rPr>
              <w:t>5</w:t>
            </w:r>
          </w:p>
        </w:tc>
        <w:tc>
          <w:tcPr>
            <w:tcW w:w="708" w:type="dxa"/>
            <w:tcBorders>
              <w:top w:val="nil"/>
              <w:left w:val="single" w:sz="3" w:space="0" w:color="000000"/>
              <w:bottom w:val="single" w:sz="3" w:space="0" w:color="000000"/>
              <w:right w:val="single" w:sz="3" w:space="0" w:color="000000"/>
            </w:tcBorders>
          </w:tcPr>
          <w:p w14:paraId="56BE7329" w14:textId="121C0608" w:rsidR="0039347C" w:rsidRPr="00D3564A" w:rsidRDefault="0039347C" w:rsidP="0039347C">
            <w:pPr>
              <w:pStyle w:val="TableParagraph"/>
              <w:jc w:val="center"/>
              <w:rPr>
                <w:rFonts w:ascii="Times New Roman" w:hAnsi="Times New Roman"/>
              </w:rPr>
            </w:pPr>
            <w:r>
              <w:rPr>
                <w:rFonts w:ascii="Times New Roman" w:hAnsi="Times New Roman"/>
                <w:lang w:val="lt-LT"/>
              </w:rPr>
              <w:t>&lt;1</w:t>
            </w:r>
          </w:p>
        </w:tc>
        <w:tc>
          <w:tcPr>
            <w:tcW w:w="709" w:type="dxa"/>
            <w:tcBorders>
              <w:top w:val="nil"/>
              <w:left w:val="single" w:sz="3" w:space="0" w:color="000000"/>
              <w:bottom w:val="single" w:sz="3" w:space="0" w:color="000000"/>
              <w:right w:val="single" w:sz="7" w:space="0" w:color="000000"/>
            </w:tcBorders>
          </w:tcPr>
          <w:p w14:paraId="6354CE80"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1701" w:type="dxa"/>
            <w:vMerge/>
            <w:tcBorders>
              <w:left w:val="single" w:sz="3" w:space="0" w:color="000000"/>
              <w:bottom w:val="single" w:sz="3" w:space="0" w:color="000000"/>
              <w:right w:val="single" w:sz="7" w:space="0" w:color="000000"/>
            </w:tcBorders>
          </w:tcPr>
          <w:p w14:paraId="4D15ADA9" w14:textId="3EA8F06D" w:rsidR="0039347C" w:rsidRPr="00E35BE6" w:rsidRDefault="0039347C" w:rsidP="0035242E">
            <w:pPr>
              <w:pStyle w:val="TableParagraph"/>
              <w:jc w:val="center"/>
              <w:rPr>
                <w:rFonts w:ascii="Times New Roman" w:hAnsi="Times New Roman"/>
              </w:rPr>
            </w:pPr>
          </w:p>
        </w:tc>
      </w:tr>
      <w:tr w:rsidR="0039347C" w:rsidRPr="002E32EF" w14:paraId="04B0F34D" w14:textId="53B3FC7E" w:rsidTr="00E35BE6">
        <w:trPr>
          <w:trHeight w:hRule="exact" w:val="1196"/>
        </w:trPr>
        <w:tc>
          <w:tcPr>
            <w:tcW w:w="3164" w:type="dxa"/>
            <w:tcBorders>
              <w:top w:val="single" w:sz="3" w:space="0" w:color="000000"/>
              <w:left w:val="single" w:sz="7" w:space="0" w:color="000000"/>
              <w:bottom w:val="single" w:sz="3" w:space="0" w:color="000000"/>
              <w:right w:val="single" w:sz="3" w:space="0" w:color="000000"/>
            </w:tcBorders>
          </w:tcPr>
          <w:p w14:paraId="02D1FEB2" w14:textId="77777777" w:rsidR="0039347C" w:rsidRPr="00E35BE6" w:rsidRDefault="0039347C" w:rsidP="0039347C">
            <w:pPr>
              <w:pStyle w:val="TableParagraph"/>
              <w:rPr>
                <w:rFonts w:ascii="Times New Roman" w:hAnsi="Times New Roman"/>
                <w:lang w:val="lt-LT"/>
              </w:rPr>
            </w:pPr>
            <w:r w:rsidRPr="00D3564A">
              <w:rPr>
                <w:rFonts w:ascii="Times New Roman" w:hAnsi="Times New Roman"/>
                <w:i/>
                <w:spacing w:val="-1"/>
                <w:lang w:val="lt-LT"/>
              </w:rPr>
              <w:t>Kvėpavimo sistemos, krūtinės ląstos ir tarpuplaučio sutrikimai</w:t>
            </w:r>
          </w:p>
          <w:p w14:paraId="52A4A64E" w14:textId="7383BD88" w:rsidR="0039347C" w:rsidRDefault="0039347C" w:rsidP="0039347C">
            <w:pPr>
              <w:pStyle w:val="TableParagraph"/>
              <w:rPr>
                <w:rFonts w:ascii="Times New Roman" w:hAnsi="Times New Roman"/>
                <w:spacing w:val="-1"/>
                <w:lang w:val="lt-LT"/>
              </w:rPr>
            </w:pPr>
            <w:r>
              <w:rPr>
                <w:rFonts w:ascii="Times New Roman" w:hAnsi="Times New Roman"/>
                <w:spacing w:val="-1"/>
                <w:lang w:val="lt-LT"/>
              </w:rPr>
              <w:t xml:space="preserve">Dusulys   </w:t>
            </w:r>
          </w:p>
          <w:p w14:paraId="4D249FFF" w14:textId="74ED6766" w:rsidR="0039347C" w:rsidRPr="00D3564A" w:rsidRDefault="0039347C" w:rsidP="0039347C">
            <w:pPr>
              <w:pStyle w:val="TableParagraph"/>
              <w:rPr>
                <w:rFonts w:ascii="Times New Roman" w:hAnsi="Times New Roman"/>
              </w:rPr>
            </w:pPr>
            <w:r w:rsidRPr="00D3564A">
              <w:rPr>
                <w:rFonts w:ascii="Times New Roman" w:hAnsi="Times New Roman"/>
                <w:spacing w:val="-1"/>
                <w:lang w:val="lt-LT"/>
              </w:rPr>
              <w:t>Kosulys</w:t>
            </w:r>
          </w:p>
        </w:tc>
        <w:tc>
          <w:tcPr>
            <w:tcW w:w="974" w:type="dxa"/>
            <w:tcBorders>
              <w:top w:val="single" w:sz="3" w:space="0" w:color="000000"/>
              <w:left w:val="single" w:sz="3" w:space="0" w:color="000000"/>
              <w:bottom w:val="single" w:sz="3" w:space="0" w:color="000000"/>
              <w:right w:val="single" w:sz="3" w:space="0" w:color="000000"/>
            </w:tcBorders>
          </w:tcPr>
          <w:p w14:paraId="111ACF5C" w14:textId="77777777" w:rsidR="0039347C" w:rsidRPr="00D3564A" w:rsidRDefault="0039347C" w:rsidP="0039347C">
            <w:pPr>
              <w:pStyle w:val="TableParagraph"/>
              <w:rPr>
                <w:rFonts w:ascii="Times New Roman" w:hAnsi="Times New Roman"/>
              </w:rPr>
            </w:pPr>
          </w:p>
          <w:p w14:paraId="4C91BF1C" w14:textId="77777777" w:rsidR="0039347C" w:rsidRPr="00D3564A" w:rsidRDefault="0039347C" w:rsidP="0039347C">
            <w:pPr>
              <w:pStyle w:val="TableParagraph"/>
              <w:rPr>
                <w:rFonts w:ascii="Times New Roman" w:hAnsi="Times New Roman"/>
              </w:rPr>
            </w:pPr>
          </w:p>
          <w:p w14:paraId="719AF587" w14:textId="58200D57" w:rsidR="0039347C" w:rsidRDefault="0039347C" w:rsidP="0039347C">
            <w:pPr>
              <w:pStyle w:val="TableParagraph"/>
              <w:jc w:val="center"/>
              <w:rPr>
                <w:rFonts w:ascii="Times New Roman" w:hAnsi="Times New Roman"/>
                <w:lang w:val="lt-LT"/>
              </w:rPr>
            </w:pPr>
            <w:r>
              <w:rPr>
                <w:rFonts w:ascii="Times New Roman" w:hAnsi="Times New Roman"/>
                <w:lang w:val="lt-LT"/>
              </w:rPr>
              <w:t>4</w:t>
            </w:r>
            <w:r w:rsidRPr="00D3564A">
              <w:rPr>
                <w:rFonts w:ascii="Times New Roman" w:hAnsi="Times New Roman"/>
                <w:lang w:val="lt-LT"/>
              </w:rPr>
              <w:t>1</w:t>
            </w:r>
          </w:p>
          <w:p w14:paraId="0E5D61FA" w14:textId="49760EA2" w:rsidR="0039347C" w:rsidRPr="00D3564A" w:rsidRDefault="0039347C" w:rsidP="0039347C">
            <w:pPr>
              <w:pStyle w:val="TableParagraph"/>
              <w:jc w:val="center"/>
              <w:rPr>
                <w:rFonts w:ascii="Times New Roman" w:hAnsi="Times New Roman"/>
              </w:rPr>
            </w:pPr>
            <w:r>
              <w:rPr>
                <w:rFonts w:ascii="Times New Roman" w:hAnsi="Times New Roman"/>
                <w:lang w:val="lt-LT"/>
              </w:rPr>
              <w:t>33</w:t>
            </w:r>
          </w:p>
        </w:tc>
        <w:tc>
          <w:tcPr>
            <w:tcW w:w="709" w:type="dxa"/>
            <w:tcBorders>
              <w:top w:val="single" w:sz="3" w:space="0" w:color="000000"/>
              <w:left w:val="single" w:sz="3" w:space="0" w:color="000000"/>
              <w:bottom w:val="single" w:sz="3" w:space="0" w:color="000000"/>
              <w:right w:val="single" w:sz="3" w:space="0" w:color="000000"/>
            </w:tcBorders>
          </w:tcPr>
          <w:p w14:paraId="2F846E44" w14:textId="77777777" w:rsidR="0039347C" w:rsidRPr="00D3564A" w:rsidRDefault="0039347C" w:rsidP="0039347C">
            <w:pPr>
              <w:pStyle w:val="TableParagraph"/>
              <w:rPr>
                <w:rFonts w:ascii="Times New Roman" w:hAnsi="Times New Roman"/>
              </w:rPr>
            </w:pPr>
          </w:p>
          <w:p w14:paraId="0686F442" w14:textId="77777777" w:rsidR="0039347C" w:rsidRPr="00D3564A" w:rsidRDefault="0039347C" w:rsidP="0039347C">
            <w:pPr>
              <w:pStyle w:val="TableParagraph"/>
              <w:rPr>
                <w:rFonts w:ascii="Times New Roman" w:hAnsi="Times New Roman"/>
              </w:rPr>
            </w:pPr>
          </w:p>
          <w:p w14:paraId="39A75D4E" w14:textId="60AC9FCC" w:rsidR="0039347C" w:rsidRDefault="0039347C" w:rsidP="0039347C">
            <w:pPr>
              <w:pStyle w:val="TableParagraph"/>
              <w:jc w:val="center"/>
              <w:rPr>
                <w:rFonts w:ascii="Times New Roman" w:hAnsi="Times New Roman"/>
                <w:lang w:val="lt-LT"/>
              </w:rPr>
            </w:pPr>
            <w:r>
              <w:rPr>
                <w:rFonts w:ascii="Times New Roman" w:hAnsi="Times New Roman"/>
                <w:lang w:val="lt-LT"/>
              </w:rPr>
              <w:t>17</w:t>
            </w:r>
          </w:p>
          <w:p w14:paraId="02553B62" w14:textId="64B34FE0" w:rsidR="0039347C" w:rsidRPr="00D3564A" w:rsidRDefault="0039347C" w:rsidP="0039347C">
            <w:pPr>
              <w:pStyle w:val="TableParagraph"/>
              <w:jc w:val="center"/>
              <w:rPr>
                <w:rFonts w:ascii="Times New Roman" w:hAnsi="Times New Roman"/>
              </w:rPr>
            </w:pPr>
            <w:r>
              <w:rPr>
                <w:rFonts w:ascii="Times New Roman" w:hAnsi="Times New Roman"/>
                <w:lang w:val="lt-LT"/>
              </w:rPr>
              <w:t>4</w:t>
            </w:r>
          </w:p>
        </w:tc>
        <w:tc>
          <w:tcPr>
            <w:tcW w:w="708" w:type="dxa"/>
            <w:tcBorders>
              <w:top w:val="single" w:sz="3" w:space="0" w:color="000000"/>
              <w:left w:val="single" w:sz="3" w:space="0" w:color="000000"/>
              <w:bottom w:val="single" w:sz="3" w:space="0" w:color="000000"/>
              <w:right w:val="single" w:sz="3" w:space="0" w:color="000000"/>
            </w:tcBorders>
          </w:tcPr>
          <w:p w14:paraId="1AD3C2F2" w14:textId="77777777" w:rsidR="0039347C" w:rsidRPr="00D3564A" w:rsidRDefault="0039347C" w:rsidP="0039347C">
            <w:pPr>
              <w:pStyle w:val="TableParagraph"/>
              <w:rPr>
                <w:rFonts w:ascii="Times New Roman" w:hAnsi="Times New Roman"/>
              </w:rPr>
            </w:pPr>
          </w:p>
          <w:p w14:paraId="48EA7510" w14:textId="77777777" w:rsidR="0039347C" w:rsidRPr="00D3564A" w:rsidRDefault="0039347C" w:rsidP="0039347C">
            <w:pPr>
              <w:pStyle w:val="TableParagraph"/>
              <w:rPr>
                <w:rFonts w:ascii="Times New Roman" w:hAnsi="Times New Roman"/>
              </w:rPr>
            </w:pPr>
          </w:p>
          <w:p w14:paraId="4681E104" w14:textId="0DAD4D34" w:rsidR="0039347C" w:rsidRDefault="0039347C" w:rsidP="0039347C">
            <w:pPr>
              <w:pStyle w:val="TableParagraph"/>
              <w:jc w:val="center"/>
              <w:rPr>
                <w:rFonts w:ascii="Times New Roman" w:hAnsi="Times New Roman"/>
                <w:lang w:val="lt-LT"/>
              </w:rPr>
            </w:pPr>
            <w:r>
              <w:rPr>
                <w:rFonts w:ascii="Times New Roman" w:hAnsi="Times New Roman"/>
                <w:lang w:val="lt-LT"/>
              </w:rPr>
              <w:t>11</w:t>
            </w:r>
          </w:p>
          <w:p w14:paraId="6599CBAA" w14:textId="4E0C3CB6"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993" w:type="dxa"/>
            <w:tcBorders>
              <w:top w:val="single" w:sz="3" w:space="0" w:color="000000"/>
              <w:left w:val="single" w:sz="3" w:space="0" w:color="000000"/>
              <w:bottom w:val="single" w:sz="3" w:space="0" w:color="000000"/>
              <w:right w:val="single" w:sz="3" w:space="0" w:color="000000"/>
            </w:tcBorders>
          </w:tcPr>
          <w:p w14:paraId="58272554" w14:textId="77777777" w:rsidR="0039347C" w:rsidRPr="00D3564A" w:rsidRDefault="0039347C" w:rsidP="0039347C">
            <w:pPr>
              <w:pStyle w:val="TableParagraph"/>
              <w:rPr>
                <w:rFonts w:ascii="Times New Roman" w:hAnsi="Times New Roman"/>
              </w:rPr>
            </w:pPr>
          </w:p>
          <w:p w14:paraId="70CFE8EB" w14:textId="77777777" w:rsidR="0039347C" w:rsidRPr="00D3564A" w:rsidRDefault="0039347C" w:rsidP="0039347C">
            <w:pPr>
              <w:pStyle w:val="TableParagraph"/>
              <w:rPr>
                <w:rFonts w:ascii="Times New Roman" w:hAnsi="Times New Roman"/>
              </w:rPr>
            </w:pPr>
          </w:p>
          <w:p w14:paraId="29995C1A" w14:textId="597B3551" w:rsidR="0039347C" w:rsidRDefault="0039347C" w:rsidP="0039347C">
            <w:pPr>
              <w:pStyle w:val="TableParagraph"/>
              <w:jc w:val="center"/>
              <w:rPr>
                <w:rFonts w:ascii="Times New Roman" w:hAnsi="Times New Roman"/>
                <w:lang w:val="lt-LT"/>
              </w:rPr>
            </w:pPr>
            <w:r>
              <w:rPr>
                <w:rFonts w:ascii="Times New Roman" w:hAnsi="Times New Roman"/>
                <w:lang w:val="lt-LT"/>
              </w:rPr>
              <w:t>-</w:t>
            </w:r>
          </w:p>
          <w:p w14:paraId="732784AA" w14:textId="6FA9260C" w:rsidR="0039347C" w:rsidRPr="00D3564A" w:rsidRDefault="0039347C" w:rsidP="0039347C">
            <w:pPr>
              <w:pStyle w:val="TableParagraph"/>
              <w:jc w:val="center"/>
              <w:rPr>
                <w:rFonts w:ascii="Times New Roman" w:hAnsi="Times New Roman"/>
              </w:rPr>
            </w:pPr>
            <w:r>
              <w:rPr>
                <w:rFonts w:ascii="Times New Roman" w:hAnsi="Times New Roman"/>
                <w:lang w:val="lt-LT"/>
              </w:rPr>
              <w:t>16</w:t>
            </w:r>
          </w:p>
        </w:tc>
        <w:tc>
          <w:tcPr>
            <w:tcW w:w="708" w:type="dxa"/>
            <w:tcBorders>
              <w:top w:val="single" w:sz="3" w:space="0" w:color="000000"/>
              <w:left w:val="single" w:sz="3" w:space="0" w:color="000000"/>
              <w:bottom w:val="single" w:sz="3" w:space="0" w:color="000000"/>
              <w:right w:val="single" w:sz="3" w:space="0" w:color="000000"/>
            </w:tcBorders>
          </w:tcPr>
          <w:p w14:paraId="4E19735B" w14:textId="77777777" w:rsidR="0039347C" w:rsidRPr="00D3564A" w:rsidRDefault="0039347C" w:rsidP="0039347C">
            <w:pPr>
              <w:pStyle w:val="TableParagraph"/>
              <w:rPr>
                <w:rFonts w:ascii="Times New Roman" w:hAnsi="Times New Roman"/>
              </w:rPr>
            </w:pPr>
          </w:p>
          <w:p w14:paraId="416B3ECD" w14:textId="77777777" w:rsidR="0039347C" w:rsidRPr="00D3564A" w:rsidRDefault="0039347C" w:rsidP="0039347C">
            <w:pPr>
              <w:pStyle w:val="TableParagraph"/>
              <w:rPr>
                <w:rFonts w:ascii="Times New Roman" w:hAnsi="Times New Roman"/>
              </w:rPr>
            </w:pPr>
          </w:p>
          <w:p w14:paraId="0662B230" w14:textId="135A89E5" w:rsidR="0039347C" w:rsidRDefault="0039347C" w:rsidP="0039347C">
            <w:pPr>
              <w:pStyle w:val="TableParagraph"/>
              <w:jc w:val="center"/>
              <w:rPr>
                <w:rFonts w:ascii="Times New Roman" w:hAnsi="Times New Roman"/>
                <w:lang w:val="lt-LT"/>
              </w:rPr>
            </w:pPr>
            <w:r>
              <w:rPr>
                <w:rFonts w:ascii="Times New Roman" w:hAnsi="Times New Roman"/>
                <w:lang w:val="lt-LT"/>
              </w:rPr>
              <w:t>-</w:t>
            </w:r>
          </w:p>
          <w:p w14:paraId="4A552905" w14:textId="47258B6D"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709" w:type="dxa"/>
            <w:tcBorders>
              <w:top w:val="single" w:sz="3" w:space="0" w:color="000000"/>
              <w:left w:val="single" w:sz="3" w:space="0" w:color="000000"/>
              <w:bottom w:val="single" w:sz="3" w:space="0" w:color="000000"/>
              <w:right w:val="single" w:sz="7" w:space="0" w:color="000000"/>
            </w:tcBorders>
          </w:tcPr>
          <w:p w14:paraId="401389E5" w14:textId="77777777" w:rsidR="0039347C" w:rsidRPr="00D3564A" w:rsidRDefault="0039347C" w:rsidP="0039347C">
            <w:pPr>
              <w:pStyle w:val="TableParagraph"/>
              <w:rPr>
                <w:rFonts w:ascii="Times New Roman" w:hAnsi="Times New Roman"/>
              </w:rPr>
            </w:pPr>
          </w:p>
          <w:p w14:paraId="489DF14E" w14:textId="77777777" w:rsidR="0039347C" w:rsidRPr="00D3564A" w:rsidRDefault="0039347C" w:rsidP="0039347C">
            <w:pPr>
              <w:pStyle w:val="TableParagraph"/>
              <w:rPr>
                <w:rFonts w:ascii="Times New Roman" w:hAnsi="Times New Roman"/>
              </w:rPr>
            </w:pPr>
          </w:p>
          <w:p w14:paraId="3999CDED" w14:textId="5C7DD895" w:rsidR="0039347C" w:rsidRDefault="0039347C" w:rsidP="0039347C">
            <w:pPr>
              <w:pStyle w:val="TableParagraph"/>
              <w:jc w:val="center"/>
              <w:rPr>
                <w:rFonts w:ascii="Times New Roman" w:hAnsi="Times New Roman"/>
                <w:lang w:val="lt-LT"/>
              </w:rPr>
            </w:pPr>
            <w:r>
              <w:rPr>
                <w:rFonts w:ascii="Times New Roman" w:hAnsi="Times New Roman"/>
                <w:lang w:val="lt-LT"/>
              </w:rPr>
              <w:t>-</w:t>
            </w:r>
          </w:p>
          <w:p w14:paraId="6E3F1261" w14:textId="1368E159"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1701" w:type="dxa"/>
            <w:tcBorders>
              <w:top w:val="single" w:sz="3" w:space="0" w:color="000000"/>
              <w:left w:val="single" w:sz="3" w:space="0" w:color="000000"/>
              <w:bottom w:val="single" w:sz="3" w:space="0" w:color="000000"/>
              <w:right w:val="single" w:sz="7" w:space="0" w:color="000000"/>
            </w:tcBorders>
          </w:tcPr>
          <w:p w14:paraId="28BCBD31" w14:textId="77777777" w:rsidR="0039347C" w:rsidRDefault="0039347C" w:rsidP="00A64E52">
            <w:pPr>
              <w:pStyle w:val="TableParagraph"/>
              <w:jc w:val="center"/>
              <w:rPr>
                <w:rFonts w:ascii="Times New Roman" w:hAnsi="Times New Roman"/>
              </w:rPr>
            </w:pPr>
          </w:p>
          <w:p w14:paraId="46190728" w14:textId="77777777" w:rsidR="0039347C" w:rsidRDefault="0039347C" w:rsidP="0035242E">
            <w:pPr>
              <w:pStyle w:val="TableParagraph"/>
              <w:jc w:val="center"/>
              <w:rPr>
                <w:rFonts w:ascii="Times New Roman" w:hAnsi="Times New Roman"/>
              </w:rPr>
            </w:pPr>
          </w:p>
          <w:p w14:paraId="279DF123" w14:textId="6BB2D16C" w:rsidR="0039347C" w:rsidRPr="00E35BE6" w:rsidRDefault="0039347C" w:rsidP="0035242E">
            <w:pPr>
              <w:pStyle w:val="TableParagraph"/>
              <w:jc w:val="center"/>
              <w:rPr>
                <w:rFonts w:ascii="Times New Roman" w:hAnsi="Times New Roman"/>
              </w:rPr>
            </w:pPr>
            <w:r>
              <w:rPr>
                <w:rFonts w:ascii="Times New Roman" w:hAnsi="Times New Roman"/>
              </w:rPr>
              <w:t>labai da</w:t>
            </w:r>
            <w:r w:rsidRPr="00E35BE6">
              <w:rPr>
                <w:rFonts w:ascii="Times New Roman" w:hAnsi="Times New Roman"/>
              </w:rPr>
              <w:t>žnas</w:t>
            </w:r>
          </w:p>
          <w:p w14:paraId="3AEA4E48" w14:textId="71388914" w:rsidR="0039347C" w:rsidRPr="00D3564A" w:rsidRDefault="0039347C" w:rsidP="00E35BE6">
            <w:pPr>
              <w:pStyle w:val="TableParagraph"/>
              <w:jc w:val="center"/>
              <w:rPr>
                <w:rFonts w:ascii="Times New Roman" w:hAnsi="Times New Roman"/>
              </w:rPr>
            </w:pPr>
            <w:r>
              <w:rPr>
                <w:rFonts w:ascii="Times New Roman" w:hAnsi="Times New Roman"/>
              </w:rPr>
              <w:t>labai da</w:t>
            </w:r>
            <w:r w:rsidRPr="00E35BE6">
              <w:rPr>
                <w:rFonts w:ascii="Times New Roman" w:hAnsi="Times New Roman"/>
              </w:rPr>
              <w:t>žnas</w:t>
            </w:r>
          </w:p>
        </w:tc>
      </w:tr>
      <w:tr w:rsidR="0039347C" w:rsidRPr="002E32EF" w14:paraId="730CDB7B" w14:textId="49C9F832" w:rsidTr="00E35BE6">
        <w:trPr>
          <w:trHeight w:hRule="exact" w:val="330"/>
        </w:trPr>
        <w:tc>
          <w:tcPr>
            <w:tcW w:w="3164" w:type="dxa"/>
            <w:tcBorders>
              <w:top w:val="single" w:sz="3" w:space="0" w:color="000000"/>
              <w:left w:val="single" w:sz="7" w:space="0" w:color="000000"/>
              <w:bottom w:val="nil"/>
              <w:right w:val="single" w:sz="3" w:space="0" w:color="000000"/>
            </w:tcBorders>
          </w:tcPr>
          <w:p w14:paraId="13727F5B" w14:textId="77777777" w:rsidR="0039347C" w:rsidRPr="00D3564A" w:rsidRDefault="0039347C" w:rsidP="0039347C">
            <w:pPr>
              <w:pStyle w:val="TableParagraph"/>
              <w:rPr>
                <w:rFonts w:ascii="Times New Roman" w:hAnsi="Times New Roman"/>
              </w:rPr>
            </w:pPr>
            <w:r w:rsidRPr="00D3564A">
              <w:rPr>
                <w:rFonts w:ascii="Times New Roman" w:hAnsi="Times New Roman"/>
                <w:i/>
                <w:spacing w:val="-1"/>
                <w:lang w:val="lt-LT"/>
              </w:rPr>
              <w:t>Virškinimo trakto sutrikimai</w:t>
            </w:r>
          </w:p>
        </w:tc>
        <w:tc>
          <w:tcPr>
            <w:tcW w:w="974" w:type="dxa"/>
            <w:vMerge w:val="restart"/>
            <w:tcBorders>
              <w:top w:val="single" w:sz="3" w:space="0" w:color="000000"/>
              <w:left w:val="single" w:sz="3" w:space="0" w:color="000000"/>
              <w:right w:val="single" w:sz="3" w:space="0" w:color="000000"/>
            </w:tcBorders>
          </w:tcPr>
          <w:p w14:paraId="2A8C8A3F" w14:textId="77777777" w:rsidR="0039347C" w:rsidRPr="00D3564A" w:rsidRDefault="0039347C" w:rsidP="0039347C">
            <w:pPr>
              <w:pStyle w:val="TableParagraph"/>
              <w:rPr>
                <w:rFonts w:ascii="Times New Roman" w:hAnsi="Times New Roman"/>
              </w:rPr>
            </w:pPr>
          </w:p>
          <w:p w14:paraId="6CA05199" w14:textId="66B946F4" w:rsidR="0039347C" w:rsidRPr="00D3564A" w:rsidRDefault="0039347C" w:rsidP="0039347C">
            <w:pPr>
              <w:pStyle w:val="TableParagraph"/>
              <w:jc w:val="center"/>
              <w:rPr>
                <w:rFonts w:ascii="Times New Roman" w:hAnsi="Times New Roman"/>
              </w:rPr>
            </w:pPr>
            <w:r>
              <w:rPr>
                <w:rFonts w:ascii="Times New Roman" w:hAnsi="Times New Roman"/>
                <w:lang w:val="lt-LT"/>
              </w:rPr>
              <w:t>54</w:t>
            </w:r>
          </w:p>
        </w:tc>
        <w:tc>
          <w:tcPr>
            <w:tcW w:w="709" w:type="dxa"/>
            <w:vMerge w:val="restart"/>
            <w:tcBorders>
              <w:top w:val="single" w:sz="3" w:space="0" w:color="000000"/>
              <w:left w:val="single" w:sz="3" w:space="0" w:color="000000"/>
              <w:right w:val="single" w:sz="3" w:space="0" w:color="000000"/>
            </w:tcBorders>
          </w:tcPr>
          <w:p w14:paraId="5D675C0F" w14:textId="77777777" w:rsidR="0039347C" w:rsidRPr="00D3564A" w:rsidRDefault="0039347C" w:rsidP="0039347C">
            <w:pPr>
              <w:pStyle w:val="TableParagraph"/>
              <w:rPr>
                <w:rFonts w:ascii="Times New Roman" w:hAnsi="Times New Roman"/>
              </w:rPr>
            </w:pPr>
          </w:p>
          <w:p w14:paraId="6143807E" w14:textId="6CE3F95F" w:rsidR="0039347C" w:rsidRPr="00D3564A" w:rsidRDefault="0039347C" w:rsidP="0039347C">
            <w:pPr>
              <w:pStyle w:val="TableParagraph"/>
              <w:jc w:val="center"/>
              <w:rPr>
                <w:rFonts w:ascii="Times New Roman" w:hAnsi="Times New Roman"/>
              </w:rPr>
            </w:pPr>
            <w:r>
              <w:rPr>
                <w:rFonts w:ascii="Times New Roman" w:hAnsi="Times New Roman"/>
                <w:lang w:val="lt-LT"/>
              </w:rPr>
              <w:t>6</w:t>
            </w:r>
          </w:p>
        </w:tc>
        <w:tc>
          <w:tcPr>
            <w:tcW w:w="708" w:type="dxa"/>
            <w:vMerge w:val="restart"/>
            <w:tcBorders>
              <w:top w:val="single" w:sz="3" w:space="0" w:color="000000"/>
              <w:left w:val="single" w:sz="3" w:space="0" w:color="000000"/>
              <w:right w:val="single" w:sz="3" w:space="0" w:color="000000"/>
            </w:tcBorders>
          </w:tcPr>
          <w:p w14:paraId="75A541D4" w14:textId="77777777" w:rsidR="0039347C" w:rsidRPr="00D3564A" w:rsidRDefault="0039347C" w:rsidP="0039347C">
            <w:pPr>
              <w:pStyle w:val="TableParagraph"/>
              <w:rPr>
                <w:rFonts w:ascii="Times New Roman" w:hAnsi="Times New Roman"/>
              </w:rPr>
            </w:pPr>
          </w:p>
          <w:p w14:paraId="5FDB5CF9"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&lt;1</w:t>
            </w:r>
          </w:p>
        </w:tc>
        <w:tc>
          <w:tcPr>
            <w:tcW w:w="993" w:type="dxa"/>
            <w:vMerge w:val="restart"/>
            <w:tcBorders>
              <w:top w:val="single" w:sz="3" w:space="0" w:color="000000"/>
              <w:left w:val="single" w:sz="3" w:space="0" w:color="000000"/>
              <w:right w:val="single" w:sz="3" w:space="0" w:color="000000"/>
            </w:tcBorders>
          </w:tcPr>
          <w:p w14:paraId="7D8A9924" w14:textId="77777777" w:rsidR="0039347C" w:rsidRPr="00D3564A" w:rsidRDefault="0039347C" w:rsidP="0039347C">
            <w:pPr>
              <w:pStyle w:val="TableParagraph"/>
              <w:rPr>
                <w:rFonts w:ascii="Times New Roman" w:hAnsi="Times New Roman"/>
              </w:rPr>
            </w:pPr>
          </w:p>
          <w:p w14:paraId="4921EE5E" w14:textId="00E29F96" w:rsidR="0039347C" w:rsidRPr="00D3564A" w:rsidRDefault="00181E50" w:rsidP="0039347C">
            <w:pPr>
              <w:pStyle w:val="TableParagraph"/>
              <w:jc w:val="center"/>
              <w:rPr>
                <w:rFonts w:ascii="Times New Roman" w:hAnsi="Times New Roman"/>
              </w:rPr>
            </w:pPr>
            <w:r>
              <w:rPr>
                <w:rFonts w:ascii="Times New Roman" w:hAnsi="Times New Roman"/>
                <w:lang w:val="lt-LT"/>
              </w:rPr>
              <w:t>48</w:t>
            </w:r>
          </w:p>
        </w:tc>
        <w:tc>
          <w:tcPr>
            <w:tcW w:w="708" w:type="dxa"/>
            <w:vMerge w:val="restart"/>
            <w:tcBorders>
              <w:top w:val="single" w:sz="3" w:space="0" w:color="000000"/>
              <w:left w:val="single" w:sz="3" w:space="0" w:color="000000"/>
              <w:right w:val="single" w:sz="3" w:space="0" w:color="000000"/>
            </w:tcBorders>
          </w:tcPr>
          <w:p w14:paraId="35C26264" w14:textId="77777777" w:rsidR="0039347C" w:rsidRPr="00D3564A" w:rsidRDefault="0039347C" w:rsidP="0039347C">
            <w:pPr>
              <w:pStyle w:val="TableParagraph"/>
              <w:rPr>
                <w:rFonts w:ascii="Times New Roman" w:hAnsi="Times New Roman"/>
              </w:rPr>
            </w:pPr>
          </w:p>
          <w:p w14:paraId="7D4572C9" w14:textId="1110EA87" w:rsidR="0039347C" w:rsidRPr="00D3564A" w:rsidRDefault="00181E50" w:rsidP="0039347C">
            <w:pPr>
              <w:pStyle w:val="TableParagraph"/>
              <w:jc w:val="center"/>
              <w:rPr>
                <w:rFonts w:ascii="Times New Roman" w:hAnsi="Times New Roman"/>
              </w:rPr>
            </w:pPr>
            <w:r>
              <w:rPr>
                <w:rFonts w:ascii="Times New Roman" w:hAnsi="Times New Roman"/>
                <w:lang w:val="lt-LT"/>
              </w:rPr>
              <w:t>5</w:t>
            </w:r>
          </w:p>
        </w:tc>
        <w:tc>
          <w:tcPr>
            <w:tcW w:w="709" w:type="dxa"/>
            <w:vMerge w:val="restart"/>
            <w:tcBorders>
              <w:top w:val="single" w:sz="3" w:space="0" w:color="000000"/>
              <w:left w:val="single" w:sz="3" w:space="0" w:color="000000"/>
              <w:right w:val="single" w:sz="7" w:space="0" w:color="000000"/>
            </w:tcBorders>
          </w:tcPr>
          <w:p w14:paraId="6C518EC4" w14:textId="77777777" w:rsidR="0039347C" w:rsidRPr="00D3564A" w:rsidRDefault="0039347C" w:rsidP="0039347C">
            <w:pPr>
              <w:pStyle w:val="TableParagraph"/>
              <w:rPr>
                <w:rFonts w:ascii="Times New Roman" w:hAnsi="Times New Roman"/>
              </w:rPr>
            </w:pPr>
          </w:p>
          <w:p w14:paraId="0FDED7E3" w14:textId="5101F6E3" w:rsidR="0039347C" w:rsidRPr="00D3564A" w:rsidRDefault="00181E50" w:rsidP="0039347C">
            <w:pPr>
              <w:pStyle w:val="TableParagraph"/>
              <w:jc w:val="center"/>
              <w:rPr>
                <w:rFonts w:ascii="Times New Roman" w:hAnsi="Times New Roman"/>
              </w:rPr>
            </w:pPr>
            <w:r>
              <w:rPr>
                <w:rFonts w:ascii="Times New Roman" w:hAnsi="Times New Roman"/>
                <w:lang w:val="lt-LT"/>
              </w:rPr>
              <w:t>&lt;1</w:t>
            </w:r>
          </w:p>
        </w:tc>
        <w:tc>
          <w:tcPr>
            <w:tcW w:w="1701" w:type="dxa"/>
            <w:tcBorders>
              <w:top w:val="single" w:sz="3" w:space="0" w:color="000000"/>
              <w:left w:val="single" w:sz="3" w:space="0" w:color="000000"/>
              <w:right w:val="single" w:sz="7" w:space="0" w:color="000000"/>
            </w:tcBorders>
          </w:tcPr>
          <w:p w14:paraId="64438069" w14:textId="77777777" w:rsidR="0039347C" w:rsidRPr="00D3564A" w:rsidRDefault="0039347C" w:rsidP="00E35BE6">
            <w:pPr>
              <w:pStyle w:val="TableParagraph"/>
              <w:jc w:val="center"/>
              <w:rPr>
                <w:rFonts w:ascii="Times New Roman" w:hAnsi="Times New Roman"/>
              </w:rPr>
            </w:pPr>
          </w:p>
        </w:tc>
      </w:tr>
      <w:tr w:rsidR="0039347C" w:rsidRPr="002E32EF" w14:paraId="793E1AF1" w14:textId="0CA22BB7" w:rsidTr="00E35BE6">
        <w:trPr>
          <w:trHeight w:hRule="exact" w:val="290"/>
        </w:trPr>
        <w:tc>
          <w:tcPr>
            <w:tcW w:w="3164" w:type="dxa"/>
            <w:tcBorders>
              <w:top w:val="nil"/>
              <w:left w:val="single" w:sz="7" w:space="0" w:color="000000"/>
              <w:bottom w:val="nil"/>
              <w:right w:val="single" w:sz="3" w:space="0" w:color="000000"/>
            </w:tcBorders>
          </w:tcPr>
          <w:p w14:paraId="4F4CEA7B" w14:textId="77777777" w:rsidR="0039347C" w:rsidRPr="00D3564A" w:rsidRDefault="0039347C" w:rsidP="0039347C">
            <w:pPr>
              <w:pStyle w:val="TableParagraph"/>
              <w:rPr>
                <w:rFonts w:ascii="Times New Roman" w:hAnsi="Times New Roman"/>
              </w:rPr>
            </w:pPr>
            <w:r w:rsidRPr="00D3564A">
              <w:rPr>
                <w:rFonts w:ascii="Times New Roman" w:hAnsi="Times New Roman"/>
                <w:lang w:val="lt-LT"/>
              </w:rPr>
              <w:t>Viduriavimas</w:t>
            </w:r>
            <w:r w:rsidRPr="00D3564A">
              <w:rPr>
                <w:rFonts w:ascii="Times New Roman" w:hAnsi="Times New Roman"/>
                <w:vertAlign w:val="superscript"/>
                <w:lang w:val="lt-LT"/>
              </w:rPr>
              <w:t>**</w:t>
            </w:r>
          </w:p>
        </w:tc>
        <w:tc>
          <w:tcPr>
            <w:tcW w:w="974" w:type="dxa"/>
            <w:vMerge/>
            <w:tcBorders>
              <w:left w:val="single" w:sz="3" w:space="0" w:color="000000"/>
              <w:bottom w:val="nil"/>
              <w:right w:val="single" w:sz="3" w:space="0" w:color="000000"/>
            </w:tcBorders>
          </w:tcPr>
          <w:p w14:paraId="54CC40A2" w14:textId="77777777" w:rsidR="0039347C" w:rsidRPr="002E32EF" w:rsidRDefault="0039347C" w:rsidP="0039347C">
            <w:pPr>
              <w:spacing w:after="0" w:line="240" w:lineRule="auto"/>
              <w:rPr>
                <w:rFonts w:ascii="Times New Roman" w:hAnsi="Times New Roman" w:cs="Times New Roman"/>
              </w:rPr>
            </w:pPr>
          </w:p>
        </w:tc>
        <w:tc>
          <w:tcPr>
            <w:tcW w:w="709" w:type="dxa"/>
            <w:vMerge/>
            <w:tcBorders>
              <w:left w:val="single" w:sz="3" w:space="0" w:color="000000"/>
              <w:bottom w:val="nil"/>
              <w:right w:val="single" w:sz="3" w:space="0" w:color="000000"/>
            </w:tcBorders>
          </w:tcPr>
          <w:p w14:paraId="3AD8596C" w14:textId="77777777" w:rsidR="0039347C" w:rsidRPr="002E32EF" w:rsidRDefault="0039347C" w:rsidP="0039347C">
            <w:pPr>
              <w:spacing w:after="0" w:line="240" w:lineRule="auto"/>
              <w:rPr>
                <w:rFonts w:ascii="Times New Roman" w:hAnsi="Times New Roman" w:cs="Times New Roman"/>
              </w:rPr>
            </w:pPr>
          </w:p>
        </w:tc>
        <w:tc>
          <w:tcPr>
            <w:tcW w:w="708" w:type="dxa"/>
            <w:vMerge/>
            <w:tcBorders>
              <w:left w:val="single" w:sz="3" w:space="0" w:color="000000"/>
              <w:bottom w:val="nil"/>
              <w:right w:val="single" w:sz="3" w:space="0" w:color="000000"/>
            </w:tcBorders>
          </w:tcPr>
          <w:p w14:paraId="18EB6485" w14:textId="77777777" w:rsidR="0039347C" w:rsidRPr="002E32EF" w:rsidRDefault="0039347C" w:rsidP="0039347C">
            <w:pPr>
              <w:spacing w:after="0" w:line="240" w:lineRule="auto"/>
              <w:rPr>
                <w:rFonts w:ascii="Times New Roman" w:hAnsi="Times New Roman" w:cs="Times New Roman"/>
              </w:rPr>
            </w:pPr>
          </w:p>
        </w:tc>
        <w:tc>
          <w:tcPr>
            <w:tcW w:w="993" w:type="dxa"/>
            <w:vMerge/>
            <w:tcBorders>
              <w:left w:val="single" w:sz="3" w:space="0" w:color="000000"/>
              <w:bottom w:val="nil"/>
              <w:right w:val="single" w:sz="3" w:space="0" w:color="000000"/>
            </w:tcBorders>
          </w:tcPr>
          <w:p w14:paraId="197C0574" w14:textId="77777777" w:rsidR="0039347C" w:rsidRPr="002E32EF" w:rsidRDefault="0039347C" w:rsidP="0039347C">
            <w:pPr>
              <w:spacing w:after="0" w:line="240" w:lineRule="auto"/>
              <w:rPr>
                <w:rFonts w:ascii="Times New Roman" w:hAnsi="Times New Roman" w:cs="Times New Roman"/>
              </w:rPr>
            </w:pPr>
          </w:p>
        </w:tc>
        <w:tc>
          <w:tcPr>
            <w:tcW w:w="708" w:type="dxa"/>
            <w:vMerge/>
            <w:tcBorders>
              <w:left w:val="single" w:sz="3" w:space="0" w:color="000000"/>
              <w:bottom w:val="nil"/>
              <w:right w:val="single" w:sz="3" w:space="0" w:color="000000"/>
            </w:tcBorders>
          </w:tcPr>
          <w:p w14:paraId="45EA0364" w14:textId="77777777" w:rsidR="0039347C" w:rsidRPr="002E32EF" w:rsidRDefault="0039347C" w:rsidP="0039347C">
            <w:pPr>
              <w:spacing w:after="0" w:line="240" w:lineRule="auto"/>
              <w:rPr>
                <w:rFonts w:ascii="Times New Roman" w:hAnsi="Times New Roman" w:cs="Times New Roman"/>
              </w:rPr>
            </w:pPr>
          </w:p>
        </w:tc>
        <w:tc>
          <w:tcPr>
            <w:tcW w:w="709" w:type="dxa"/>
            <w:vMerge/>
            <w:tcBorders>
              <w:left w:val="single" w:sz="3" w:space="0" w:color="000000"/>
              <w:bottom w:val="nil"/>
              <w:right w:val="single" w:sz="7" w:space="0" w:color="000000"/>
            </w:tcBorders>
          </w:tcPr>
          <w:p w14:paraId="3D90DB69" w14:textId="77777777" w:rsidR="0039347C" w:rsidRPr="002E32EF" w:rsidRDefault="0039347C" w:rsidP="0039347C">
            <w:pPr>
              <w:spacing w:after="0" w:line="240" w:lineRule="auto"/>
              <w:rPr>
                <w:rFonts w:ascii="Times New Roman" w:hAnsi="Times New Roman" w:cs="Times New Roman"/>
              </w:rPr>
            </w:pPr>
          </w:p>
        </w:tc>
        <w:tc>
          <w:tcPr>
            <w:tcW w:w="1701" w:type="dxa"/>
            <w:tcBorders>
              <w:left w:val="single" w:sz="3" w:space="0" w:color="000000"/>
              <w:bottom w:val="nil"/>
              <w:right w:val="single" w:sz="7" w:space="0" w:color="000000"/>
            </w:tcBorders>
          </w:tcPr>
          <w:p w14:paraId="4473D0B7" w14:textId="41F9827D" w:rsidR="0039347C" w:rsidRPr="002E32EF" w:rsidRDefault="00181E50" w:rsidP="00E35BE6">
            <w:pPr>
              <w:spacing w:after="0" w:line="240" w:lineRule="auto"/>
              <w:jc w:val="center"/>
              <w:rPr>
                <w:rFonts w:ascii="Times New Roman" w:hAnsi="Times New Roman" w:cs="Times New Roman"/>
              </w:rPr>
            </w:pPr>
            <w:r>
              <w:rPr>
                <w:rFonts w:ascii="Times New Roman" w:hAnsi="Times New Roman"/>
              </w:rPr>
              <w:t>labai dažnas</w:t>
            </w:r>
          </w:p>
        </w:tc>
      </w:tr>
      <w:tr w:rsidR="0039347C" w:rsidRPr="002E32EF" w14:paraId="0A7AC866" w14:textId="77777777" w:rsidTr="003A5C39">
        <w:trPr>
          <w:trHeight w:hRule="exact" w:val="290"/>
        </w:trPr>
        <w:tc>
          <w:tcPr>
            <w:tcW w:w="3164" w:type="dxa"/>
            <w:tcBorders>
              <w:top w:val="nil"/>
              <w:left w:val="single" w:sz="7" w:space="0" w:color="000000"/>
              <w:bottom w:val="nil"/>
              <w:right w:val="single" w:sz="3" w:space="0" w:color="000000"/>
            </w:tcBorders>
          </w:tcPr>
          <w:p w14:paraId="4257E3D0" w14:textId="2EFD72CF" w:rsidR="0039347C" w:rsidRPr="00D3564A" w:rsidRDefault="0039347C" w:rsidP="0039347C">
            <w:pPr>
              <w:pStyle w:val="TableParagraph"/>
              <w:rPr>
                <w:rFonts w:ascii="Times New Roman" w:hAnsi="Times New Roman"/>
                <w:lang w:val="lt-LT"/>
              </w:rPr>
            </w:pPr>
            <w:r>
              <w:rPr>
                <w:rFonts w:ascii="Times New Roman" w:hAnsi="Times New Roman"/>
                <w:lang w:val="lt-LT"/>
              </w:rPr>
              <w:t>Pykinimas</w:t>
            </w:r>
          </w:p>
        </w:tc>
        <w:tc>
          <w:tcPr>
            <w:tcW w:w="974" w:type="dxa"/>
            <w:tcBorders>
              <w:left w:val="single" w:sz="3" w:space="0" w:color="000000"/>
              <w:bottom w:val="nil"/>
              <w:right w:val="single" w:sz="3" w:space="0" w:color="000000"/>
            </w:tcBorders>
          </w:tcPr>
          <w:p w14:paraId="40CB7ECD" w14:textId="157B28EB" w:rsidR="0039347C"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33</w:t>
            </w:r>
          </w:p>
        </w:tc>
        <w:tc>
          <w:tcPr>
            <w:tcW w:w="709" w:type="dxa"/>
            <w:tcBorders>
              <w:left w:val="single" w:sz="3" w:space="0" w:color="000000"/>
              <w:bottom w:val="nil"/>
              <w:right w:val="single" w:sz="3" w:space="0" w:color="000000"/>
            </w:tcBorders>
          </w:tcPr>
          <w:p w14:paraId="59CC48F3" w14:textId="30DD722C" w:rsidR="0039347C"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3</w:t>
            </w:r>
          </w:p>
        </w:tc>
        <w:tc>
          <w:tcPr>
            <w:tcW w:w="708" w:type="dxa"/>
            <w:tcBorders>
              <w:left w:val="single" w:sz="3" w:space="0" w:color="000000"/>
              <w:bottom w:val="nil"/>
              <w:right w:val="single" w:sz="3" w:space="0" w:color="000000"/>
            </w:tcBorders>
          </w:tcPr>
          <w:p w14:paraId="0D178140" w14:textId="3A71E1AB" w:rsidR="0039347C"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0</w:t>
            </w:r>
          </w:p>
        </w:tc>
        <w:tc>
          <w:tcPr>
            <w:tcW w:w="993" w:type="dxa"/>
            <w:tcBorders>
              <w:left w:val="single" w:sz="3" w:space="0" w:color="000000"/>
              <w:bottom w:val="nil"/>
              <w:right w:val="single" w:sz="3" w:space="0" w:color="000000"/>
            </w:tcBorders>
          </w:tcPr>
          <w:p w14:paraId="59C62819" w14:textId="3DEB353D" w:rsidR="0039347C"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w:t>
            </w:r>
          </w:p>
        </w:tc>
        <w:tc>
          <w:tcPr>
            <w:tcW w:w="708" w:type="dxa"/>
            <w:tcBorders>
              <w:left w:val="single" w:sz="3" w:space="0" w:color="000000"/>
              <w:bottom w:val="nil"/>
              <w:right w:val="single" w:sz="3" w:space="0" w:color="000000"/>
            </w:tcBorders>
          </w:tcPr>
          <w:p w14:paraId="21FD3B99" w14:textId="03663004" w:rsidR="0039347C"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w:t>
            </w:r>
          </w:p>
        </w:tc>
        <w:tc>
          <w:tcPr>
            <w:tcW w:w="709" w:type="dxa"/>
            <w:tcBorders>
              <w:left w:val="single" w:sz="3" w:space="0" w:color="000000"/>
              <w:bottom w:val="nil"/>
              <w:right w:val="single" w:sz="7" w:space="0" w:color="000000"/>
            </w:tcBorders>
          </w:tcPr>
          <w:p w14:paraId="0AE4215F" w14:textId="024CCE8B" w:rsidR="0039347C"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w:t>
            </w:r>
          </w:p>
        </w:tc>
        <w:tc>
          <w:tcPr>
            <w:tcW w:w="1701" w:type="dxa"/>
            <w:tcBorders>
              <w:left w:val="single" w:sz="3" w:space="0" w:color="000000"/>
              <w:bottom w:val="nil"/>
              <w:right w:val="single" w:sz="7" w:space="0" w:color="000000"/>
            </w:tcBorders>
          </w:tcPr>
          <w:p w14:paraId="6CE0E33F" w14:textId="72F96DB2" w:rsidR="0039347C" w:rsidRPr="002E32EF" w:rsidRDefault="00181E50" w:rsidP="00A64E52">
            <w:pPr>
              <w:spacing w:after="0" w:line="240" w:lineRule="auto"/>
              <w:jc w:val="center"/>
              <w:rPr>
                <w:rFonts w:ascii="Times New Roman" w:hAnsi="Times New Roman" w:cs="Times New Roman"/>
              </w:rPr>
            </w:pPr>
            <w:r>
              <w:rPr>
                <w:rFonts w:ascii="Times New Roman" w:hAnsi="Times New Roman"/>
              </w:rPr>
              <w:t>labai dažnas</w:t>
            </w:r>
          </w:p>
        </w:tc>
      </w:tr>
      <w:tr w:rsidR="00181E50" w:rsidRPr="002E32EF" w14:paraId="4B50FEB3" w14:textId="77777777" w:rsidTr="003A5C39">
        <w:trPr>
          <w:trHeight w:hRule="exact" w:val="290"/>
        </w:trPr>
        <w:tc>
          <w:tcPr>
            <w:tcW w:w="3164" w:type="dxa"/>
            <w:tcBorders>
              <w:top w:val="nil"/>
              <w:left w:val="single" w:sz="7" w:space="0" w:color="000000"/>
              <w:bottom w:val="nil"/>
              <w:right w:val="single" w:sz="3" w:space="0" w:color="000000"/>
            </w:tcBorders>
          </w:tcPr>
          <w:p w14:paraId="312AC7C5" w14:textId="1A9EBACE" w:rsidR="00181E50" w:rsidRPr="00E35BE6" w:rsidRDefault="00181E50" w:rsidP="0039347C">
            <w:pPr>
              <w:pStyle w:val="TableParagraph"/>
              <w:rPr>
                <w:rFonts w:ascii="Times New Roman" w:hAnsi="Times New Roman"/>
              </w:rPr>
            </w:pPr>
            <w:r>
              <w:rPr>
                <w:rFonts w:ascii="Times New Roman" w:hAnsi="Times New Roman"/>
                <w:lang w:val="lt-LT"/>
              </w:rPr>
              <w:t>Vė</w:t>
            </w:r>
            <w:r>
              <w:rPr>
                <w:rFonts w:ascii="Times New Roman" w:hAnsi="Times New Roman"/>
              </w:rPr>
              <w:t>mimas</w:t>
            </w:r>
          </w:p>
        </w:tc>
        <w:tc>
          <w:tcPr>
            <w:tcW w:w="974" w:type="dxa"/>
            <w:tcBorders>
              <w:left w:val="single" w:sz="3" w:space="0" w:color="000000"/>
              <w:bottom w:val="nil"/>
              <w:right w:val="single" w:sz="3" w:space="0" w:color="000000"/>
            </w:tcBorders>
          </w:tcPr>
          <w:p w14:paraId="513E9A12" w14:textId="4D8802DD"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23</w:t>
            </w:r>
          </w:p>
        </w:tc>
        <w:tc>
          <w:tcPr>
            <w:tcW w:w="709" w:type="dxa"/>
            <w:tcBorders>
              <w:left w:val="single" w:sz="3" w:space="0" w:color="000000"/>
              <w:bottom w:val="nil"/>
              <w:right w:val="single" w:sz="3" w:space="0" w:color="000000"/>
            </w:tcBorders>
          </w:tcPr>
          <w:p w14:paraId="69A985A5" w14:textId="75E2B5CB"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2</w:t>
            </w:r>
          </w:p>
        </w:tc>
        <w:tc>
          <w:tcPr>
            <w:tcW w:w="708" w:type="dxa"/>
            <w:tcBorders>
              <w:left w:val="single" w:sz="3" w:space="0" w:color="000000"/>
              <w:bottom w:val="nil"/>
              <w:right w:val="single" w:sz="3" w:space="0" w:color="000000"/>
            </w:tcBorders>
          </w:tcPr>
          <w:p w14:paraId="2778F45E" w14:textId="63AE4CB7"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&lt;1</w:t>
            </w:r>
          </w:p>
        </w:tc>
        <w:tc>
          <w:tcPr>
            <w:tcW w:w="993" w:type="dxa"/>
            <w:tcBorders>
              <w:left w:val="single" w:sz="3" w:space="0" w:color="000000"/>
              <w:bottom w:val="nil"/>
              <w:right w:val="single" w:sz="3" w:space="0" w:color="000000"/>
            </w:tcBorders>
          </w:tcPr>
          <w:p w14:paraId="6643836D" w14:textId="30C1F008"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w:t>
            </w:r>
          </w:p>
        </w:tc>
        <w:tc>
          <w:tcPr>
            <w:tcW w:w="708" w:type="dxa"/>
            <w:tcBorders>
              <w:left w:val="single" w:sz="3" w:space="0" w:color="000000"/>
              <w:bottom w:val="nil"/>
              <w:right w:val="single" w:sz="3" w:space="0" w:color="000000"/>
            </w:tcBorders>
          </w:tcPr>
          <w:p w14:paraId="4715DF2A" w14:textId="1B223DCC"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w:t>
            </w:r>
          </w:p>
        </w:tc>
        <w:tc>
          <w:tcPr>
            <w:tcW w:w="709" w:type="dxa"/>
            <w:tcBorders>
              <w:left w:val="single" w:sz="3" w:space="0" w:color="000000"/>
              <w:bottom w:val="nil"/>
              <w:right w:val="single" w:sz="7" w:space="0" w:color="000000"/>
            </w:tcBorders>
          </w:tcPr>
          <w:p w14:paraId="2D1F1DAF" w14:textId="0BA97B40"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w:t>
            </w:r>
          </w:p>
        </w:tc>
        <w:tc>
          <w:tcPr>
            <w:tcW w:w="1701" w:type="dxa"/>
            <w:tcBorders>
              <w:left w:val="single" w:sz="3" w:space="0" w:color="000000"/>
              <w:bottom w:val="nil"/>
              <w:right w:val="single" w:sz="7" w:space="0" w:color="000000"/>
            </w:tcBorders>
          </w:tcPr>
          <w:p w14:paraId="1DC28ABC" w14:textId="25555EE6" w:rsidR="00181E50" w:rsidRPr="002E32EF" w:rsidRDefault="00181E50" w:rsidP="00181E50">
            <w:pPr>
              <w:spacing w:after="0" w:line="240" w:lineRule="auto"/>
              <w:jc w:val="center"/>
              <w:rPr>
                <w:rFonts w:ascii="Times New Roman" w:hAnsi="Times New Roman" w:cs="Times New Roman"/>
              </w:rPr>
            </w:pPr>
            <w:r>
              <w:rPr>
                <w:rFonts w:ascii="Times New Roman" w:hAnsi="Times New Roman"/>
              </w:rPr>
              <w:t>labai dažnas</w:t>
            </w:r>
          </w:p>
        </w:tc>
      </w:tr>
      <w:tr w:rsidR="0039347C" w:rsidRPr="002E32EF" w14:paraId="3C533DDF" w14:textId="2A1AD007" w:rsidTr="00E35BE6">
        <w:trPr>
          <w:trHeight w:hRule="exact" w:val="290"/>
        </w:trPr>
        <w:tc>
          <w:tcPr>
            <w:tcW w:w="3164" w:type="dxa"/>
            <w:tcBorders>
              <w:top w:val="nil"/>
              <w:left w:val="single" w:sz="7" w:space="0" w:color="000000"/>
              <w:bottom w:val="nil"/>
              <w:right w:val="single" w:sz="3" w:space="0" w:color="000000"/>
            </w:tcBorders>
          </w:tcPr>
          <w:p w14:paraId="5E9C7A8C" w14:textId="77777777" w:rsidR="0039347C" w:rsidRPr="00D3564A" w:rsidRDefault="0039347C" w:rsidP="0039347C">
            <w:pPr>
              <w:pStyle w:val="TableParagraph"/>
              <w:rPr>
                <w:rFonts w:ascii="Times New Roman" w:hAnsi="Times New Roman"/>
              </w:rPr>
            </w:pPr>
            <w:r w:rsidRPr="00D3564A">
              <w:rPr>
                <w:rFonts w:ascii="Times New Roman" w:hAnsi="Times New Roman"/>
                <w:spacing w:val="-1"/>
                <w:lang w:val="lt-LT"/>
              </w:rPr>
              <w:t>Stomatitas</w:t>
            </w:r>
          </w:p>
        </w:tc>
        <w:tc>
          <w:tcPr>
            <w:tcW w:w="974" w:type="dxa"/>
            <w:tcBorders>
              <w:top w:val="nil"/>
              <w:left w:val="single" w:sz="3" w:space="0" w:color="000000"/>
              <w:bottom w:val="nil"/>
              <w:right w:val="single" w:sz="3" w:space="0" w:color="000000"/>
            </w:tcBorders>
          </w:tcPr>
          <w:p w14:paraId="34163563" w14:textId="5369507F" w:rsidR="0039347C" w:rsidRPr="00D3564A" w:rsidRDefault="00181E50" w:rsidP="0039347C">
            <w:pPr>
              <w:pStyle w:val="TableParagraph"/>
              <w:jc w:val="center"/>
              <w:rPr>
                <w:rFonts w:ascii="Times New Roman" w:hAnsi="Times New Roman"/>
              </w:rPr>
            </w:pPr>
            <w:r>
              <w:rPr>
                <w:rFonts w:ascii="Times New Roman" w:hAnsi="Times New Roman"/>
                <w:lang w:val="lt-LT"/>
              </w:rPr>
              <w:t>17</w:t>
            </w:r>
          </w:p>
        </w:tc>
        <w:tc>
          <w:tcPr>
            <w:tcW w:w="709" w:type="dxa"/>
            <w:tcBorders>
              <w:top w:val="nil"/>
              <w:left w:val="single" w:sz="3" w:space="0" w:color="000000"/>
              <w:bottom w:val="nil"/>
              <w:right w:val="single" w:sz="3" w:space="0" w:color="000000"/>
            </w:tcBorders>
          </w:tcPr>
          <w:p w14:paraId="530AD95A"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&lt;1</w:t>
            </w:r>
          </w:p>
        </w:tc>
        <w:tc>
          <w:tcPr>
            <w:tcW w:w="708" w:type="dxa"/>
            <w:tcBorders>
              <w:top w:val="nil"/>
              <w:left w:val="single" w:sz="3" w:space="0" w:color="000000"/>
              <w:bottom w:val="nil"/>
              <w:right w:val="single" w:sz="3" w:space="0" w:color="000000"/>
            </w:tcBorders>
          </w:tcPr>
          <w:p w14:paraId="624128FC"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993" w:type="dxa"/>
            <w:tcBorders>
              <w:top w:val="nil"/>
              <w:left w:val="single" w:sz="3" w:space="0" w:color="000000"/>
              <w:bottom w:val="nil"/>
              <w:right w:val="single" w:sz="3" w:space="0" w:color="000000"/>
            </w:tcBorders>
          </w:tcPr>
          <w:p w14:paraId="78CE3CD6" w14:textId="0A41FB32" w:rsidR="0039347C" w:rsidRPr="00D3564A" w:rsidRDefault="00181E50" w:rsidP="0039347C">
            <w:pPr>
              <w:pStyle w:val="TableParagraph"/>
              <w:jc w:val="center"/>
              <w:rPr>
                <w:rFonts w:ascii="Times New Roman" w:hAnsi="Times New Roman"/>
              </w:rPr>
            </w:pPr>
            <w:r>
              <w:rPr>
                <w:rFonts w:ascii="Times New Roman" w:hAnsi="Times New Roman"/>
                <w:lang w:val="lt-LT"/>
              </w:rPr>
              <w:t>2</w:t>
            </w:r>
            <w:r w:rsidR="0039347C" w:rsidRPr="00D3564A">
              <w:rPr>
                <w:rFonts w:ascii="Times New Roman" w:hAnsi="Times New Roman"/>
                <w:lang w:val="lt-LT"/>
              </w:rPr>
              <w:t>2</w:t>
            </w:r>
          </w:p>
        </w:tc>
        <w:tc>
          <w:tcPr>
            <w:tcW w:w="708" w:type="dxa"/>
            <w:tcBorders>
              <w:top w:val="nil"/>
              <w:left w:val="single" w:sz="3" w:space="0" w:color="000000"/>
              <w:bottom w:val="nil"/>
              <w:right w:val="single" w:sz="3" w:space="0" w:color="000000"/>
            </w:tcBorders>
          </w:tcPr>
          <w:p w14:paraId="1B00D029" w14:textId="204E6596" w:rsidR="0039347C" w:rsidRPr="00D3564A" w:rsidRDefault="00181E50" w:rsidP="0039347C">
            <w:pPr>
              <w:pStyle w:val="TableParagraph"/>
              <w:jc w:val="center"/>
              <w:rPr>
                <w:rFonts w:ascii="Times New Roman" w:hAnsi="Times New Roman"/>
              </w:rPr>
            </w:pPr>
            <w:r>
              <w:rPr>
                <w:rFonts w:ascii="Times New Roman" w:hAnsi="Times New Roman"/>
                <w:lang w:val="lt-LT"/>
              </w:rPr>
              <w:t>&lt;1</w:t>
            </w:r>
          </w:p>
        </w:tc>
        <w:tc>
          <w:tcPr>
            <w:tcW w:w="709" w:type="dxa"/>
            <w:tcBorders>
              <w:top w:val="nil"/>
              <w:left w:val="single" w:sz="3" w:space="0" w:color="000000"/>
              <w:bottom w:val="nil"/>
              <w:right w:val="single" w:sz="7" w:space="0" w:color="000000"/>
            </w:tcBorders>
          </w:tcPr>
          <w:p w14:paraId="093E7676"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1701" w:type="dxa"/>
            <w:tcBorders>
              <w:top w:val="nil"/>
              <w:left w:val="single" w:sz="3" w:space="0" w:color="000000"/>
              <w:bottom w:val="nil"/>
              <w:right w:val="single" w:sz="7" w:space="0" w:color="000000"/>
            </w:tcBorders>
          </w:tcPr>
          <w:p w14:paraId="61AB6453" w14:textId="64392B5A" w:rsidR="0039347C" w:rsidRPr="00D3564A" w:rsidRDefault="00181E50" w:rsidP="00A64E52">
            <w:pPr>
              <w:pStyle w:val="TableParagraph"/>
              <w:jc w:val="center"/>
              <w:rPr>
                <w:rFonts w:ascii="Times New Roman" w:hAnsi="Times New Roman"/>
                <w:lang w:val="lt-LT"/>
              </w:rPr>
            </w:pPr>
            <w:r>
              <w:rPr>
                <w:rFonts w:ascii="Times New Roman" w:hAnsi="Times New Roman"/>
              </w:rPr>
              <w:t>labai da</w:t>
            </w:r>
            <w:r>
              <w:rPr>
                <w:rFonts w:ascii="Times New Roman" w:hAnsi="Times New Roman"/>
                <w:lang w:val="lt-LT"/>
              </w:rPr>
              <w:t>žnas</w:t>
            </w:r>
          </w:p>
        </w:tc>
      </w:tr>
      <w:tr w:rsidR="00181E50" w:rsidRPr="002E32EF" w14:paraId="375816A2" w14:textId="77777777" w:rsidTr="003A5C39">
        <w:trPr>
          <w:trHeight w:hRule="exact" w:val="290"/>
        </w:trPr>
        <w:tc>
          <w:tcPr>
            <w:tcW w:w="3164" w:type="dxa"/>
            <w:tcBorders>
              <w:top w:val="nil"/>
              <w:left w:val="single" w:sz="7" w:space="0" w:color="000000"/>
              <w:bottom w:val="nil"/>
              <w:right w:val="single" w:sz="3" w:space="0" w:color="000000"/>
            </w:tcBorders>
          </w:tcPr>
          <w:p w14:paraId="124D7E54" w14:textId="09A82B52" w:rsidR="00181E50" w:rsidRPr="00D3564A" w:rsidRDefault="00181E50" w:rsidP="0039347C">
            <w:pPr>
              <w:pStyle w:val="TableParagraph"/>
              <w:rPr>
                <w:rFonts w:ascii="Times New Roman" w:hAnsi="Times New Roman"/>
                <w:spacing w:val="-1"/>
                <w:lang w:val="lt-LT"/>
              </w:rPr>
            </w:pPr>
            <w:r>
              <w:rPr>
                <w:rFonts w:ascii="Times New Roman" w:hAnsi="Times New Roman"/>
                <w:spacing w:val="-1"/>
                <w:lang w:val="lt-LT"/>
              </w:rPr>
              <w:t>Pilvo skausmas</w:t>
            </w:r>
          </w:p>
        </w:tc>
        <w:tc>
          <w:tcPr>
            <w:tcW w:w="974" w:type="dxa"/>
            <w:tcBorders>
              <w:top w:val="nil"/>
              <w:left w:val="single" w:sz="3" w:space="0" w:color="000000"/>
              <w:bottom w:val="nil"/>
              <w:right w:val="single" w:sz="3" w:space="0" w:color="000000"/>
            </w:tcBorders>
          </w:tcPr>
          <w:p w14:paraId="41F41A55" w14:textId="7A147349" w:rsidR="00181E50" w:rsidRPr="00D3564A" w:rsidDel="00181E50" w:rsidRDefault="00181E50" w:rsidP="0039347C">
            <w:pPr>
              <w:pStyle w:val="TableParagraph"/>
              <w:jc w:val="center"/>
              <w:rPr>
                <w:rFonts w:ascii="Times New Roman" w:hAnsi="Times New Roman"/>
                <w:lang w:val="lt-LT"/>
              </w:rPr>
            </w:pPr>
            <w:r>
              <w:rPr>
                <w:rFonts w:ascii="Times New Roman" w:hAnsi="Times New Roman"/>
                <w:lang w:val="lt-LT"/>
              </w:rPr>
              <w:t>11</w:t>
            </w:r>
          </w:p>
        </w:tc>
        <w:tc>
          <w:tcPr>
            <w:tcW w:w="709" w:type="dxa"/>
            <w:tcBorders>
              <w:top w:val="nil"/>
              <w:left w:val="single" w:sz="3" w:space="0" w:color="000000"/>
              <w:bottom w:val="nil"/>
              <w:right w:val="single" w:sz="3" w:space="0" w:color="000000"/>
            </w:tcBorders>
          </w:tcPr>
          <w:p w14:paraId="4CA30319" w14:textId="7D97BA6A" w:rsidR="00181E50" w:rsidRPr="00D3564A" w:rsidRDefault="00181E50" w:rsidP="0039347C">
            <w:pPr>
              <w:pStyle w:val="TableParagraph"/>
              <w:jc w:val="center"/>
              <w:rPr>
                <w:rFonts w:ascii="Times New Roman" w:hAnsi="Times New Roman"/>
                <w:lang w:val="lt-LT"/>
              </w:rPr>
            </w:pPr>
            <w:r>
              <w:rPr>
                <w:rFonts w:ascii="Times New Roman" w:hAnsi="Times New Roman"/>
                <w:lang w:val="lt-LT"/>
              </w:rPr>
              <w:t>2</w:t>
            </w:r>
          </w:p>
        </w:tc>
        <w:tc>
          <w:tcPr>
            <w:tcW w:w="708" w:type="dxa"/>
            <w:tcBorders>
              <w:top w:val="nil"/>
              <w:left w:val="single" w:sz="3" w:space="0" w:color="000000"/>
              <w:bottom w:val="nil"/>
              <w:right w:val="single" w:sz="3" w:space="0" w:color="000000"/>
            </w:tcBorders>
          </w:tcPr>
          <w:p w14:paraId="24BAB638" w14:textId="26882624" w:rsidR="00181E50" w:rsidRPr="00D3564A" w:rsidRDefault="00181E50" w:rsidP="0039347C">
            <w:pPr>
              <w:pStyle w:val="TableParagraph"/>
              <w:jc w:val="center"/>
              <w:rPr>
                <w:rFonts w:ascii="Times New Roman" w:hAnsi="Times New Roman"/>
                <w:lang w:val="lt-LT"/>
              </w:rPr>
            </w:pPr>
            <w:r>
              <w:rPr>
                <w:rFonts w:ascii="Times New Roman" w:hAnsi="Times New Roman"/>
                <w:lang w:val="lt-LT"/>
              </w:rPr>
              <w:t>&lt;1</w:t>
            </w:r>
          </w:p>
        </w:tc>
        <w:tc>
          <w:tcPr>
            <w:tcW w:w="993" w:type="dxa"/>
            <w:tcBorders>
              <w:top w:val="nil"/>
              <w:left w:val="single" w:sz="3" w:space="0" w:color="000000"/>
              <w:bottom w:val="nil"/>
              <w:right w:val="single" w:sz="3" w:space="0" w:color="000000"/>
            </w:tcBorders>
          </w:tcPr>
          <w:p w14:paraId="29ED378B" w14:textId="1EC9777B" w:rsidR="00181E50" w:rsidRPr="00D3564A" w:rsidDel="00181E50" w:rsidRDefault="00181E50" w:rsidP="0039347C">
            <w:pPr>
              <w:pStyle w:val="TableParagraph"/>
              <w:jc w:val="center"/>
              <w:rPr>
                <w:rFonts w:ascii="Times New Roman" w:hAnsi="Times New Roman"/>
                <w:lang w:val="lt-LT"/>
              </w:rPr>
            </w:pPr>
            <w:r>
              <w:rPr>
                <w:rFonts w:ascii="Times New Roman" w:hAnsi="Times New Roman"/>
                <w:lang w:val="lt-LT"/>
              </w:rPr>
              <w:t>-</w:t>
            </w:r>
          </w:p>
        </w:tc>
        <w:tc>
          <w:tcPr>
            <w:tcW w:w="708" w:type="dxa"/>
            <w:tcBorders>
              <w:top w:val="nil"/>
              <w:left w:val="single" w:sz="3" w:space="0" w:color="000000"/>
              <w:bottom w:val="nil"/>
              <w:right w:val="single" w:sz="3" w:space="0" w:color="000000"/>
            </w:tcBorders>
          </w:tcPr>
          <w:p w14:paraId="0C78A7FD" w14:textId="31F96926" w:rsidR="00181E50" w:rsidRPr="00D3564A" w:rsidDel="00181E50" w:rsidRDefault="00181E50" w:rsidP="0039347C">
            <w:pPr>
              <w:pStyle w:val="TableParagraph"/>
              <w:jc w:val="center"/>
              <w:rPr>
                <w:rFonts w:ascii="Times New Roman" w:hAnsi="Times New Roman"/>
                <w:lang w:val="lt-LT"/>
              </w:rPr>
            </w:pPr>
            <w:r>
              <w:rPr>
                <w:rFonts w:ascii="Times New Roman" w:hAnsi="Times New Roman"/>
                <w:lang w:val="lt-LT"/>
              </w:rPr>
              <w:t>-</w:t>
            </w:r>
          </w:p>
        </w:tc>
        <w:tc>
          <w:tcPr>
            <w:tcW w:w="709" w:type="dxa"/>
            <w:tcBorders>
              <w:top w:val="nil"/>
              <w:left w:val="single" w:sz="3" w:space="0" w:color="000000"/>
              <w:bottom w:val="nil"/>
              <w:right w:val="single" w:sz="7" w:space="0" w:color="000000"/>
            </w:tcBorders>
          </w:tcPr>
          <w:p w14:paraId="0BD15C3F" w14:textId="4843AAE0" w:rsidR="00181E50" w:rsidRPr="00D3564A" w:rsidRDefault="00181E50" w:rsidP="0039347C">
            <w:pPr>
              <w:pStyle w:val="TableParagraph"/>
              <w:jc w:val="center"/>
              <w:rPr>
                <w:rFonts w:ascii="Times New Roman" w:hAnsi="Times New Roman"/>
                <w:lang w:val="lt-LT"/>
              </w:rPr>
            </w:pPr>
            <w:r>
              <w:rPr>
                <w:rFonts w:ascii="Times New Roman" w:hAnsi="Times New Roman"/>
                <w:lang w:val="lt-LT"/>
              </w:rPr>
              <w:t>-</w:t>
            </w:r>
          </w:p>
        </w:tc>
        <w:tc>
          <w:tcPr>
            <w:tcW w:w="1701" w:type="dxa"/>
            <w:tcBorders>
              <w:top w:val="nil"/>
              <w:left w:val="single" w:sz="3" w:space="0" w:color="000000"/>
              <w:bottom w:val="nil"/>
              <w:right w:val="single" w:sz="7" w:space="0" w:color="000000"/>
            </w:tcBorders>
          </w:tcPr>
          <w:p w14:paraId="79CC8D5D" w14:textId="10E3AB3D" w:rsidR="00181E50" w:rsidRPr="00D3564A" w:rsidRDefault="00181E50" w:rsidP="0039347C">
            <w:pPr>
              <w:pStyle w:val="TableParagraph"/>
              <w:jc w:val="center"/>
              <w:rPr>
                <w:rFonts w:ascii="Times New Roman" w:hAnsi="Times New Roman"/>
                <w:lang w:val="lt-LT"/>
              </w:rPr>
            </w:pPr>
            <w:r>
              <w:rPr>
                <w:rFonts w:ascii="Times New Roman" w:hAnsi="Times New Roman"/>
              </w:rPr>
              <w:t>labai da</w:t>
            </w:r>
            <w:r>
              <w:rPr>
                <w:rFonts w:ascii="Times New Roman" w:hAnsi="Times New Roman"/>
                <w:lang w:val="lt-LT"/>
              </w:rPr>
              <w:t>žnas</w:t>
            </w:r>
          </w:p>
        </w:tc>
      </w:tr>
      <w:tr w:rsidR="0039347C" w:rsidRPr="002E32EF" w14:paraId="6D954654" w14:textId="07349E72" w:rsidTr="00E35BE6">
        <w:trPr>
          <w:trHeight w:hRule="exact" w:val="290"/>
        </w:trPr>
        <w:tc>
          <w:tcPr>
            <w:tcW w:w="3164" w:type="dxa"/>
            <w:tcBorders>
              <w:top w:val="nil"/>
              <w:left w:val="single" w:sz="7" w:space="0" w:color="000000"/>
              <w:bottom w:val="nil"/>
              <w:right w:val="single" w:sz="3" w:space="0" w:color="000000"/>
            </w:tcBorders>
          </w:tcPr>
          <w:p w14:paraId="607965E8" w14:textId="77777777" w:rsidR="0039347C" w:rsidRPr="00D3564A" w:rsidRDefault="0039347C" w:rsidP="0039347C">
            <w:pPr>
              <w:pStyle w:val="TableParagraph"/>
              <w:rPr>
                <w:rFonts w:ascii="Times New Roman" w:hAnsi="Times New Roman"/>
              </w:rPr>
            </w:pPr>
            <w:r w:rsidRPr="00D3564A">
              <w:rPr>
                <w:rFonts w:ascii="Times New Roman" w:hAnsi="Times New Roman"/>
                <w:spacing w:val="-1"/>
                <w:lang w:val="lt-LT"/>
              </w:rPr>
              <w:t>Dispepsija</w:t>
            </w:r>
          </w:p>
        </w:tc>
        <w:tc>
          <w:tcPr>
            <w:tcW w:w="974" w:type="dxa"/>
            <w:tcBorders>
              <w:top w:val="nil"/>
              <w:left w:val="single" w:sz="3" w:space="0" w:color="000000"/>
              <w:bottom w:val="nil"/>
              <w:right w:val="single" w:sz="3" w:space="0" w:color="000000"/>
            </w:tcBorders>
          </w:tcPr>
          <w:p w14:paraId="2C476394" w14:textId="7A9BFCB6" w:rsidR="0039347C" w:rsidRPr="00D3564A" w:rsidRDefault="00181E50" w:rsidP="0039347C">
            <w:pPr>
              <w:pStyle w:val="TableParagraph"/>
              <w:jc w:val="center"/>
              <w:rPr>
                <w:rFonts w:ascii="Times New Roman" w:hAnsi="Times New Roman"/>
              </w:rPr>
            </w:pPr>
            <w:r>
              <w:rPr>
                <w:rFonts w:ascii="Times New Roman" w:hAnsi="Times New Roman"/>
                <w:lang w:val="lt-LT"/>
              </w:rPr>
              <w:t>-</w:t>
            </w:r>
          </w:p>
        </w:tc>
        <w:tc>
          <w:tcPr>
            <w:tcW w:w="709" w:type="dxa"/>
            <w:tcBorders>
              <w:top w:val="nil"/>
              <w:left w:val="single" w:sz="3" w:space="0" w:color="000000"/>
              <w:bottom w:val="nil"/>
              <w:right w:val="single" w:sz="3" w:space="0" w:color="000000"/>
            </w:tcBorders>
          </w:tcPr>
          <w:p w14:paraId="49C3E6A1" w14:textId="4D3ACE6C" w:rsidR="0039347C" w:rsidRPr="00D3564A" w:rsidRDefault="00181E50" w:rsidP="0039347C">
            <w:pPr>
              <w:pStyle w:val="TableParagraph"/>
              <w:jc w:val="center"/>
              <w:rPr>
                <w:rFonts w:ascii="Times New Roman" w:hAnsi="Times New Roman"/>
              </w:rPr>
            </w:pPr>
            <w:r>
              <w:rPr>
                <w:rFonts w:ascii="Times New Roman" w:hAnsi="Times New Roman"/>
                <w:lang w:val="lt-LT"/>
              </w:rPr>
              <w:t>-</w:t>
            </w:r>
          </w:p>
        </w:tc>
        <w:tc>
          <w:tcPr>
            <w:tcW w:w="708" w:type="dxa"/>
            <w:tcBorders>
              <w:top w:val="nil"/>
              <w:left w:val="single" w:sz="3" w:space="0" w:color="000000"/>
              <w:bottom w:val="nil"/>
              <w:right w:val="single" w:sz="3" w:space="0" w:color="000000"/>
            </w:tcBorders>
          </w:tcPr>
          <w:p w14:paraId="7B737B5D" w14:textId="640DEC42" w:rsidR="0039347C" w:rsidRPr="00D3564A" w:rsidRDefault="00181E50" w:rsidP="0039347C">
            <w:pPr>
              <w:pStyle w:val="TableParagraph"/>
              <w:jc w:val="center"/>
              <w:rPr>
                <w:rFonts w:ascii="Times New Roman" w:hAnsi="Times New Roman"/>
              </w:rPr>
            </w:pPr>
            <w:r>
              <w:rPr>
                <w:rFonts w:ascii="Times New Roman" w:hAnsi="Times New Roman"/>
                <w:lang w:val="lt-LT"/>
              </w:rPr>
              <w:t>-</w:t>
            </w:r>
          </w:p>
        </w:tc>
        <w:tc>
          <w:tcPr>
            <w:tcW w:w="993" w:type="dxa"/>
            <w:tcBorders>
              <w:top w:val="nil"/>
              <w:left w:val="single" w:sz="3" w:space="0" w:color="000000"/>
              <w:bottom w:val="nil"/>
              <w:right w:val="single" w:sz="3" w:space="0" w:color="000000"/>
            </w:tcBorders>
          </w:tcPr>
          <w:p w14:paraId="18508690" w14:textId="052D96D1" w:rsidR="0039347C" w:rsidRPr="00D3564A" w:rsidRDefault="00181E50" w:rsidP="0039347C">
            <w:pPr>
              <w:pStyle w:val="TableParagraph"/>
              <w:jc w:val="center"/>
              <w:rPr>
                <w:rFonts w:ascii="Times New Roman" w:hAnsi="Times New Roman"/>
              </w:rPr>
            </w:pPr>
            <w:r>
              <w:rPr>
                <w:rFonts w:ascii="Times New Roman" w:hAnsi="Times New Roman"/>
                <w:lang w:val="lt-LT"/>
              </w:rPr>
              <w:t>17</w:t>
            </w:r>
          </w:p>
        </w:tc>
        <w:tc>
          <w:tcPr>
            <w:tcW w:w="708" w:type="dxa"/>
            <w:tcBorders>
              <w:top w:val="nil"/>
              <w:left w:val="single" w:sz="3" w:space="0" w:color="000000"/>
              <w:bottom w:val="nil"/>
              <w:right w:val="single" w:sz="3" w:space="0" w:color="000000"/>
            </w:tcBorders>
          </w:tcPr>
          <w:p w14:paraId="64470BD1"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&lt;1</w:t>
            </w:r>
          </w:p>
        </w:tc>
        <w:tc>
          <w:tcPr>
            <w:tcW w:w="709" w:type="dxa"/>
            <w:tcBorders>
              <w:top w:val="nil"/>
              <w:left w:val="single" w:sz="3" w:space="0" w:color="000000"/>
              <w:bottom w:val="nil"/>
              <w:right w:val="single" w:sz="7" w:space="0" w:color="000000"/>
            </w:tcBorders>
          </w:tcPr>
          <w:p w14:paraId="149D3209"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1701" w:type="dxa"/>
            <w:tcBorders>
              <w:top w:val="nil"/>
              <w:left w:val="single" w:sz="3" w:space="0" w:color="000000"/>
              <w:bottom w:val="nil"/>
              <w:right w:val="single" w:sz="7" w:space="0" w:color="000000"/>
            </w:tcBorders>
          </w:tcPr>
          <w:p w14:paraId="08AF2A2C" w14:textId="3F5D73B8" w:rsidR="0039347C" w:rsidRPr="00D3564A" w:rsidRDefault="00181E50" w:rsidP="00A64E52">
            <w:pPr>
              <w:pStyle w:val="TableParagraph"/>
              <w:jc w:val="center"/>
              <w:rPr>
                <w:rFonts w:ascii="Times New Roman" w:hAnsi="Times New Roman"/>
                <w:lang w:val="lt-LT"/>
              </w:rPr>
            </w:pPr>
            <w:r>
              <w:rPr>
                <w:rFonts w:ascii="Times New Roman" w:hAnsi="Times New Roman"/>
              </w:rPr>
              <w:t>labai da</w:t>
            </w:r>
            <w:r>
              <w:rPr>
                <w:rFonts w:ascii="Times New Roman" w:hAnsi="Times New Roman"/>
                <w:lang w:val="lt-LT"/>
              </w:rPr>
              <w:t>žnas</w:t>
            </w:r>
          </w:p>
        </w:tc>
      </w:tr>
      <w:tr w:rsidR="0039347C" w:rsidRPr="002E32EF" w14:paraId="2A2170AD" w14:textId="42F19AA6" w:rsidTr="00E35BE6">
        <w:trPr>
          <w:trHeight w:hRule="exact" w:val="315"/>
        </w:trPr>
        <w:tc>
          <w:tcPr>
            <w:tcW w:w="3164" w:type="dxa"/>
            <w:tcBorders>
              <w:top w:val="nil"/>
              <w:left w:val="single" w:sz="7" w:space="0" w:color="000000"/>
              <w:bottom w:val="single" w:sz="3" w:space="0" w:color="000000"/>
              <w:right w:val="single" w:sz="3" w:space="0" w:color="000000"/>
            </w:tcBorders>
          </w:tcPr>
          <w:p w14:paraId="12B7F429" w14:textId="77777777" w:rsidR="0039347C" w:rsidRPr="00D3564A" w:rsidRDefault="0039347C" w:rsidP="0039347C">
            <w:pPr>
              <w:pStyle w:val="TableParagraph"/>
              <w:rPr>
                <w:rFonts w:ascii="Times New Roman" w:hAnsi="Times New Roman"/>
              </w:rPr>
            </w:pPr>
            <w:r w:rsidRPr="00D3564A">
              <w:rPr>
                <w:rFonts w:ascii="Times New Roman" w:hAnsi="Times New Roman"/>
                <w:spacing w:val="-1"/>
                <w:lang w:val="lt-LT"/>
              </w:rPr>
              <w:t>Meteorizmas</w:t>
            </w:r>
          </w:p>
        </w:tc>
        <w:tc>
          <w:tcPr>
            <w:tcW w:w="974" w:type="dxa"/>
            <w:tcBorders>
              <w:top w:val="nil"/>
              <w:left w:val="single" w:sz="3" w:space="0" w:color="000000"/>
              <w:bottom w:val="single" w:sz="3" w:space="0" w:color="000000"/>
              <w:right w:val="single" w:sz="3" w:space="0" w:color="000000"/>
            </w:tcBorders>
          </w:tcPr>
          <w:p w14:paraId="361E953F" w14:textId="40FF868C" w:rsidR="0039347C" w:rsidRPr="00D3564A" w:rsidRDefault="00181E50" w:rsidP="0039347C">
            <w:pPr>
              <w:pStyle w:val="TableParagraph"/>
              <w:jc w:val="center"/>
              <w:rPr>
                <w:rFonts w:ascii="Times New Roman" w:hAnsi="Times New Roman"/>
              </w:rPr>
            </w:pPr>
            <w:r>
              <w:rPr>
                <w:rFonts w:ascii="Times New Roman" w:hAnsi="Times New Roman"/>
                <w:lang w:val="lt-LT"/>
              </w:rPr>
              <w:t>-</w:t>
            </w:r>
          </w:p>
        </w:tc>
        <w:tc>
          <w:tcPr>
            <w:tcW w:w="709" w:type="dxa"/>
            <w:tcBorders>
              <w:top w:val="nil"/>
              <w:left w:val="single" w:sz="3" w:space="0" w:color="000000"/>
              <w:bottom w:val="single" w:sz="3" w:space="0" w:color="000000"/>
              <w:right w:val="single" w:sz="3" w:space="0" w:color="000000"/>
            </w:tcBorders>
          </w:tcPr>
          <w:p w14:paraId="4E506F3F" w14:textId="25D992A9" w:rsidR="0039347C" w:rsidRPr="00D3564A" w:rsidRDefault="00181E50" w:rsidP="0039347C">
            <w:pPr>
              <w:pStyle w:val="TableParagraph"/>
              <w:jc w:val="center"/>
              <w:rPr>
                <w:rFonts w:ascii="Times New Roman" w:hAnsi="Times New Roman"/>
              </w:rPr>
            </w:pPr>
            <w:r>
              <w:rPr>
                <w:rFonts w:ascii="Times New Roman" w:hAnsi="Times New Roman"/>
                <w:lang w:val="lt-LT"/>
              </w:rPr>
              <w:t>-</w:t>
            </w:r>
          </w:p>
        </w:tc>
        <w:tc>
          <w:tcPr>
            <w:tcW w:w="708" w:type="dxa"/>
            <w:tcBorders>
              <w:top w:val="nil"/>
              <w:left w:val="single" w:sz="3" w:space="0" w:color="000000"/>
              <w:bottom w:val="single" w:sz="3" w:space="0" w:color="000000"/>
              <w:right w:val="single" w:sz="3" w:space="0" w:color="000000"/>
            </w:tcBorders>
          </w:tcPr>
          <w:p w14:paraId="7EC8AA29" w14:textId="26DC2328" w:rsidR="0039347C" w:rsidRPr="00D3564A" w:rsidRDefault="00181E50" w:rsidP="0039347C">
            <w:pPr>
              <w:pStyle w:val="TableParagraph"/>
              <w:jc w:val="center"/>
              <w:rPr>
                <w:rFonts w:ascii="Times New Roman" w:hAnsi="Times New Roman"/>
              </w:rPr>
            </w:pPr>
            <w:r>
              <w:rPr>
                <w:rFonts w:ascii="Times New Roman" w:hAnsi="Times New Roman"/>
                <w:lang w:val="lt-LT"/>
              </w:rPr>
              <w:t>-</w:t>
            </w:r>
          </w:p>
        </w:tc>
        <w:tc>
          <w:tcPr>
            <w:tcW w:w="993" w:type="dxa"/>
            <w:tcBorders>
              <w:top w:val="nil"/>
              <w:left w:val="single" w:sz="3" w:space="0" w:color="000000"/>
              <w:bottom w:val="single" w:sz="3" w:space="0" w:color="000000"/>
              <w:right w:val="single" w:sz="3" w:space="0" w:color="000000"/>
            </w:tcBorders>
          </w:tcPr>
          <w:p w14:paraId="7334E4C5" w14:textId="663D6D20" w:rsidR="0039347C" w:rsidRPr="00D3564A" w:rsidRDefault="00181E50" w:rsidP="0039347C">
            <w:pPr>
              <w:pStyle w:val="TableParagraph"/>
              <w:jc w:val="center"/>
              <w:rPr>
                <w:rFonts w:ascii="Times New Roman" w:hAnsi="Times New Roman"/>
              </w:rPr>
            </w:pPr>
            <w:r>
              <w:rPr>
                <w:rFonts w:ascii="Times New Roman" w:hAnsi="Times New Roman"/>
                <w:lang w:val="lt-LT"/>
              </w:rPr>
              <w:t>13</w:t>
            </w:r>
          </w:p>
        </w:tc>
        <w:tc>
          <w:tcPr>
            <w:tcW w:w="708" w:type="dxa"/>
            <w:tcBorders>
              <w:top w:val="nil"/>
              <w:left w:val="single" w:sz="3" w:space="0" w:color="000000"/>
              <w:bottom w:val="single" w:sz="3" w:space="0" w:color="000000"/>
              <w:right w:val="single" w:sz="3" w:space="0" w:color="000000"/>
            </w:tcBorders>
          </w:tcPr>
          <w:p w14:paraId="4F395FC3" w14:textId="5D905C49" w:rsidR="0039347C" w:rsidRPr="00D3564A" w:rsidRDefault="00181E50" w:rsidP="0039347C">
            <w:pPr>
              <w:pStyle w:val="TableParagraph"/>
              <w:jc w:val="center"/>
              <w:rPr>
                <w:rFonts w:ascii="Times New Roman" w:hAnsi="Times New Roman"/>
              </w:rPr>
            </w:pPr>
            <w:r>
              <w:rPr>
                <w:rFonts w:ascii="Times New Roman" w:hAnsi="Times New Roman"/>
                <w:lang w:val="lt-LT"/>
              </w:rPr>
              <w:t>0</w:t>
            </w:r>
          </w:p>
        </w:tc>
        <w:tc>
          <w:tcPr>
            <w:tcW w:w="709" w:type="dxa"/>
            <w:tcBorders>
              <w:top w:val="nil"/>
              <w:left w:val="single" w:sz="3" w:space="0" w:color="000000"/>
              <w:bottom w:val="single" w:sz="3" w:space="0" w:color="000000"/>
              <w:right w:val="single" w:sz="7" w:space="0" w:color="000000"/>
            </w:tcBorders>
          </w:tcPr>
          <w:p w14:paraId="671BA1F7"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1701" w:type="dxa"/>
            <w:tcBorders>
              <w:top w:val="nil"/>
              <w:left w:val="single" w:sz="3" w:space="0" w:color="000000"/>
              <w:bottom w:val="single" w:sz="3" w:space="0" w:color="000000"/>
              <w:right w:val="single" w:sz="7" w:space="0" w:color="000000"/>
            </w:tcBorders>
          </w:tcPr>
          <w:p w14:paraId="49C6A2C7" w14:textId="4B3D00AC" w:rsidR="0039347C" w:rsidRPr="00D3564A" w:rsidRDefault="00181E50" w:rsidP="00A64E52">
            <w:pPr>
              <w:pStyle w:val="TableParagraph"/>
              <w:jc w:val="center"/>
              <w:rPr>
                <w:rFonts w:ascii="Times New Roman" w:hAnsi="Times New Roman"/>
                <w:lang w:val="lt-LT"/>
              </w:rPr>
            </w:pPr>
            <w:r>
              <w:rPr>
                <w:rFonts w:ascii="Times New Roman" w:hAnsi="Times New Roman"/>
              </w:rPr>
              <w:t>labai da</w:t>
            </w:r>
            <w:r>
              <w:rPr>
                <w:rFonts w:ascii="Times New Roman" w:hAnsi="Times New Roman"/>
                <w:lang w:val="lt-LT"/>
              </w:rPr>
              <w:t>žnas</w:t>
            </w:r>
          </w:p>
        </w:tc>
      </w:tr>
      <w:tr w:rsidR="0039347C" w:rsidRPr="002E32EF" w14:paraId="050EFC58" w14:textId="645F8947" w:rsidTr="00E35BE6">
        <w:trPr>
          <w:trHeight w:hRule="exact" w:val="300"/>
        </w:trPr>
        <w:tc>
          <w:tcPr>
            <w:tcW w:w="3164" w:type="dxa"/>
            <w:tcBorders>
              <w:top w:val="single" w:sz="3" w:space="0" w:color="000000"/>
              <w:left w:val="single" w:sz="7" w:space="0" w:color="000000"/>
              <w:bottom w:val="nil"/>
              <w:right w:val="single" w:sz="3" w:space="0" w:color="000000"/>
            </w:tcBorders>
          </w:tcPr>
          <w:p w14:paraId="5FEC5E8F" w14:textId="77777777" w:rsidR="0039347C" w:rsidRPr="00D3564A" w:rsidRDefault="0039347C" w:rsidP="0039347C">
            <w:pPr>
              <w:pStyle w:val="TableParagraph"/>
              <w:rPr>
                <w:rFonts w:ascii="Times New Roman" w:hAnsi="Times New Roman"/>
              </w:rPr>
            </w:pPr>
            <w:r w:rsidRPr="00D3564A">
              <w:rPr>
                <w:rFonts w:ascii="Times New Roman" w:hAnsi="Times New Roman"/>
                <w:i/>
                <w:spacing w:val="-1"/>
                <w:lang w:val="lt-LT"/>
              </w:rPr>
              <w:t>Odos ir poodinio audinio</w:t>
            </w:r>
          </w:p>
        </w:tc>
        <w:tc>
          <w:tcPr>
            <w:tcW w:w="974" w:type="dxa"/>
            <w:vMerge w:val="restart"/>
            <w:tcBorders>
              <w:top w:val="single" w:sz="3" w:space="0" w:color="000000"/>
              <w:left w:val="single" w:sz="3" w:space="0" w:color="000000"/>
              <w:right w:val="single" w:sz="3" w:space="0" w:color="000000"/>
            </w:tcBorders>
          </w:tcPr>
          <w:p w14:paraId="09F47942" w14:textId="77777777" w:rsidR="0039347C" w:rsidRPr="00D3564A" w:rsidRDefault="0039347C" w:rsidP="0039347C">
            <w:pPr>
              <w:pStyle w:val="TableParagraph"/>
              <w:rPr>
                <w:rFonts w:ascii="Times New Roman" w:hAnsi="Times New Roman"/>
              </w:rPr>
            </w:pPr>
          </w:p>
          <w:p w14:paraId="02DC7C46" w14:textId="77777777" w:rsidR="0039347C" w:rsidRPr="00D3564A" w:rsidRDefault="0039347C" w:rsidP="0039347C">
            <w:pPr>
              <w:pStyle w:val="TableParagraph"/>
              <w:rPr>
                <w:rFonts w:ascii="Times New Roman" w:hAnsi="Times New Roman"/>
              </w:rPr>
            </w:pPr>
          </w:p>
          <w:p w14:paraId="5F982BBF" w14:textId="0631396F" w:rsidR="0039347C" w:rsidRPr="00D3564A" w:rsidRDefault="00181E50" w:rsidP="0039347C">
            <w:pPr>
              <w:pStyle w:val="TableParagraph"/>
              <w:jc w:val="center"/>
              <w:rPr>
                <w:rFonts w:ascii="Times New Roman" w:hAnsi="Times New Roman"/>
              </w:rPr>
            </w:pPr>
            <w:r>
              <w:rPr>
                <w:rFonts w:ascii="Times New Roman" w:hAnsi="Times New Roman"/>
                <w:lang w:val="lt-LT"/>
              </w:rPr>
              <w:t>75</w:t>
            </w:r>
          </w:p>
        </w:tc>
        <w:tc>
          <w:tcPr>
            <w:tcW w:w="709" w:type="dxa"/>
            <w:vMerge w:val="restart"/>
            <w:tcBorders>
              <w:top w:val="single" w:sz="3" w:space="0" w:color="000000"/>
              <w:left w:val="single" w:sz="3" w:space="0" w:color="000000"/>
              <w:right w:val="single" w:sz="3" w:space="0" w:color="000000"/>
            </w:tcBorders>
          </w:tcPr>
          <w:p w14:paraId="6BD31F92" w14:textId="77777777" w:rsidR="0039347C" w:rsidRPr="00D3564A" w:rsidRDefault="0039347C" w:rsidP="0039347C">
            <w:pPr>
              <w:pStyle w:val="TableParagraph"/>
              <w:rPr>
                <w:rFonts w:ascii="Times New Roman" w:hAnsi="Times New Roman"/>
              </w:rPr>
            </w:pPr>
          </w:p>
          <w:p w14:paraId="1D6F0513" w14:textId="77777777" w:rsidR="0039347C" w:rsidRPr="00D3564A" w:rsidRDefault="0039347C" w:rsidP="0039347C">
            <w:pPr>
              <w:pStyle w:val="TableParagraph"/>
              <w:rPr>
                <w:rFonts w:ascii="Times New Roman" w:hAnsi="Times New Roman"/>
              </w:rPr>
            </w:pPr>
          </w:p>
          <w:p w14:paraId="47226612" w14:textId="297513CB" w:rsidR="0039347C" w:rsidRPr="00D3564A" w:rsidRDefault="00181E50" w:rsidP="0039347C">
            <w:pPr>
              <w:pStyle w:val="TableParagraph"/>
              <w:jc w:val="center"/>
              <w:rPr>
                <w:rFonts w:ascii="Times New Roman" w:hAnsi="Times New Roman"/>
              </w:rPr>
            </w:pPr>
            <w:r>
              <w:rPr>
                <w:rFonts w:ascii="Times New Roman" w:hAnsi="Times New Roman"/>
                <w:lang w:val="lt-LT"/>
              </w:rPr>
              <w:t>8</w:t>
            </w:r>
          </w:p>
        </w:tc>
        <w:tc>
          <w:tcPr>
            <w:tcW w:w="708" w:type="dxa"/>
            <w:vMerge w:val="restart"/>
            <w:tcBorders>
              <w:top w:val="single" w:sz="3" w:space="0" w:color="000000"/>
              <w:left w:val="single" w:sz="3" w:space="0" w:color="000000"/>
              <w:right w:val="single" w:sz="3" w:space="0" w:color="000000"/>
            </w:tcBorders>
          </w:tcPr>
          <w:p w14:paraId="0DB294E9" w14:textId="77777777" w:rsidR="0039347C" w:rsidRPr="00D3564A" w:rsidRDefault="0039347C" w:rsidP="0039347C">
            <w:pPr>
              <w:pStyle w:val="TableParagraph"/>
              <w:rPr>
                <w:rFonts w:ascii="Times New Roman" w:hAnsi="Times New Roman"/>
              </w:rPr>
            </w:pPr>
          </w:p>
          <w:p w14:paraId="1707765B" w14:textId="77777777" w:rsidR="0039347C" w:rsidRPr="00D3564A" w:rsidRDefault="0039347C" w:rsidP="0039347C">
            <w:pPr>
              <w:pStyle w:val="TableParagraph"/>
              <w:rPr>
                <w:rFonts w:ascii="Times New Roman" w:hAnsi="Times New Roman"/>
              </w:rPr>
            </w:pPr>
          </w:p>
          <w:p w14:paraId="14542E05" w14:textId="0B851CA1" w:rsidR="0039347C" w:rsidRPr="00D3564A" w:rsidRDefault="00181E50" w:rsidP="0039347C">
            <w:pPr>
              <w:pStyle w:val="TableParagraph"/>
              <w:jc w:val="center"/>
              <w:rPr>
                <w:rFonts w:ascii="Times New Roman" w:hAnsi="Times New Roman"/>
              </w:rPr>
            </w:pPr>
            <w:r>
              <w:rPr>
                <w:rFonts w:ascii="Times New Roman" w:hAnsi="Times New Roman"/>
                <w:lang w:val="lt-LT"/>
              </w:rPr>
              <w:t>&lt;1</w:t>
            </w:r>
          </w:p>
        </w:tc>
        <w:tc>
          <w:tcPr>
            <w:tcW w:w="993" w:type="dxa"/>
            <w:vMerge w:val="restart"/>
            <w:tcBorders>
              <w:top w:val="single" w:sz="3" w:space="0" w:color="000000"/>
              <w:left w:val="single" w:sz="3" w:space="0" w:color="000000"/>
              <w:right w:val="single" w:sz="3" w:space="0" w:color="000000"/>
            </w:tcBorders>
          </w:tcPr>
          <w:p w14:paraId="7C7628B0" w14:textId="77777777" w:rsidR="0039347C" w:rsidRPr="00D3564A" w:rsidRDefault="0039347C" w:rsidP="0039347C">
            <w:pPr>
              <w:pStyle w:val="TableParagraph"/>
              <w:rPr>
                <w:rFonts w:ascii="Times New Roman" w:hAnsi="Times New Roman"/>
              </w:rPr>
            </w:pPr>
          </w:p>
          <w:p w14:paraId="5C03F4F3" w14:textId="77777777" w:rsidR="0039347C" w:rsidRPr="00D3564A" w:rsidRDefault="0039347C" w:rsidP="0039347C">
            <w:pPr>
              <w:pStyle w:val="TableParagraph"/>
              <w:rPr>
                <w:rFonts w:ascii="Times New Roman" w:hAnsi="Times New Roman"/>
              </w:rPr>
            </w:pPr>
          </w:p>
          <w:p w14:paraId="1ED908CA" w14:textId="0CA803B7" w:rsidR="0039347C" w:rsidRPr="00D3564A" w:rsidRDefault="00181E50" w:rsidP="0039347C">
            <w:pPr>
              <w:pStyle w:val="TableParagraph"/>
              <w:jc w:val="center"/>
              <w:rPr>
                <w:rFonts w:ascii="Times New Roman" w:hAnsi="Times New Roman"/>
              </w:rPr>
            </w:pPr>
            <w:r>
              <w:rPr>
                <w:rFonts w:ascii="Times New Roman" w:hAnsi="Times New Roman"/>
                <w:lang w:val="lt-LT"/>
              </w:rPr>
              <w:t>69</w:t>
            </w:r>
          </w:p>
        </w:tc>
        <w:tc>
          <w:tcPr>
            <w:tcW w:w="708" w:type="dxa"/>
            <w:vMerge w:val="restart"/>
            <w:tcBorders>
              <w:top w:val="single" w:sz="3" w:space="0" w:color="000000"/>
              <w:left w:val="single" w:sz="3" w:space="0" w:color="000000"/>
              <w:right w:val="single" w:sz="3" w:space="0" w:color="000000"/>
            </w:tcBorders>
          </w:tcPr>
          <w:p w14:paraId="0732E030" w14:textId="77777777" w:rsidR="0039347C" w:rsidRPr="00D3564A" w:rsidRDefault="0039347C" w:rsidP="0039347C">
            <w:pPr>
              <w:pStyle w:val="TableParagraph"/>
              <w:rPr>
                <w:rFonts w:ascii="Times New Roman" w:hAnsi="Times New Roman"/>
              </w:rPr>
            </w:pPr>
          </w:p>
          <w:p w14:paraId="45CF4AC2" w14:textId="77777777" w:rsidR="0039347C" w:rsidRPr="00D3564A" w:rsidRDefault="0039347C" w:rsidP="0039347C">
            <w:pPr>
              <w:pStyle w:val="TableParagraph"/>
              <w:rPr>
                <w:rFonts w:ascii="Times New Roman" w:hAnsi="Times New Roman"/>
              </w:rPr>
            </w:pPr>
          </w:p>
          <w:p w14:paraId="3C73CC98" w14:textId="24A331F0" w:rsidR="0039347C" w:rsidRPr="00D3564A" w:rsidRDefault="00181E50" w:rsidP="0039347C">
            <w:pPr>
              <w:pStyle w:val="TableParagraph"/>
              <w:jc w:val="center"/>
              <w:rPr>
                <w:rFonts w:ascii="Times New Roman" w:hAnsi="Times New Roman"/>
              </w:rPr>
            </w:pPr>
            <w:r>
              <w:rPr>
                <w:rFonts w:ascii="Times New Roman" w:hAnsi="Times New Roman"/>
                <w:lang w:val="lt-LT"/>
              </w:rPr>
              <w:t>5</w:t>
            </w:r>
          </w:p>
        </w:tc>
        <w:tc>
          <w:tcPr>
            <w:tcW w:w="709" w:type="dxa"/>
            <w:vMerge w:val="restart"/>
            <w:tcBorders>
              <w:top w:val="single" w:sz="3" w:space="0" w:color="000000"/>
              <w:left w:val="single" w:sz="3" w:space="0" w:color="000000"/>
              <w:right w:val="single" w:sz="7" w:space="0" w:color="000000"/>
            </w:tcBorders>
          </w:tcPr>
          <w:p w14:paraId="417CAE13" w14:textId="77777777" w:rsidR="0039347C" w:rsidRPr="00D3564A" w:rsidRDefault="0039347C" w:rsidP="0039347C">
            <w:pPr>
              <w:pStyle w:val="TableParagraph"/>
              <w:rPr>
                <w:rFonts w:ascii="Times New Roman" w:hAnsi="Times New Roman"/>
              </w:rPr>
            </w:pPr>
          </w:p>
          <w:p w14:paraId="672ED3FC" w14:textId="77777777" w:rsidR="0039347C" w:rsidRPr="00D3564A" w:rsidRDefault="0039347C" w:rsidP="0039347C">
            <w:pPr>
              <w:pStyle w:val="TableParagraph"/>
              <w:rPr>
                <w:rFonts w:ascii="Times New Roman" w:hAnsi="Times New Roman"/>
              </w:rPr>
            </w:pPr>
          </w:p>
          <w:p w14:paraId="0A875686"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1701" w:type="dxa"/>
            <w:tcBorders>
              <w:top w:val="single" w:sz="3" w:space="0" w:color="000000"/>
              <w:left w:val="single" w:sz="3" w:space="0" w:color="000000"/>
              <w:right w:val="single" w:sz="7" w:space="0" w:color="000000"/>
            </w:tcBorders>
          </w:tcPr>
          <w:p w14:paraId="40225298" w14:textId="77777777" w:rsidR="0039347C" w:rsidRPr="00D3564A" w:rsidRDefault="0039347C" w:rsidP="00E35BE6">
            <w:pPr>
              <w:pStyle w:val="TableParagraph"/>
              <w:jc w:val="center"/>
              <w:rPr>
                <w:rFonts w:ascii="Times New Roman" w:hAnsi="Times New Roman"/>
              </w:rPr>
            </w:pPr>
          </w:p>
        </w:tc>
      </w:tr>
      <w:tr w:rsidR="0039347C" w:rsidRPr="002E32EF" w14:paraId="5180445C" w14:textId="7FC756F9" w:rsidTr="00E35BE6">
        <w:trPr>
          <w:trHeight w:hRule="exact" w:val="260"/>
        </w:trPr>
        <w:tc>
          <w:tcPr>
            <w:tcW w:w="3164" w:type="dxa"/>
            <w:tcBorders>
              <w:top w:val="nil"/>
              <w:left w:val="single" w:sz="7" w:space="0" w:color="000000"/>
              <w:bottom w:val="nil"/>
              <w:right w:val="single" w:sz="3" w:space="0" w:color="000000"/>
            </w:tcBorders>
          </w:tcPr>
          <w:p w14:paraId="2AF36F25" w14:textId="77777777" w:rsidR="0039347C" w:rsidRPr="00D3564A" w:rsidRDefault="0039347C" w:rsidP="0039347C">
            <w:pPr>
              <w:pStyle w:val="TableParagraph"/>
              <w:rPr>
                <w:rFonts w:ascii="Times New Roman" w:hAnsi="Times New Roman"/>
              </w:rPr>
            </w:pPr>
            <w:r w:rsidRPr="00D3564A">
              <w:rPr>
                <w:rFonts w:ascii="Times New Roman" w:hAnsi="Times New Roman"/>
                <w:i/>
                <w:spacing w:val="-1"/>
                <w:lang w:val="lt-LT"/>
              </w:rPr>
              <w:t>sutrikimai</w:t>
            </w:r>
          </w:p>
        </w:tc>
        <w:tc>
          <w:tcPr>
            <w:tcW w:w="974" w:type="dxa"/>
            <w:vMerge/>
            <w:tcBorders>
              <w:left w:val="single" w:sz="3" w:space="0" w:color="000000"/>
              <w:right w:val="single" w:sz="3" w:space="0" w:color="000000"/>
            </w:tcBorders>
          </w:tcPr>
          <w:p w14:paraId="57FBBA9A" w14:textId="77777777" w:rsidR="0039347C" w:rsidRPr="002E32EF" w:rsidRDefault="0039347C" w:rsidP="0039347C">
            <w:pPr>
              <w:spacing w:after="0" w:line="240" w:lineRule="auto"/>
              <w:rPr>
                <w:rFonts w:ascii="Times New Roman" w:hAnsi="Times New Roman" w:cs="Times New Roman"/>
              </w:rPr>
            </w:pPr>
          </w:p>
        </w:tc>
        <w:tc>
          <w:tcPr>
            <w:tcW w:w="709" w:type="dxa"/>
            <w:vMerge/>
            <w:tcBorders>
              <w:left w:val="single" w:sz="3" w:space="0" w:color="000000"/>
              <w:right w:val="single" w:sz="3" w:space="0" w:color="000000"/>
            </w:tcBorders>
          </w:tcPr>
          <w:p w14:paraId="6F328FD1" w14:textId="77777777" w:rsidR="0039347C" w:rsidRPr="002E32EF" w:rsidRDefault="0039347C" w:rsidP="0039347C">
            <w:pPr>
              <w:spacing w:after="0" w:line="240" w:lineRule="auto"/>
              <w:rPr>
                <w:rFonts w:ascii="Times New Roman" w:hAnsi="Times New Roman" w:cs="Times New Roman"/>
              </w:rPr>
            </w:pPr>
          </w:p>
        </w:tc>
        <w:tc>
          <w:tcPr>
            <w:tcW w:w="708" w:type="dxa"/>
            <w:vMerge/>
            <w:tcBorders>
              <w:left w:val="single" w:sz="3" w:space="0" w:color="000000"/>
              <w:right w:val="single" w:sz="3" w:space="0" w:color="000000"/>
            </w:tcBorders>
          </w:tcPr>
          <w:p w14:paraId="01C43805" w14:textId="77777777" w:rsidR="0039347C" w:rsidRPr="002E32EF" w:rsidRDefault="0039347C" w:rsidP="0039347C">
            <w:pPr>
              <w:spacing w:after="0" w:line="240" w:lineRule="auto"/>
              <w:rPr>
                <w:rFonts w:ascii="Times New Roman" w:hAnsi="Times New Roman" w:cs="Times New Roman"/>
              </w:rPr>
            </w:pPr>
          </w:p>
        </w:tc>
        <w:tc>
          <w:tcPr>
            <w:tcW w:w="993" w:type="dxa"/>
            <w:vMerge/>
            <w:tcBorders>
              <w:left w:val="single" w:sz="3" w:space="0" w:color="000000"/>
              <w:right w:val="single" w:sz="3" w:space="0" w:color="000000"/>
            </w:tcBorders>
          </w:tcPr>
          <w:p w14:paraId="5FA5CB4A" w14:textId="77777777" w:rsidR="0039347C" w:rsidRPr="002E32EF" w:rsidRDefault="0039347C" w:rsidP="0039347C">
            <w:pPr>
              <w:spacing w:after="0" w:line="240" w:lineRule="auto"/>
              <w:rPr>
                <w:rFonts w:ascii="Times New Roman" w:hAnsi="Times New Roman" w:cs="Times New Roman"/>
              </w:rPr>
            </w:pPr>
          </w:p>
        </w:tc>
        <w:tc>
          <w:tcPr>
            <w:tcW w:w="708" w:type="dxa"/>
            <w:vMerge/>
            <w:tcBorders>
              <w:left w:val="single" w:sz="3" w:space="0" w:color="000000"/>
              <w:right w:val="single" w:sz="3" w:space="0" w:color="000000"/>
            </w:tcBorders>
          </w:tcPr>
          <w:p w14:paraId="7674CDEB" w14:textId="77777777" w:rsidR="0039347C" w:rsidRPr="002E32EF" w:rsidRDefault="0039347C" w:rsidP="0039347C">
            <w:pPr>
              <w:spacing w:after="0" w:line="240" w:lineRule="auto"/>
              <w:rPr>
                <w:rFonts w:ascii="Times New Roman" w:hAnsi="Times New Roman" w:cs="Times New Roman"/>
              </w:rPr>
            </w:pPr>
          </w:p>
        </w:tc>
        <w:tc>
          <w:tcPr>
            <w:tcW w:w="709" w:type="dxa"/>
            <w:vMerge/>
            <w:tcBorders>
              <w:left w:val="single" w:sz="3" w:space="0" w:color="000000"/>
              <w:right w:val="single" w:sz="7" w:space="0" w:color="000000"/>
            </w:tcBorders>
          </w:tcPr>
          <w:p w14:paraId="7A0CA0C3" w14:textId="77777777" w:rsidR="0039347C" w:rsidRPr="002E32EF" w:rsidRDefault="0039347C" w:rsidP="0039347C">
            <w:pPr>
              <w:spacing w:after="0" w:line="240" w:lineRule="auto"/>
              <w:rPr>
                <w:rFonts w:ascii="Times New Roman" w:hAnsi="Times New Roman" w:cs="Times New Roman"/>
              </w:rPr>
            </w:pPr>
          </w:p>
        </w:tc>
        <w:tc>
          <w:tcPr>
            <w:tcW w:w="1701" w:type="dxa"/>
            <w:tcBorders>
              <w:left w:val="single" w:sz="3" w:space="0" w:color="000000"/>
              <w:right w:val="single" w:sz="7" w:space="0" w:color="000000"/>
            </w:tcBorders>
          </w:tcPr>
          <w:p w14:paraId="1D6092C8" w14:textId="77777777" w:rsidR="0039347C" w:rsidRPr="002E32EF" w:rsidRDefault="0039347C" w:rsidP="00E35BE6">
            <w:pPr>
              <w:spacing w:after="0" w:line="240" w:lineRule="auto"/>
              <w:jc w:val="center"/>
              <w:rPr>
                <w:rFonts w:ascii="Times New Roman" w:hAnsi="Times New Roman" w:cs="Times New Roman"/>
              </w:rPr>
            </w:pPr>
          </w:p>
        </w:tc>
      </w:tr>
      <w:tr w:rsidR="0039347C" w:rsidRPr="002E32EF" w14:paraId="4B9EF910" w14:textId="1CEBD41B" w:rsidTr="00E35BE6">
        <w:trPr>
          <w:trHeight w:hRule="exact" w:val="290"/>
        </w:trPr>
        <w:tc>
          <w:tcPr>
            <w:tcW w:w="3164" w:type="dxa"/>
            <w:tcBorders>
              <w:top w:val="nil"/>
              <w:left w:val="single" w:sz="7" w:space="0" w:color="000000"/>
              <w:bottom w:val="nil"/>
              <w:right w:val="single" w:sz="3" w:space="0" w:color="000000"/>
            </w:tcBorders>
          </w:tcPr>
          <w:p w14:paraId="40CB7070" w14:textId="77777777" w:rsidR="0039347C" w:rsidRPr="00D3564A" w:rsidRDefault="0039347C" w:rsidP="0039347C">
            <w:pPr>
              <w:pStyle w:val="TableParagraph"/>
              <w:rPr>
                <w:rFonts w:ascii="Times New Roman" w:hAnsi="Times New Roman"/>
              </w:rPr>
            </w:pPr>
            <w:r w:rsidRPr="00D3564A">
              <w:rPr>
                <w:rFonts w:ascii="Times New Roman" w:hAnsi="Times New Roman"/>
                <w:spacing w:val="-1"/>
                <w:lang w:val="lt-LT"/>
              </w:rPr>
              <w:t>Bėrimas</w:t>
            </w:r>
            <w:r w:rsidRPr="00D3564A">
              <w:rPr>
                <w:rFonts w:ascii="Times New Roman" w:hAnsi="Times New Roman"/>
                <w:spacing w:val="-1"/>
                <w:vertAlign w:val="superscript"/>
                <w:lang w:val="lt-LT"/>
              </w:rPr>
              <w:t>***</w:t>
            </w:r>
          </w:p>
        </w:tc>
        <w:tc>
          <w:tcPr>
            <w:tcW w:w="974" w:type="dxa"/>
            <w:vMerge/>
            <w:tcBorders>
              <w:left w:val="single" w:sz="3" w:space="0" w:color="000000"/>
              <w:bottom w:val="nil"/>
              <w:right w:val="single" w:sz="3" w:space="0" w:color="000000"/>
            </w:tcBorders>
          </w:tcPr>
          <w:p w14:paraId="57A54B8F" w14:textId="77777777" w:rsidR="0039347C" w:rsidRPr="002E32EF" w:rsidRDefault="0039347C" w:rsidP="0039347C">
            <w:pPr>
              <w:spacing w:after="0" w:line="240" w:lineRule="auto"/>
              <w:rPr>
                <w:rFonts w:ascii="Times New Roman" w:hAnsi="Times New Roman" w:cs="Times New Roman"/>
              </w:rPr>
            </w:pPr>
          </w:p>
        </w:tc>
        <w:tc>
          <w:tcPr>
            <w:tcW w:w="709" w:type="dxa"/>
            <w:vMerge/>
            <w:tcBorders>
              <w:left w:val="single" w:sz="3" w:space="0" w:color="000000"/>
              <w:bottom w:val="nil"/>
              <w:right w:val="single" w:sz="3" w:space="0" w:color="000000"/>
            </w:tcBorders>
          </w:tcPr>
          <w:p w14:paraId="7B5082BD" w14:textId="77777777" w:rsidR="0039347C" w:rsidRPr="002E32EF" w:rsidRDefault="0039347C" w:rsidP="0039347C">
            <w:pPr>
              <w:spacing w:after="0" w:line="240" w:lineRule="auto"/>
              <w:rPr>
                <w:rFonts w:ascii="Times New Roman" w:hAnsi="Times New Roman" w:cs="Times New Roman"/>
              </w:rPr>
            </w:pPr>
          </w:p>
        </w:tc>
        <w:tc>
          <w:tcPr>
            <w:tcW w:w="708" w:type="dxa"/>
            <w:vMerge/>
            <w:tcBorders>
              <w:left w:val="single" w:sz="3" w:space="0" w:color="000000"/>
              <w:bottom w:val="nil"/>
              <w:right w:val="single" w:sz="3" w:space="0" w:color="000000"/>
            </w:tcBorders>
          </w:tcPr>
          <w:p w14:paraId="5AB48C09" w14:textId="77777777" w:rsidR="0039347C" w:rsidRPr="002E32EF" w:rsidRDefault="0039347C" w:rsidP="0039347C">
            <w:pPr>
              <w:spacing w:after="0" w:line="240" w:lineRule="auto"/>
              <w:rPr>
                <w:rFonts w:ascii="Times New Roman" w:hAnsi="Times New Roman" w:cs="Times New Roman"/>
              </w:rPr>
            </w:pPr>
          </w:p>
        </w:tc>
        <w:tc>
          <w:tcPr>
            <w:tcW w:w="993" w:type="dxa"/>
            <w:vMerge/>
            <w:tcBorders>
              <w:left w:val="single" w:sz="3" w:space="0" w:color="000000"/>
              <w:bottom w:val="nil"/>
              <w:right w:val="single" w:sz="3" w:space="0" w:color="000000"/>
            </w:tcBorders>
          </w:tcPr>
          <w:p w14:paraId="5B6D2D61" w14:textId="77777777" w:rsidR="0039347C" w:rsidRPr="002E32EF" w:rsidRDefault="0039347C" w:rsidP="0039347C">
            <w:pPr>
              <w:spacing w:after="0" w:line="240" w:lineRule="auto"/>
              <w:rPr>
                <w:rFonts w:ascii="Times New Roman" w:hAnsi="Times New Roman" w:cs="Times New Roman"/>
              </w:rPr>
            </w:pPr>
          </w:p>
        </w:tc>
        <w:tc>
          <w:tcPr>
            <w:tcW w:w="708" w:type="dxa"/>
            <w:vMerge/>
            <w:tcBorders>
              <w:left w:val="single" w:sz="3" w:space="0" w:color="000000"/>
              <w:bottom w:val="nil"/>
              <w:right w:val="single" w:sz="3" w:space="0" w:color="000000"/>
            </w:tcBorders>
          </w:tcPr>
          <w:p w14:paraId="0672C29A" w14:textId="77777777" w:rsidR="0039347C" w:rsidRPr="002E32EF" w:rsidRDefault="0039347C" w:rsidP="0039347C">
            <w:pPr>
              <w:spacing w:after="0" w:line="240" w:lineRule="auto"/>
              <w:rPr>
                <w:rFonts w:ascii="Times New Roman" w:hAnsi="Times New Roman" w:cs="Times New Roman"/>
              </w:rPr>
            </w:pPr>
          </w:p>
        </w:tc>
        <w:tc>
          <w:tcPr>
            <w:tcW w:w="709" w:type="dxa"/>
            <w:vMerge/>
            <w:tcBorders>
              <w:left w:val="single" w:sz="3" w:space="0" w:color="000000"/>
              <w:bottom w:val="nil"/>
              <w:right w:val="single" w:sz="7" w:space="0" w:color="000000"/>
            </w:tcBorders>
          </w:tcPr>
          <w:p w14:paraId="7BA031AF" w14:textId="77777777" w:rsidR="0039347C" w:rsidRPr="002E32EF" w:rsidRDefault="0039347C" w:rsidP="0039347C">
            <w:pPr>
              <w:spacing w:after="0" w:line="240" w:lineRule="auto"/>
              <w:rPr>
                <w:rFonts w:ascii="Times New Roman" w:hAnsi="Times New Roman" w:cs="Times New Roman"/>
              </w:rPr>
            </w:pPr>
          </w:p>
        </w:tc>
        <w:tc>
          <w:tcPr>
            <w:tcW w:w="1701" w:type="dxa"/>
            <w:tcBorders>
              <w:left w:val="single" w:sz="3" w:space="0" w:color="000000"/>
              <w:bottom w:val="nil"/>
              <w:right w:val="single" w:sz="7" w:space="0" w:color="000000"/>
            </w:tcBorders>
          </w:tcPr>
          <w:p w14:paraId="1E34D44C" w14:textId="0AB3D553" w:rsidR="0039347C" w:rsidRPr="002E32EF" w:rsidRDefault="00181E50" w:rsidP="00E35BE6">
            <w:pPr>
              <w:spacing w:after="0" w:line="240" w:lineRule="auto"/>
              <w:jc w:val="center"/>
              <w:rPr>
                <w:rFonts w:ascii="Times New Roman" w:hAnsi="Times New Roman" w:cs="Times New Roman"/>
              </w:rPr>
            </w:pPr>
            <w:r>
              <w:rPr>
                <w:rFonts w:ascii="Times New Roman" w:hAnsi="Times New Roman"/>
              </w:rPr>
              <w:t>labai dažnas</w:t>
            </w:r>
          </w:p>
        </w:tc>
      </w:tr>
      <w:tr w:rsidR="00181E50" w:rsidRPr="002E32EF" w14:paraId="59BD51B2" w14:textId="77777777" w:rsidTr="003A5C39">
        <w:trPr>
          <w:trHeight w:hRule="exact" w:val="290"/>
        </w:trPr>
        <w:tc>
          <w:tcPr>
            <w:tcW w:w="3164" w:type="dxa"/>
            <w:tcBorders>
              <w:top w:val="nil"/>
              <w:left w:val="single" w:sz="7" w:space="0" w:color="000000"/>
              <w:bottom w:val="nil"/>
              <w:right w:val="single" w:sz="3" w:space="0" w:color="000000"/>
            </w:tcBorders>
          </w:tcPr>
          <w:p w14:paraId="60BD037E" w14:textId="5323438D" w:rsidR="00181E50" w:rsidRPr="00D3564A" w:rsidRDefault="00181E50" w:rsidP="0039347C">
            <w:pPr>
              <w:pStyle w:val="TableParagraph"/>
              <w:rPr>
                <w:rFonts w:ascii="Times New Roman" w:hAnsi="Times New Roman"/>
                <w:spacing w:val="-1"/>
                <w:lang w:val="lt-LT"/>
              </w:rPr>
            </w:pPr>
            <w:r>
              <w:rPr>
                <w:rFonts w:ascii="Times New Roman" w:hAnsi="Times New Roman"/>
                <w:spacing w:val="-1"/>
                <w:lang w:val="lt-LT"/>
              </w:rPr>
              <w:t>Niežulys</w:t>
            </w:r>
          </w:p>
        </w:tc>
        <w:tc>
          <w:tcPr>
            <w:tcW w:w="974" w:type="dxa"/>
            <w:tcBorders>
              <w:left w:val="single" w:sz="3" w:space="0" w:color="000000"/>
              <w:bottom w:val="nil"/>
              <w:right w:val="single" w:sz="3" w:space="0" w:color="000000"/>
            </w:tcBorders>
          </w:tcPr>
          <w:p w14:paraId="4E3BDCE1" w14:textId="27F9CA11" w:rsidR="00181E50" w:rsidRPr="00E35BE6" w:rsidRDefault="00181E50" w:rsidP="00E35BE6">
            <w:pPr>
              <w:spacing w:after="0" w:line="240" w:lineRule="auto"/>
              <w:jc w:val="center"/>
              <w:rPr>
                <w:rFonts w:ascii="Times New Roman" w:hAnsi="Times New Roman" w:cs="Times New Roman"/>
                <w:lang w:val="en-US"/>
              </w:rPr>
            </w:pPr>
            <w:r>
              <w:rPr>
                <w:rFonts w:ascii="Times New Roman" w:hAnsi="Times New Roman" w:cs="Times New Roman"/>
                <w:lang w:val="en-US"/>
              </w:rPr>
              <w:t>13</w:t>
            </w:r>
          </w:p>
        </w:tc>
        <w:tc>
          <w:tcPr>
            <w:tcW w:w="709" w:type="dxa"/>
            <w:tcBorders>
              <w:left w:val="single" w:sz="3" w:space="0" w:color="000000"/>
              <w:bottom w:val="nil"/>
              <w:right w:val="single" w:sz="3" w:space="0" w:color="000000"/>
            </w:tcBorders>
          </w:tcPr>
          <w:p w14:paraId="699570FD" w14:textId="3A61A644" w:rsidR="00181E50"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&lt;1</w:t>
            </w:r>
          </w:p>
        </w:tc>
        <w:tc>
          <w:tcPr>
            <w:tcW w:w="708" w:type="dxa"/>
            <w:tcBorders>
              <w:left w:val="single" w:sz="3" w:space="0" w:color="000000"/>
              <w:bottom w:val="nil"/>
              <w:right w:val="single" w:sz="3" w:space="0" w:color="000000"/>
            </w:tcBorders>
          </w:tcPr>
          <w:p w14:paraId="251C7E2B" w14:textId="4F345432" w:rsidR="00181E50"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0</w:t>
            </w:r>
          </w:p>
        </w:tc>
        <w:tc>
          <w:tcPr>
            <w:tcW w:w="993" w:type="dxa"/>
            <w:tcBorders>
              <w:left w:val="single" w:sz="3" w:space="0" w:color="000000"/>
              <w:bottom w:val="nil"/>
              <w:right w:val="single" w:sz="3" w:space="0" w:color="000000"/>
            </w:tcBorders>
          </w:tcPr>
          <w:p w14:paraId="5120EC72" w14:textId="258EE5AC" w:rsidR="00181E50"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w:t>
            </w:r>
          </w:p>
        </w:tc>
        <w:tc>
          <w:tcPr>
            <w:tcW w:w="708" w:type="dxa"/>
            <w:tcBorders>
              <w:left w:val="single" w:sz="3" w:space="0" w:color="000000"/>
              <w:bottom w:val="nil"/>
              <w:right w:val="single" w:sz="3" w:space="0" w:color="000000"/>
            </w:tcBorders>
          </w:tcPr>
          <w:p w14:paraId="771BAD6C" w14:textId="760DB359" w:rsidR="00181E50"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w:t>
            </w:r>
          </w:p>
        </w:tc>
        <w:tc>
          <w:tcPr>
            <w:tcW w:w="709" w:type="dxa"/>
            <w:tcBorders>
              <w:left w:val="single" w:sz="3" w:space="0" w:color="000000"/>
              <w:bottom w:val="nil"/>
              <w:right w:val="single" w:sz="7" w:space="0" w:color="000000"/>
            </w:tcBorders>
          </w:tcPr>
          <w:p w14:paraId="7BD90A88" w14:textId="06A6628F" w:rsidR="00181E50" w:rsidRPr="002E32EF" w:rsidRDefault="00181E50" w:rsidP="00E35BE6">
            <w:pPr>
              <w:spacing w:after="0" w:line="240" w:lineRule="auto"/>
              <w:jc w:val="center"/>
              <w:rPr>
                <w:rFonts w:ascii="Times New Roman" w:hAnsi="Times New Roman" w:cs="Times New Roman"/>
              </w:rPr>
            </w:pPr>
            <w:r>
              <w:rPr>
                <w:rFonts w:ascii="Times New Roman" w:hAnsi="Times New Roman" w:cs="Times New Roman"/>
              </w:rPr>
              <w:t>-</w:t>
            </w:r>
          </w:p>
        </w:tc>
        <w:tc>
          <w:tcPr>
            <w:tcW w:w="1701" w:type="dxa"/>
            <w:tcBorders>
              <w:left w:val="single" w:sz="3" w:space="0" w:color="000000"/>
              <w:bottom w:val="nil"/>
              <w:right w:val="single" w:sz="7" w:space="0" w:color="000000"/>
            </w:tcBorders>
          </w:tcPr>
          <w:p w14:paraId="5075FED0" w14:textId="14AD8094" w:rsidR="00181E50" w:rsidRPr="002E32EF" w:rsidRDefault="00181E50" w:rsidP="0039347C">
            <w:pPr>
              <w:spacing w:after="0" w:line="240" w:lineRule="auto"/>
              <w:jc w:val="center"/>
              <w:rPr>
                <w:rFonts w:ascii="Times New Roman" w:hAnsi="Times New Roman" w:cs="Times New Roman"/>
              </w:rPr>
            </w:pPr>
            <w:r>
              <w:rPr>
                <w:rFonts w:ascii="Times New Roman" w:hAnsi="Times New Roman"/>
              </w:rPr>
              <w:t>labai dažnas</w:t>
            </w:r>
          </w:p>
        </w:tc>
      </w:tr>
      <w:tr w:rsidR="00181E50" w:rsidRPr="002E32EF" w14:paraId="453A8E3C" w14:textId="77777777" w:rsidTr="003A5C39">
        <w:trPr>
          <w:trHeight w:hRule="exact" w:val="290"/>
        </w:trPr>
        <w:tc>
          <w:tcPr>
            <w:tcW w:w="3164" w:type="dxa"/>
            <w:tcBorders>
              <w:top w:val="nil"/>
              <w:left w:val="single" w:sz="7" w:space="0" w:color="000000"/>
              <w:bottom w:val="nil"/>
              <w:right w:val="single" w:sz="3" w:space="0" w:color="000000"/>
            </w:tcBorders>
          </w:tcPr>
          <w:p w14:paraId="74C6A804" w14:textId="1D895F4C" w:rsidR="00181E50" w:rsidRDefault="00181E50" w:rsidP="0039347C">
            <w:pPr>
              <w:pStyle w:val="TableParagraph"/>
              <w:rPr>
                <w:rFonts w:ascii="Times New Roman" w:hAnsi="Times New Roman"/>
                <w:spacing w:val="-1"/>
                <w:lang w:val="lt-LT"/>
              </w:rPr>
            </w:pPr>
            <w:r>
              <w:rPr>
                <w:rFonts w:ascii="Times New Roman" w:hAnsi="Times New Roman"/>
                <w:spacing w:val="-1"/>
                <w:lang w:val="lt-LT"/>
              </w:rPr>
              <w:t>Sausa oda</w:t>
            </w:r>
          </w:p>
        </w:tc>
        <w:tc>
          <w:tcPr>
            <w:tcW w:w="974" w:type="dxa"/>
            <w:tcBorders>
              <w:left w:val="single" w:sz="3" w:space="0" w:color="000000"/>
              <w:bottom w:val="nil"/>
              <w:right w:val="single" w:sz="3" w:space="0" w:color="000000"/>
            </w:tcBorders>
          </w:tcPr>
          <w:p w14:paraId="04289765" w14:textId="06E50561" w:rsidR="00181E50" w:rsidRDefault="00181E50" w:rsidP="00181E50">
            <w:pPr>
              <w:spacing w:after="0" w:line="240" w:lineRule="auto"/>
              <w:jc w:val="center"/>
              <w:rPr>
                <w:rFonts w:ascii="Times New Roman" w:hAnsi="Times New Roman" w:cs="Times New Roman"/>
                <w:lang w:val="en-US"/>
              </w:rPr>
            </w:pPr>
            <w:r>
              <w:rPr>
                <w:rFonts w:ascii="Times New Roman" w:hAnsi="Times New Roman" w:cs="Times New Roman"/>
                <w:lang w:val="en-US"/>
              </w:rPr>
              <w:t>12</w:t>
            </w:r>
          </w:p>
        </w:tc>
        <w:tc>
          <w:tcPr>
            <w:tcW w:w="709" w:type="dxa"/>
            <w:tcBorders>
              <w:left w:val="single" w:sz="3" w:space="0" w:color="000000"/>
              <w:bottom w:val="nil"/>
              <w:right w:val="single" w:sz="3" w:space="0" w:color="000000"/>
            </w:tcBorders>
          </w:tcPr>
          <w:p w14:paraId="2444AD93" w14:textId="1B0C0866"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0</w:t>
            </w:r>
          </w:p>
        </w:tc>
        <w:tc>
          <w:tcPr>
            <w:tcW w:w="708" w:type="dxa"/>
            <w:tcBorders>
              <w:left w:val="single" w:sz="3" w:space="0" w:color="000000"/>
              <w:bottom w:val="nil"/>
              <w:right w:val="single" w:sz="3" w:space="0" w:color="000000"/>
            </w:tcBorders>
          </w:tcPr>
          <w:p w14:paraId="79C3967F" w14:textId="37AAE056"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0</w:t>
            </w:r>
          </w:p>
        </w:tc>
        <w:tc>
          <w:tcPr>
            <w:tcW w:w="993" w:type="dxa"/>
            <w:tcBorders>
              <w:left w:val="single" w:sz="3" w:space="0" w:color="000000"/>
              <w:bottom w:val="nil"/>
              <w:right w:val="single" w:sz="3" w:space="0" w:color="000000"/>
            </w:tcBorders>
          </w:tcPr>
          <w:p w14:paraId="5F718BE2" w14:textId="316D0E52"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w:t>
            </w:r>
          </w:p>
        </w:tc>
        <w:tc>
          <w:tcPr>
            <w:tcW w:w="708" w:type="dxa"/>
            <w:tcBorders>
              <w:left w:val="single" w:sz="3" w:space="0" w:color="000000"/>
              <w:bottom w:val="nil"/>
              <w:right w:val="single" w:sz="3" w:space="0" w:color="000000"/>
            </w:tcBorders>
          </w:tcPr>
          <w:p w14:paraId="22103FC9" w14:textId="3FCB39C7"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w:t>
            </w:r>
          </w:p>
        </w:tc>
        <w:tc>
          <w:tcPr>
            <w:tcW w:w="709" w:type="dxa"/>
            <w:tcBorders>
              <w:left w:val="single" w:sz="3" w:space="0" w:color="000000"/>
              <w:bottom w:val="nil"/>
              <w:right w:val="single" w:sz="7" w:space="0" w:color="000000"/>
            </w:tcBorders>
          </w:tcPr>
          <w:p w14:paraId="646BBDF6" w14:textId="727466E6" w:rsidR="00181E50" w:rsidRDefault="00181E50" w:rsidP="00181E50">
            <w:pPr>
              <w:spacing w:after="0" w:line="240" w:lineRule="auto"/>
              <w:jc w:val="center"/>
              <w:rPr>
                <w:rFonts w:ascii="Times New Roman" w:hAnsi="Times New Roman" w:cs="Times New Roman"/>
              </w:rPr>
            </w:pPr>
            <w:r>
              <w:rPr>
                <w:rFonts w:ascii="Times New Roman" w:hAnsi="Times New Roman" w:cs="Times New Roman"/>
              </w:rPr>
              <w:t>-</w:t>
            </w:r>
          </w:p>
        </w:tc>
        <w:tc>
          <w:tcPr>
            <w:tcW w:w="1701" w:type="dxa"/>
            <w:tcBorders>
              <w:left w:val="single" w:sz="3" w:space="0" w:color="000000"/>
              <w:bottom w:val="nil"/>
              <w:right w:val="single" w:sz="7" w:space="0" w:color="000000"/>
            </w:tcBorders>
          </w:tcPr>
          <w:p w14:paraId="14636C33" w14:textId="57B1C4EC" w:rsidR="00181E50" w:rsidRPr="002E32EF" w:rsidRDefault="00181E50" w:rsidP="0039347C">
            <w:pPr>
              <w:spacing w:after="0" w:line="240" w:lineRule="auto"/>
              <w:jc w:val="center"/>
              <w:rPr>
                <w:rFonts w:ascii="Times New Roman" w:hAnsi="Times New Roman" w:cs="Times New Roman"/>
              </w:rPr>
            </w:pPr>
            <w:r>
              <w:rPr>
                <w:rFonts w:ascii="Times New Roman" w:hAnsi="Times New Roman"/>
              </w:rPr>
              <w:t>labai dažnas</w:t>
            </w:r>
          </w:p>
        </w:tc>
      </w:tr>
      <w:tr w:rsidR="0039347C" w:rsidRPr="002E32EF" w14:paraId="36B435BB" w14:textId="6BC11BD5" w:rsidTr="00E35BE6">
        <w:trPr>
          <w:trHeight w:hRule="exact" w:val="317"/>
        </w:trPr>
        <w:tc>
          <w:tcPr>
            <w:tcW w:w="3164" w:type="dxa"/>
            <w:tcBorders>
              <w:top w:val="nil"/>
              <w:left w:val="single" w:sz="7" w:space="0" w:color="000000"/>
              <w:bottom w:val="single" w:sz="5" w:space="0" w:color="000000"/>
              <w:right w:val="single" w:sz="3" w:space="0" w:color="000000"/>
            </w:tcBorders>
          </w:tcPr>
          <w:p w14:paraId="2CC5C9A2" w14:textId="77777777" w:rsidR="0039347C" w:rsidRPr="00D3564A" w:rsidRDefault="0039347C" w:rsidP="0039347C">
            <w:pPr>
              <w:pStyle w:val="TableParagraph"/>
              <w:rPr>
                <w:rFonts w:ascii="Times New Roman" w:hAnsi="Times New Roman"/>
              </w:rPr>
            </w:pPr>
            <w:r w:rsidRPr="00D3564A">
              <w:rPr>
                <w:rFonts w:ascii="Times New Roman" w:hAnsi="Times New Roman"/>
                <w:spacing w:val="-1"/>
                <w:lang w:val="lt-LT"/>
              </w:rPr>
              <w:t>Alopecija</w:t>
            </w:r>
          </w:p>
        </w:tc>
        <w:tc>
          <w:tcPr>
            <w:tcW w:w="974" w:type="dxa"/>
            <w:tcBorders>
              <w:top w:val="nil"/>
              <w:left w:val="single" w:sz="3" w:space="0" w:color="000000"/>
              <w:bottom w:val="single" w:sz="5" w:space="0" w:color="000000"/>
              <w:right w:val="single" w:sz="3" w:space="0" w:color="000000"/>
            </w:tcBorders>
          </w:tcPr>
          <w:p w14:paraId="3AD51821" w14:textId="23BF8F58" w:rsidR="0039347C" w:rsidRPr="00D3564A" w:rsidRDefault="00181E50" w:rsidP="0039347C">
            <w:pPr>
              <w:pStyle w:val="TableParagraph"/>
              <w:jc w:val="center"/>
              <w:rPr>
                <w:rFonts w:ascii="Times New Roman" w:hAnsi="Times New Roman"/>
              </w:rPr>
            </w:pPr>
            <w:r>
              <w:rPr>
                <w:rFonts w:ascii="Times New Roman" w:hAnsi="Times New Roman"/>
                <w:lang w:val="lt-LT"/>
              </w:rPr>
              <w:t>-</w:t>
            </w:r>
          </w:p>
        </w:tc>
        <w:tc>
          <w:tcPr>
            <w:tcW w:w="709" w:type="dxa"/>
            <w:tcBorders>
              <w:top w:val="nil"/>
              <w:left w:val="single" w:sz="3" w:space="0" w:color="000000"/>
              <w:bottom w:val="single" w:sz="5" w:space="0" w:color="000000"/>
              <w:right w:val="single" w:sz="3" w:space="0" w:color="000000"/>
            </w:tcBorders>
          </w:tcPr>
          <w:p w14:paraId="1C0B8062" w14:textId="06EADD91" w:rsidR="0039347C" w:rsidRPr="00D3564A" w:rsidRDefault="00181E50" w:rsidP="0039347C">
            <w:pPr>
              <w:pStyle w:val="TableParagraph"/>
              <w:jc w:val="center"/>
              <w:rPr>
                <w:rFonts w:ascii="Times New Roman" w:hAnsi="Times New Roman"/>
              </w:rPr>
            </w:pPr>
            <w:r>
              <w:rPr>
                <w:rFonts w:ascii="Times New Roman" w:hAnsi="Times New Roman"/>
                <w:lang w:val="lt-LT"/>
              </w:rPr>
              <w:t>-</w:t>
            </w:r>
          </w:p>
        </w:tc>
        <w:tc>
          <w:tcPr>
            <w:tcW w:w="708" w:type="dxa"/>
            <w:tcBorders>
              <w:top w:val="nil"/>
              <w:left w:val="single" w:sz="3" w:space="0" w:color="000000"/>
              <w:bottom w:val="single" w:sz="5" w:space="0" w:color="000000"/>
              <w:right w:val="single" w:sz="3" w:space="0" w:color="000000"/>
            </w:tcBorders>
          </w:tcPr>
          <w:p w14:paraId="0048F3A4" w14:textId="7B42B8CC" w:rsidR="0039347C" w:rsidRPr="00D3564A" w:rsidRDefault="00181E50" w:rsidP="0039347C">
            <w:pPr>
              <w:pStyle w:val="TableParagraph"/>
              <w:jc w:val="center"/>
              <w:rPr>
                <w:rFonts w:ascii="Times New Roman" w:hAnsi="Times New Roman"/>
              </w:rPr>
            </w:pPr>
            <w:r>
              <w:rPr>
                <w:rFonts w:ascii="Times New Roman" w:hAnsi="Times New Roman"/>
                <w:lang w:val="lt-LT"/>
              </w:rPr>
              <w:t>-</w:t>
            </w:r>
          </w:p>
        </w:tc>
        <w:tc>
          <w:tcPr>
            <w:tcW w:w="993" w:type="dxa"/>
            <w:tcBorders>
              <w:top w:val="nil"/>
              <w:left w:val="single" w:sz="3" w:space="0" w:color="000000"/>
              <w:bottom w:val="single" w:sz="5" w:space="0" w:color="000000"/>
              <w:right w:val="single" w:sz="3" w:space="0" w:color="000000"/>
            </w:tcBorders>
          </w:tcPr>
          <w:p w14:paraId="09B78B5C" w14:textId="49B861FF" w:rsidR="0039347C" w:rsidRPr="00D3564A" w:rsidRDefault="00181E50" w:rsidP="0039347C">
            <w:pPr>
              <w:pStyle w:val="TableParagraph"/>
              <w:jc w:val="center"/>
              <w:rPr>
                <w:rFonts w:ascii="Times New Roman" w:hAnsi="Times New Roman"/>
              </w:rPr>
            </w:pPr>
            <w:r>
              <w:rPr>
                <w:rFonts w:ascii="Times New Roman" w:hAnsi="Times New Roman"/>
                <w:lang w:val="lt-LT"/>
              </w:rPr>
              <w:t>14</w:t>
            </w:r>
          </w:p>
        </w:tc>
        <w:tc>
          <w:tcPr>
            <w:tcW w:w="708" w:type="dxa"/>
            <w:tcBorders>
              <w:top w:val="nil"/>
              <w:left w:val="single" w:sz="3" w:space="0" w:color="000000"/>
              <w:bottom w:val="single" w:sz="5" w:space="0" w:color="000000"/>
              <w:right w:val="single" w:sz="3" w:space="0" w:color="000000"/>
            </w:tcBorders>
          </w:tcPr>
          <w:p w14:paraId="616A056A"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709" w:type="dxa"/>
            <w:tcBorders>
              <w:top w:val="nil"/>
              <w:left w:val="single" w:sz="3" w:space="0" w:color="000000"/>
              <w:bottom w:val="single" w:sz="5" w:space="0" w:color="000000"/>
              <w:right w:val="single" w:sz="7" w:space="0" w:color="000000"/>
            </w:tcBorders>
          </w:tcPr>
          <w:p w14:paraId="3B5E962E" w14:textId="77777777" w:rsidR="0039347C" w:rsidRPr="00D3564A" w:rsidRDefault="0039347C" w:rsidP="0039347C">
            <w:pPr>
              <w:pStyle w:val="TableParagraph"/>
              <w:jc w:val="center"/>
              <w:rPr>
                <w:rFonts w:ascii="Times New Roman" w:hAnsi="Times New Roman"/>
              </w:rPr>
            </w:pPr>
            <w:r w:rsidRPr="00D3564A">
              <w:rPr>
                <w:rFonts w:ascii="Times New Roman" w:hAnsi="Times New Roman"/>
                <w:lang w:val="lt-LT"/>
              </w:rPr>
              <w:t>0</w:t>
            </w:r>
          </w:p>
        </w:tc>
        <w:tc>
          <w:tcPr>
            <w:tcW w:w="1701" w:type="dxa"/>
            <w:tcBorders>
              <w:top w:val="nil"/>
              <w:left w:val="single" w:sz="3" w:space="0" w:color="000000"/>
              <w:bottom w:val="single" w:sz="5" w:space="0" w:color="000000"/>
              <w:right w:val="single" w:sz="7" w:space="0" w:color="000000"/>
            </w:tcBorders>
          </w:tcPr>
          <w:p w14:paraId="6A55AB5E" w14:textId="1166570D" w:rsidR="0039347C" w:rsidRPr="00D3564A" w:rsidRDefault="00181E50" w:rsidP="00A64E52">
            <w:pPr>
              <w:pStyle w:val="TableParagraph"/>
              <w:jc w:val="center"/>
              <w:rPr>
                <w:rFonts w:ascii="Times New Roman" w:hAnsi="Times New Roman"/>
                <w:lang w:val="lt-LT"/>
              </w:rPr>
            </w:pPr>
            <w:r>
              <w:rPr>
                <w:rFonts w:ascii="Times New Roman" w:hAnsi="Times New Roman"/>
              </w:rPr>
              <w:t>labai da</w:t>
            </w:r>
            <w:r>
              <w:rPr>
                <w:rFonts w:ascii="Times New Roman" w:hAnsi="Times New Roman"/>
                <w:lang w:val="lt-LT"/>
              </w:rPr>
              <w:t>žnas</w:t>
            </w:r>
          </w:p>
        </w:tc>
      </w:tr>
      <w:tr w:rsidR="0039347C" w:rsidRPr="002E32EF" w14:paraId="6DEC8872" w14:textId="739C320D" w:rsidTr="00E35BE6">
        <w:trPr>
          <w:trHeight w:hRule="exact" w:val="507"/>
        </w:trPr>
        <w:tc>
          <w:tcPr>
            <w:tcW w:w="3164" w:type="dxa"/>
            <w:tcBorders>
              <w:top w:val="single" w:sz="5" w:space="0" w:color="000000"/>
              <w:left w:val="single" w:sz="7" w:space="0" w:color="000000"/>
              <w:bottom w:val="nil"/>
              <w:right w:val="single" w:sz="3" w:space="0" w:color="000000"/>
            </w:tcBorders>
          </w:tcPr>
          <w:p w14:paraId="3A7E2AAA" w14:textId="4227BA9A" w:rsidR="0039347C" w:rsidRPr="00E35BE6" w:rsidRDefault="0039347C" w:rsidP="0039347C">
            <w:pPr>
              <w:pStyle w:val="TableParagraph"/>
              <w:rPr>
                <w:rFonts w:ascii="Times New Roman" w:hAnsi="Times New Roman"/>
                <w:lang w:val="lt-LT"/>
              </w:rPr>
            </w:pPr>
            <w:r w:rsidRPr="00D3564A">
              <w:rPr>
                <w:rFonts w:ascii="Times New Roman" w:hAnsi="Times New Roman"/>
                <w:i/>
                <w:spacing w:val="-1"/>
                <w:lang w:val="lt-LT"/>
              </w:rPr>
              <w:t>Bendrieji sutrikimai ir</w:t>
            </w:r>
            <w:r w:rsidR="00181E50">
              <w:rPr>
                <w:rFonts w:ascii="Times New Roman" w:hAnsi="Times New Roman"/>
                <w:i/>
                <w:spacing w:val="-1"/>
                <w:lang w:val="lt-LT"/>
              </w:rPr>
              <w:t xml:space="preserve"> </w:t>
            </w:r>
            <w:r w:rsidR="00181E50" w:rsidRPr="00D3564A">
              <w:rPr>
                <w:rFonts w:ascii="Times New Roman" w:hAnsi="Times New Roman"/>
                <w:i/>
                <w:spacing w:val="-1"/>
                <w:lang w:val="lt-LT"/>
              </w:rPr>
              <w:t>vartojimo vietos pažeidimai</w:t>
            </w:r>
          </w:p>
        </w:tc>
        <w:tc>
          <w:tcPr>
            <w:tcW w:w="974" w:type="dxa"/>
            <w:vMerge w:val="restart"/>
            <w:tcBorders>
              <w:top w:val="single" w:sz="5" w:space="0" w:color="000000"/>
              <w:left w:val="single" w:sz="3" w:space="0" w:color="000000"/>
              <w:right w:val="single" w:sz="3" w:space="0" w:color="000000"/>
            </w:tcBorders>
          </w:tcPr>
          <w:p w14:paraId="15378C89" w14:textId="77777777" w:rsidR="0039347C" w:rsidRPr="00E35BE6" w:rsidRDefault="0039347C" w:rsidP="0039347C">
            <w:pPr>
              <w:pStyle w:val="TableParagraph"/>
              <w:rPr>
                <w:rFonts w:ascii="Times New Roman" w:hAnsi="Times New Roman"/>
                <w:lang w:val="lt-LT"/>
              </w:rPr>
            </w:pPr>
          </w:p>
          <w:p w14:paraId="0F170FE8" w14:textId="77777777" w:rsidR="0039347C" w:rsidRPr="00E35BE6" w:rsidRDefault="0039347C" w:rsidP="0039347C">
            <w:pPr>
              <w:pStyle w:val="TableParagraph"/>
              <w:rPr>
                <w:rFonts w:ascii="Times New Roman" w:hAnsi="Times New Roman"/>
                <w:lang w:val="lt-LT"/>
              </w:rPr>
            </w:pPr>
          </w:p>
          <w:p w14:paraId="117234C4" w14:textId="41943F17" w:rsidR="0039347C" w:rsidRDefault="00181E50" w:rsidP="0039347C">
            <w:pPr>
              <w:pStyle w:val="TableParagraph"/>
              <w:jc w:val="center"/>
              <w:rPr>
                <w:rFonts w:ascii="Times New Roman" w:hAnsi="Times New Roman"/>
                <w:lang w:val="lt-LT"/>
              </w:rPr>
            </w:pPr>
            <w:r>
              <w:rPr>
                <w:rFonts w:ascii="Times New Roman" w:hAnsi="Times New Roman"/>
                <w:lang w:val="lt-LT"/>
              </w:rPr>
              <w:t>52</w:t>
            </w:r>
          </w:p>
          <w:p w14:paraId="02C9EA3D" w14:textId="655EF361" w:rsidR="002F1981" w:rsidRPr="00D3564A" w:rsidRDefault="002F1981" w:rsidP="0039347C">
            <w:pPr>
              <w:pStyle w:val="TableParagraph"/>
              <w:jc w:val="center"/>
              <w:rPr>
                <w:rFonts w:ascii="Times New Roman" w:hAnsi="Times New Roman"/>
              </w:rPr>
            </w:pPr>
            <w:r>
              <w:rPr>
                <w:rFonts w:ascii="Times New Roman" w:hAnsi="Times New Roman"/>
                <w:lang w:val="lt-LT"/>
              </w:rPr>
              <w:t>-</w:t>
            </w:r>
          </w:p>
        </w:tc>
        <w:tc>
          <w:tcPr>
            <w:tcW w:w="709" w:type="dxa"/>
            <w:vMerge w:val="restart"/>
            <w:tcBorders>
              <w:top w:val="single" w:sz="5" w:space="0" w:color="000000"/>
              <w:left w:val="single" w:sz="3" w:space="0" w:color="000000"/>
              <w:right w:val="single" w:sz="3" w:space="0" w:color="000000"/>
            </w:tcBorders>
          </w:tcPr>
          <w:p w14:paraId="172BC70E" w14:textId="77777777" w:rsidR="0039347C" w:rsidRPr="00D3564A" w:rsidRDefault="0039347C" w:rsidP="0039347C">
            <w:pPr>
              <w:pStyle w:val="TableParagraph"/>
              <w:rPr>
                <w:rFonts w:ascii="Times New Roman" w:hAnsi="Times New Roman"/>
              </w:rPr>
            </w:pPr>
          </w:p>
          <w:p w14:paraId="058033F7" w14:textId="77777777" w:rsidR="0039347C" w:rsidRPr="00D3564A" w:rsidRDefault="0039347C" w:rsidP="0039347C">
            <w:pPr>
              <w:pStyle w:val="TableParagraph"/>
              <w:rPr>
                <w:rFonts w:ascii="Times New Roman" w:hAnsi="Times New Roman"/>
              </w:rPr>
            </w:pPr>
          </w:p>
          <w:p w14:paraId="7136B084" w14:textId="77777777" w:rsidR="0039347C" w:rsidRDefault="0039347C" w:rsidP="0039347C">
            <w:pPr>
              <w:pStyle w:val="TableParagraph"/>
              <w:jc w:val="center"/>
              <w:rPr>
                <w:rFonts w:ascii="Times New Roman" w:hAnsi="Times New Roman"/>
                <w:lang w:val="lt-LT"/>
              </w:rPr>
            </w:pPr>
            <w:r w:rsidRPr="00D3564A">
              <w:rPr>
                <w:rFonts w:ascii="Times New Roman" w:hAnsi="Times New Roman"/>
                <w:lang w:val="lt-LT"/>
              </w:rPr>
              <w:t>14</w:t>
            </w:r>
          </w:p>
          <w:p w14:paraId="225646FA" w14:textId="5A1E9C35" w:rsidR="002F1981" w:rsidRPr="00D3564A" w:rsidRDefault="002F1981" w:rsidP="0039347C">
            <w:pPr>
              <w:pStyle w:val="TableParagraph"/>
              <w:jc w:val="center"/>
              <w:rPr>
                <w:rFonts w:ascii="Times New Roman" w:hAnsi="Times New Roman"/>
              </w:rPr>
            </w:pPr>
            <w:r>
              <w:rPr>
                <w:rFonts w:ascii="Times New Roman" w:hAnsi="Times New Roman"/>
                <w:lang w:val="lt-LT"/>
              </w:rPr>
              <w:t>-</w:t>
            </w:r>
          </w:p>
        </w:tc>
        <w:tc>
          <w:tcPr>
            <w:tcW w:w="708" w:type="dxa"/>
            <w:vMerge w:val="restart"/>
            <w:tcBorders>
              <w:top w:val="single" w:sz="5" w:space="0" w:color="000000"/>
              <w:left w:val="single" w:sz="3" w:space="0" w:color="000000"/>
              <w:right w:val="single" w:sz="3" w:space="0" w:color="000000"/>
            </w:tcBorders>
          </w:tcPr>
          <w:p w14:paraId="073A7E4E" w14:textId="77777777" w:rsidR="002F1981" w:rsidRPr="00D3564A" w:rsidRDefault="002F1981" w:rsidP="0039347C">
            <w:pPr>
              <w:pStyle w:val="TableParagraph"/>
              <w:rPr>
                <w:rFonts w:ascii="Times New Roman" w:hAnsi="Times New Roman"/>
              </w:rPr>
            </w:pPr>
          </w:p>
          <w:p w14:paraId="5031EAB2" w14:textId="77777777" w:rsidR="0039347C" w:rsidRPr="00D3564A" w:rsidRDefault="0039347C" w:rsidP="0039347C">
            <w:pPr>
              <w:pStyle w:val="TableParagraph"/>
              <w:rPr>
                <w:rFonts w:ascii="Times New Roman" w:hAnsi="Times New Roman"/>
              </w:rPr>
            </w:pPr>
          </w:p>
          <w:p w14:paraId="32C75C6B" w14:textId="6F452BD2" w:rsidR="0039347C" w:rsidRDefault="00181E50" w:rsidP="0039347C">
            <w:pPr>
              <w:pStyle w:val="TableParagraph"/>
              <w:jc w:val="center"/>
              <w:rPr>
                <w:rFonts w:ascii="Times New Roman" w:hAnsi="Times New Roman"/>
                <w:lang w:val="lt-LT"/>
              </w:rPr>
            </w:pPr>
            <w:r>
              <w:rPr>
                <w:rFonts w:ascii="Times New Roman" w:hAnsi="Times New Roman"/>
                <w:lang w:val="lt-LT"/>
              </w:rPr>
              <w:t>4</w:t>
            </w:r>
          </w:p>
          <w:p w14:paraId="2605825C" w14:textId="253130AA" w:rsidR="002F1981" w:rsidRPr="00D3564A" w:rsidRDefault="002F1981" w:rsidP="0039347C">
            <w:pPr>
              <w:pStyle w:val="TableParagraph"/>
              <w:jc w:val="center"/>
              <w:rPr>
                <w:rFonts w:ascii="Times New Roman" w:hAnsi="Times New Roman"/>
              </w:rPr>
            </w:pPr>
            <w:r>
              <w:rPr>
                <w:rFonts w:ascii="Times New Roman" w:hAnsi="Times New Roman"/>
                <w:lang w:val="lt-LT"/>
              </w:rPr>
              <w:t>-</w:t>
            </w:r>
          </w:p>
        </w:tc>
        <w:tc>
          <w:tcPr>
            <w:tcW w:w="993" w:type="dxa"/>
            <w:vMerge w:val="restart"/>
            <w:tcBorders>
              <w:top w:val="single" w:sz="5" w:space="0" w:color="000000"/>
              <w:left w:val="single" w:sz="3" w:space="0" w:color="000000"/>
              <w:right w:val="single" w:sz="3" w:space="0" w:color="000000"/>
            </w:tcBorders>
          </w:tcPr>
          <w:p w14:paraId="3C66D924" w14:textId="77777777" w:rsidR="0039347C" w:rsidRPr="00D3564A" w:rsidRDefault="0039347C" w:rsidP="0039347C">
            <w:pPr>
              <w:pStyle w:val="TableParagraph"/>
              <w:rPr>
                <w:rFonts w:ascii="Times New Roman" w:hAnsi="Times New Roman"/>
              </w:rPr>
            </w:pPr>
          </w:p>
          <w:p w14:paraId="50A50C20" w14:textId="77777777" w:rsidR="0039347C" w:rsidRPr="00D3564A" w:rsidRDefault="0039347C" w:rsidP="0039347C">
            <w:pPr>
              <w:pStyle w:val="TableParagraph"/>
              <w:rPr>
                <w:rFonts w:ascii="Times New Roman" w:hAnsi="Times New Roman"/>
              </w:rPr>
            </w:pPr>
          </w:p>
          <w:p w14:paraId="531A53D8" w14:textId="4BAF08A8" w:rsidR="0039347C" w:rsidRDefault="0039347C" w:rsidP="0039347C">
            <w:pPr>
              <w:pStyle w:val="TableParagraph"/>
              <w:jc w:val="center"/>
              <w:rPr>
                <w:rFonts w:ascii="Times New Roman" w:hAnsi="Times New Roman"/>
                <w:lang w:val="lt-LT"/>
              </w:rPr>
            </w:pPr>
            <w:r w:rsidRPr="00D3564A">
              <w:rPr>
                <w:rFonts w:ascii="Times New Roman" w:hAnsi="Times New Roman"/>
                <w:lang w:val="lt-LT"/>
              </w:rPr>
              <w:t>7</w:t>
            </w:r>
            <w:r w:rsidR="00181E50">
              <w:rPr>
                <w:rFonts w:ascii="Times New Roman" w:hAnsi="Times New Roman"/>
                <w:lang w:val="lt-LT"/>
              </w:rPr>
              <w:t>3</w:t>
            </w:r>
          </w:p>
          <w:p w14:paraId="66CEFD7E" w14:textId="4F578DE2" w:rsidR="002F1981" w:rsidRPr="00D3564A" w:rsidRDefault="002F1981" w:rsidP="0039347C">
            <w:pPr>
              <w:pStyle w:val="TableParagraph"/>
              <w:jc w:val="center"/>
              <w:rPr>
                <w:rFonts w:ascii="Times New Roman" w:hAnsi="Times New Roman"/>
              </w:rPr>
            </w:pPr>
            <w:r>
              <w:rPr>
                <w:rFonts w:ascii="Times New Roman" w:hAnsi="Times New Roman"/>
                <w:lang w:val="lt-LT"/>
              </w:rPr>
              <w:t>36</w:t>
            </w:r>
          </w:p>
        </w:tc>
        <w:tc>
          <w:tcPr>
            <w:tcW w:w="708" w:type="dxa"/>
            <w:vMerge w:val="restart"/>
            <w:tcBorders>
              <w:top w:val="single" w:sz="5" w:space="0" w:color="000000"/>
              <w:left w:val="single" w:sz="3" w:space="0" w:color="000000"/>
              <w:right w:val="single" w:sz="3" w:space="0" w:color="000000"/>
            </w:tcBorders>
          </w:tcPr>
          <w:p w14:paraId="2DDFAAC2" w14:textId="77777777" w:rsidR="0039347C" w:rsidRPr="00D3564A" w:rsidRDefault="0039347C" w:rsidP="0039347C">
            <w:pPr>
              <w:pStyle w:val="TableParagraph"/>
              <w:rPr>
                <w:rFonts w:ascii="Times New Roman" w:hAnsi="Times New Roman"/>
              </w:rPr>
            </w:pPr>
          </w:p>
          <w:p w14:paraId="78A6A219" w14:textId="77777777" w:rsidR="0039347C" w:rsidRPr="00D3564A" w:rsidRDefault="0039347C" w:rsidP="0039347C">
            <w:pPr>
              <w:pStyle w:val="TableParagraph"/>
              <w:rPr>
                <w:rFonts w:ascii="Times New Roman" w:hAnsi="Times New Roman"/>
              </w:rPr>
            </w:pPr>
          </w:p>
          <w:p w14:paraId="5549AA2D" w14:textId="14EBE821" w:rsidR="0039347C" w:rsidRDefault="0039347C" w:rsidP="0039347C">
            <w:pPr>
              <w:pStyle w:val="TableParagraph"/>
              <w:jc w:val="center"/>
              <w:rPr>
                <w:rFonts w:ascii="Times New Roman" w:hAnsi="Times New Roman"/>
                <w:lang w:val="lt-LT"/>
              </w:rPr>
            </w:pPr>
            <w:r w:rsidRPr="00D3564A">
              <w:rPr>
                <w:rFonts w:ascii="Times New Roman" w:hAnsi="Times New Roman"/>
                <w:lang w:val="lt-LT"/>
              </w:rPr>
              <w:t>1</w:t>
            </w:r>
            <w:r w:rsidR="00181E50">
              <w:rPr>
                <w:rFonts w:ascii="Times New Roman" w:hAnsi="Times New Roman"/>
                <w:lang w:val="lt-LT"/>
              </w:rPr>
              <w:t>4</w:t>
            </w:r>
          </w:p>
          <w:p w14:paraId="2BA5A02E" w14:textId="0612625C" w:rsidR="002F1981" w:rsidRPr="00D3564A" w:rsidRDefault="002F1981" w:rsidP="0039347C">
            <w:pPr>
              <w:pStyle w:val="TableParagraph"/>
              <w:jc w:val="center"/>
              <w:rPr>
                <w:rFonts w:ascii="Times New Roman" w:hAnsi="Times New Roman"/>
              </w:rPr>
            </w:pPr>
            <w:r>
              <w:rPr>
                <w:rFonts w:ascii="Times New Roman" w:hAnsi="Times New Roman"/>
                <w:lang w:val="lt-LT"/>
              </w:rPr>
              <w:t>3</w:t>
            </w:r>
          </w:p>
        </w:tc>
        <w:tc>
          <w:tcPr>
            <w:tcW w:w="709" w:type="dxa"/>
            <w:vMerge w:val="restart"/>
            <w:tcBorders>
              <w:top w:val="single" w:sz="5" w:space="0" w:color="000000"/>
              <w:left w:val="single" w:sz="3" w:space="0" w:color="000000"/>
              <w:right w:val="single" w:sz="7" w:space="0" w:color="000000"/>
            </w:tcBorders>
          </w:tcPr>
          <w:p w14:paraId="0BFECB5F" w14:textId="77777777" w:rsidR="0039347C" w:rsidRPr="00D3564A" w:rsidRDefault="0039347C" w:rsidP="0039347C">
            <w:pPr>
              <w:pStyle w:val="TableParagraph"/>
              <w:rPr>
                <w:rFonts w:ascii="Times New Roman" w:hAnsi="Times New Roman"/>
              </w:rPr>
            </w:pPr>
          </w:p>
          <w:p w14:paraId="48CCBA00" w14:textId="77777777" w:rsidR="0039347C" w:rsidRPr="00D3564A" w:rsidRDefault="0039347C" w:rsidP="0039347C">
            <w:pPr>
              <w:pStyle w:val="TableParagraph"/>
              <w:rPr>
                <w:rFonts w:ascii="Times New Roman" w:hAnsi="Times New Roman"/>
              </w:rPr>
            </w:pPr>
          </w:p>
          <w:p w14:paraId="549DE2A5" w14:textId="77777777" w:rsidR="0039347C" w:rsidRDefault="0039347C" w:rsidP="0039347C">
            <w:pPr>
              <w:pStyle w:val="TableParagraph"/>
              <w:jc w:val="center"/>
              <w:rPr>
                <w:rFonts w:ascii="Times New Roman" w:hAnsi="Times New Roman"/>
                <w:lang w:val="lt-LT"/>
              </w:rPr>
            </w:pPr>
            <w:r w:rsidRPr="00D3564A">
              <w:rPr>
                <w:rFonts w:ascii="Times New Roman" w:hAnsi="Times New Roman"/>
                <w:lang w:val="lt-LT"/>
              </w:rPr>
              <w:t>2</w:t>
            </w:r>
          </w:p>
          <w:p w14:paraId="71087E92" w14:textId="480CA4A4" w:rsidR="002F1981" w:rsidRPr="00D3564A" w:rsidRDefault="002F1981" w:rsidP="0039347C">
            <w:pPr>
              <w:pStyle w:val="TableParagraph"/>
              <w:jc w:val="center"/>
              <w:rPr>
                <w:rFonts w:ascii="Times New Roman" w:hAnsi="Times New Roman"/>
              </w:rPr>
            </w:pPr>
            <w:r>
              <w:rPr>
                <w:rFonts w:ascii="Times New Roman" w:hAnsi="Times New Roman"/>
                <w:lang w:val="lt-LT"/>
              </w:rPr>
              <w:t>0</w:t>
            </w:r>
          </w:p>
        </w:tc>
        <w:tc>
          <w:tcPr>
            <w:tcW w:w="1701" w:type="dxa"/>
            <w:tcBorders>
              <w:top w:val="single" w:sz="5" w:space="0" w:color="000000"/>
              <w:left w:val="single" w:sz="3" w:space="0" w:color="000000"/>
              <w:right w:val="single" w:sz="7" w:space="0" w:color="000000"/>
            </w:tcBorders>
          </w:tcPr>
          <w:p w14:paraId="4A39150F" w14:textId="77777777" w:rsidR="0039347C" w:rsidRPr="00D3564A" w:rsidRDefault="0039347C" w:rsidP="00E35BE6">
            <w:pPr>
              <w:pStyle w:val="TableParagraph"/>
              <w:jc w:val="center"/>
              <w:rPr>
                <w:rFonts w:ascii="Times New Roman" w:hAnsi="Times New Roman"/>
              </w:rPr>
            </w:pPr>
          </w:p>
        </w:tc>
      </w:tr>
      <w:tr w:rsidR="002F1981" w:rsidRPr="002E32EF" w14:paraId="417A13AA" w14:textId="0AE9AF81" w:rsidTr="00E35BE6">
        <w:trPr>
          <w:trHeight w:hRule="exact" w:val="307"/>
        </w:trPr>
        <w:tc>
          <w:tcPr>
            <w:tcW w:w="3164" w:type="dxa"/>
            <w:tcBorders>
              <w:top w:val="nil"/>
              <w:left w:val="single" w:sz="7" w:space="0" w:color="000000"/>
              <w:bottom w:val="nil"/>
              <w:right w:val="single" w:sz="3" w:space="0" w:color="000000"/>
            </w:tcBorders>
          </w:tcPr>
          <w:p w14:paraId="263B5C5A" w14:textId="3934FE53" w:rsidR="002F1981" w:rsidRPr="00D3564A" w:rsidRDefault="002F1981" w:rsidP="002F1981">
            <w:pPr>
              <w:pStyle w:val="TableParagraph"/>
              <w:rPr>
                <w:rFonts w:ascii="Times New Roman" w:hAnsi="Times New Roman"/>
              </w:rPr>
            </w:pPr>
            <w:r w:rsidRPr="00D3564A">
              <w:rPr>
                <w:rFonts w:ascii="Times New Roman" w:hAnsi="Times New Roman"/>
                <w:spacing w:val="-1"/>
                <w:lang w:val="lt-LT"/>
              </w:rPr>
              <w:t>Nuovargis</w:t>
            </w:r>
            <w:r w:rsidRPr="00D3564A" w:rsidDel="00181E50">
              <w:rPr>
                <w:rFonts w:ascii="Times New Roman" w:hAnsi="Times New Roman"/>
                <w:i/>
                <w:spacing w:val="-1"/>
                <w:lang w:val="lt-LT"/>
              </w:rPr>
              <w:t xml:space="preserve"> </w:t>
            </w:r>
          </w:p>
        </w:tc>
        <w:tc>
          <w:tcPr>
            <w:tcW w:w="974" w:type="dxa"/>
            <w:vMerge/>
            <w:tcBorders>
              <w:left w:val="single" w:sz="3" w:space="0" w:color="000000"/>
              <w:right w:val="single" w:sz="3" w:space="0" w:color="000000"/>
            </w:tcBorders>
          </w:tcPr>
          <w:p w14:paraId="4E52A191" w14:textId="77777777" w:rsidR="002F1981" w:rsidRPr="002E32EF" w:rsidRDefault="002F1981" w:rsidP="002F1981">
            <w:pPr>
              <w:spacing w:after="0" w:line="240" w:lineRule="auto"/>
              <w:rPr>
                <w:rFonts w:ascii="Times New Roman" w:hAnsi="Times New Roman" w:cs="Times New Roman"/>
              </w:rPr>
            </w:pPr>
          </w:p>
        </w:tc>
        <w:tc>
          <w:tcPr>
            <w:tcW w:w="709" w:type="dxa"/>
            <w:vMerge/>
            <w:tcBorders>
              <w:left w:val="single" w:sz="3" w:space="0" w:color="000000"/>
              <w:right w:val="single" w:sz="3" w:space="0" w:color="000000"/>
            </w:tcBorders>
          </w:tcPr>
          <w:p w14:paraId="530D0C58" w14:textId="77777777" w:rsidR="002F1981" w:rsidRPr="002E32EF" w:rsidRDefault="002F1981" w:rsidP="002F1981">
            <w:pPr>
              <w:spacing w:after="0" w:line="240" w:lineRule="auto"/>
              <w:rPr>
                <w:rFonts w:ascii="Times New Roman" w:hAnsi="Times New Roman" w:cs="Times New Roman"/>
              </w:rPr>
            </w:pPr>
          </w:p>
        </w:tc>
        <w:tc>
          <w:tcPr>
            <w:tcW w:w="708" w:type="dxa"/>
            <w:vMerge/>
            <w:tcBorders>
              <w:left w:val="single" w:sz="3" w:space="0" w:color="000000"/>
              <w:right w:val="single" w:sz="3" w:space="0" w:color="000000"/>
            </w:tcBorders>
          </w:tcPr>
          <w:p w14:paraId="369F6F8D" w14:textId="77777777" w:rsidR="002F1981" w:rsidRPr="002E32EF" w:rsidRDefault="002F1981" w:rsidP="002F1981">
            <w:pPr>
              <w:spacing w:after="0" w:line="240" w:lineRule="auto"/>
              <w:rPr>
                <w:rFonts w:ascii="Times New Roman" w:hAnsi="Times New Roman" w:cs="Times New Roman"/>
              </w:rPr>
            </w:pPr>
          </w:p>
        </w:tc>
        <w:tc>
          <w:tcPr>
            <w:tcW w:w="993" w:type="dxa"/>
            <w:vMerge/>
            <w:tcBorders>
              <w:left w:val="single" w:sz="3" w:space="0" w:color="000000"/>
              <w:right w:val="single" w:sz="3" w:space="0" w:color="000000"/>
            </w:tcBorders>
          </w:tcPr>
          <w:p w14:paraId="1D873710" w14:textId="77777777" w:rsidR="002F1981" w:rsidRPr="002E32EF" w:rsidRDefault="002F1981" w:rsidP="002F1981">
            <w:pPr>
              <w:spacing w:after="0" w:line="240" w:lineRule="auto"/>
              <w:rPr>
                <w:rFonts w:ascii="Times New Roman" w:hAnsi="Times New Roman" w:cs="Times New Roman"/>
              </w:rPr>
            </w:pPr>
          </w:p>
        </w:tc>
        <w:tc>
          <w:tcPr>
            <w:tcW w:w="708" w:type="dxa"/>
            <w:vMerge/>
            <w:tcBorders>
              <w:left w:val="single" w:sz="3" w:space="0" w:color="000000"/>
              <w:right w:val="single" w:sz="3" w:space="0" w:color="000000"/>
            </w:tcBorders>
          </w:tcPr>
          <w:p w14:paraId="6758152F" w14:textId="77777777" w:rsidR="002F1981" w:rsidRPr="002E32EF" w:rsidRDefault="002F1981" w:rsidP="002F1981">
            <w:pPr>
              <w:spacing w:after="0" w:line="240" w:lineRule="auto"/>
              <w:rPr>
                <w:rFonts w:ascii="Times New Roman" w:hAnsi="Times New Roman" w:cs="Times New Roman"/>
              </w:rPr>
            </w:pPr>
          </w:p>
        </w:tc>
        <w:tc>
          <w:tcPr>
            <w:tcW w:w="709" w:type="dxa"/>
            <w:vMerge/>
            <w:tcBorders>
              <w:left w:val="single" w:sz="3" w:space="0" w:color="000000"/>
              <w:right w:val="single" w:sz="7" w:space="0" w:color="000000"/>
            </w:tcBorders>
          </w:tcPr>
          <w:p w14:paraId="3931AB01" w14:textId="77777777" w:rsidR="002F1981" w:rsidRPr="002E32EF" w:rsidRDefault="002F1981" w:rsidP="002F1981">
            <w:pPr>
              <w:spacing w:after="0" w:line="240" w:lineRule="auto"/>
              <w:rPr>
                <w:rFonts w:ascii="Times New Roman" w:hAnsi="Times New Roman" w:cs="Times New Roman"/>
              </w:rPr>
            </w:pPr>
          </w:p>
        </w:tc>
        <w:tc>
          <w:tcPr>
            <w:tcW w:w="1701" w:type="dxa"/>
            <w:tcBorders>
              <w:left w:val="single" w:sz="3" w:space="0" w:color="000000"/>
              <w:right w:val="single" w:sz="7" w:space="0" w:color="000000"/>
            </w:tcBorders>
          </w:tcPr>
          <w:p w14:paraId="41FE8D2E" w14:textId="43834864" w:rsidR="002F1981" w:rsidRPr="002E32EF" w:rsidRDefault="002F1981" w:rsidP="00E35BE6">
            <w:pPr>
              <w:spacing w:after="0" w:line="240" w:lineRule="auto"/>
              <w:jc w:val="center"/>
              <w:rPr>
                <w:rFonts w:ascii="Times New Roman" w:hAnsi="Times New Roman" w:cs="Times New Roman"/>
              </w:rPr>
            </w:pPr>
            <w:r>
              <w:rPr>
                <w:rFonts w:ascii="Times New Roman" w:hAnsi="Times New Roman"/>
              </w:rPr>
              <w:t>labai dažnas</w:t>
            </w:r>
          </w:p>
        </w:tc>
      </w:tr>
      <w:tr w:rsidR="002F1981" w:rsidRPr="002E32EF" w14:paraId="16404D8C" w14:textId="5D7AE2B8" w:rsidTr="00E35BE6">
        <w:trPr>
          <w:trHeight w:hRule="exact" w:val="290"/>
        </w:trPr>
        <w:tc>
          <w:tcPr>
            <w:tcW w:w="3164" w:type="dxa"/>
            <w:tcBorders>
              <w:top w:val="nil"/>
              <w:left w:val="single" w:sz="7" w:space="0" w:color="000000"/>
              <w:right w:val="single" w:sz="3" w:space="0" w:color="000000"/>
            </w:tcBorders>
          </w:tcPr>
          <w:p w14:paraId="0351337C" w14:textId="410D82CE" w:rsidR="002F1981" w:rsidRPr="00D3564A" w:rsidRDefault="002F1981" w:rsidP="002F1981">
            <w:pPr>
              <w:pStyle w:val="TableParagraph"/>
              <w:rPr>
                <w:rFonts w:ascii="Times New Roman" w:hAnsi="Times New Roman"/>
              </w:rPr>
            </w:pPr>
            <w:r w:rsidRPr="00D3564A">
              <w:rPr>
                <w:rFonts w:ascii="Times New Roman" w:hAnsi="Times New Roman"/>
                <w:spacing w:val="-1"/>
                <w:lang w:val="lt-LT"/>
              </w:rPr>
              <w:t>Karščiavimas</w:t>
            </w:r>
            <w:r w:rsidRPr="00D3564A" w:rsidDel="00181E50">
              <w:rPr>
                <w:rFonts w:ascii="Times New Roman" w:hAnsi="Times New Roman"/>
                <w:spacing w:val="-1"/>
                <w:lang w:val="lt-LT"/>
              </w:rPr>
              <w:t xml:space="preserve"> </w:t>
            </w:r>
          </w:p>
        </w:tc>
        <w:tc>
          <w:tcPr>
            <w:tcW w:w="974" w:type="dxa"/>
            <w:vMerge/>
            <w:tcBorders>
              <w:left w:val="single" w:sz="3" w:space="0" w:color="000000"/>
              <w:right w:val="single" w:sz="3" w:space="0" w:color="000000"/>
            </w:tcBorders>
          </w:tcPr>
          <w:p w14:paraId="5D30BD8A" w14:textId="77777777" w:rsidR="002F1981" w:rsidRPr="002E32EF" w:rsidRDefault="002F1981" w:rsidP="002F1981">
            <w:pPr>
              <w:spacing w:after="0" w:line="240" w:lineRule="auto"/>
              <w:rPr>
                <w:rFonts w:ascii="Times New Roman" w:hAnsi="Times New Roman" w:cs="Times New Roman"/>
              </w:rPr>
            </w:pPr>
          </w:p>
        </w:tc>
        <w:tc>
          <w:tcPr>
            <w:tcW w:w="709" w:type="dxa"/>
            <w:vMerge/>
            <w:tcBorders>
              <w:left w:val="single" w:sz="3" w:space="0" w:color="000000"/>
              <w:right w:val="single" w:sz="3" w:space="0" w:color="000000"/>
            </w:tcBorders>
          </w:tcPr>
          <w:p w14:paraId="31E43865" w14:textId="77777777" w:rsidR="002F1981" w:rsidRPr="002E32EF" w:rsidRDefault="002F1981" w:rsidP="002F1981">
            <w:pPr>
              <w:spacing w:after="0" w:line="240" w:lineRule="auto"/>
              <w:rPr>
                <w:rFonts w:ascii="Times New Roman" w:hAnsi="Times New Roman" w:cs="Times New Roman"/>
              </w:rPr>
            </w:pPr>
          </w:p>
        </w:tc>
        <w:tc>
          <w:tcPr>
            <w:tcW w:w="708" w:type="dxa"/>
            <w:vMerge/>
            <w:tcBorders>
              <w:left w:val="single" w:sz="3" w:space="0" w:color="000000"/>
              <w:right w:val="single" w:sz="3" w:space="0" w:color="000000"/>
            </w:tcBorders>
          </w:tcPr>
          <w:p w14:paraId="1B543C55" w14:textId="77777777" w:rsidR="002F1981" w:rsidRPr="002E32EF" w:rsidRDefault="002F1981" w:rsidP="002F1981">
            <w:pPr>
              <w:spacing w:after="0" w:line="240" w:lineRule="auto"/>
              <w:rPr>
                <w:rFonts w:ascii="Times New Roman" w:hAnsi="Times New Roman" w:cs="Times New Roman"/>
              </w:rPr>
            </w:pPr>
          </w:p>
        </w:tc>
        <w:tc>
          <w:tcPr>
            <w:tcW w:w="993" w:type="dxa"/>
            <w:vMerge/>
            <w:tcBorders>
              <w:left w:val="single" w:sz="3" w:space="0" w:color="000000"/>
              <w:right w:val="single" w:sz="3" w:space="0" w:color="000000"/>
            </w:tcBorders>
          </w:tcPr>
          <w:p w14:paraId="099B40DB" w14:textId="77777777" w:rsidR="002F1981" w:rsidRPr="002E32EF" w:rsidRDefault="002F1981" w:rsidP="002F1981">
            <w:pPr>
              <w:spacing w:after="0" w:line="240" w:lineRule="auto"/>
              <w:rPr>
                <w:rFonts w:ascii="Times New Roman" w:hAnsi="Times New Roman" w:cs="Times New Roman"/>
              </w:rPr>
            </w:pPr>
          </w:p>
        </w:tc>
        <w:tc>
          <w:tcPr>
            <w:tcW w:w="708" w:type="dxa"/>
            <w:vMerge/>
            <w:tcBorders>
              <w:left w:val="single" w:sz="3" w:space="0" w:color="000000"/>
              <w:right w:val="single" w:sz="3" w:space="0" w:color="000000"/>
            </w:tcBorders>
          </w:tcPr>
          <w:p w14:paraId="2413B8F9" w14:textId="77777777" w:rsidR="002F1981" w:rsidRPr="002E32EF" w:rsidRDefault="002F1981" w:rsidP="002F1981">
            <w:pPr>
              <w:spacing w:after="0" w:line="240" w:lineRule="auto"/>
              <w:rPr>
                <w:rFonts w:ascii="Times New Roman" w:hAnsi="Times New Roman" w:cs="Times New Roman"/>
              </w:rPr>
            </w:pPr>
          </w:p>
        </w:tc>
        <w:tc>
          <w:tcPr>
            <w:tcW w:w="709" w:type="dxa"/>
            <w:vMerge/>
            <w:tcBorders>
              <w:left w:val="single" w:sz="3" w:space="0" w:color="000000"/>
              <w:right w:val="single" w:sz="7" w:space="0" w:color="000000"/>
            </w:tcBorders>
          </w:tcPr>
          <w:p w14:paraId="23ABF0C4" w14:textId="77777777" w:rsidR="002F1981" w:rsidRPr="002E32EF" w:rsidRDefault="002F1981" w:rsidP="002F1981">
            <w:pPr>
              <w:spacing w:after="0" w:line="240" w:lineRule="auto"/>
              <w:rPr>
                <w:rFonts w:ascii="Times New Roman" w:hAnsi="Times New Roman" w:cs="Times New Roman"/>
              </w:rPr>
            </w:pPr>
          </w:p>
        </w:tc>
        <w:tc>
          <w:tcPr>
            <w:tcW w:w="1701" w:type="dxa"/>
            <w:tcBorders>
              <w:left w:val="single" w:sz="3" w:space="0" w:color="000000"/>
              <w:right w:val="single" w:sz="7" w:space="0" w:color="000000"/>
            </w:tcBorders>
          </w:tcPr>
          <w:p w14:paraId="4E5891D9" w14:textId="1AD2F0ED" w:rsidR="002F1981" w:rsidRPr="002E32EF" w:rsidRDefault="002F1981" w:rsidP="00E35BE6">
            <w:pPr>
              <w:spacing w:after="0" w:line="240" w:lineRule="auto"/>
              <w:jc w:val="center"/>
              <w:rPr>
                <w:rFonts w:ascii="Times New Roman" w:hAnsi="Times New Roman" w:cs="Times New Roman"/>
              </w:rPr>
            </w:pPr>
            <w:r>
              <w:rPr>
                <w:rFonts w:ascii="Times New Roman" w:hAnsi="Times New Roman"/>
              </w:rPr>
              <w:t>labai dažnas</w:t>
            </w:r>
          </w:p>
        </w:tc>
      </w:tr>
      <w:tr w:rsidR="002F1981" w:rsidRPr="002E32EF" w14:paraId="31D3AC8A" w14:textId="36E005FA" w:rsidTr="00E35BE6">
        <w:trPr>
          <w:trHeight w:hRule="exact" w:val="290"/>
        </w:trPr>
        <w:tc>
          <w:tcPr>
            <w:tcW w:w="3164" w:type="dxa"/>
            <w:tcBorders>
              <w:top w:val="nil"/>
              <w:left w:val="single" w:sz="8" w:space="0" w:color="000000"/>
              <w:bottom w:val="single" w:sz="4" w:space="0" w:color="auto"/>
              <w:right w:val="single" w:sz="3" w:space="0" w:color="000000"/>
            </w:tcBorders>
          </w:tcPr>
          <w:p w14:paraId="3BEBAC22" w14:textId="3E5FEBB5" w:rsidR="002F1981" w:rsidRPr="00D3564A" w:rsidRDefault="002F1981" w:rsidP="002F1981">
            <w:pPr>
              <w:pStyle w:val="TableParagraph"/>
              <w:rPr>
                <w:rFonts w:ascii="Times New Roman" w:hAnsi="Times New Roman"/>
              </w:rPr>
            </w:pPr>
            <w:r w:rsidRPr="00D3564A">
              <w:rPr>
                <w:rFonts w:ascii="Times New Roman" w:hAnsi="Times New Roman"/>
                <w:spacing w:val="-1"/>
                <w:lang w:val="lt-LT"/>
              </w:rPr>
              <w:t>Sustingimas</w:t>
            </w:r>
            <w:r w:rsidRPr="00D3564A" w:rsidDel="00181E50">
              <w:rPr>
                <w:rFonts w:ascii="Times New Roman" w:hAnsi="Times New Roman"/>
                <w:spacing w:val="-1"/>
                <w:lang w:val="lt-LT"/>
              </w:rPr>
              <w:t xml:space="preserve"> </w:t>
            </w:r>
          </w:p>
        </w:tc>
        <w:tc>
          <w:tcPr>
            <w:tcW w:w="974" w:type="dxa"/>
            <w:tcBorders>
              <w:top w:val="nil"/>
              <w:left w:val="single" w:sz="3" w:space="0" w:color="000000"/>
              <w:bottom w:val="single" w:sz="4" w:space="0" w:color="auto"/>
              <w:right w:val="single" w:sz="3" w:space="0" w:color="000000"/>
            </w:tcBorders>
          </w:tcPr>
          <w:p w14:paraId="5B3757A3" w14:textId="00E2548D" w:rsidR="002F1981" w:rsidRPr="00D3564A" w:rsidRDefault="002F1981" w:rsidP="002F1981">
            <w:pPr>
              <w:pStyle w:val="TableParagraph"/>
              <w:jc w:val="center"/>
              <w:rPr>
                <w:rFonts w:ascii="Times New Roman" w:hAnsi="Times New Roman"/>
              </w:rPr>
            </w:pPr>
            <w:r>
              <w:rPr>
                <w:rFonts w:ascii="Times New Roman" w:hAnsi="Times New Roman"/>
                <w:lang w:val="lt-LT"/>
              </w:rPr>
              <w:t>-</w:t>
            </w:r>
          </w:p>
        </w:tc>
        <w:tc>
          <w:tcPr>
            <w:tcW w:w="709" w:type="dxa"/>
            <w:tcBorders>
              <w:top w:val="nil"/>
              <w:left w:val="single" w:sz="3" w:space="0" w:color="000000"/>
              <w:bottom w:val="single" w:sz="4" w:space="0" w:color="auto"/>
              <w:right w:val="single" w:sz="3" w:space="0" w:color="000000"/>
            </w:tcBorders>
          </w:tcPr>
          <w:p w14:paraId="7529E666" w14:textId="05D257E1" w:rsidR="002F1981" w:rsidRPr="00D3564A" w:rsidRDefault="002F1981" w:rsidP="002F1981">
            <w:pPr>
              <w:pStyle w:val="TableParagraph"/>
              <w:jc w:val="center"/>
              <w:rPr>
                <w:rFonts w:ascii="Times New Roman" w:hAnsi="Times New Roman"/>
              </w:rPr>
            </w:pPr>
            <w:r>
              <w:rPr>
                <w:rFonts w:ascii="Times New Roman" w:hAnsi="Times New Roman"/>
                <w:lang w:val="lt-LT"/>
              </w:rPr>
              <w:t>-</w:t>
            </w:r>
          </w:p>
        </w:tc>
        <w:tc>
          <w:tcPr>
            <w:tcW w:w="708" w:type="dxa"/>
            <w:tcBorders>
              <w:top w:val="nil"/>
              <w:left w:val="single" w:sz="3" w:space="0" w:color="000000"/>
              <w:bottom w:val="single" w:sz="4" w:space="0" w:color="auto"/>
              <w:right w:val="single" w:sz="3" w:space="0" w:color="000000"/>
            </w:tcBorders>
          </w:tcPr>
          <w:p w14:paraId="6378BD41" w14:textId="7181FE1F" w:rsidR="002F1981" w:rsidRPr="00D3564A" w:rsidRDefault="002F1981" w:rsidP="002F1981">
            <w:pPr>
              <w:pStyle w:val="TableParagraph"/>
              <w:jc w:val="center"/>
              <w:rPr>
                <w:rFonts w:ascii="Times New Roman" w:hAnsi="Times New Roman"/>
              </w:rPr>
            </w:pPr>
            <w:r>
              <w:rPr>
                <w:rFonts w:ascii="Times New Roman" w:hAnsi="Times New Roman"/>
                <w:lang w:val="lt-LT"/>
              </w:rPr>
              <w:t>-</w:t>
            </w:r>
          </w:p>
        </w:tc>
        <w:tc>
          <w:tcPr>
            <w:tcW w:w="993" w:type="dxa"/>
            <w:tcBorders>
              <w:top w:val="nil"/>
              <w:left w:val="single" w:sz="3" w:space="0" w:color="000000"/>
              <w:bottom w:val="single" w:sz="4" w:space="0" w:color="auto"/>
              <w:right w:val="single" w:sz="3" w:space="0" w:color="000000"/>
            </w:tcBorders>
          </w:tcPr>
          <w:p w14:paraId="2A015D87" w14:textId="22FED71E" w:rsidR="002F1981" w:rsidRPr="00D3564A" w:rsidRDefault="002F1981" w:rsidP="002F1981">
            <w:pPr>
              <w:pStyle w:val="TableParagraph"/>
              <w:jc w:val="center"/>
              <w:rPr>
                <w:rFonts w:ascii="Times New Roman" w:hAnsi="Times New Roman"/>
              </w:rPr>
            </w:pPr>
            <w:r>
              <w:rPr>
                <w:rFonts w:ascii="Times New Roman" w:hAnsi="Times New Roman"/>
                <w:lang w:val="lt-LT"/>
              </w:rPr>
              <w:t>12</w:t>
            </w:r>
          </w:p>
        </w:tc>
        <w:tc>
          <w:tcPr>
            <w:tcW w:w="708" w:type="dxa"/>
            <w:tcBorders>
              <w:top w:val="nil"/>
              <w:left w:val="single" w:sz="3" w:space="0" w:color="000000"/>
              <w:bottom w:val="single" w:sz="4" w:space="0" w:color="auto"/>
              <w:right w:val="single" w:sz="3" w:space="0" w:color="000000"/>
            </w:tcBorders>
          </w:tcPr>
          <w:p w14:paraId="116DC1A3" w14:textId="258F6B0C" w:rsidR="002F1981" w:rsidRPr="00D3564A" w:rsidRDefault="002F1981" w:rsidP="002F1981">
            <w:pPr>
              <w:pStyle w:val="TableParagraph"/>
              <w:jc w:val="center"/>
              <w:rPr>
                <w:rFonts w:ascii="Times New Roman" w:hAnsi="Times New Roman"/>
              </w:rPr>
            </w:pPr>
            <w:r>
              <w:rPr>
                <w:rFonts w:ascii="Times New Roman" w:hAnsi="Times New Roman"/>
                <w:lang w:val="lt-LT"/>
              </w:rPr>
              <w:t>0</w:t>
            </w:r>
          </w:p>
        </w:tc>
        <w:tc>
          <w:tcPr>
            <w:tcW w:w="709" w:type="dxa"/>
            <w:tcBorders>
              <w:top w:val="nil"/>
              <w:left w:val="single" w:sz="3" w:space="0" w:color="000000"/>
              <w:bottom w:val="single" w:sz="4" w:space="0" w:color="auto"/>
              <w:right w:val="single" w:sz="7" w:space="0" w:color="000000"/>
            </w:tcBorders>
          </w:tcPr>
          <w:p w14:paraId="3AAA4988" w14:textId="77777777" w:rsidR="002F1981" w:rsidRPr="00D3564A" w:rsidRDefault="002F1981" w:rsidP="002F1981">
            <w:pPr>
              <w:pStyle w:val="TableParagraph"/>
              <w:jc w:val="center"/>
              <w:rPr>
                <w:rFonts w:ascii="Times New Roman" w:hAnsi="Times New Roman"/>
              </w:rPr>
            </w:pPr>
            <w:r w:rsidRPr="00D3564A">
              <w:rPr>
                <w:rFonts w:ascii="Times New Roman" w:hAnsi="Times New Roman"/>
                <w:lang w:val="lt-LT"/>
              </w:rPr>
              <w:t>0</w:t>
            </w:r>
          </w:p>
        </w:tc>
        <w:tc>
          <w:tcPr>
            <w:tcW w:w="1701" w:type="dxa"/>
            <w:tcBorders>
              <w:top w:val="nil"/>
              <w:left w:val="single" w:sz="3" w:space="0" w:color="000000"/>
              <w:bottom w:val="single" w:sz="4" w:space="0" w:color="auto"/>
              <w:right w:val="single" w:sz="8" w:space="0" w:color="000000"/>
            </w:tcBorders>
          </w:tcPr>
          <w:p w14:paraId="4B5220FC" w14:textId="2D9AF289" w:rsidR="002F1981" w:rsidRPr="00D3564A" w:rsidRDefault="002F1981" w:rsidP="00A64E52">
            <w:pPr>
              <w:pStyle w:val="TableParagraph"/>
              <w:jc w:val="center"/>
              <w:rPr>
                <w:rFonts w:ascii="Times New Roman" w:hAnsi="Times New Roman"/>
                <w:lang w:val="lt-LT"/>
              </w:rPr>
            </w:pPr>
            <w:r>
              <w:rPr>
                <w:rFonts w:ascii="Times New Roman" w:hAnsi="Times New Roman"/>
              </w:rPr>
              <w:t>labai da</w:t>
            </w:r>
            <w:r>
              <w:rPr>
                <w:rFonts w:ascii="Times New Roman" w:hAnsi="Times New Roman"/>
                <w:lang w:val="lt-LT"/>
              </w:rPr>
              <w:t>žnas</w:t>
            </w:r>
          </w:p>
        </w:tc>
      </w:tr>
    </w:tbl>
    <w:p w14:paraId="5ECE8A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*Sunkios infekcijos su neutropenija ar be jos buvo pneumonija, sepsis ir celiulitas.</w:t>
      </w:r>
    </w:p>
    <w:p w14:paraId="34A0811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**Gali sukelti dehidraciją, hipokalemiją ir inkstų nepakankamumą.</w:t>
      </w:r>
    </w:p>
    <w:p w14:paraId="0C840F05" w14:textId="1D6D0364" w:rsidR="00D72C83"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 xml:space="preserve">***Įskaitant </w:t>
      </w:r>
      <w:r>
        <w:rPr>
          <w:rFonts w:ascii="Times New Roman" w:eastAsiaTheme="minorEastAsia" w:hAnsi="Times New Roman" w:cs="Times New Roman"/>
        </w:rPr>
        <w:t>akneiforminį</w:t>
      </w:r>
      <w:r w:rsidRPr="002E32EF">
        <w:rPr>
          <w:rFonts w:ascii="Times New Roman" w:eastAsiaTheme="minorEastAsia" w:hAnsi="Times New Roman" w:cs="Times New Roman"/>
        </w:rPr>
        <w:t xml:space="preserve"> dermatitą.</w:t>
      </w:r>
    </w:p>
    <w:p w14:paraId="676F6EDB" w14:textId="77777777" w:rsidR="002F1981" w:rsidRPr="002F1981" w:rsidRDefault="002F1981" w:rsidP="002F1981">
      <w:pPr>
        <w:widowControl w:val="0"/>
        <w:autoSpaceDE w:val="0"/>
        <w:autoSpaceDN w:val="0"/>
        <w:adjustRightInd w:val="0"/>
        <w:spacing w:after="0" w:line="240" w:lineRule="auto"/>
        <w:jc w:val="both"/>
        <w:rPr>
          <w:rFonts w:ascii="Times New Roman" w:eastAsiaTheme="minorEastAsia" w:hAnsi="Times New Roman" w:cs="Times New Roman"/>
        </w:rPr>
      </w:pPr>
      <w:r w:rsidRPr="002F1981">
        <w:rPr>
          <w:rFonts w:ascii="Times New Roman" w:eastAsiaTheme="minorEastAsia" w:hAnsi="Times New Roman" w:cs="Times New Roman"/>
        </w:rPr>
        <w:t>- atitinka mažesnę nei slenkstinė procentinę dalį.</w:t>
      </w:r>
    </w:p>
    <w:p w14:paraId="7A27DACE" w14:textId="77777777" w:rsidR="002F1981" w:rsidRPr="002E32EF" w:rsidRDefault="002F1981"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61D5C98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u w:val="single"/>
        </w:rPr>
      </w:pPr>
    </w:p>
    <w:p w14:paraId="61A0F697" w14:textId="2C86E5BE" w:rsidR="00D72C83" w:rsidRPr="002E32EF" w:rsidRDefault="002F1981" w:rsidP="00D72C8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D72C83" w:rsidRPr="002E32EF">
        <w:rPr>
          <w:rFonts w:ascii="Times New Roman" w:hAnsi="Times New Roman" w:cs="Times New Roman"/>
        </w:rPr>
        <w:t xml:space="preserve"> lentelė.</w:t>
      </w:r>
      <w:r w:rsidR="00D72C83" w:rsidRPr="002E32EF">
        <w:rPr>
          <w:rFonts w:ascii="Times New Roman" w:hAnsi="Times New Roman" w:cs="Times New Roman"/>
        </w:rPr>
        <w:tab/>
        <w:t xml:space="preserve"> </w:t>
      </w:r>
      <w:r w:rsidR="00D72C83" w:rsidRPr="002E32EF">
        <w:rPr>
          <w:rFonts w:ascii="Times New Roman" w:eastAsiaTheme="minorEastAsia" w:hAnsi="Times New Roman" w:cs="Times New Roman"/>
        </w:rPr>
        <w:t>Nepageidaujamų reakcijų santrauka pagal dažnių apibūdinimus</w:t>
      </w:r>
      <w:r w:rsidR="00D72C83" w:rsidRPr="002E32EF">
        <w:rPr>
          <w:rFonts w:ascii="Times New Roman" w:hAnsi="Times New Roman" w:cs="Times New Roman"/>
        </w:rPr>
        <w:t>:</w:t>
      </w:r>
    </w:p>
    <w:p w14:paraId="7720E1AF"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tbl>
      <w:tblPr>
        <w:tblW w:w="9813" w:type="dxa"/>
        <w:tblInd w:w="104" w:type="dxa"/>
        <w:tblLayout w:type="fixed"/>
        <w:tblCellMar>
          <w:left w:w="0" w:type="dxa"/>
          <w:right w:w="0" w:type="dxa"/>
        </w:tblCellMar>
        <w:tblLook w:val="01E0" w:firstRow="1" w:lastRow="1" w:firstColumn="1" w:lastColumn="1" w:noHBand="0" w:noVBand="0"/>
      </w:tblPr>
      <w:tblGrid>
        <w:gridCol w:w="1610"/>
        <w:gridCol w:w="1553"/>
        <w:gridCol w:w="1622"/>
        <w:gridCol w:w="1638"/>
        <w:gridCol w:w="1547"/>
        <w:gridCol w:w="1843"/>
      </w:tblGrid>
      <w:tr w:rsidR="00D72C83" w:rsidRPr="002E32EF" w14:paraId="46EB8C4C" w14:textId="77777777" w:rsidTr="00E23115">
        <w:trPr>
          <w:trHeight w:hRule="exact" w:val="268"/>
        </w:trPr>
        <w:tc>
          <w:tcPr>
            <w:tcW w:w="1610" w:type="dxa"/>
            <w:vMerge w:val="restart"/>
            <w:tcBorders>
              <w:top w:val="single" w:sz="5" w:space="0" w:color="000000"/>
              <w:left w:val="single" w:sz="5" w:space="0" w:color="000000"/>
              <w:right w:val="single" w:sz="5" w:space="0" w:color="000000"/>
            </w:tcBorders>
          </w:tcPr>
          <w:p w14:paraId="437EE6D1"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b/>
              </w:rPr>
            </w:pPr>
            <w:r w:rsidRPr="002E32EF">
              <w:rPr>
                <w:rFonts w:ascii="Times New Roman" w:eastAsiaTheme="minorEastAsia" w:hAnsi="Times New Roman" w:cs="Times New Roman"/>
                <w:b/>
              </w:rPr>
              <w:t xml:space="preserve"> Organų</w:t>
            </w:r>
          </w:p>
          <w:p w14:paraId="7669BDA8"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b/>
              </w:rPr>
            </w:pPr>
            <w:r w:rsidRPr="002E32EF">
              <w:rPr>
                <w:rFonts w:ascii="Times New Roman" w:eastAsiaTheme="minorEastAsia" w:hAnsi="Times New Roman" w:cs="Times New Roman"/>
                <w:b/>
              </w:rPr>
              <w:t xml:space="preserve"> sistemų</w:t>
            </w:r>
          </w:p>
          <w:p w14:paraId="519DDF26"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 xml:space="preserve"> klasė</w:t>
            </w:r>
          </w:p>
        </w:tc>
        <w:tc>
          <w:tcPr>
            <w:tcW w:w="1553" w:type="dxa"/>
            <w:tcBorders>
              <w:top w:val="single" w:sz="5" w:space="0" w:color="000000"/>
              <w:left w:val="single" w:sz="5" w:space="0" w:color="000000"/>
              <w:bottom w:val="nil"/>
              <w:right w:val="single" w:sz="5" w:space="0" w:color="000000"/>
            </w:tcBorders>
          </w:tcPr>
          <w:p w14:paraId="30869E3B"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Labai dažni</w:t>
            </w:r>
          </w:p>
        </w:tc>
        <w:tc>
          <w:tcPr>
            <w:tcW w:w="1622" w:type="dxa"/>
            <w:tcBorders>
              <w:top w:val="single" w:sz="5" w:space="0" w:color="000000"/>
              <w:left w:val="single" w:sz="5" w:space="0" w:color="000000"/>
              <w:bottom w:val="nil"/>
              <w:right w:val="single" w:sz="5" w:space="0" w:color="000000"/>
            </w:tcBorders>
          </w:tcPr>
          <w:p w14:paraId="377106B7"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Dažni (nuo</w:t>
            </w:r>
          </w:p>
        </w:tc>
        <w:tc>
          <w:tcPr>
            <w:tcW w:w="1638" w:type="dxa"/>
            <w:tcBorders>
              <w:top w:val="single" w:sz="5" w:space="0" w:color="000000"/>
              <w:left w:val="single" w:sz="5" w:space="0" w:color="000000"/>
              <w:bottom w:val="nil"/>
              <w:right w:val="single" w:sz="5" w:space="0" w:color="000000"/>
            </w:tcBorders>
          </w:tcPr>
          <w:p w14:paraId="061B66B0"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Nedažni</w:t>
            </w:r>
          </w:p>
        </w:tc>
        <w:tc>
          <w:tcPr>
            <w:tcW w:w="1547" w:type="dxa"/>
            <w:tcBorders>
              <w:top w:val="single" w:sz="5" w:space="0" w:color="000000"/>
              <w:left w:val="single" w:sz="5" w:space="0" w:color="000000"/>
              <w:bottom w:val="nil"/>
              <w:right w:val="single" w:sz="5" w:space="0" w:color="000000"/>
            </w:tcBorders>
          </w:tcPr>
          <w:p w14:paraId="643F16FF"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Reti (nuo</w:t>
            </w:r>
          </w:p>
        </w:tc>
        <w:tc>
          <w:tcPr>
            <w:tcW w:w="1843" w:type="dxa"/>
            <w:tcBorders>
              <w:top w:val="single" w:sz="5" w:space="0" w:color="000000"/>
              <w:left w:val="single" w:sz="5" w:space="0" w:color="000000"/>
              <w:bottom w:val="nil"/>
              <w:right w:val="single" w:sz="5" w:space="0" w:color="000000"/>
            </w:tcBorders>
          </w:tcPr>
          <w:p w14:paraId="63622327"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Labai reti</w:t>
            </w:r>
          </w:p>
        </w:tc>
      </w:tr>
      <w:tr w:rsidR="00D72C83" w:rsidRPr="002E32EF" w14:paraId="3D7E8F5A" w14:textId="77777777" w:rsidTr="00E23115">
        <w:trPr>
          <w:trHeight w:hRule="exact" w:val="253"/>
        </w:trPr>
        <w:tc>
          <w:tcPr>
            <w:tcW w:w="1610" w:type="dxa"/>
            <w:vMerge/>
            <w:tcBorders>
              <w:left w:val="single" w:sz="5" w:space="0" w:color="000000"/>
              <w:right w:val="single" w:sz="5" w:space="0" w:color="000000"/>
            </w:tcBorders>
          </w:tcPr>
          <w:p w14:paraId="5572267C" w14:textId="77777777" w:rsidR="00D72C83" w:rsidRPr="002E32EF" w:rsidRDefault="00D72C83" w:rsidP="00E23115">
            <w:pPr>
              <w:spacing w:after="0" w:line="240" w:lineRule="auto"/>
              <w:rPr>
                <w:rFonts w:ascii="Times New Roman" w:hAnsi="Times New Roman" w:cs="Times New Roman"/>
                <w:b/>
                <w:highlight w:val="yellow"/>
              </w:rPr>
            </w:pPr>
          </w:p>
        </w:tc>
        <w:tc>
          <w:tcPr>
            <w:tcW w:w="1553" w:type="dxa"/>
            <w:tcBorders>
              <w:top w:val="nil"/>
              <w:left w:val="single" w:sz="5" w:space="0" w:color="000000"/>
              <w:bottom w:val="nil"/>
              <w:right w:val="single" w:sz="5" w:space="0" w:color="000000"/>
            </w:tcBorders>
          </w:tcPr>
          <w:p w14:paraId="173B4BF3"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(≥1/10)</w:t>
            </w:r>
          </w:p>
        </w:tc>
        <w:tc>
          <w:tcPr>
            <w:tcW w:w="1622" w:type="dxa"/>
            <w:tcBorders>
              <w:top w:val="nil"/>
              <w:left w:val="single" w:sz="5" w:space="0" w:color="000000"/>
              <w:bottom w:val="nil"/>
              <w:right w:val="single" w:sz="5" w:space="0" w:color="000000"/>
            </w:tcBorders>
          </w:tcPr>
          <w:p w14:paraId="58DD6824"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≥1/100 iki &lt;1/10)</w:t>
            </w:r>
          </w:p>
        </w:tc>
        <w:tc>
          <w:tcPr>
            <w:tcW w:w="1638" w:type="dxa"/>
            <w:tcBorders>
              <w:top w:val="nil"/>
              <w:left w:val="single" w:sz="5" w:space="0" w:color="000000"/>
              <w:bottom w:val="nil"/>
              <w:right w:val="single" w:sz="5" w:space="0" w:color="000000"/>
            </w:tcBorders>
          </w:tcPr>
          <w:p w14:paraId="40F11621"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(nuo</w:t>
            </w:r>
          </w:p>
        </w:tc>
        <w:tc>
          <w:tcPr>
            <w:tcW w:w="1547" w:type="dxa"/>
            <w:tcBorders>
              <w:top w:val="nil"/>
              <w:left w:val="single" w:sz="5" w:space="0" w:color="000000"/>
              <w:bottom w:val="nil"/>
              <w:right w:val="single" w:sz="5" w:space="0" w:color="000000"/>
            </w:tcBorders>
          </w:tcPr>
          <w:p w14:paraId="7BEABCC9"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≥1/10000 iki</w:t>
            </w:r>
          </w:p>
        </w:tc>
        <w:tc>
          <w:tcPr>
            <w:tcW w:w="1843" w:type="dxa"/>
            <w:vMerge w:val="restart"/>
            <w:tcBorders>
              <w:top w:val="nil"/>
              <w:left w:val="single" w:sz="5" w:space="0" w:color="000000"/>
              <w:right w:val="single" w:sz="5" w:space="0" w:color="000000"/>
            </w:tcBorders>
          </w:tcPr>
          <w:p w14:paraId="77597230"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(&lt;1/10000)</w:t>
            </w:r>
          </w:p>
        </w:tc>
      </w:tr>
      <w:tr w:rsidR="00D72C83" w:rsidRPr="002E32EF" w14:paraId="7264869F" w14:textId="77777777" w:rsidTr="00E23115">
        <w:trPr>
          <w:trHeight w:hRule="exact" w:val="253"/>
        </w:trPr>
        <w:tc>
          <w:tcPr>
            <w:tcW w:w="1610" w:type="dxa"/>
            <w:vMerge/>
            <w:tcBorders>
              <w:left w:val="single" w:sz="5" w:space="0" w:color="000000"/>
              <w:right w:val="single" w:sz="5" w:space="0" w:color="000000"/>
            </w:tcBorders>
          </w:tcPr>
          <w:p w14:paraId="3B4E4989" w14:textId="77777777" w:rsidR="00D72C83" w:rsidRPr="002E32EF" w:rsidRDefault="00D72C83" w:rsidP="00E23115">
            <w:pPr>
              <w:spacing w:after="0" w:line="240" w:lineRule="auto"/>
              <w:rPr>
                <w:rFonts w:ascii="Times New Roman" w:hAnsi="Times New Roman" w:cs="Times New Roman"/>
                <w:b/>
                <w:highlight w:val="yellow"/>
              </w:rPr>
            </w:pPr>
          </w:p>
        </w:tc>
        <w:tc>
          <w:tcPr>
            <w:tcW w:w="1553" w:type="dxa"/>
            <w:vMerge w:val="restart"/>
            <w:tcBorders>
              <w:top w:val="nil"/>
              <w:left w:val="single" w:sz="5" w:space="0" w:color="000000"/>
              <w:right w:val="single" w:sz="5" w:space="0" w:color="000000"/>
            </w:tcBorders>
          </w:tcPr>
          <w:p w14:paraId="4567DE71" w14:textId="77777777" w:rsidR="00D72C83" w:rsidRPr="00D3564A" w:rsidRDefault="00D72C83" w:rsidP="00D3564A">
            <w:pPr>
              <w:pStyle w:val="TableParagraph"/>
              <w:rPr>
                <w:rFonts w:ascii="Times New Roman" w:hAnsi="Times New Roman"/>
                <w:b/>
                <w:highlight w:val="yellow"/>
              </w:rPr>
            </w:pPr>
          </w:p>
        </w:tc>
        <w:tc>
          <w:tcPr>
            <w:tcW w:w="1622" w:type="dxa"/>
            <w:vMerge w:val="restart"/>
            <w:tcBorders>
              <w:top w:val="nil"/>
              <w:left w:val="single" w:sz="5" w:space="0" w:color="000000"/>
              <w:right w:val="single" w:sz="5" w:space="0" w:color="000000"/>
            </w:tcBorders>
          </w:tcPr>
          <w:p w14:paraId="3CCD6E71" w14:textId="77777777" w:rsidR="00D72C83" w:rsidRPr="00D3564A" w:rsidRDefault="00D72C83" w:rsidP="00D3564A">
            <w:pPr>
              <w:pStyle w:val="TableParagraph"/>
              <w:rPr>
                <w:rFonts w:ascii="Times New Roman" w:hAnsi="Times New Roman"/>
                <w:b/>
                <w:highlight w:val="yellow"/>
              </w:rPr>
            </w:pPr>
          </w:p>
        </w:tc>
        <w:tc>
          <w:tcPr>
            <w:tcW w:w="1638" w:type="dxa"/>
            <w:vMerge w:val="restart"/>
            <w:tcBorders>
              <w:top w:val="nil"/>
              <w:left w:val="single" w:sz="5" w:space="0" w:color="000000"/>
              <w:right w:val="single" w:sz="5" w:space="0" w:color="000000"/>
            </w:tcBorders>
          </w:tcPr>
          <w:p w14:paraId="3012B347"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≥1/1000 iki &lt;1/100)</w:t>
            </w:r>
          </w:p>
        </w:tc>
        <w:tc>
          <w:tcPr>
            <w:tcW w:w="1547" w:type="dxa"/>
            <w:tcBorders>
              <w:top w:val="nil"/>
              <w:left w:val="single" w:sz="5" w:space="0" w:color="000000"/>
              <w:bottom w:val="nil"/>
              <w:right w:val="single" w:sz="5" w:space="0" w:color="000000"/>
            </w:tcBorders>
          </w:tcPr>
          <w:p w14:paraId="5874768B" w14:textId="77777777" w:rsidR="00D72C83" w:rsidRPr="00D3564A" w:rsidRDefault="00D72C83" w:rsidP="00D3564A">
            <w:pPr>
              <w:pStyle w:val="TableParagraph"/>
              <w:rPr>
                <w:rFonts w:ascii="Times New Roman" w:hAnsi="Times New Roman"/>
                <w:b/>
                <w:highlight w:val="yellow"/>
              </w:rPr>
            </w:pPr>
            <w:r w:rsidRPr="00D3564A">
              <w:rPr>
                <w:rFonts w:ascii="Times New Roman" w:hAnsi="Times New Roman"/>
                <w:b/>
                <w:lang w:val="lt-LT"/>
              </w:rPr>
              <w:t>&lt;1/1000)</w:t>
            </w:r>
          </w:p>
        </w:tc>
        <w:tc>
          <w:tcPr>
            <w:tcW w:w="1843" w:type="dxa"/>
            <w:vMerge/>
            <w:tcBorders>
              <w:left w:val="single" w:sz="5" w:space="0" w:color="000000"/>
              <w:right w:val="single" w:sz="5" w:space="0" w:color="000000"/>
            </w:tcBorders>
          </w:tcPr>
          <w:p w14:paraId="06F4A4D7" w14:textId="77777777" w:rsidR="00D72C83" w:rsidRPr="002E32EF" w:rsidRDefault="00D72C83" w:rsidP="00E23115">
            <w:pPr>
              <w:spacing w:after="0" w:line="240" w:lineRule="auto"/>
              <w:rPr>
                <w:rFonts w:ascii="Times New Roman" w:hAnsi="Times New Roman" w:cs="Times New Roman"/>
                <w:b/>
                <w:highlight w:val="yellow"/>
              </w:rPr>
            </w:pPr>
          </w:p>
        </w:tc>
      </w:tr>
      <w:tr w:rsidR="00D72C83" w:rsidRPr="002E32EF" w14:paraId="6BAE28B2" w14:textId="77777777" w:rsidTr="00E23115">
        <w:trPr>
          <w:trHeight w:hRule="exact" w:val="350"/>
        </w:trPr>
        <w:tc>
          <w:tcPr>
            <w:tcW w:w="1610" w:type="dxa"/>
            <w:vMerge/>
            <w:tcBorders>
              <w:left w:val="single" w:sz="5" w:space="0" w:color="000000"/>
              <w:bottom w:val="single" w:sz="5" w:space="0" w:color="000000"/>
              <w:right w:val="single" w:sz="5" w:space="0" w:color="000000"/>
            </w:tcBorders>
          </w:tcPr>
          <w:p w14:paraId="158D7CA6" w14:textId="77777777" w:rsidR="00D72C83" w:rsidRPr="002E32EF" w:rsidRDefault="00D72C83" w:rsidP="00E23115">
            <w:pPr>
              <w:spacing w:after="0" w:line="240" w:lineRule="auto"/>
              <w:rPr>
                <w:rFonts w:ascii="Times New Roman" w:hAnsi="Times New Roman" w:cs="Times New Roman"/>
                <w:b/>
                <w:highlight w:val="yellow"/>
              </w:rPr>
            </w:pPr>
          </w:p>
        </w:tc>
        <w:tc>
          <w:tcPr>
            <w:tcW w:w="1553" w:type="dxa"/>
            <w:vMerge/>
            <w:tcBorders>
              <w:left w:val="single" w:sz="5" w:space="0" w:color="000000"/>
              <w:bottom w:val="single" w:sz="5" w:space="0" w:color="000000"/>
              <w:right w:val="single" w:sz="5" w:space="0" w:color="000000"/>
            </w:tcBorders>
          </w:tcPr>
          <w:p w14:paraId="6FF39B95" w14:textId="77777777" w:rsidR="00D72C83" w:rsidRPr="002E32EF" w:rsidRDefault="00D72C83" w:rsidP="00E23115">
            <w:pPr>
              <w:spacing w:after="0" w:line="240" w:lineRule="auto"/>
              <w:rPr>
                <w:rFonts w:ascii="Times New Roman" w:hAnsi="Times New Roman" w:cs="Times New Roman"/>
                <w:b/>
                <w:highlight w:val="yellow"/>
              </w:rPr>
            </w:pPr>
          </w:p>
        </w:tc>
        <w:tc>
          <w:tcPr>
            <w:tcW w:w="1622" w:type="dxa"/>
            <w:vMerge/>
            <w:tcBorders>
              <w:left w:val="single" w:sz="5" w:space="0" w:color="000000"/>
              <w:bottom w:val="single" w:sz="5" w:space="0" w:color="000000"/>
              <w:right w:val="single" w:sz="5" w:space="0" w:color="000000"/>
            </w:tcBorders>
          </w:tcPr>
          <w:p w14:paraId="6FA49491" w14:textId="77777777" w:rsidR="00D72C83" w:rsidRPr="002E32EF" w:rsidRDefault="00D72C83" w:rsidP="00E23115">
            <w:pPr>
              <w:spacing w:after="0" w:line="240" w:lineRule="auto"/>
              <w:rPr>
                <w:rFonts w:ascii="Times New Roman" w:hAnsi="Times New Roman" w:cs="Times New Roman"/>
                <w:b/>
                <w:highlight w:val="yellow"/>
              </w:rPr>
            </w:pPr>
          </w:p>
        </w:tc>
        <w:tc>
          <w:tcPr>
            <w:tcW w:w="1638" w:type="dxa"/>
            <w:vMerge/>
            <w:tcBorders>
              <w:left w:val="single" w:sz="5" w:space="0" w:color="000000"/>
              <w:bottom w:val="single" w:sz="5" w:space="0" w:color="000000"/>
              <w:right w:val="single" w:sz="5" w:space="0" w:color="000000"/>
            </w:tcBorders>
          </w:tcPr>
          <w:p w14:paraId="17E47F2E" w14:textId="77777777" w:rsidR="00D72C83" w:rsidRPr="002E32EF" w:rsidRDefault="00D72C83" w:rsidP="00E23115">
            <w:pPr>
              <w:spacing w:after="0" w:line="240" w:lineRule="auto"/>
              <w:rPr>
                <w:rFonts w:ascii="Times New Roman" w:hAnsi="Times New Roman" w:cs="Times New Roman"/>
                <w:b/>
                <w:highlight w:val="yellow"/>
              </w:rPr>
            </w:pPr>
          </w:p>
        </w:tc>
        <w:tc>
          <w:tcPr>
            <w:tcW w:w="1547" w:type="dxa"/>
            <w:tcBorders>
              <w:top w:val="nil"/>
              <w:left w:val="single" w:sz="5" w:space="0" w:color="000000"/>
              <w:bottom w:val="single" w:sz="5" w:space="0" w:color="000000"/>
              <w:right w:val="single" w:sz="5" w:space="0" w:color="000000"/>
            </w:tcBorders>
          </w:tcPr>
          <w:p w14:paraId="33EFCEF8" w14:textId="77777777" w:rsidR="00D72C83" w:rsidRPr="00D3564A" w:rsidRDefault="00D72C83" w:rsidP="00D3564A">
            <w:pPr>
              <w:pStyle w:val="TableParagraph"/>
              <w:rPr>
                <w:rFonts w:ascii="Times New Roman" w:hAnsi="Times New Roman"/>
                <w:b/>
                <w:highlight w:val="yellow"/>
              </w:rPr>
            </w:pPr>
          </w:p>
        </w:tc>
        <w:tc>
          <w:tcPr>
            <w:tcW w:w="1843" w:type="dxa"/>
            <w:vMerge/>
            <w:tcBorders>
              <w:left w:val="single" w:sz="5" w:space="0" w:color="000000"/>
              <w:bottom w:val="single" w:sz="5" w:space="0" w:color="000000"/>
              <w:right w:val="single" w:sz="5" w:space="0" w:color="000000"/>
            </w:tcBorders>
          </w:tcPr>
          <w:p w14:paraId="11E3CFF8" w14:textId="77777777" w:rsidR="00D72C83" w:rsidRPr="002E32EF" w:rsidRDefault="00D72C83" w:rsidP="00E23115">
            <w:pPr>
              <w:spacing w:after="0" w:line="240" w:lineRule="auto"/>
              <w:rPr>
                <w:rFonts w:ascii="Times New Roman" w:hAnsi="Times New Roman" w:cs="Times New Roman"/>
                <w:b/>
                <w:highlight w:val="yellow"/>
              </w:rPr>
            </w:pPr>
          </w:p>
        </w:tc>
      </w:tr>
      <w:tr w:rsidR="00D72C83" w:rsidRPr="002E32EF" w14:paraId="440B8091" w14:textId="77777777" w:rsidTr="00E23115">
        <w:trPr>
          <w:trHeight w:hRule="exact" w:val="1430"/>
        </w:trPr>
        <w:tc>
          <w:tcPr>
            <w:tcW w:w="1610" w:type="dxa"/>
            <w:tcBorders>
              <w:top w:val="single" w:sz="5" w:space="0" w:color="000000"/>
              <w:left w:val="single" w:sz="5" w:space="0" w:color="000000"/>
              <w:bottom w:val="single" w:sz="5" w:space="0" w:color="000000"/>
              <w:right w:val="single" w:sz="5" w:space="0" w:color="000000"/>
            </w:tcBorders>
          </w:tcPr>
          <w:p w14:paraId="135C1912"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Akių sutrikimai</w:t>
            </w:r>
          </w:p>
        </w:tc>
        <w:tc>
          <w:tcPr>
            <w:tcW w:w="1553" w:type="dxa"/>
            <w:tcBorders>
              <w:top w:val="single" w:sz="5" w:space="0" w:color="000000"/>
              <w:left w:val="single" w:sz="5" w:space="0" w:color="000000"/>
              <w:bottom w:val="single" w:sz="5" w:space="0" w:color="000000"/>
              <w:right w:val="single" w:sz="5" w:space="0" w:color="000000"/>
            </w:tcBorders>
          </w:tcPr>
          <w:p w14:paraId="4F3A8A4D" w14:textId="77777777" w:rsidR="00D72C83" w:rsidRPr="002E32EF" w:rsidRDefault="00D72C83" w:rsidP="00E23115">
            <w:pPr>
              <w:spacing w:after="0" w:line="240" w:lineRule="auto"/>
              <w:rPr>
                <w:rFonts w:ascii="Times New Roman" w:hAnsi="Times New Roman" w:cs="Times New Roman"/>
              </w:rPr>
            </w:pPr>
          </w:p>
        </w:tc>
        <w:tc>
          <w:tcPr>
            <w:tcW w:w="1622" w:type="dxa"/>
            <w:tcBorders>
              <w:top w:val="single" w:sz="5" w:space="0" w:color="000000"/>
              <w:left w:val="single" w:sz="5" w:space="0" w:color="000000"/>
              <w:bottom w:val="single" w:sz="5" w:space="0" w:color="000000"/>
              <w:right w:val="single" w:sz="5" w:space="0" w:color="000000"/>
            </w:tcBorders>
          </w:tcPr>
          <w:p w14:paraId="13D87FBF"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-Keratitas</w:t>
            </w:r>
          </w:p>
          <w:p w14:paraId="73A978B5"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-Konjunktyvitas</w:t>
            </w:r>
            <w:r w:rsidRPr="00D3564A">
              <w:rPr>
                <w:rFonts w:ascii="Times New Roman" w:hAnsi="Times New Roman"/>
                <w:spacing w:val="-1"/>
                <w:vertAlign w:val="superscript"/>
                <w:lang w:val="lt-LT"/>
              </w:rPr>
              <w:t>1</w:t>
            </w:r>
          </w:p>
        </w:tc>
        <w:tc>
          <w:tcPr>
            <w:tcW w:w="1638" w:type="dxa"/>
            <w:tcBorders>
              <w:top w:val="single" w:sz="5" w:space="0" w:color="000000"/>
              <w:left w:val="single" w:sz="5" w:space="0" w:color="000000"/>
              <w:bottom w:val="single" w:sz="5" w:space="0" w:color="000000"/>
              <w:right w:val="single" w:sz="5" w:space="0" w:color="000000"/>
            </w:tcBorders>
          </w:tcPr>
          <w:p w14:paraId="4788AC0B"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-Blakstienų pokyčiai</w:t>
            </w:r>
            <w:r w:rsidRPr="00D3564A">
              <w:rPr>
                <w:rFonts w:ascii="Times New Roman" w:hAnsi="Times New Roman"/>
                <w:vertAlign w:val="superscript"/>
                <w:lang w:val="lt-LT"/>
              </w:rPr>
              <w:t>2</w:t>
            </w:r>
          </w:p>
        </w:tc>
        <w:tc>
          <w:tcPr>
            <w:tcW w:w="1547" w:type="dxa"/>
            <w:tcBorders>
              <w:top w:val="single" w:sz="5" w:space="0" w:color="000000"/>
              <w:left w:val="single" w:sz="5" w:space="0" w:color="000000"/>
              <w:bottom w:val="single" w:sz="5" w:space="0" w:color="000000"/>
              <w:right w:val="single" w:sz="5" w:space="0" w:color="000000"/>
            </w:tcBorders>
          </w:tcPr>
          <w:p w14:paraId="613CF83D" w14:textId="77777777" w:rsidR="00D72C83" w:rsidRPr="002E32EF" w:rsidRDefault="00D72C83" w:rsidP="00E23115">
            <w:pPr>
              <w:spacing w:after="0" w:line="240" w:lineRule="auto"/>
              <w:rPr>
                <w:rFonts w:ascii="Times New Roman" w:hAnsi="Times New Roman" w:cs="Times New Roman"/>
              </w:rPr>
            </w:pPr>
          </w:p>
        </w:tc>
        <w:tc>
          <w:tcPr>
            <w:tcW w:w="1843" w:type="dxa"/>
            <w:tcBorders>
              <w:top w:val="single" w:sz="5" w:space="0" w:color="000000"/>
              <w:left w:val="single" w:sz="5" w:space="0" w:color="000000"/>
              <w:bottom w:val="single" w:sz="5" w:space="0" w:color="000000"/>
              <w:right w:val="single" w:sz="5" w:space="0" w:color="000000"/>
            </w:tcBorders>
          </w:tcPr>
          <w:p w14:paraId="7B0C189E" w14:textId="77777777" w:rsidR="00D72C83" w:rsidRPr="00E35BE6" w:rsidRDefault="00D72C83" w:rsidP="00D3564A">
            <w:pPr>
              <w:pStyle w:val="TableParagraph"/>
              <w:ind w:hanging="1"/>
              <w:rPr>
                <w:rFonts w:ascii="Times New Roman" w:hAnsi="Times New Roman"/>
                <w:lang w:val="pt-PT"/>
              </w:rPr>
            </w:pPr>
            <w:r w:rsidRPr="00D3564A">
              <w:rPr>
                <w:rFonts w:ascii="Times New Roman" w:hAnsi="Times New Roman"/>
                <w:lang w:val="lt-LT"/>
              </w:rPr>
              <w:t>-Ragenos perforacija</w:t>
            </w:r>
          </w:p>
          <w:p w14:paraId="1A196B26" w14:textId="77777777" w:rsidR="00D72C83" w:rsidRPr="00E35BE6" w:rsidRDefault="00D72C83" w:rsidP="00D3564A">
            <w:pPr>
              <w:pStyle w:val="TableParagraph"/>
              <w:tabs>
                <w:tab w:val="left" w:pos="1134"/>
              </w:tabs>
              <w:rPr>
                <w:rFonts w:ascii="Times New Roman" w:hAnsi="Times New Roman"/>
                <w:lang w:val="pt-PT"/>
              </w:rPr>
            </w:pPr>
            <w:r w:rsidRPr="00D3564A">
              <w:rPr>
                <w:rFonts w:ascii="Times New Roman" w:hAnsi="Times New Roman"/>
                <w:lang w:val="lt-LT"/>
              </w:rPr>
              <w:t>-</w:t>
            </w:r>
            <w:r w:rsidRPr="00D3564A">
              <w:rPr>
                <w:rFonts w:ascii="Times New Roman" w:hAnsi="Times New Roman"/>
                <w:w w:val="95"/>
                <w:lang w:val="lt-LT"/>
              </w:rPr>
              <w:t>Ragenos opėjimas</w:t>
            </w:r>
          </w:p>
          <w:p w14:paraId="5C304D1F"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-Uveitas</w:t>
            </w:r>
          </w:p>
        </w:tc>
      </w:tr>
      <w:tr w:rsidR="00D72C83" w:rsidRPr="002E32EF" w14:paraId="0EA86BAD" w14:textId="77777777" w:rsidTr="00E23115">
        <w:trPr>
          <w:trHeight w:hRule="exact" w:val="1266"/>
        </w:trPr>
        <w:tc>
          <w:tcPr>
            <w:tcW w:w="1610" w:type="dxa"/>
            <w:tcBorders>
              <w:top w:val="single" w:sz="5" w:space="0" w:color="000000"/>
              <w:left w:val="single" w:sz="5" w:space="0" w:color="000000"/>
              <w:bottom w:val="single" w:sz="5" w:space="0" w:color="000000"/>
              <w:right w:val="single" w:sz="5" w:space="0" w:color="000000"/>
            </w:tcBorders>
          </w:tcPr>
          <w:p w14:paraId="08502082" w14:textId="77777777" w:rsidR="00D72C83" w:rsidRPr="00E35BE6" w:rsidRDefault="00D72C83" w:rsidP="00D3564A">
            <w:pPr>
              <w:pStyle w:val="TableParagraph"/>
              <w:rPr>
                <w:rFonts w:ascii="Times New Roman" w:hAnsi="Times New Roman"/>
                <w:lang w:val="lt-LT"/>
              </w:rPr>
            </w:pPr>
            <w:r w:rsidRPr="0035242E">
              <w:rPr>
                <w:rFonts w:ascii="Times New Roman" w:hAnsi="Times New Roman"/>
                <w:w w:val="95"/>
                <w:lang w:val="lt-LT"/>
              </w:rPr>
              <w:lastRenderedPageBreak/>
              <w:t>Kvėpavimo sistemos, krūtinės ląstos ir tarpuplaučio sutrikimai</w:t>
            </w:r>
          </w:p>
        </w:tc>
        <w:tc>
          <w:tcPr>
            <w:tcW w:w="1553" w:type="dxa"/>
            <w:tcBorders>
              <w:top w:val="single" w:sz="5" w:space="0" w:color="000000"/>
              <w:left w:val="single" w:sz="5" w:space="0" w:color="000000"/>
              <w:bottom w:val="single" w:sz="5" w:space="0" w:color="000000"/>
              <w:right w:val="single" w:sz="5" w:space="0" w:color="000000"/>
            </w:tcBorders>
          </w:tcPr>
          <w:p w14:paraId="04FBC8F0" w14:textId="77777777" w:rsidR="00D72C83" w:rsidRPr="002E32EF" w:rsidRDefault="00D72C83" w:rsidP="00E23115">
            <w:pPr>
              <w:spacing w:after="0" w:line="240" w:lineRule="auto"/>
              <w:rPr>
                <w:rFonts w:ascii="Times New Roman" w:hAnsi="Times New Roman" w:cs="Times New Roman"/>
              </w:rPr>
            </w:pPr>
          </w:p>
        </w:tc>
        <w:tc>
          <w:tcPr>
            <w:tcW w:w="1622" w:type="dxa"/>
            <w:tcBorders>
              <w:top w:val="single" w:sz="5" w:space="0" w:color="000000"/>
              <w:left w:val="single" w:sz="5" w:space="0" w:color="000000"/>
              <w:bottom w:val="single" w:sz="5" w:space="0" w:color="000000"/>
              <w:right w:val="single" w:sz="5" w:space="0" w:color="000000"/>
            </w:tcBorders>
          </w:tcPr>
          <w:p w14:paraId="4A584B05"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-Kraujavimas iš nosies</w:t>
            </w:r>
          </w:p>
          <w:p w14:paraId="3842E29F" w14:textId="77777777" w:rsidR="00D72C83" w:rsidRPr="00D3564A" w:rsidRDefault="00D72C83" w:rsidP="00D3564A">
            <w:pPr>
              <w:pStyle w:val="TableParagraph"/>
              <w:rPr>
                <w:rFonts w:ascii="Times New Roman" w:hAnsi="Times New Roman"/>
                <w:vertAlign w:val="superscript"/>
              </w:rPr>
            </w:pPr>
          </w:p>
        </w:tc>
        <w:tc>
          <w:tcPr>
            <w:tcW w:w="1638" w:type="dxa"/>
            <w:tcBorders>
              <w:top w:val="single" w:sz="5" w:space="0" w:color="000000"/>
              <w:left w:val="single" w:sz="5" w:space="0" w:color="000000"/>
              <w:bottom w:val="single" w:sz="5" w:space="0" w:color="000000"/>
              <w:right w:val="single" w:sz="5" w:space="0" w:color="000000"/>
            </w:tcBorders>
          </w:tcPr>
          <w:p w14:paraId="78FCC580" w14:textId="77777777" w:rsidR="00D72C83" w:rsidRPr="002E32EF" w:rsidRDefault="00D72C83" w:rsidP="00E23115">
            <w:pPr>
              <w:spacing w:after="0" w:line="240" w:lineRule="auto"/>
              <w:rPr>
                <w:rFonts w:ascii="Times New Roman" w:hAnsi="Times New Roman" w:cs="Times New Roman"/>
              </w:rPr>
            </w:pPr>
            <w:r w:rsidRPr="002E32EF">
              <w:rPr>
                <w:rFonts w:ascii="Times New Roman" w:hAnsi="Times New Roman"/>
              </w:rPr>
              <w:t>-Intersticinė</w:t>
            </w:r>
            <w:r w:rsidRPr="002E32EF">
              <w:rPr>
                <w:rFonts w:ascii="Times New Roman" w:hAnsi="Times New Roman"/>
                <w:spacing w:val="-12"/>
              </w:rPr>
              <w:t xml:space="preserve"> plaučių liga </w:t>
            </w:r>
            <w:r w:rsidRPr="002E32EF">
              <w:rPr>
                <w:rFonts w:ascii="Times New Roman" w:hAnsi="Times New Roman"/>
                <w:spacing w:val="-1"/>
              </w:rPr>
              <w:t>(IPL)</w:t>
            </w:r>
            <w:r w:rsidRPr="002E32EF">
              <w:rPr>
                <w:rFonts w:ascii="Times New Roman" w:hAnsi="Times New Roman"/>
                <w:spacing w:val="-1"/>
                <w:vertAlign w:val="superscript"/>
              </w:rPr>
              <w:t>3</w:t>
            </w:r>
          </w:p>
        </w:tc>
        <w:tc>
          <w:tcPr>
            <w:tcW w:w="1547" w:type="dxa"/>
            <w:tcBorders>
              <w:top w:val="single" w:sz="5" w:space="0" w:color="000000"/>
              <w:left w:val="single" w:sz="5" w:space="0" w:color="000000"/>
              <w:bottom w:val="single" w:sz="5" w:space="0" w:color="000000"/>
              <w:right w:val="single" w:sz="5" w:space="0" w:color="000000"/>
            </w:tcBorders>
          </w:tcPr>
          <w:p w14:paraId="1431B43E" w14:textId="77777777" w:rsidR="00D72C83" w:rsidRPr="002E32EF" w:rsidRDefault="00D72C83" w:rsidP="00E23115">
            <w:pPr>
              <w:spacing w:after="0" w:line="240" w:lineRule="auto"/>
              <w:rPr>
                <w:rFonts w:ascii="Times New Roman" w:hAnsi="Times New Roman" w:cs="Times New Roman"/>
              </w:rPr>
            </w:pPr>
          </w:p>
        </w:tc>
        <w:tc>
          <w:tcPr>
            <w:tcW w:w="1843" w:type="dxa"/>
            <w:tcBorders>
              <w:top w:val="single" w:sz="5" w:space="0" w:color="000000"/>
              <w:left w:val="single" w:sz="5" w:space="0" w:color="000000"/>
              <w:bottom w:val="single" w:sz="5" w:space="0" w:color="000000"/>
              <w:right w:val="single" w:sz="5" w:space="0" w:color="000000"/>
            </w:tcBorders>
          </w:tcPr>
          <w:p w14:paraId="51DC6200" w14:textId="77777777" w:rsidR="00D72C83" w:rsidRPr="002E32EF" w:rsidRDefault="00D72C83" w:rsidP="00E23115">
            <w:pPr>
              <w:spacing w:after="0" w:line="240" w:lineRule="auto"/>
              <w:rPr>
                <w:rFonts w:ascii="Times New Roman" w:hAnsi="Times New Roman" w:cs="Times New Roman"/>
              </w:rPr>
            </w:pPr>
          </w:p>
        </w:tc>
      </w:tr>
      <w:tr w:rsidR="00D72C83" w:rsidRPr="002E32EF" w14:paraId="6E54666C" w14:textId="77777777" w:rsidTr="00E23115">
        <w:trPr>
          <w:trHeight w:hRule="exact" w:val="989"/>
        </w:trPr>
        <w:tc>
          <w:tcPr>
            <w:tcW w:w="1610" w:type="dxa"/>
            <w:tcBorders>
              <w:top w:val="single" w:sz="5" w:space="0" w:color="000000"/>
              <w:left w:val="single" w:sz="5" w:space="0" w:color="000000"/>
              <w:bottom w:val="single" w:sz="5" w:space="0" w:color="000000"/>
              <w:right w:val="single" w:sz="5" w:space="0" w:color="000000"/>
            </w:tcBorders>
          </w:tcPr>
          <w:p w14:paraId="6E377EDF"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Virškinimo trakto sutrikimai</w:t>
            </w:r>
          </w:p>
        </w:tc>
        <w:tc>
          <w:tcPr>
            <w:tcW w:w="1553" w:type="dxa"/>
            <w:tcBorders>
              <w:top w:val="single" w:sz="5" w:space="0" w:color="000000"/>
              <w:left w:val="single" w:sz="5" w:space="0" w:color="000000"/>
              <w:bottom w:val="single" w:sz="5" w:space="0" w:color="000000"/>
              <w:right w:val="single" w:sz="5" w:space="0" w:color="000000"/>
            </w:tcBorders>
          </w:tcPr>
          <w:p w14:paraId="620B2599" w14:textId="77777777" w:rsidR="00D72C83" w:rsidRPr="00D3564A" w:rsidRDefault="00D72C83" w:rsidP="00D3564A">
            <w:pPr>
              <w:pStyle w:val="TableParagraph"/>
              <w:rPr>
                <w:rFonts w:ascii="Times New Roman" w:hAnsi="Times New Roman"/>
                <w:vertAlign w:val="superscript"/>
              </w:rPr>
            </w:pPr>
            <w:r w:rsidRPr="00D3564A">
              <w:rPr>
                <w:rFonts w:ascii="Times New Roman" w:hAnsi="Times New Roman"/>
                <w:spacing w:val="-1"/>
                <w:lang w:val="lt-LT"/>
              </w:rPr>
              <w:t>-Viduriavimas</w:t>
            </w:r>
            <w:r w:rsidRPr="00D3564A">
              <w:rPr>
                <w:rFonts w:ascii="Times New Roman" w:hAnsi="Times New Roman"/>
                <w:spacing w:val="-1"/>
                <w:vertAlign w:val="superscript"/>
                <w:lang w:val="lt-LT"/>
              </w:rPr>
              <w:t>7</w:t>
            </w:r>
          </w:p>
        </w:tc>
        <w:tc>
          <w:tcPr>
            <w:tcW w:w="1622" w:type="dxa"/>
            <w:tcBorders>
              <w:top w:val="single" w:sz="5" w:space="0" w:color="000000"/>
              <w:left w:val="single" w:sz="5" w:space="0" w:color="000000"/>
              <w:bottom w:val="single" w:sz="5" w:space="0" w:color="000000"/>
              <w:right w:val="single" w:sz="5" w:space="0" w:color="000000"/>
            </w:tcBorders>
          </w:tcPr>
          <w:p w14:paraId="60AE50B2" w14:textId="77777777" w:rsidR="00D72C83" w:rsidRPr="00D3564A" w:rsidRDefault="00D72C83" w:rsidP="00D3564A">
            <w:pPr>
              <w:pStyle w:val="TableParagraph"/>
              <w:tabs>
                <w:tab w:val="left" w:pos="1559"/>
              </w:tabs>
              <w:rPr>
                <w:rFonts w:ascii="Times New Roman" w:hAnsi="Times New Roman"/>
              </w:rPr>
            </w:pPr>
            <w:r w:rsidRPr="00D3564A">
              <w:rPr>
                <w:rFonts w:ascii="Times New Roman" w:hAnsi="Times New Roman"/>
                <w:lang w:val="lt-LT"/>
              </w:rPr>
              <w:t>-Kraujavimas iš virškinimo trakto</w:t>
            </w:r>
            <w:r w:rsidRPr="00D3564A">
              <w:rPr>
                <w:rFonts w:ascii="Times New Roman" w:hAnsi="Times New Roman"/>
                <w:vertAlign w:val="superscript"/>
                <w:lang w:val="lt-LT"/>
              </w:rPr>
              <w:t>4, 7</w:t>
            </w:r>
          </w:p>
        </w:tc>
        <w:tc>
          <w:tcPr>
            <w:tcW w:w="1638" w:type="dxa"/>
            <w:tcBorders>
              <w:top w:val="single" w:sz="5" w:space="0" w:color="000000"/>
              <w:left w:val="single" w:sz="5" w:space="0" w:color="000000"/>
              <w:bottom w:val="single" w:sz="5" w:space="0" w:color="000000"/>
              <w:right w:val="single" w:sz="5" w:space="0" w:color="000000"/>
            </w:tcBorders>
          </w:tcPr>
          <w:p w14:paraId="1A5AAF02"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-Virškinimo trakto perforacija</w:t>
            </w:r>
            <w:r w:rsidRPr="00D3564A">
              <w:rPr>
                <w:rFonts w:ascii="Times New Roman" w:hAnsi="Times New Roman"/>
                <w:spacing w:val="-1"/>
                <w:vertAlign w:val="superscript"/>
                <w:lang w:val="lt-LT"/>
              </w:rPr>
              <w:t>7</w:t>
            </w:r>
          </w:p>
        </w:tc>
        <w:tc>
          <w:tcPr>
            <w:tcW w:w="1547" w:type="dxa"/>
            <w:tcBorders>
              <w:top w:val="single" w:sz="5" w:space="0" w:color="000000"/>
              <w:left w:val="single" w:sz="5" w:space="0" w:color="000000"/>
              <w:bottom w:val="single" w:sz="5" w:space="0" w:color="000000"/>
              <w:right w:val="single" w:sz="5" w:space="0" w:color="000000"/>
            </w:tcBorders>
          </w:tcPr>
          <w:p w14:paraId="23F89A3F" w14:textId="77777777" w:rsidR="00D72C83" w:rsidRPr="002E32EF" w:rsidRDefault="00D72C83" w:rsidP="00E23115">
            <w:pPr>
              <w:spacing w:after="0" w:line="240" w:lineRule="auto"/>
              <w:rPr>
                <w:rFonts w:ascii="Times New Roman" w:hAnsi="Times New Roman" w:cs="Times New Roman"/>
              </w:rPr>
            </w:pPr>
          </w:p>
        </w:tc>
        <w:tc>
          <w:tcPr>
            <w:tcW w:w="1843" w:type="dxa"/>
            <w:tcBorders>
              <w:top w:val="single" w:sz="5" w:space="0" w:color="000000"/>
              <w:left w:val="single" w:sz="5" w:space="0" w:color="000000"/>
              <w:bottom w:val="single" w:sz="5" w:space="0" w:color="000000"/>
              <w:right w:val="single" w:sz="5" w:space="0" w:color="000000"/>
            </w:tcBorders>
          </w:tcPr>
          <w:p w14:paraId="13423769" w14:textId="77777777" w:rsidR="00D72C83" w:rsidRPr="002E32EF" w:rsidRDefault="00D72C83" w:rsidP="00E23115">
            <w:pPr>
              <w:spacing w:after="0" w:line="240" w:lineRule="auto"/>
              <w:rPr>
                <w:rFonts w:ascii="Times New Roman" w:hAnsi="Times New Roman" w:cs="Times New Roman"/>
              </w:rPr>
            </w:pPr>
          </w:p>
        </w:tc>
      </w:tr>
      <w:tr w:rsidR="00D72C83" w:rsidRPr="002E32EF" w14:paraId="5FA2AF91" w14:textId="77777777" w:rsidTr="00E23115">
        <w:trPr>
          <w:trHeight w:hRule="exact" w:val="1022"/>
        </w:trPr>
        <w:tc>
          <w:tcPr>
            <w:tcW w:w="1610" w:type="dxa"/>
            <w:tcBorders>
              <w:top w:val="single" w:sz="5" w:space="0" w:color="000000"/>
              <w:left w:val="single" w:sz="5" w:space="0" w:color="000000"/>
              <w:bottom w:val="single" w:sz="5" w:space="0" w:color="000000"/>
              <w:right w:val="single" w:sz="5" w:space="0" w:color="000000"/>
            </w:tcBorders>
          </w:tcPr>
          <w:p w14:paraId="36EA2EAD"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lang w:val="lt-LT"/>
              </w:rPr>
              <w:t>Kepenų, tulžies pūslės ir latakų sutrikimai</w:t>
            </w:r>
          </w:p>
        </w:tc>
        <w:tc>
          <w:tcPr>
            <w:tcW w:w="1553" w:type="dxa"/>
            <w:tcBorders>
              <w:top w:val="single" w:sz="5" w:space="0" w:color="000000"/>
              <w:left w:val="single" w:sz="5" w:space="0" w:color="000000"/>
              <w:bottom w:val="single" w:sz="5" w:space="0" w:color="000000"/>
              <w:right w:val="single" w:sz="5" w:space="0" w:color="000000"/>
            </w:tcBorders>
          </w:tcPr>
          <w:p w14:paraId="510D7CFC"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lang w:val="lt-LT"/>
              </w:rPr>
              <w:t xml:space="preserve">-Pakitę </w:t>
            </w:r>
            <w:r w:rsidRPr="00D3564A">
              <w:rPr>
                <w:rFonts w:ascii="Times New Roman" w:hAnsi="Times New Roman"/>
                <w:spacing w:val="-1"/>
                <w:lang w:val="lt-LT"/>
              </w:rPr>
              <w:t>kepenų veiklos tyrimų rodikliai</w:t>
            </w:r>
            <w:r w:rsidRPr="00D3564A">
              <w:rPr>
                <w:rFonts w:ascii="Times New Roman" w:hAnsi="Times New Roman"/>
                <w:spacing w:val="-1"/>
                <w:vertAlign w:val="superscript"/>
                <w:lang w:val="lt-LT"/>
              </w:rPr>
              <w:t>5</w:t>
            </w:r>
          </w:p>
        </w:tc>
        <w:tc>
          <w:tcPr>
            <w:tcW w:w="1622" w:type="dxa"/>
            <w:tcBorders>
              <w:top w:val="single" w:sz="5" w:space="0" w:color="000000"/>
              <w:left w:val="single" w:sz="5" w:space="0" w:color="000000"/>
              <w:bottom w:val="single" w:sz="5" w:space="0" w:color="000000"/>
              <w:right w:val="single" w:sz="5" w:space="0" w:color="000000"/>
            </w:tcBorders>
          </w:tcPr>
          <w:p w14:paraId="0D80BD18" w14:textId="77777777" w:rsidR="00D72C83" w:rsidRPr="002E32EF" w:rsidRDefault="00D72C83" w:rsidP="00E23115">
            <w:pPr>
              <w:spacing w:after="0" w:line="240" w:lineRule="auto"/>
              <w:rPr>
                <w:rFonts w:ascii="Times New Roman" w:hAnsi="Times New Roman" w:cs="Times New Roman"/>
              </w:rPr>
            </w:pPr>
          </w:p>
        </w:tc>
        <w:tc>
          <w:tcPr>
            <w:tcW w:w="1638" w:type="dxa"/>
            <w:tcBorders>
              <w:top w:val="single" w:sz="5" w:space="0" w:color="000000"/>
              <w:left w:val="single" w:sz="5" w:space="0" w:color="000000"/>
              <w:bottom w:val="single" w:sz="5" w:space="0" w:color="000000"/>
              <w:right w:val="single" w:sz="5" w:space="0" w:color="000000"/>
            </w:tcBorders>
          </w:tcPr>
          <w:p w14:paraId="1EE30AA0" w14:textId="77777777" w:rsidR="00D72C83" w:rsidRPr="002E32EF" w:rsidRDefault="00D72C83" w:rsidP="00E23115">
            <w:pPr>
              <w:spacing w:after="0" w:line="240" w:lineRule="auto"/>
              <w:rPr>
                <w:rFonts w:ascii="Times New Roman" w:hAnsi="Times New Roman" w:cs="Times New Roman"/>
              </w:rPr>
            </w:pPr>
          </w:p>
        </w:tc>
        <w:tc>
          <w:tcPr>
            <w:tcW w:w="1547" w:type="dxa"/>
            <w:tcBorders>
              <w:top w:val="single" w:sz="5" w:space="0" w:color="000000"/>
              <w:left w:val="single" w:sz="5" w:space="0" w:color="000000"/>
              <w:bottom w:val="single" w:sz="5" w:space="0" w:color="000000"/>
              <w:right w:val="single" w:sz="5" w:space="0" w:color="000000"/>
            </w:tcBorders>
          </w:tcPr>
          <w:p w14:paraId="071B6BDA" w14:textId="77777777" w:rsidR="00D72C83" w:rsidRPr="00D3564A" w:rsidRDefault="00D72C83" w:rsidP="00D3564A">
            <w:pPr>
              <w:pStyle w:val="TableParagraph"/>
              <w:rPr>
                <w:rFonts w:ascii="Times New Roman" w:hAnsi="Times New Roman"/>
              </w:rPr>
            </w:pPr>
            <w:r w:rsidRPr="00D3564A">
              <w:rPr>
                <w:rFonts w:ascii="Times New Roman" w:hAnsi="Times New Roman"/>
                <w:w w:val="95"/>
                <w:lang w:val="lt-LT"/>
              </w:rPr>
              <w:t>-Kepenų nepakan-kamumas</w:t>
            </w:r>
            <w:r w:rsidRPr="00D3564A">
              <w:rPr>
                <w:rFonts w:ascii="Times New Roman" w:hAnsi="Times New Roman"/>
                <w:vertAlign w:val="superscript"/>
                <w:lang w:val="lt-LT"/>
              </w:rPr>
              <w:t>6</w:t>
            </w:r>
          </w:p>
        </w:tc>
        <w:tc>
          <w:tcPr>
            <w:tcW w:w="1843" w:type="dxa"/>
            <w:tcBorders>
              <w:top w:val="single" w:sz="5" w:space="0" w:color="000000"/>
              <w:left w:val="single" w:sz="5" w:space="0" w:color="000000"/>
              <w:bottom w:val="single" w:sz="5" w:space="0" w:color="000000"/>
              <w:right w:val="single" w:sz="5" w:space="0" w:color="000000"/>
            </w:tcBorders>
          </w:tcPr>
          <w:p w14:paraId="420547DD" w14:textId="77777777" w:rsidR="00D72C83" w:rsidRPr="002E32EF" w:rsidRDefault="00D72C83" w:rsidP="00E23115">
            <w:pPr>
              <w:spacing w:after="0" w:line="240" w:lineRule="auto"/>
              <w:rPr>
                <w:rFonts w:ascii="Times New Roman" w:hAnsi="Times New Roman" w:cs="Times New Roman"/>
              </w:rPr>
            </w:pPr>
          </w:p>
        </w:tc>
      </w:tr>
      <w:tr w:rsidR="00D72C83" w:rsidRPr="002E32EF" w14:paraId="01844934" w14:textId="77777777" w:rsidTr="00E23115">
        <w:trPr>
          <w:trHeight w:hRule="exact" w:val="2539"/>
        </w:trPr>
        <w:tc>
          <w:tcPr>
            <w:tcW w:w="1610" w:type="dxa"/>
            <w:tcBorders>
              <w:top w:val="single" w:sz="5" w:space="0" w:color="000000"/>
              <w:left w:val="single" w:sz="5" w:space="0" w:color="000000"/>
              <w:bottom w:val="single" w:sz="5" w:space="0" w:color="000000"/>
              <w:right w:val="single" w:sz="5" w:space="0" w:color="000000"/>
            </w:tcBorders>
          </w:tcPr>
          <w:p w14:paraId="7F36360C"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Odos ir poodinio audinio sutrikimai</w:t>
            </w:r>
          </w:p>
        </w:tc>
        <w:tc>
          <w:tcPr>
            <w:tcW w:w="1553" w:type="dxa"/>
            <w:tcBorders>
              <w:top w:val="single" w:sz="5" w:space="0" w:color="000000"/>
              <w:left w:val="single" w:sz="5" w:space="0" w:color="000000"/>
              <w:bottom w:val="single" w:sz="5" w:space="0" w:color="000000"/>
              <w:right w:val="single" w:sz="5" w:space="0" w:color="000000"/>
            </w:tcBorders>
          </w:tcPr>
          <w:p w14:paraId="5DC46B89" w14:textId="7B6C0935" w:rsidR="00D72C83" w:rsidRPr="002E32EF" w:rsidRDefault="002709B6" w:rsidP="00E23115">
            <w:pPr>
              <w:spacing w:after="0" w:line="240" w:lineRule="auto"/>
              <w:rPr>
                <w:rFonts w:ascii="Times New Roman" w:hAnsi="Times New Roman" w:cs="Times New Roman"/>
              </w:rPr>
            </w:pPr>
            <w:r>
              <w:rPr>
                <w:rFonts w:ascii="Times New Roman" w:hAnsi="Times New Roman" w:cs="Times New Roman"/>
              </w:rPr>
              <w:t>-Bėrimas</w:t>
            </w:r>
          </w:p>
        </w:tc>
        <w:tc>
          <w:tcPr>
            <w:tcW w:w="1622" w:type="dxa"/>
            <w:tcBorders>
              <w:top w:val="single" w:sz="5" w:space="0" w:color="000000"/>
              <w:left w:val="single" w:sz="5" w:space="0" w:color="000000"/>
              <w:bottom w:val="single" w:sz="5" w:space="0" w:color="000000"/>
              <w:right w:val="single" w:sz="5" w:space="0" w:color="000000"/>
            </w:tcBorders>
          </w:tcPr>
          <w:p w14:paraId="535E464D"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-Alopecija</w:t>
            </w:r>
          </w:p>
          <w:p w14:paraId="62BBE883"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-Odos sausumas</w:t>
            </w:r>
            <w:r w:rsidRPr="00D3564A">
              <w:rPr>
                <w:rFonts w:ascii="Times New Roman" w:hAnsi="Times New Roman"/>
                <w:spacing w:val="-1"/>
                <w:vertAlign w:val="superscript"/>
                <w:lang w:val="lt-LT"/>
              </w:rPr>
              <w:t>1</w:t>
            </w:r>
          </w:p>
          <w:p w14:paraId="5DD3E30C"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spacing w:val="-1"/>
                <w:lang w:val="lt-LT"/>
              </w:rPr>
              <w:t>-Paronichija</w:t>
            </w:r>
          </w:p>
          <w:p w14:paraId="24BA2E0F"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-Folikulitas</w:t>
            </w:r>
          </w:p>
          <w:p w14:paraId="1585C21B"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-Aknė ir spuogiškas dermatitas</w:t>
            </w:r>
          </w:p>
          <w:p w14:paraId="47743251"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-Odos įtrūkimai</w:t>
            </w:r>
          </w:p>
        </w:tc>
        <w:tc>
          <w:tcPr>
            <w:tcW w:w="1638" w:type="dxa"/>
            <w:tcBorders>
              <w:top w:val="single" w:sz="5" w:space="0" w:color="000000"/>
              <w:left w:val="single" w:sz="5" w:space="0" w:color="000000"/>
              <w:bottom w:val="single" w:sz="5" w:space="0" w:color="000000"/>
              <w:right w:val="single" w:sz="5" w:space="0" w:color="000000"/>
            </w:tcBorders>
          </w:tcPr>
          <w:p w14:paraId="4FBB2338"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-Hiruidizmas</w:t>
            </w:r>
          </w:p>
          <w:p w14:paraId="5942F45B"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-Antakių pokyčiai</w:t>
            </w:r>
          </w:p>
          <w:p w14:paraId="78A53F2A"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-Trapūs, netvirti nagai</w:t>
            </w:r>
          </w:p>
          <w:p w14:paraId="767534FA"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-Nesunkios odos reakcijos, pvz., hiperpigmentacija</w:t>
            </w:r>
          </w:p>
        </w:tc>
        <w:tc>
          <w:tcPr>
            <w:tcW w:w="1547" w:type="dxa"/>
            <w:tcBorders>
              <w:top w:val="single" w:sz="5" w:space="0" w:color="000000"/>
              <w:left w:val="single" w:sz="5" w:space="0" w:color="000000"/>
              <w:bottom w:val="single" w:sz="5" w:space="0" w:color="000000"/>
              <w:right w:val="single" w:sz="5" w:space="0" w:color="000000"/>
            </w:tcBorders>
          </w:tcPr>
          <w:p w14:paraId="097E4B71"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spacing w:val="-1"/>
                <w:lang w:val="lt-LT"/>
              </w:rPr>
              <w:t>-Delnų ir padų eritrodizestezijos sindromas</w:t>
            </w:r>
          </w:p>
        </w:tc>
        <w:tc>
          <w:tcPr>
            <w:tcW w:w="1843" w:type="dxa"/>
            <w:tcBorders>
              <w:top w:val="single" w:sz="5" w:space="0" w:color="000000"/>
              <w:left w:val="single" w:sz="5" w:space="0" w:color="000000"/>
              <w:bottom w:val="single" w:sz="5" w:space="0" w:color="000000"/>
              <w:right w:val="single" w:sz="5" w:space="0" w:color="000000"/>
            </w:tcBorders>
          </w:tcPr>
          <w:p w14:paraId="4D20E1D3"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w w:val="95"/>
                <w:lang w:val="lt-LT"/>
              </w:rPr>
              <w:t>-Stivenso-Džonsono (</w:t>
            </w:r>
            <w:r w:rsidRPr="00271131">
              <w:rPr>
                <w:rFonts w:ascii="Times New Roman" w:hAnsi="Times New Roman"/>
                <w:iCs/>
                <w:w w:val="95"/>
                <w:lang w:val="lt-LT"/>
              </w:rPr>
              <w:t>Stevens-Johnson</w:t>
            </w:r>
            <w:r w:rsidRPr="00D3564A">
              <w:rPr>
                <w:rFonts w:ascii="Times New Roman" w:hAnsi="Times New Roman"/>
                <w:w w:val="95"/>
                <w:lang w:val="lt-LT"/>
              </w:rPr>
              <w:t>)</w:t>
            </w:r>
            <w:r w:rsidRPr="00D3564A">
              <w:rPr>
                <w:rFonts w:ascii="Times New Roman" w:hAnsi="Times New Roman"/>
                <w:w w:val="99"/>
                <w:lang w:val="lt-LT"/>
              </w:rPr>
              <w:t xml:space="preserve"> </w:t>
            </w:r>
            <w:r w:rsidRPr="00D3564A">
              <w:rPr>
                <w:rFonts w:ascii="Times New Roman" w:hAnsi="Times New Roman"/>
                <w:spacing w:val="-1"/>
                <w:lang w:val="lt-LT"/>
              </w:rPr>
              <w:t>sindromas ar toksinė epidermio nekrolizė [Lajelio (</w:t>
            </w:r>
            <w:r w:rsidRPr="00271131">
              <w:rPr>
                <w:rFonts w:ascii="Times New Roman" w:hAnsi="Times New Roman"/>
                <w:iCs/>
                <w:spacing w:val="-1"/>
                <w:lang w:val="lt-LT"/>
              </w:rPr>
              <w:t>Lyell</w:t>
            </w:r>
            <w:r w:rsidRPr="00D3564A">
              <w:rPr>
                <w:rFonts w:ascii="Times New Roman" w:hAnsi="Times New Roman"/>
                <w:spacing w:val="-1"/>
                <w:lang w:val="lt-LT"/>
              </w:rPr>
              <w:t>)]</w:t>
            </w:r>
            <w:r w:rsidRPr="00D3564A">
              <w:rPr>
                <w:rFonts w:ascii="Times New Roman" w:hAnsi="Times New Roman"/>
                <w:spacing w:val="-1"/>
                <w:vertAlign w:val="superscript"/>
                <w:lang w:val="lt-LT"/>
              </w:rPr>
              <w:t>7</w:t>
            </w:r>
          </w:p>
        </w:tc>
      </w:tr>
      <w:tr w:rsidR="00D72C83" w:rsidRPr="002E32EF" w14:paraId="16B1AA0E" w14:textId="77777777" w:rsidTr="00E23115">
        <w:trPr>
          <w:trHeight w:hRule="exact" w:val="1236"/>
        </w:trPr>
        <w:tc>
          <w:tcPr>
            <w:tcW w:w="1610" w:type="dxa"/>
            <w:tcBorders>
              <w:top w:val="single" w:sz="5" w:space="0" w:color="000000"/>
              <w:left w:val="single" w:sz="5" w:space="0" w:color="000000"/>
              <w:bottom w:val="single" w:sz="5" w:space="0" w:color="000000"/>
              <w:right w:val="single" w:sz="5" w:space="0" w:color="000000"/>
            </w:tcBorders>
          </w:tcPr>
          <w:p w14:paraId="4AF8F26F" w14:textId="77777777" w:rsidR="00D72C83" w:rsidRPr="00E35BE6" w:rsidRDefault="00D72C83" w:rsidP="00D3564A">
            <w:pPr>
              <w:pStyle w:val="TableParagraph"/>
              <w:tabs>
                <w:tab w:val="left" w:pos="1462"/>
              </w:tabs>
              <w:rPr>
                <w:rFonts w:ascii="Times New Roman" w:hAnsi="Times New Roman"/>
                <w:lang w:val="lt-LT"/>
              </w:rPr>
            </w:pPr>
            <w:r w:rsidRPr="00D3564A">
              <w:rPr>
                <w:rFonts w:ascii="Times New Roman" w:hAnsi="Times New Roman"/>
                <w:lang w:val="lt-LT"/>
              </w:rPr>
              <w:t>Inkstų ir šlapimo takų sutrikimai</w:t>
            </w:r>
          </w:p>
        </w:tc>
        <w:tc>
          <w:tcPr>
            <w:tcW w:w="1553" w:type="dxa"/>
            <w:tcBorders>
              <w:top w:val="single" w:sz="5" w:space="0" w:color="000000"/>
              <w:left w:val="single" w:sz="5" w:space="0" w:color="000000"/>
              <w:bottom w:val="single" w:sz="5" w:space="0" w:color="000000"/>
              <w:right w:val="single" w:sz="5" w:space="0" w:color="000000"/>
            </w:tcBorders>
          </w:tcPr>
          <w:p w14:paraId="4B795C0C" w14:textId="77777777" w:rsidR="00D72C83" w:rsidRPr="002E32EF" w:rsidRDefault="00D72C83" w:rsidP="00E23115">
            <w:pPr>
              <w:spacing w:after="0" w:line="240" w:lineRule="auto"/>
              <w:rPr>
                <w:rFonts w:ascii="Times New Roman" w:hAnsi="Times New Roman" w:cs="Times New Roman"/>
              </w:rPr>
            </w:pPr>
          </w:p>
        </w:tc>
        <w:tc>
          <w:tcPr>
            <w:tcW w:w="1622" w:type="dxa"/>
            <w:tcBorders>
              <w:top w:val="single" w:sz="5" w:space="0" w:color="000000"/>
              <w:left w:val="single" w:sz="5" w:space="0" w:color="000000"/>
              <w:bottom w:val="single" w:sz="5" w:space="0" w:color="000000"/>
              <w:right w:val="single" w:sz="5" w:space="0" w:color="000000"/>
            </w:tcBorders>
          </w:tcPr>
          <w:p w14:paraId="09CD27DB" w14:textId="77777777" w:rsidR="00D72C83" w:rsidRPr="00D3564A" w:rsidRDefault="00D72C83" w:rsidP="00D3564A">
            <w:pPr>
              <w:pStyle w:val="TableParagraph"/>
              <w:tabs>
                <w:tab w:val="left" w:pos="1559"/>
              </w:tabs>
              <w:ind w:hanging="1"/>
              <w:rPr>
                <w:rFonts w:ascii="Times New Roman" w:hAnsi="Times New Roman"/>
              </w:rPr>
            </w:pPr>
            <w:r w:rsidRPr="00D3564A">
              <w:rPr>
                <w:rFonts w:ascii="Times New Roman" w:hAnsi="Times New Roman"/>
                <w:lang w:val="lt-LT"/>
              </w:rPr>
              <w:t>-Inkstų nepakanka-mumas</w:t>
            </w:r>
            <w:r w:rsidRPr="00D3564A">
              <w:rPr>
                <w:rFonts w:ascii="Times New Roman" w:hAnsi="Times New Roman"/>
                <w:w w:val="95"/>
                <w:vertAlign w:val="superscript"/>
                <w:lang w:val="lt-LT"/>
              </w:rPr>
              <w:t>1</w:t>
            </w:r>
          </w:p>
        </w:tc>
        <w:tc>
          <w:tcPr>
            <w:tcW w:w="1638" w:type="dxa"/>
            <w:tcBorders>
              <w:top w:val="single" w:sz="5" w:space="0" w:color="000000"/>
              <w:left w:val="single" w:sz="5" w:space="0" w:color="000000"/>
              <w:bottom w:val="single" w:sz="5" w:space="0" w:color="000000"/>
              <w:right w:val="single" w:sz="5" w:space="0" w:color="000000"/>
            </w:tcBorders>
          </w:tcPr>
          <w:p w14:paraId="1E7EBAD4"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-Inkstų uždegimas</w:t>
            </w:r>
          </w:p>
          <w:p w14:paraId="7ED20851"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-Proteinurija</w:t>
            </w:r>
            <w:r w:rsidRPr="00D3564A">
              <w:rPr>
                <w:rFonts w:ascii="Times New Roman" w:hAnsi="Times New Roman"/>
                <w:spacing w:val="-1"/>
                <w:vertAlign w:val="superscript"/>
                <w:lang w:val="lt-LT"/>
              </w:rPr>
              <w:t>1</w:t>
            </w:r>
          </w:p>
        </w:tc>
        <w:tc>
          <w:tcPr>
            <w:tcW w:w="1547" w:type="dxa"/>
            <w:tcBorders>
              <w:top w:val="single" w:sz="5" w:space="0" w:color="000000"/>
              <w:left w:val="single" w:sz="5" w:space="0" w:color="000000"/>
              <w:bottom w:val="single" w:sz="5" w:space="0" w:color="000000"/>
              <w:right w:val="single" w:sz="5" w:space="0" w:color="000000"/>
            </w:tcBorders>
          </w:tcPr>
          <w:p w14:paraId="5A95F932" w14:textId="77777777" w:rsidR="00D72C83" w:rsidRPr="002E32EF" w:rsidRDefault="00D72C83" w:rsidP="00E23115">
            <w:pPr>
              <w:spacing w:after="0" w:line="240" w:lineRule="auto"/>
              <w:rPr>
                <w:rFonts w:ascii="Times New Roman" w:hAnsi="Times New Roman" w:cs="Times New Roman"/>
              </w:rPr>
            </w:pPr>
          </w:p>
        </w:tc>
        <w:tc>
          <w:tcPr>
            <w:tcW w:w="1843" w:type="dxa"/>
            <w:tcBorders>
              <w:top w:val="single" w:sz="5" w:space="0" w:color="000000"/>
              <w:left w:val="single" w:sz="5" w:space="0" w:color="000000"/>
              <w:bottom w:val="single" w:sz="5" w:space="0" w:color="000000"/>
              <w:right w:val="single" w:sz="5" w:space="0" w:color="000000"/>
            </w:tcBorders>
          </w:tcPr>
          <w:p w14:paraId="4685D10D" w14:textId="77777777" w:rsidR="00D72C83" w:rsidRPr="002E32EF" w:rsidRDefault="00D72C83" w:rsidP="00E23115">
            <w:pPr>
              <w:spacing w:after="0" w:line="240" w:lineRule="auto"/>
              <w:rPr>
                <w:rFonts w:ascii="Times New Roman" w:hAnsi="Times New Roman" w:cs="Times New Roman"/>
              </w:rPr>
            </w:pPr>
          </w:p>
        </w:tc>
      </w:tr>
    </w:tbl>
    <w:p w14:paraId="38D595C1"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r w:rsidRPr="002E32EF">
        <w:rPr>
          <w:rFonts w:ascii="Times New Roman" w:hAnsi="Times New Roman" w:cs="Times New Roman"/>
          <w:vertAlign w:val="superscript"/>
        </w:rPr>
        <w:t>1</w:t>
      </w:r>
      <w:r w:rsidRPr="002E32EF">
        <w:rPr>
          <w:rFonts w:ascii="Times New Roman" w:hAnsi="Times New Roman" w:cs="Times New Roman"/>
        </w:rPr>
        <w:t xml:space="preserve"> </w:t>
      </w:r>
      <w:r w:rsidRPr="002E32EF">
        <w:rPr>
          <w:rFonts w:ascii="Times New Roman" w:eastAsiaTheme="minorEastAsia" w:hAnsi="Times New Roman" w:cs="Times New Roman"/>
        </w:rPr>
        <w:t>Pasireiškė atliekant PA.3 klinikinį tyrimą.</w:t>
      </w:r>
    </w:p>
    <w:p w14:paraId="74DEEF91"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r w:rsidRPr="002E32EF">
        <w:rPr>
          <w:rFonts w:ascii="Times New Roman" w:hAnsi="Times New Roman" w:cs="Times New Roman"/>
          <w:vertAlign w:val="superscript"/>
        </w:rPr>
        <w:t>2</w:t>
      </w:r>
      <w:r w:rsidRPr="002E32EF">
        <w:rPr>
          <w:rFonts w:ascii="Times New Roman" w:hAnsi="Times New Roman" w:cs="Times New Roman"/>
        </w:rPr>
        <w:t xml:space="preserve"> </w:t>
      </w:r>
      <w:r w:rsidRPr="002E32EF">
        <w:rPr>
          <w:rFonts w:ascii="Times New Roman" w:eastAsiaTheme="minorEastAsia" w:hAnsi="Times New Roman" w:cs="Times New Roman"/>
        </w:rPr>
        <w:t>Įskaitant į vidų augančias blakstienas, pernelyg intensyvų blakstienų augimą ir jų storėjimą.</w:t>
      </w:r>
    </w:p>
    <w:p w14:paraId="27998171" w14:textId="77777777" w:rsidR="00D72C83" w:rsidRPr="00874D95"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hAnsi="Times New Roman" w:cs="Times New Roman"/>
          <w:vertAlign w:val="superscript"/>
        </w:rPr>
        <w:t>3</w:t>
      </w:r>
      <w:r w:rsidRPr="002E32EF">
        <w:rPr>
          <w:rFonts w:ascii="Times New Roman" w:hAnsi="Times New Roman" w:cs="Times New Roman"/>
        </w:rPr>
        <w:t xml:space="preserve"> </w:t>
      </w:r>
      <w:r w:rsidRPr="002E32EF">
        <w:rPr>
          <w:rFonts w:ascii="Times New Roman" w:eastAsiaTheme="minorEastAsia" w:hAnsi="Times New Roman" w:cs="Times New Roman"/>
        </w:rPr>
        <w:t xml:space="preserve">Įskaitant mirtį lėmusius atvejus pacientams, vartojusiems erlotinibą NSLPV arba kitiems išplitusiems solidiniams navikams gydyti (žr. 4.4 skyrių). Didesnis dažnis stebėtas </w:t>
      </w:r>
      <w:r>
        <w:rPr>
          <w:rFonts w:ascii="Times New Roman" w:eastAsiaTheme="minorEastAsia" w:hAnsi="Times New Roman" w:cs="Times New Roman"/>
        </w:rPr>
        <w:t xml:space="preserve">pacientams, kuriems tyrimai buvo atlikti </w:t>
      </w:r>
      <w:r w:rsidRPr="002E32EF">
        <w:rPr>
          <w:rFonts w:ascii="Times New Roman" w:eastAsiaTheme="minorEastAsia" w:hAnsi="Times New Roman" w:cs="Times New Roman"/>
        </w:rPr>
        <w:t>Japonijoje (žr. 4.4 skyrių).</w:t>
      </w:r>
    </w:p>
    <w:p w14:paraId="470797F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hAnsi="Times New Roman" w:cs="Times New Roman"/>
          <w:vertAlign w:val="superscript"/>
        </w:rPr>
        <w:t>4</w:t>
      </w:r>
      <w:r w:rsidRPr="002E32EF">
        <w:rPr>
          <w:rFonts w:ascii="Times New Roman" w:hAnsi="Times New Roman" w:cs="Times New Roman"/>
        </w:rPr>
        <w:t xml:space="preserve"> </w:t>
      </w:r>
      <w:r w:rsidRPr="002E32EF">
        <w:rPr>
          <w:rFonts w:ascii="Times New Roman" w:eastAsiaTheme="minorEastAsia" w:hAnsi="Times New Roman" w:cs="Times New Roman"/>
        </w:rPr>
        <w:t>Pasireiškė atliekant klinikinius tyrimus, kartais tai buvo susiję su vaisto vartojimu kartu su varfarinu arba nesteroidiniais vaistais nuo uždegimo (žr. 4.5 skyrių ).</w:t>
      </w:r>
    </w:p>
    <w:p w14:paraId="095D458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hAnsi="Times New Roman" w:cs="Times New Roman"/>
          <w:vertAlign w:val="superscript"/>
        </w:rPr>
        <w:t>5</w:t>
      </w:r>
      <w:r w:rsidRPr="002E32EF">
        <w:rPr>
          <w:rFonts w:ascii="Times New Roman" w:hAnsi="Times New Roman" w:cs="Times New Roman"/>
        </w:rPr>
        <w:t xml:space="preserve"> </w:t>
      </w:r>
      <w:r w:rsidRPr="002E32EF">
        <w:rPr>
          <w:rFonts w:ascii="Times New Roman" w:eastAsiaTheme="minorEastAsia" w:hAnsi="Times New Roman" w:cs="Times New Roman"/>
        </w:rPr>
        <w:t>Įskaitant alanino aminotransferazės (ALT), aspartato aminotransferazės (AST) aktyvumo ir bilirubino kiekio padidėjimą. PA.3 klinikinio tyrimo metu šių sutrikimų pasireiškė labai dažnai, o BR.21 klinikinio tyrimo metu – dažnai. Jie daugiausia buvo nesunkūs arba vidutinio sunkumo, trumpalaikiai arba susiję su kepenų metastazėmis.</w:t>
      </w:r>
    </w:p>
    <w:p w14:paraId="5A42313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hAnsi="Times New Roman" w:cs="Times New Roman"/>
          <w:vertAlign w:val="superscript"/>
        </w:rPr>
        <w:t>6</w:t>
      </w:r>
      <w:r w:rsidRPr="002E32EF">
        <w:rPr>
          <w:rFonts w:ascii="Times New Roman" w:hAnsi="Times New Roman" w:cs="Times New Roman"/>
        </w:rPr>
        <w:t xml:space="preserve"> </w:t>
      </w:r>
      <w:r w:rsidRPr="002E32EF">
        <w:rPr>
          <w:rFonts w:ascii="Times New Roman" w:eastAsiaTheme="minorEastAsia" w:hAnsi="Times New Roman" w:cs="Times New Roman"/>
        </w:rPr>
        <w:t>Įskaitant mirtį lėmusius atvejus. Trikdantys veiksniai buvo ankstesnės kepenų ligos arba kartu vartojami hepatotoksiniai vaistai (žr. 4.4 skyrių).</w:t>
      </w:r>
    </w:p>
    <w:p w14:paraId="38675357"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r w:rsidRPr="002E32EF">
        <w:rPr>
          <w:rFonts w:ascii="Times New Roman" w:hAnsi="Times New Roman" w:cs="Times New Roman"/>
          <w:vertAlign w:val="superscript"/>
        </w:rPr>
        <w:t>7</w:t>
      </w:r>
      <w:r w:rsidRPr="002E32EF">
        <w:rPr>
          <w:rFonts w:ascii="Times New Roman" w:hAnsi="Times New Roman" w:cs="Times New Roman"/>
        </w:rPr>
        <w:t xml:space="preserve"> </w:t>
      </w:r>
      <w:r w:rsidRPr="002E32EF">
        <w:rPr>
          <w:rFonts w:ascii="Times New Roman" w:eastAsiaTheme="minorEastAsia" w:hAnsi="Times New Roman" w:cs="Times New Roman"/>
        </w:rPr>
        <w:t>Įskaitant mirtį lėmusius atvejus (žr. 4.4 skyrių).</w:t>
      </w:r>
    </w:p>
    <w:p w14:paraId="6EF4FF34" w14:textId="77777777" w:rsidR="00D72C83" w:rsidRPr="002E32EF" w:rsidRDefault="00D72C83" w:rsidP="00D72C83">
      <w:pPr>
        <w:autoSpaceDE w:val="0"/>
        <w:autoSpaceDN w:val="0"/>
        <w:adjustRightInd w:val="0"/>
        <w:spacing w:after="0" w:line="240" w:lineRule="auto"/>
        <w:rPr>
          <w:rFonts w:ascii="Times New Roman" w:hAnsi="Times New Roman" w:cs="Times New Roman"/>
          <w:u w:val="single"/>
        </w:rPr>
      </w:pPr>
    </w:p>
    <w:p w14:paraId="47EF5C7C" w14:textId="77777777" w:rsidR="00D72C83" w:rsidRPr="002E32EF" w:rsidRDefault="00D72C83" w:rsidP="00D72C83">
      <w:pPr>
        <w:autoSpaceDE w:val="0"/>
        <w:autoSpaceDN w:val="0"/>
        <w:adjustRightInd w:val="0"/>
        <w:spacing w:after="0" w:line="240" w:lineRule="auto"/>
        <w:rPr>
          <w:rFonts w:ascii="Times New Roman" w:hAnsi="Times New Roman" w:cs="Times New Roman"/>
          <w:u w:val="single"/>
        </w:rPr>
      </w:pPr>
      <w:r w:rsidRPr="002E32EF">
        <w:rPr>
          <w:rFonts w:ascii="Times New Roman" w:hAnsi="Times New Roman" w:cs="Times New Roman"/>
          <w:u w:val="single"/>
        </w:rPr>
        <w:t>Pranešimas apie įtariamas nepageidaujamas reakcijas</w:t>
      </w:r>
    </w:p>
    <w:p w14:paraId="45FF7740" w14:textId="26866C33" w:rsidR="00537A9B" w:rsidRPr="00537A9B" w:rsidRDefault="00D72C83" w:rsidP="00537A9B">
      <w:pPr>
        <w:autoSpaceDE w:val="0"/>
        <w:autoSpaceDN w:val="0"/>
        <w:adjustRightInd w:val="0"/>
        <w:spacing w:after="0" w:line="240" w:lineRule="auto"/>
        <w:rPr>
          <w:rFonts w:ascii="Times New Roman" w:hAnsi="Times New Roman" w:cs="Times New Roman"/>
        </w:rPr>
      </w:pPr>
      <w:r w:rsidRPr="002E32EF">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537A9B" w:rsidRPr="00537A9B">
        <w:rPr>
          <w:rFonts w:ascii="Times New Roman" w:hAnsi="Times New Roman" w:cs="Times New Roman"/>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537A9B" w:rsidRPr="00795680">
          <w:rPr>
            <w:rStyle w:val="Hipersaitas"/>
            <w:rFonts w:ascii="Times New Roman" w:hAnsi="Times New Roman" w:cs="Times New Roman"/>
          </w:rPr>
          <w:t>https://vapris.vvkt.lt/vvkt-web/public/nrvSpecialist</w:t>
        </w:r>
      </w:hyperlink>
      <w:r w:rsidR="00537A9B" w:rsidRPr="00537A9B">
        <w:rPr>
          <w:rFonts w:ascii="Times New Roman" w:hAnsi="Times New Roman" w:cs="Times New Roman"/>
        </w:rPr>
        <w:t xml:space="preserve"> arba užpildę Sveikatos priežiūros ar farmacijos specialisto pranešimo apie įtariamą nepageidaujamą reakciją (ĮNR) formą, kuri skelbiama </w:t>
      </w:r>
      <w:hyperlink r:id="rId8" w:history="1">
        <w:r w:rsidR="00537A9B" w:rsidRPr="00795680">
          <w:rPr>
            <w:rStyle w:val="Hipersaitas"/>
            <w:rFonts w:ascii="Times New Roman" w:hAnsi="Times New Roman" w:cs="Times New Roman"/>
          </w:rPr>
          <w:t>https://www.vvkt.lt/index.php?1399030386</w:t>
        </w:r>
      </w:hyperlink>
      <w:r w:rsidR="00537A9B" w:rsidRPr="00537A9B">
        <w:rPr>
          <w:rFonts w:ascii="Times New Roman" w:hAnsi="Times New Roman" w:cs="Times New Roman"/>
        </w:rPr>
        <w:t>, ir atsiųsti elektroniniu paštu (adresu NepageidaujamaR@vvkt.lt).</w:t>
      </w:r>
    </w:p>
    <w:p w14:paraId="44BBDEC8" w14:textId="2854B1C3" w:rsidR="00D72C83" w:rsidRPr="002E32EF" w:rsidRDefault="00D72C83" w:rsidP="00D72C83">
      <w:pPr>
        <w:autoSpaceDE w:val="0"/>
        <w:autoSpaceDN w:val="0"/>
        <w:adjustRightInd w:val="0"/>
        <w:spacing w:after="0" w:line="240" w:lineRule="auto"/>
        <w:rPr>
          <w:rFonts w:ascii="Times New Roman" w:hAnsi="Times New Roman" w:cs="Times New Roman"/>
        </w:rPr>
      </w:pPr>
    </w:p>
    <w:p w14:paraId="765E8169" w14:textId="77777777" w:rsidR="00D72C83" w:rsidRPr="00874D95" w:rsidRDefault="00D72C83" w:rsidP="00D72C83">
      <w:pPr>
        <w:spacing w:after="0" w:line="240" w:lineRule="auto"/>
        <w:rPr>
          <w:rFonts w:ascii="Times New Roman" w:hAnsi="Times New Roman" w:cs="Times New Roman"/>
        </w:rPr>
      </w:pPr>
    </w:p>
    <w:p w14:paraId="2297826C"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4.9</w:t>
      </w:r>
      <w:r w:rsidRPr="00D3564A">
        <w:rPr>
          <w:rFonts w:ascii="Times New Roman" w:hAnsi="Times New Roman"/>
          <w:sz w:val="22"/>
          <w:lang w:val="lt-LT"/>
        </w:rPr>
        <w:tab/>
        <w:t>Perdozavimas</w:t>
      </w:r>
    </w:p>
    <w:p w14:paraId="297324A7" w14:textId="77777777" w:rsidR="00D72C83" w:rsidRPr="00874D95" w:rsidRDefault="00D72C83" w:rsidP="00D72C83">
      <w:pPr>
        <w:spacing w:after="0" w:line="240" w:lineRule="auto"/>
        <w:rPr>
          <w:rFonts w:ascii="Times New Roman" w:hAnsi="Times New Roman" w:cs="Times New Roman"/>
        </w:rPr>
      </w:pPr>
    </w:p>
    <w:p w14:paraId="4151F61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Simptomai</w:t>
      </w:r>
    </w:p>
    <w:p w14:paraId="005A4E3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Sveiki asmenys gerai toleravo vienkartines geriamojo erlotinibo dozes iki 1000 mg, o vėžiu sergantys – iki 1600 mg erlotinibo. Kartotines 200 mg dukart per parą vartojamas dozes sveiki asmenys jau po kelių dienų toleravo blogai. Šių tyrimų duomenimis, vartojant didesnes už rekomenduojamąsias dozes gali atsirasti sunkių nepageidaujamų reakcijų, pavyzdžiui, viduriavimas, bėrimas, galbūt padidėti kepenų aminotransferazių aktyvumas.</w:t>
      </w:r>
    </w:p>
    <w:p w14:paraId="237630A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83526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Gydymas</w:t>
      </w:r>
    </w:p>
    <w:p w14:paraId="7A0EF3F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Įtarus perdozavimą reikia liautis vartoti </w:t>
      </w:r>
      <w:r>
        <w:rPr>
          <w:rFonts w:ascii="Times New Roman" w:eastAsiaTheme="minorEastAsia" w:hAnsi="Times New Roman" w:cs="Times New Roman"/>
        </w:rPr>
        <w:t>Varlota</w:t>
      </w:r>
      <w:r w:rsidRPr="002E32EF">
        <w:rPr>
          <w:rFonts w:ascii="Times New Roman" w:eastAsiaTheme="minorEastAsia" w:hAnsi="Times New Roman" w:cs="Times New Roman"/>
        </w:rPr>
        <w:t xml:space="preserve"> ir pradėti gydyti simptomus mažinančiomis priemonėmis.</w:t>
      </w:r>
    </w:p>
    <w:p w14:paraId="2AB22D90" w14:textId="77777777" w:rsidR="00D72C83" w:rsidRPr="002E32EF" w:rsidRDefault="00D72C83" w:rsidP="00D72C83">
      <w:pPr>
        <w:spacing w:after="0" w:line="240" w:lineRule="auto"/>
        <w:rPr>
          <w:rFonts w:ascii="Times New Roman" w:hAnsi="Times New Roman" w:cs="Times New Roman"/>
        </w:rPr>
      </w:pPr>
    </w:p>
    <w:p w14:paraId="108AB745" w14:textId="77777777" w:rsidR="00D72C83" w:rsidRPr="002E32EF" w:rsidRDefault="00D72C83" w:rsidP="00D72C83">
      <w:pPr>
        <w:spacing w:after="0" w:line="240" w:lineRule="auto"/>
        <w:rPr>
          <w:rFonts w:ascii="Times New Roman" w:hAnsi="Times New Roman" w:cs="Times New Roman"/>
        </w:rPr>
      </w:pPr>
    </w:p>
    <w:p w14:paraId="34A59042"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5.</w:t>
      </w:r>
      <w:r w:rsidRPr="00D3564A">
        <w:rPr>
          <w:rFonts w:ascii="Times New Roman" w:hAnsi="Times New Roman"/>
          <w:sz w:val="22"/>
          <w:lang w:val="lt-LT"/>
        </w:rPr>
        <w:tab/>
        <w:t>FARMAKOLOGINĖS SAVYBĖS</w:t>
      </w:r>
    </w:p>
    <w:p w14:paraId="4E9C04AC" w14:textId="77777777" w:rsidR="00D72C83" w:rsidRPr="002E32EF" w:rsidRDefault="00D72C83" w:rsidP="00D72C83">
      <w:pPr>
        <w:spacing w:after="0" w:line="240" w:lineRule="auto"/>
        <w:rPr>
          <w:rFonts w:ascii="Times New Roman" w:hAnsi="Times New Roman" w:cs="Times New Roman"/>
        </w:rPr>
      </w:pPr>
    </w:p>
    <w:p w14:paraId="526C2C60" w14:textId="77777777" w:rsidR="00D72C83" w:rsidRPr="00E35BE6" w:rsidRDefault="00D72C83" w:rsidP="00D3564A">
      <w:pPr>
        <w:pStyle w:val="Antrat4"/>
        <w:spacing w:line="240" w:lineRule="auto"/>
        <w:rPr>
          <w:rFonts w:ascii="Times New Roman" w:hAnsi="Times New Roman"/>
          <w:b w:val="0"/>
          <w:lang w:val="lt-LT"/>
        </w:rPr>
      </w:pPr>
      <w:r w:rsidRPr="00D3564A">
        <w:rPr>
          <w:rFonts w:ascii="Times New Roman" w:hAnsi="Times New Roman"/>
          <w:sz w:val="22"/>
          <w:lang w:val="lt-LT"/>
        </w:rPr>
        <w:t xml:space="preserve">5.1 </w:t>
      </w:r>
      <w:r w:rsidRPr="00D3564A">
        <w:rPr>
          <w:rFonts w:ascii="Times New Roman" w:hAnsi="Times New Roman"/>
          <w:sz w:val="22"/>
          <w:lang w:val="lt-LT"/>
        </w:rPr>
        <w:tab/>
        <w:t>Farmakodinaminės savybės</w:t>
      </w:r>
    </w:p>
    <w:p w14:paraId="1AEF3C50" w14:textId="77777777" w:rsidR="00D72C83" w:rsidRPr="002E32EF" w:rsidRDefault="00D72C83" w:rsidP="00D72C83">
      <w:pPr>
        <w:spacing w:after="0" w:line="240" w:lineRule="auto"/>
        <w:rPr>
          <w:rFonts w:ascii="Times New Roman" w:hAnsi="Times New Roman" w:cs="Times New Roman"/>
        </w:rPr>
      </w:pPr>
    </w:p>
    <w:p w14:paraId="66E98FF1" w14:textId="76E0180C"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Farmakoterapinė grupė – priešnavikiniai vaistai, proteinkinazės inhibitorius, ATC kodas – L01E</w:t>
      </w:r>
      <w:r w:rsidR="00537A9B">
        <w:rPr>
          <w:rFonts w:ascii="Times New Roman" w:eastAsiaTheme="minorEastAsia" w:hAnsi="Times New Roman" w:cs="Times New Roman"/>
        </w:rPr>
        <w:t>B</w:t>
      </w:r>
      <w:r w:rsidRPr="002E32EF">
        <w:rPr>
          <w:rFonts w:ascii="Times New Roman" w:eastAsiaTheme="minorEastAsia" w:hAnsi="Times New Roman" w:cs="Times New Roman"/>
        </w:rPr>
        <w:t>0</w:t>
      </w:r>
      <w:r w:rsidR="00537A9B">
        <w:rPr>
          <w:rFonts w:ascii="Times New Roman" w:eastAsiaTheme="minorEastAsia" w:hAnsi="Times New Roman" w:cs="Times New Roman"/>
        </w:rPr>
        <w:t>2</w:t>
      </w:r>
      <w:r w:rsidRPr="002E32EF">
        <w:rPr>
          <w:rFonts w:ascii="Times New Roman" w:eastAsiaTheme="minorEastAsia" w:hAnsi="Times New Roman" w:cs="Times New Roman"/>
        </w:rPr>
        <w:t>.</w:t>
      </w:r>
    </w:p>
    <w:p w14:paraId="29440A50"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324C58E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Veikimo mechanizmas</w:t>
      </w:r>
    </w:p>
    <w:p w14:paraId="35FB9ED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Erlotinibas yra epidermio augimo faktoriaus receptoriaus, arba žmogaus epidermio augimo faktoriaus 1 tipo receptoriaus (EGFR kitas pavadinimas yra HER1) tirozinkinazės inhibitorius. Erlotinibas stipriai slopina EGFR fosforilinimą ląstelėse. EGFR ekspresija pasireiškia ant normalių ir vėžinių ląstelių paviršiaus. Tiriant neklinikiniais modeliais, EGFR fosfotirozino slopinimas sukelia ląstelių sąstingį ir (arba) žūtį.</w:t>
      </w:r>
    </w:p>
    <w:p w14:paraId="110865E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A3B498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EGFR mutacijos gali sukelti sudėtinį apoptozę slopinančių ir proliferaciją skatinančių signalų perdavimo mechanizmų aktyvinimą. Stiprus erlotinibo poveikis blokuojant signalų perdavimo, kuriame dalyvauja EGFR, mechanizmus auglių, kuriuose nustatoma šio EGFR mutacijų, ląstelėse paaiškinamas stipriu erlotinibo prisijungimu prie EGFR mutavusio kinazės domeno ATF jungimosi sričių. Dėl nuoseklaus signalų perdavimo blokavimo ląstelių proliferacija sustoja, o per vidinį apoptozę skatinantį mechanizmą sukeliama ląstelės žūtis. Pelių modeliuose, kuriuose buvo padidinta šių EGFR aktyvinančių mutacijų ekspresija, buvo pastebėtas auglio sumažėjimas.</w:t>
      </w:r>
    </w:p>
    <w:p w14:paraId="1F80B9B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2861EDD0"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u w:val="single"/>
        </w:rPr>
      </w:pPr>
      <w:r w:rsidRPr="002E32EF">
        <w:rPr>
          <w:rFonts w:ascii="Times New Roman" w:hAnsi="Times New Roman" w:cs="Times New Roman"/>
          <w:u w:val="single"/>
        </w:rPr>
        <w:t>Klinikinis veiksmingumas</w:t>
      </w:r>
    </w:p>
    <w:p w14:paraId="4FED04D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52DFF330" w14:textId="77777777" w:rsidR="00D72C83" w:rsidRPr="00271131" w:rsidRDefault="00D72C83" w:rsidP="00271131">
      <w:pPr>
        <w:widowControl w:val="0"/>
        <w:autoSpaceDE w:val="0"/>
        <w:autoSpaceDN w:val="0"/>
        <w:adjustRightInd w:val="0"/>
        <w:spacing w:line="240" w:lineRule="auto"/>
        <w:ind w:left="709" w:hanging="709"/>
        <w:rPr>
          <w:rFonts w:eastAsiaTheme="minorEastAsia"/>
          <w:u w:val="single"/>
        </w:rPr>
      </w:pPr>
      <w:r w:rsidRPr="00271131">
        <w:rPr>
          <w:rFonts w:ascii="Times New Roman" w:eastAsiaTheme="minorEastAsia" w:hAnsi="Times New Roman" w:cs="Times New Roman"/>
          <w:u w:val="single"/>
        </w:rPr>
        <w:t>Pirmos eilės gydymas nesmulkialąsteliniu plaučių vėžiu (NSLPV) sergantiems pacientams, kuriems nustatytos EGFR aktyvinančios mutacijos (monoterapija erlotinibu):</w:t>
      </w:r>
    </w:p>
    <w:p w14:paraId="74816A07" w14:textId="77777777" w:rsidR="00D72C83" w:rsidRPr="00932E62"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23CD767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Erlotinibo veiksmingumas skiriant pirmos eilės gydymui NSLPV sergantiems pacientams, kuriems nustatytos EGFR aktyvinančios mutacijos, buvo įrodytas III fazės, atsitiktinių imčių, atviro klinikinio tyrimo (ML 20650, EURTAC) metu. Į šį tyrimą buvo įtraukiami metastazavusiu arba vietiškai išplitusiu (IIIB ir IV stadijos) NSLPV sergantys baltaodžiai pacientai, kuriems anksčiau nebuvo skirta chemoterapija arba joks sisteminis išplitusio vėžio gydymas ir kuriems buvo nustatytos EGFR tirozinkinazės srities mutacijos (19 egzono delecija arba 21 egzono mutacija). Pacientai atsitiktiniu būdu buvo suskirstyti santykiu 1:1 į dvi grupes ir jiems buvo skiriama 150 mg Erlotinibo paros doze arba iki 4 ciklų chemoterapija dviem preparatais, iš kurių vienas buvo platinos darinys. </w:t>
      </w:r>
    </w:p>
    <w:p w14:paraId="1C46B10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Pagrindinė vertinamoji baigtis buvo tyrėjo įvertintas išgyvenamumas be ligos progresavimo (IBLP). Veiksmingumo rezultatai yra apibendrinti 5 lentelėje.</w:t>
      </w:r>
    </w:p>
    <w:p w14:paraId="5F027F2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7DD4258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1 paveikslėlis. Klinikinio tyrimo ML20650 (EURTAC; duomenų rinkimo pabaiga – 2012 balandis) metu </w:t>
      </w:r>
      <w:r w:rsidRPr="002E32EF">
        <w:rPr>
          <w:rFonts w:ascii="Times New Roman" w:eastAsiaTheme="minorEastAsia" w:hAnsi="Times New Roman" w:cs="Times New Roman"/>
        </w:rPr>
        <w:lastRenderedPageBreak/>
        <w:t xml:space="preserve">tyrėjo įvertinto IBLP </w:t>
      </w:r>
      <w:r w:rsidRPr="002E32EF">
        <w:rPr>
          <w:rFonts w:ascii="Times New Roman" w:eastAsiaTheme="minorEastAsia" w:hAnsi="Times New Roman" w:cs="Times New Roman"/>
          <w:i/>
        </w:rPr>
        <w:t>Kaplan-Meier</w:t>
      </w:r>
      <w:r w:rsidRPr="002E32EF">
        <w:rPr>
          <w:rFonts w:ascii="Times New Roman" w:eastAsiaTheme="minorEastAsia" w:hAnsi="Times New Roman" w:cs="Times New Roman"/>
        </w:rPr>
        <w:t xml:space="preserve"> kreivė</w:t>
      </w:r>
    </w:p>
    <w:p w14:paraId="4EB06E47" w14:textId="77777777" w:rsidR="00D72C83" w:rsidRDefault="00D72C83" w:rsidP="00D72C83">
      <w:pPr>
        <w:spacing w:after="0" w:line="240" w:lineRule="auto"/>
        <w:rPr>
          <w:rFonts w:ascii="Times New Roman" w:hAnsi="Times New Roman" w:cs="Times New Roman"/>
        </w:rPr>
      </w:pPr>
    </w:p>
    <w:p w14:paraId="61838982" w14:textId="77777777" w:rsidR="00D72C83" w:rsidRPr="002E32EF" w:rsidRDefault="00D72C83" w:rsidP="00D72C83">
      <w:pPr>
        <w:spacing w:after="0" w:line="240" w:lineRule="auto"/>
        <w:rPr>
          <w:rFonts w:ascii="Times New Roman" w:hAnsi="Times New Roman" w:cs="Times New Roman"/>
        </w:rPr>
      </w:pPr>
      <w:r w:rsidRPr="00AE56FA">
        <w:rPr>
          <w:rFonts w:ascii="Times New Roman" w:hAnsi="Times New Roman" w:cs="Times New Roman"/>
          <w:noProof/>
          <w:lang w:eastAsia="lt-LT"/>
        </w:rPr>
        <w:drawing>
          <wp:inline distT="0" distB="0" distL="0" distR="0" wp14:anchorId="3F6A4C15" wp14:editId="6BF5AAC0">
            <wp:extent cx="585216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160" cy="3657600"/>
                    </a:xfrm>
                    <a:prstGeom prst="rect">
                      <a:avLst/>
                    </a:prstGeom>
                    <a:noFill/>
                    <a:ln>
                      <a:noFill/>
                    </a:ln>
                  </pic:spPr>
                </pic:pic>
              </a:graphicData>
            </a:graphic>
          </wp:inline>
        </w:drawing>
      </w:r>
    </w:p>
    <w:p w14:paraId="0E3F39C3" w14:textId="77777777" w:rsidR="00D72C83" w:rsidRPr="00874D95" w:rsidRDefault="00D72C83" w:rsidP="00D72C83">
      <w:pPr>
        <w:spacing w:after="0" w:line="240" w:lineRule="auto"/>
        <w:rPr>
          <w:rFonts w:ascii="Times New Roman" w:hAnsi="Times New Roman" w:cs="Times New Roman"/>
        </w:rPr>
      </w:pPr>
    </w:p>
    <w:p w14:paraId="2A97B925" w14:textId="77777777" w:rsidR="00D72C83" w:rsidRPr="00874D95" w:rsidRDefault="00D72C83" w:rsidP="00D72C83">
      <w:pPr>
        <w:widowControl w:val="0"/>
        <w:autoSpaceDE w:val="0"/>
        <w:autoSpaceDN w:val="0"/>
        <w:adjustRightInd w:val="0"/>
        <w:spacing w:after="0" w:line="240" w:lineRule="auto"/>
        <w:rPr>
          <w:rFonts w:ascii="Times New Roman" w:hAnsi="Times New Roman" w:cs="Times New Roman"/>
        </w:rPr>
      </w:pPr>
    </w:p>
    <w:p w14:paraId="19A688FA" w14:textId="4E2868D0" w:rsidR="00D72C83" w:rsidRPr="002E32EF" w:rsidRDefault="00835A08" w:rsidP="00D72C83">
      <w:pPr>
        <w:widowControl w:val="0"/>
        <w:autoSpaceDE w:val="0"/>
        <w:autoSpaceDN w:val="0"/>
        <w:adjustRightInd w:val="0"/>
        <w:spacing w:after="0" w:line="240" w:lineRule="auto"/>
        <w:rPr>
          <w:rFonts w:ascii="Times New Roman" w:eastAsiaTheme="minorEastAsia" w:hAnsi="Times New Roman" w:cs="Times New Roman"/>
        </w:rPr>
      </w:pPr>
      <w:r w:rsidRPr="00E35BE6">
        <w:rPr>
          <w:rFonts w:ascii="Times New Roman" w:hAnsi="Times New Roman" w:cs="Times New Roman"/>
        </w:rPr>
        <w:t>3</w:t>
      </w:r>
      <w:r w:rsidR="00D72C83" w:rsidRPr="002E32EF">
        <w:rPr>
          <w:rFonts w:ascii="Times New Roman" w:hAnsi="Times New Roman" w:cs="Times New Roman"/>
        </w:rPr>
        <w:t xml:space="preserve"> lentelė: </w:t>
      </w:r>
      <w:r w:rsidR="00D72C83" w:rsidRPr="002E32EF">
        <w:rPr>
          <w:rFonts w:ascii="Times New Roman" w:eastAsiaTheme="minorEastAsia" w:hAnsi="Times New Roman" w:cs="Times New Roman"/>
        </w:rPr>
        <w:t>Erlotinibo veiksmingumo rezultatai, lyginant su chemoterapija, klinikinio tyrimo ML20650 (EURTAC) metu</w:t>
      </w:r>
    </w:p>
    <w:p w14:paraId="24E18BB4" w14:textId="77777777" w:rsidR="00D72C83" w:rsidRPr="00E35BE6" w:rsidRDefault="00D72C83" w:rsidP="00D3564A">
      <w:pPr>
        <w:pStyle w:val="Pagrindinistekstas"/>
        <w:rPr>
          <w:i w:val="0"/>
          <w:lang w:val="lt-LT"/>
        </w:rPr>
      </w:pPr>
    </w:p>
    <w:tbl>
      <w:tblPr>
        <w:tblW w:w="952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87"/>
        <w:gridCol w:w="2262"/>
        <w:gridCol w:w="1142"/>
        <w:gridCol w:w="1349"/>
        <w:gridCol w:w="1513"/>
        <w:gridCol w:w="1170"/>
      </w:tblGrid>
      <w:tr w:rsidR="00D72C83" w:rsidRPr="00667863" w14:paraId="07D407EE" w14:textId="77777777" w:rsidTr="00E23115">
        <w:trPr>
          <w:trHeight w:hRule="exact" w:val="843"/>
        </w:trPr>
        <w:tc>
          <w:tcPr>
            <w:tcW w:w="2087" w:type="dxa"/>
            <w:tcBorders>
              <w:top w:val="single" w:sz="2" w:space="0" w:color="000000"/>
              <w:left w:val="single" w:sz="2" w:space="0" w:color="000000"/>
              <w:bottom w:val="single" w:sz="6" w:space="0" w:color="000000"/>
              <w:right w:val="single" w:sz="6" w:space="0" w:color="000000"/>
            </w:tcBorders>
          </w:tcPr>
          <w:p w14:paraId="7BB94AA9" w14:textId="77777777" w:rsidR="00D72C83" w:rsidRPr="00667863" w:rsidRDefault="00D72C83" w:rsidP="00E23115"/>
        </w:tc>
        <w:tc>
          <w:tcPr>
            <w:tcW w:w="2262" w:type="dxa"/>
            <w:tcBorders>
              <w:top w:val="single" w:sz="2" w:space="0" w:color="000000"/>
              <w:left w:val="single" w:sz="6" w:space="0" w:color="000000"/>
              <w:bottom w:val="single" w:sz="6" w:space="0" w:color="000000"/>
              <w:right w:val="single" w:sz="6" w:space="0" w:color="000000"/>
            </w:tcBorders>
          </w:tcPr>
          <w:p w14:paraId="0E72202C" w14:textId="77777777" w:rsidR="00D72C83" w:rsidRPr="00667863" w:rsidRDefault="00D72C83" w:rsidP="00E23115"/>
        </w:tc>
        <w:tc>
          <w:tcPr>
            <w:tcW w:w="1142" w:type="dxa"/>
            <w:tcBorders>
              <w:top w:val="single" w:sz="2" w:space="0" w:color="000000"/>
              <w:left w:val="single" w:sz="6" w:space="0" w:color="000000"/>
              <w:bottom w:val="single" w:sz="6" w:space="0" w:color="000000"/>
              <w:right w:val="single" w:sz="6" w:space="0" w:color="000000"/>
            </w:tcBorders>
          </w:tcPr>
          <w:p w14:paraId="4B48E551" w14:textId="77777777" w:rsidR="00D72C83" w:rsidRPr="00D3564A" w:rsidRDefault="00D72C83" w:rsidP="00D3564A">
            <w:pPr>
              <w:pStyle w:val="TableParagraph"/>
              <w:rPr>
                <w:rFonts w:ascii="Times New Roman" w:hAnsi="Times New Roman"/>
                <w:b/>
              </w:rPr>
            </w:pPr>
            <w:r w:rsidRPr="00D3564A">
              <w:rPr>
                <w:rFonts w:ascii="Times New Roman" w:hAnsi="Times New Roman"/>
                <w:b/>
                <w:lang w:val="lt-LT"/>
              </w:rPr>
              <w:t>Erlotinibas</w:t>
            </w:r>
          </w:p>
        </w:tc>
        <w:tc>
          <w:tcPr>
            <w:tcW w:w="1349" w:type="dxa"/>
            <w:tcBorders>
              <w:top w:val="single" w:sz="2" w:space="0" w:color="000000"/>
              <w:left w:val="single" w:sz="6" w:space="0" w:color="000000"/>
              <w:bottom w:val="single" w:sz="6" w:space="0" w:color="000000"/>
              <w:right w:val="single" w:sz="6" w:space="0" w:color="000000"/>
            </w:tcBorders>
          </w:tcPr>
          <w:p w14:paraId="46922A25" w14:textId="77777777" w:rsidR="00D72C83" w:rsidRPr="00D3564A" w:rsidRDefault="00D72C83" w:rsidP="00D3564A">
            <w:pPr>
              <w:pStyle w:val="TableParagraph"/>
              <w:rPr>
                <w:rFonts w:ascii="Times New Roman" w:hAnsi="Times New Roman"/>
                <w:b/>
              </w:rPr>
            </w:pPr>
            <w:r w:rsidRPr="00D3564A">
              <w:rPr>
                <w:rFonts w:ascii="Times New Roman" w:hAnsi="Times New Roman"/>
                <w:b/>
                <w:lang w:val="lt-LT"/>
              </w:rPr>
              <w:t>Chemo- terapija</w:t>
            </w:r>
          </w:p>
        </w:tc>
        <w:tc>
          <w:tcPr>
            <w:tcW w:w="1513" w:type="dxa"/>
            <w:tcBorders>
              <w:top w:val="single" w:sz="2" w:space="0" w:color="000000"/>
              <w:left w:val="single" w:sz="6" w:space="0" w:color="000000"/>
              <w:bottom w:val="single" w:sz="6" w:space="0" w:color="000000"/>
              <w:right w:val="single" w:sz="6" w:space="0" w:color="000000"/>
            </w:tcBorders>
          </w:tcPr>
          <w:p w14:paraId="70679F7C" w14:textId="77777777" w:rsidR="00D72C83" w:rsidRPr="00D3564A" w:rsidRDefault="00D72C83" w:rsidP="00D3564A">
            <w:pPr>
              <w:pStyle w:val="TableParagraph"/>
              <w:rPr>
                <w:rFonts w:ascii="Times New Roman" w:hAnsi="Times New Roman"/>
                <w:b/>
              </w:rPr>
            </w:pPr>
            <w:r w:rsidRPr="00D3564A">
              <w:rPr>
                <w:rFonts w:ascii="Times New Roman" w:hAnsi="Times New Roman"/>
                <w:b/>
                <w:lang w:val="lt-LT"/>
              </w:rPr>
              <w:t>Rizikos santykis (95 % PI)</w:t>
            </w:r>
          </w:p>
        </w:tc>
        <w:tc>
          <w:tcPr>
            <w:tcW w:w="1170" w:type="dxa"/>
            <w:tcBorders>
              <w:top w:val="single" w:sz="2" w:space="0" w:color="000000"/>
              <w:left w:val="single" w:sz="6" w:space="0" w:color="000000"/>
              <w:bottom w:val="single" w:sz="6" w:space="0" w:color="000000"/>
              <w:right w:val="single" w:sz="2" w:space="0" w:color="000000"/>
            </w:tcBorders>
          </w:tcPr>
          <w:p w14:paraId="525E5447" w14:textId="77777777" w:rsidR="00D72C83" w:rsidRPr="00D3564A" w:rsidRDefault="00D72C83" w:rsidP="00D3564A">
            <w:pPr>
              <w:pStyle w:val="TableParagraph"/>
              <w:rPr>
                <w:rFonts w:ascii="Times New Roman" w:hAnsi="Times New Roman"/>
                <w:b/>
              </w:rPr>
            </w:pPr>
            <w:r w:rsidRPr="00D3564A">
              <w:rPr>
                <w:rFonts w:ascii="Times New Roman" w:hAnsi="Times New Roman"/>
                <w:b/>
                <w:lang w:val="lt-LT"/>
              </w:rPr>
              <w:t>p-reikšmė</w:t>
            </w:r>
          </w:p>
        </w:tc>
      </w:tr>
      <w:tr w:rsidR="00D72C83" w:rsidRPr="00667863" w14:paraId="2726501A" w14:textId="77777777" w:rsidTr="00E23115">
        <w:trPr>
          <w:trHeight w:hRule="exact" w:val="324"/>
        </w:trPr>
        <w:tc>
          <w:tcPr>
            <w:tcW w:w="2087" w:type="dxa"/>
            <w:vMerge w:val="restart"/>
            <w:tcBorders>
              <w:top w:val="single" w:sz="6" w:space="0" w:color="000000"/>
              <w:left w:val="single" w:sz="2" w:space="0" w:color="000000"/>
              <w:bottom w:val="single" w:sz="2" w:space="0" w:color="000000"/>
              <w:right w:val="single" w:sz="6" w:space="0" w:color="000000"/>
            </w:tcBorders>
          </w:tcPr>
          <w:p w14:paraId="6C40EAA8"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lang w:val="lt-LT"/>
              </w:rPr>
              <w:t>Iš anksto suplanuota tarpinė analizė</w:t>
            </w:r>
          </w:p>
          <w:p w14:paraId="11772DE3"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lang w:val="lt-LT"/>
              </w:rPr>
              <w:t>(BI termino 35 %) (n=153)</w:t>
            </w:r>
          </w:p>
          <w:p w14:paraId="242824E0" w14:textId="77777777" w:rsidR="00D72C83" w:rsidRPr="00E35BE6" w:rsidRDefault="00D72C83" w:rsidP="00D3564A">
            <w:pPr>
              <w:pStyle w:val="TableParagraph"/>
              <w:rPr>
                <w:rFonts w:ascii="Times New Roman" w:hAnsi="Times New Roman"/>
                <w:lang w:val="lt-LT"/>
              </w:rPr>
            </w:pPr>
          </w:p>
          <w:p w14:paraId="331B5CD3" w14:textId="77777777" w:rsidR="00D72C83" w:rsidRPr="00E35BE6" w:rsidRDefault="00D72C83" w:rsidP="00D3564A">
            <w:pPr>
              <w:pStyle w:val="TableParagraph"/>
              <w:rPr>
                <w:rFonts w:ascii="Times New Roman" w:hAnsi="Times New Roman"/>
                <w:lang w:val="lt-LT"/>
              </w:rPr>
            </w:pPr>
          </w:p>
          <w:p w14:paraId="3BC4CE03" w14:textId="77777777" w:rsidR="00D72C83" w:rsidRPr="00E35BE6" w:rsidRDefault="00D72C83" w:rsidP="00D3564A">
            <w:pPr>
              <w:pStyle w:val="TableParagraph"/>
              <w:rPr>
                <w:rFonts w:ascii="Times New Roman" w:hAnsi="Times New Roman"/>
                <w:lang w:val="lt-LT"/>
              </w:rPr>
            </w:pPr>
          </w:p>
          <w:p w14:paraId="08202E3F" w14:textId="77777777" w:rsidR="00D72C83" w:rsidRPr="00E35BE6" w:rsidRDefault="00D72C83" w:rsidP="00D3564A">
            <w:pPr>
              <w:pStyle w:val="TableParagraph"/>
              <w:rPr>
                <w:rFonts w:ascii="Times New Roman" w:hAnsi="Times New Roman"/>
                <w:lang w:val="lt-LT"/>
              </w:rPr>
            </w:pPr>
          </w:p>
          <w:p w14:paraId="559AE29B"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lang w:val="lt-LT"/>
              </w:rPr>
              <w:t>Duomenų rinkimo pabaiga: 2010 m. rugpjūtis</w:t>
            </w:r>
          </w:p>
        </w:tc>
        <w:tc>
          <w:tcPr>
            <w:tcW w:w="2262" w:type="dxa"/>
            <w:tcBorders>
              <w:top w:val="single" w:sz="6" w:space="0" w:color="000000"/>
              <w:left w:val="single" w:sz="6" w:space="0" w:color="000000"/>
              <w:bottom w:val="single" w:sz="6" w:space="0" w:color="000000"/>
              <w:right w:val="single" w:sz="6" w:space="0" w:color="000000"/>
            </w:tcBorders>
          </w:tcPr>
          <w:p w14:paraId="31F4253B" w14:textId="77777777" w:rsidR="00D72C83" w:rsidRPr="00667863" w:rsidRDefault="00D72C83" w:rsidP="00E23115"/>
        </w:tc>
        <w:tc>
          <w:tcPr>
            <w:tcW w:w="1142" w:type="dxa"/>
            <w:tcBorders>
              <w:top w:val="single" w:sz="6" w:space="0" w:color="000000"/>
              <w:left w:val="single" w:sz="6" w:space="0" w:color="000000"/>
              <w:bottom w:val="single" w:sz="6" w:space="0" w:color="000000"/>
              <w:right w:val="single" w:sz="6" w:space="0" w:color="000000"/>
            </w:tcBorders>
          </w:tcPr>
          <w:p w14:paraId="7E4528DD"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n = 77</w:t>
            </w:r>
          </w:p>
        </w:tc>
        <w:tc>
          <w:tcPr>
            <w:tcW w:w="1349" w:type="dxa"/>
            <w:tcBorders>
              <w:top w:val="single" w:sz="6" w:space="0" w:color="000000"/>
              <w:left w:val="single" w:sz="6" w:space="0" w:color="000000"/>
              <w:bottom w:val="single" w:sz="6" w:space="0" w:color="000000"/>
              <w:right w:val="single" w:sz="6" w:space="0" w:color="000000"/>
            </w:tcBorders>
          </w:tcPr>
          <w:p w14:paraId="3E3D9DB9"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n = 76</w:t>
            </w:r>
          </w:p>
        </w:tc>
        <w:tc>
          <w:tcPr>
            <w:tcW w:w="1513" w:type="dxa"/>
            <w:tcBorders>
              <w:top w:val="single" w:sz="6" w:space="0" w:color="000000"/>
              <w:left w:val="single" w:sz="6" w:space="0" w:color="000000"/>
              <w:bottom w:val="single" w:sz="6" w:space="0" w:color="000000"/>
              <w:right w:val="single" w:sz="6" w:space="0" w:color="000000"/>
            </w:tcBorders>
          </w:tcPr>
          <w:p w14:paraId="5CD88A5D" w14:textId="77777777" w:rsidR="00D72C83" w:rsidRPr="00667863" w:rsidRDefault="00D72C83" w:rsidP="00E23115"/>
        </w:tc>
        <w:tc>
          <w:tcPr>
            <w:tcW w:w="1170" w:type="dxa"/>
            <w:tcBorders>
              <w:top w:val="single" w:sz="6" w:space="0" w:color="000000"/>
              <w:left w:val="single" w:sz="6" w:space="0" w:color="000000"/>
              <w:bottom w:val="single" w:sz="6" w:space="0" w:color="000000"/>
              <w:right w:val="single" w:sz="2" w:space="0" w:color="000000"/>
            </w:tcBorders>
          </w:tcPr>
          <w:p w14:paraId="7A40E88D" w14:textId="77777777" w:rsidR="00D72C83" w:rsidRPr="00667863" w:rsidRDefault="00D72C83" w:rsidP="00E23115"/>
        </w:tc>
      </w:tr>
      <w:tr w:rsidR="00D72C83" w:rsidRPr="00667863" w14:paraId="2604C7E7" w14:textId="77777777" w:rsidTr="00E23115">
        <w:trPr>
          <w:trHeight w:hRule="exact" w:val="2732"/>
        </w:trPr>
        <w:tc>
          <w:tcPr>
            <w:tcW w:w="2087" w:type="dxa"/>
            <w:vMerge/>
            <w:tcBorders>
              <w:top w:val="single" w:sz="2" w:space="0" w:color="000000"/>
              <w:left w:val="single" w:sz="2" w:space="0" w:color="000000"/>
              <w:bottom w:val="single" w:sz="2" w:space="0" w:color="000000"/>
              <w:right w:val="single" w:sz="6" w:space="0" w:color="000000"/>
            </w:tcBorders>
          </w:tcPr>
          <w:p w14:paraId="03DBB810"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1F30DD49"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lang w:val="lt-LT"/>
              </w:rPr>
              <w:t>Pagrindinė vertinamoji baigtis: išgyvenamumas be ligos progresavimo (IBLP, mediana mėnesiais)* Įvertinta tyrėjo**</w:t>
            </w:r>
          </w:p>
          <w:p w14:paraId="30A5F816" w14:textId="77777777" w:rsidR="00D72C83" w:rsidRPr="00E35BE6" w:rsidRDefault="00D72C83" w:rsidP="00D3564A">
            <w:pPr>
              <w:pStyle w:val="TableParagraph"/>
              <w:rPr>
                <w:rFonts w:ascii="Times New Roman" w:hAnsi="Times New Roman"/>
                <w:lang w:val="lt-LT"/>
              </w:rPr>
            </w:pPr>
          </w:p>
          <w:p w14:paraId="6A2B312B"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Nepriklausoma peržiūra**</w:t>
            </w:r>
          </w:p>
        </w:tc>
        <w:tc>
          <w:tcPr>
            <w:tcW w:w="1142" w:type="dxa"/>
            <w:tcBorders>
              <w:top w:val="single" w:sz="6" w:space="0" w:color="000000"/>
              <w:left w:val="single" w:sz="6" w:space="0" w:color="000000"/>
              <w:bottom w:val="single" w:sz="6" w:space="0" w:color="000000"/>
              <w:right w:val="single" w:sz="6" w:space="0" w:color="000000"/>
            </w:tcBorders>
          </w:tcPr>
          <w:p w14:paraId="160A1BE9" w14:textId="77777777" w:rsidR="00D72C83" w:rsidRPr="00D3564A" w:rsidRDefault="00D72C83" w:rsidP="00D3564A">
            <w:pPr>
              <w:pStyle w:val="TableParagraph"/>
              <w:jc w:val="center"/>
              <w:rPr>
                <w:rFonts w:ascii="Times New Roman" w:hAnsi="Times New Roman"/>
              </w:rPr>
            </w:pPr>
          </w:p>
          <w:p w14:paraId="1CDD7298" w14:textId="77777777" w:rsidR="00D72C83" w:rsidRPr="00D3564A" w:rsidRDefault="00D72C83" w:rsidP="00D3564A">
            <w:pPr>
              <w:pStyle w:val="TableParagraph"/>
              <w:jc w:val="center"/>
              <w:rPr>
                <w:rFonts w:ascii="Times New Roman" w:hAnsi="Times New Roman"/>
              </w:rPr>
            </w:pPr>
          </w:p>
          <w:p w14:paraId="7681E67D" w14:textId="77777777" w:rsidR="00D72C83" w:rsidRPr="00D3564A" w:rsidRDefault="00D72C83" w:rsidP="00D3564A">
            <w:pPr>
              <w:pStyle w:val="TableParagraph"/>
              <w:jc w:val="center"/>
              <w:rPr>
                <w:rFonts w:ascii="Times New Roman" w:hAnsi="Times New Roman"/>
              </w:rPr>
            </w:pPr>
          </w:p>
          <w:p w14:paraId="70744F3B" w14:textId="77777777" w:rsidR="00D72C83" w:rsidRPr="00D3564A" w:rsidRDefault="00D72C83" w:rsidP="00D3564A">
            <w:pPr>
              <w:pStyle w:val="TableParagraph"/>
              <w:jc w:val="center"/>
              <w:rPr>
                <w:rFonts w:ascii="Times New Roman" w:hAnsi="Times New Roman"/>
              </w:rPr>
            </w:pPr>
          </w:p>
          <w:p w14:paraId="39107428" w14:textId="77777777" w:rsidR="00D72C83" w:rsidRPr="00D3564A" w:rsidRDefault="00D72C83" w:rsidP="00D3564A">
            <w:pPr>
              <w:pStyle w:val="TableParagraph"/>
              <w:jc w:val="center"/>
              <w:rPr>
                <w:rFonts w:ascii="Times New Roman" w:hAnsi="Times New Roman"/>
              </w:rPr>
            </w:pPr>
          </w:p>
          <w:p w14:paraId="474507C2"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9,4</w:t>
            </w:r>
          </w:p>
          <w:p w14:paraId="3E478687" w14:textId="77777777" w:rsidR="00D72C83" w:rsidRPr="00D3564A" w:rsidRDefault="00D72C83" w:rsidP="00D3564A">
            <w:pPr>
              <w:pStyle w:val="TableParagraph"/>
              <w:jc w:val="center"/>
              <w:rPr>
                <w:rFonts w:ascii="Times New Roman" w:hAnsi="Times New Roman"/>
              </w:rPr>
            </w:pPr>
          </w:p>
          <w:p w14:paraId="5900B5D8" w14:textId="77777777" w:rsidR="00D72C83" w:rsidRPr="00D3564A" w:rsidRDefault="00D72C83" w:rsidP="00D3564A">
            <w:pPr>
              <w:pStyle w:val="TableParagraph"/>
              <w:jc w:val="center"/>
              <w:rPr>
                <w:rFonts w:ascii="Times New Roman" w:hAnsi="Times New Roman"/>
              </w:rPr>
            </w:pPr>
          </w:p>
          <w:p w14:paraId="0B4D0048"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10,4</w:t>
            </w:r>
          </w:p>
        </w:tc>
        <w:tc>
          <w:tcPr>
            <w:tcW w:w="1349" w:type="dxa"/>
            <w:tcBorders>
              <w:top w:val="single" w:sz="6" w:space="0" w:color="000000"/>
              <w:left w:val="single" w:sz="6" w:space="0" w:color="000000"/>
              <w:bottom w:val="single" w:sz="6" w:space="0" w:color="000000"/>
              <w:right w:val="single" w:sz="6" w:space="0" w:color="000000"/>
            </w:tcBorders>
          </w:tcPr>
          <w:p w14:paraId="24107159" w14:textId="77777777" w:rsidR="00D72C83" w:rsidRPr="00D3564A" w:rsidRDefault="00D72C83" w:rsidP="00D3564A">
            <w:pPr>
              <w:pStyle w:val="TableParagraph"/>
              <w:jc w:val="center"/>
              <w:rPr>
                <w:rFonts w:ascii="Times New Roman" w:hAnsi="Times New Roman"/>
              </w:rPr>
            </w:pPr>
          </w:p>
          <w:p w14:paraId="25D916BC" w14:textId="77777777" w:rsidR="00D72C83" w:rsidRPr="00D3564A" w:rsidRDefault="00D72C83" w:rsidP="00D3564A">
            <w:pPr>
              <w:pStyle w:val="TableParagraph"/>
              <w:jc w:val="center"/>
              <w:rPr>
                <w:rFonts w:ascii="Times New Roman" w:hAnsi="Times New Roman"/>
              </w:rPr>
            </w:pPr>
          </w:p>
          <w:p w14:paraId="1449F501" w14:textId="77777777" w:rsidR="00D72C83" w:rsidRPr="00D3564A" w:rsidRDefault="00D72C83" w:rsidP="00D3564A">
            <w:pPr>
              <w:pStyle w:val="TableParagraph"/>
              <w:jc w:val="center"/>
              <w:rPr>
                <w:rFonts w:ascii="Times New Roman" w:hAnsi="Times New Roman"/>
              </w:rPr>
            </w:pPr>
          </w:p>
          <w:p w14:paraId="7448DE82" w14:textId="77777777" w:rsidR="00D72C83" w:rsidRPr="00D3564A" w:rsidRDefault="00D72C83" w:rsidP="00D3564A">
            <w:pPr>
              <w:pStyle w:val="TableParagraph"/>
              <w:jc w:val="center"/>
              <w:rPr>
                <w:rFonts w:ascii="Times New Roman" w:hAnsi="Times New Roman"/>
              </w:rPr>
            </w:pPr>
          </w:p>
          <w:p w14:paraId="2A8D1571" w14:textId="77777777" w:rsidR="00D72C83" w:rsidRPr="00D3564A" w:rsidRDefault="00D72C83" w:rsidP="00D3564A">
            <w:pPr>
              <w:pStyle w:val="TableParagraph"/>
              <w:jc w:val="center"/>
              <w:rPr>
                <w:rFonts w:ascii="Times New Roman" w:hAnsi="Times New Roman"/>
              </w:rPr>
            </w:pPr>
          </w:p>
          <w:p w14:paraId="017C5F6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5,2</w:t>
            </w:r>
          </w:p>
          <w:p w14:paraId="1B64B39C" w14:textId="77777777" w:rsidR="00D72C83" w:rsidRPr="00D3564A" w:rsidRDefault="00D72C83" w:rsidP="00D3564A">
            <w:pPr>
              <w:pStyle w:val="TableParagraph"/>
              <w:jc w:val="center"/>
              <w:rPr>
                <w:rFonts w:ascii="Times New Roman" w:hAnsi="Times New Roman"/>
              </w:rPr>
            </w:pPr>
          </w:p>
          <w:p w14:paraId="014B1C34" w14:textId="77777777" w:rsidR="00D72C83" w:rsidRPr="00D3564A" w:rsidRDefault="00D72C83" w:rsidP="00D3564A">
            <w:pPr>
              <w:pStyle w:val="TableParagraph"/>
              <w:jc w:val="center"/>
              <w:rPr>
                <w:rFonts w:ascii="Times New Roman" w:hAnsi="Times New Roman"/>
              </w:rPr>
            </w:pPr>
          </w:p>
          <w:p w14:paraId="39859C2B"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5,4</w:t>
            </w:r>
          </w:p>
        </w:tc>
        <w:tc>
          <w:tcPr>
            <w:tcW w:w="1513" w:type="dxa"/>
            <w:tcBorders>
              <w:top w:val="single" w:sz="6" w:space="0" w:color="000000"/>
              <w:left w:val="single" w:sz="6" w:space="0" w:color="000000"/>
              <w:bottom w:val="single" w:sz="6" w:space="0" w:color="000000"/>
              <w:right w:val="single" w:sz="6" w:space="0" w:color="000000"/>
            </w:tcBorders>
          </w:tcPr>
          <w:p w14:paraId="55C4F254" w14:textId="77777777" w:rsidR="00D72C83" w:rsidRPr="00D3564A" w:rsidRDefault="00D72C83" w:rsidP="00D3564A">
            <w:pPr>
              <w:pStyle w:val="TableParagraph"/>
              <w:jc w:val="center"/>
              <w:rPr>
                <w:rFonts w:ascii="Times New Roman" w:hAnsi="Times New Roman"/>
              </w:rPr>
            </w:pPr>
          </w:p>
          <w:p w14:paraId="7F915FE5" w14:textId="77777777" w:rsidR="00D72C83" w:rsidRPr="00D3564A" w:rsidRDefault="00D72C83" w:rsidP="00D3564A">
            <w:pPr>
              <w:pStyle w:val="TableParagraph"/>
              <w:jc w:val="center"/>
              <w:rPr>
                <w:rFonts w:ascii="Times New Roman" w:hAnsi="Times New Roman"/>
              </w:rPr>
            </w:pPr>
          </w:p>
          <w:p w14:paraId="0718DD2A" w14:textId="77777777" w:rsidR="00D72C83" w:rsidRPr="00D3564A" w:rsidRDefault="00D72C83" w:rsidP="00D3564A">
            <w:pPr>
              <w:pStyle w:val="TableParagraph"/>
              <w:jc w:val="center"/>
              <w:rPr>
                <w:rFonts w:ascii="Times New Roman" w:hAnsi="Times New Roman"/>
              </w:rPr>
            </w:pPr>
          </w:p>
          <w:p w14:paraId="5FE9493B" w14:textId="77777777" w:rsidR="00D72C83" w:rsidRPr="00D3564A" w:rsidRDefault="00D72C83" w:rsidP="00D3564A">
            <w:pPr>
              <w:pStyle w:val="TableParagraph"/>
              <w:jc w:val="center"/>
              <w:rPr>
                <w:rFonts w:ascii="Times New Roman" w:hAnsi="Times New Roman"/>
              </w:rPr>
            </w:pPr>
          </w:p>
          <w:p w14:paraId="13AB4663" w14:textId="77777777" w:rsidR="00D72C83" w:rsidRPr="00D3564A" w:rsidRDefault="00D72C83" w:rsidP="00D3564A">
            <w:pPr>
              <w:pStyle w:val="TableParagraph"/>
              <w:jc w:val="center"/>
              <w:rPr>
                <w:rFonts w:ascii="Times New Roman" w:hAnsi="Times New Roman"/>
              </w:rPr>
            </w:pPr>
          </w:p>
          <w:p w14:paraId="2CB7F14C"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0,42</w:t>
            </w:r>
          </w:p>
          <w:p w14:paraId="27B0C654" w14:textId="77777777" w:rsidR="00D72C83" w:rsidRPr="00D3564A" w:rsidRDefault="00D72C83" w:rsidP="00D3564A">
            <w:pPr>
              <w:pStyle w:val="TableParagraph"/>
              <w:jc w:val="center"/>
              <w:rPr>
                <w:rFonts w:ascii="Times New Roman" w:hAnsi="Times New Roman"/>
              </w:rPr>
            </w:pPr>
          </w:p>
          <w:p w14:paraId="43B5569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(0,27 – 0,64)</w:t>
            </w:r>
          </w:p>
          <w:p w14:paraId="1EC6A82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0,47</w:t>
            </w:r>
          </w:p>
          <w:p w14:paraId="462ECCB2"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(0,27 – 0,78)</w:t>
            </w:r>
          </w:p>
        </w:tc>
        <w:tc>
          <w:tcPr>
            <w:tcW w:w="1170" w:type="dxa"/>
            <w:tcBorders>
              <w:top w:val="single" w:sz="6" w:space="0" w:color="000000"/>
              <w:left w:val="single" w:sz="6" w:space="0" w:color="000000"/>
              <w:bottom w:val="single" w:sz="6" w:space="0" w:color="000000"/>
              <w:right w:val="single" w:sz="2" w:space="0" w:color="000000"/>
            </w:tcBorders>
          </w:tcPr>
          <w:p w14:paraId="0C6F964B" w14:textId="77777777" w:rsidR="00D72C83" w:rsidRPr="00D3564A" w:rsidRDefault="00D72C83" w:rsidP="00D3564A">
            <w:pPr>
              <w:pStyle w:val="TableParagraph"/>
              <w:jc w:val="center"/>
              <w:rPr>
                <w:rFonts w:ascii="Times New Roman" w:hAnsi="Times New Roman"/>
              </w:rPr>
            </w:pPr>
          </w:p>
          <w:p w14:paraId="2FE5759E" w14:textId="77777777" w:rsidR="00D72C83" w:rsidRPr="00D3564A" w:rsidRDefault="00D72C83" w:rsidP="00D3564A">
            <w:pPr>
              <w:pStyle w:val="TableParagraph"/>
              <w:jc w:val="center"/>
              <w:rPr>
                <w:rFonts w:ascii="Times New Roman" w:hAnsi="Times New Roman"/>
              </w:rPr>
            </w:pPr>
          </w:p>
          <w:p w14:paraId="10DDF4FC" w14:textId="77777777" w:rsidR="00D72C83" w:rsidRPr="00D3564A" w:rsidRDefault="00D72C83" w:rsidP="00D3564A">
            <w:pPr>
              <w:pStyle w:val="TableParagraph"/>
              <w:jc w:val="center"/>
              <w:rPr>
                <w:rFonts w:ascii="Times New Roman" w:hAnsi="Times New Roman"/>
              </w:rPr>
            </w:pPr>
          </w:p>
          <w:p w14:paraId="2E0C1F12" w14:textId="77777777" w:rsidR="00D72C83" w:rsidRPr="00D3564A" w:rsidRDefault="00D72C83" w:rsidP="00D3564A">
            <w:pPr>
              <w:pStyle w:val="TableParagraph"/>
              <w:jc w:val="center"/>
              <w:rPr>
                <w:rFonts w:ascii="Times New Roman" w:hAnsi="Times New Roman"/>
              </w:rPr>
            </w:pPr>
          </w:p>
          <w:p w14:paraId="2210BFDF" w14:textId="77777777" w:rsidR="00D72C83" w:rsidRPr="00D3564A" w:rsidRDefault="00D72C83" w:rsidP="00D3564A">
            <w:pPr>
              <w:pStyle w:val="TableParagraph"/>
              <w:jc w:val="center"/>
              <w:rPr>
                <w:rFonts w:ascii="Times New Roman" w:hAnsi="Times New Roman"/>
              </w:rPr>
            </w:pPr>
          </w:p>
          <w:p w14:paraId="779D88AD"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&lt; 0,0001</w:t>
            </w:r>
          </w:p>
          <w:p w14:paraId="71915DAA" w14:textId="77777777" w:rsidR="00D72C83" w:rsidRPr="00D3564A" w:rsidRDefault="00D72C83" w:rsidP="00D3564A">
            <w:pPr>
              <w:pStyle w:val="TableParagraph"/>
              <w:jc w:val="center"/>
              <w:rPr>
                <w:rFonts w:ascii="Times New Roman" w:hAnsi="Times New Roman"/>
              </w:rPr>
            </w:pPr>
          </w:p>
          <w:p w14:paraId="70C336AB" w14:textId="77777777" w:rsidR="00D72C83" w:rsidRPr="00D3564A" w:rsidRDefault="00D72C83" w:rsidP="00D3564A">
            <w:pPr>
              <w:pStyle w:val="TableParagraph"/>
              <w:jc w:val="center"/>
              <w:rPr>
                <w:rFonts w:ascii="Times New Roman" w:hAnsi="Times New Roman"/>
              </w:rPr>
            </w:pPr>
          </w:p>
          <w:p w14:paraId="0C153E5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 0,003</w:t>
            </w:r>
          </w:p>
        </w:tc>
      </w:tr>
      <w:tr w:rsidR="00D72C83" w:rsidRPr="00667863" w14:paraId="76E7AB8B" w14:textId="77777777" w:rsidTr="00E23115">
        <w:trPr>
          <w:trHeight w:hRule="exact" w:val="906"/>
        </w:trPr>
        <w:tc>
          <w:tcPr>
            <w:tcW w:w="2087" w:type="dxa"/>
            <w:vMerge/>
            <w:tcBorders>
              <w:top w:val="single" w:sz="2" w:space="0" w:color="000000"/>
              <w:left w:val="single" w:sz="2" w:space="0" w:color="000000"/>
              <w:bottom w:val="single" w:sz="2" w:space="0" w:color="000000"/>
              <w:right w:val="single" w:sz="6" w:space="0" w:color="000000"/>
            </w:tcBorders>
          </w:tcPr>
          <w:p w14:paraId="2075A2EA"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5BF7B51C"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Geriausias bendrojo atsako dažnis (VA/DA)</w:t>
            </w:r>
          </w:p>
        </w:tc>
        <w:tc>
          <w:tcPr>
            <w:tcW w:w="1142" w:type="dxa"/>
            <w:tcBorders>
              <w:top w:val="single" w:sz="6" w:space="0" w:color="000000"/>
              <w:left w:val="single" w:sz="6" w:space="0" w:color="000000"/>
              <w:bottom w:val="single" w:sz="6" w:space="0" w:color="000000"/>
              <w:right w:val="single" w:sz="6" w:space="0" w:color="000000"/>
            </w:tcBorders>
          </w:tcPr>
          <w:p w14:paraId="48EBE5A9"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54,5 %</w:t>
            </w:r>
          </w:p>
        </w:tc>
        <w:tc>
          <w:tcPr>
            <w:tcW w:w="1349" w:type="dxa"/>
            <w:tcBorders>
              <w:top w:val="single" w:sz="6" w:space="0" w:color="000000"/>
              <w:left w:val="single" w:sz="6" w:space="0" w:color="000000"/>
              <w:bottom w:val="single" w:sz="6" w:space="0" w:color="000000"/>
              <w:right w:val="single" w:sz="6" w:space="0" w:color="000000"/>
            </w:tcBorders>
          </w:tcPr>
          <w:p w14:paraId="1CD6733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10,5 %</w:t>
            </w:r>
          </w:p>
        </w:tc>
        <w:tc>
          <w:tcPr>
            <w:tcW w:w="1513" w:type="dxa"/>
            <w:tcBorders>
              <w:top w:val="single" w:sz="6" w:space="0" w:color="000000"/>
              <w:left w:val="single" w:sz="6" w:space="0" w:color="000000"/>
              <w:bottom w:val="single" w:sz="6" w:space="0" w:color="000000"/>
              <w:right w:val="single" w:sz="6" w:space="0" w:color="000000"/>
            </w:tcBorders>
          </w:tcPr>
          <w:p w14:paraId="6A0ED141" w14:textId="77777777" w:rsidR="00D72C83" w:rsidRPr="00667863" w:rsidRDefault="00D72C83" w:rsidP="00E23115">
            <w:pPr>
              <w:jc w:val="center"/>
            </w:pPr>
          </w:p>
        </w:tc>
        <w:tc>
          <w:tcPr>
            <w:tcW w:w="1170" w:type="dxa"/>
            <w:tcBorders>
              <w:top w:val="single" w:sz="6" w:space="0" w:color="000000"/>
              <w:left w:val="single" w:sz="6" w:space="0" w:color="000000"/>
              <w:bottom w:val="single" w:sz="6" w:space="0" w:color="000000"/>
              <w:right w:val="single" w:sz="2" w:space="0" w:color="000000"/>
            </w:tcBorders>
          </w:tcPr>
          <w:p w14:paraId="557EA75E"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&lt; 0,0001</w:t>
            </w:r>
          </w:p>
        </w:tc>
      </w:tr>
      <w:tr w:rsidR="00D72C83" w:rsidRPr="00667863" w14:paraId="35F685C0" w14:textId="77777777" w:rsidTr="00E23115">
        <w:trPr>
          <w:trHeight w:hRule="exact" w:val="895"/>
        </w:trPr>
        <w:tc>
          <w:tcPr>
            <w:tcW w:w="2087" w:type="dxa"/>
            <w:vMerge/>
            <w:tcBorders>
              <w:top w:val="single" w:sz="2" w:space="0" w:color="000000"/>
              <w:left w:val="single" w:sz="2" w:space="0" w:color="000000"/>
              <w:bottom w:val="single" w:sz="6" w:space="0" w:color="000000"/>
              <w:right w:val="single" w:sz="6" w:space="0" w:color="000000"/>
            </w:tcBorders>
          </w:tcPr>
          <w:p w14:paraId="30ACF101"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75A6706D"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Bendrasis išgyvenamumas (BI) (mėnesiais)</w:t>
            </w:r>
          </w:p>
        </w:tc>
        <w:tc>
          <w:tcPr>
            <w:tcW w:w="1142" w:type="dxa"/>
            <w:tcBorders>
              <w:top w:val="single" w:sz="6" w:space="0" w:color="000000"/>
              <w:left w:val="single" w:sz="6" w:space="0" w:color="000000"/>
              <w:bottom w:val="single" w:sz="6" w:space="0" w:color="000000"/>
              <w:right w:val="single" w:sz="6" w:space="0" w:color="000000"/>
            </w:tcBorders>
          </w:tcPr>
          <w:p w14:paraId="0D34073A"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22,9</w:t>
            </w:r>
          </w:p>
        </w:tc>
        <w:tc>
          <w:tcPr>
            <w:tcW w:w="1349" w:type="dxa"/>
            <w:tcBorders>
              <w:top w:val="single" w:sz="6" w:space="0" w:color="000000"/>
              <w:left w:val="single" w:sz="6" w:space="0" w:color="000000"/>
              <w:bottom w:val="single" w:sz="6" w:space="0" w:color="000000"/>
              <w:right w:val="single" w:sz="6" w:space="0" w:color="000000"/>
            </w:tcBorders>
          </w:tcPr>
          <w:p w14:paraId="2005F8D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18,8</w:t>
            </w:r>
          </w:p>
        </w:tc>
        <w:tc>
          <w:tcPr>
            <w:tcW w:w="1513" w:type="dxa"/>
            <w:tcBorders>
              <w:top w:val="single" w:sz="6" w:space="0" w:color="000000"/>
              <w:left w:val="single" w:sz="6" w:space="0" w:color="000000"/>
              <w:bottom w:val="single" w:sz="6" w:space="0" w:color="000000"/>
              <w:right w:val="single" w:sz="6" w:space="0" w:color="000000"/>
            </w:tcBorders>
          </w:tcPr>
          <w:p w14:paraId="20280F7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0,80</w:t>
            </w:r>
          </w:p>
          <w:p w14:paraId="3BE7483D"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(0,47 – 1,37)</w:t>
            </w:r>
          </w:p>
        </w:tc>
        <w:tc>
          <w:tcPr>
            <w:tcW w:w="1170" w:type="dxa"/>
            <w:tcBorders>
              <w:top w:val="single" w:sz="6" w:space="0" w:color="000000"/>
              <w:left w:val="single" w:sz="6" w:space="0" w:color="000000"/>
              <w:bottom w:val="single" w:sz="6" w:space="0" w:color="000000"/>
              <w:right w:val="single" w:sz="2" w:space="0" w:color="000000"/>
            </w:tcBorders>
          </w:tcPr>
          <w:p w14:paraId="32CB227B"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 0,4170</w:t>
            </w:r>
          </w:p>
        </w:tc>
      </w:tr>
      <w:tr w:rsidR="00D72C83" w:rsidRPr="00667863" w14:paraId="649A898C" w14:textId="77777777" w:rsidTr="00E23115">
        <w:trPr>
          <w:trHeight w:hRule="exact" w:val="403"/>
        </w:trPr>
        <w:tc>
          <w:tcPr>
            <w:tcW w:w="2087" w:type="dxa"/>
            <w:vMerge w:val="restart"/>
            <w:tcBorders>
              <w:top w:val="single" w:sz="6" w:space="0" w:color="000000"/>
              <w:left w:val="single" w:sz="2" w:space="0" w:color="000000"/>
              <w:bottom w:val="single" w:sz="2" w:space="0" w:color="000000"/>
              <w:right w:val="single" w:sz="6" w:space="0" w:color="000000"/>
            </w:tcBorders>
          </w:tcPr>
          <w:p w14:paraId="4D75F203" w14:textId="77777777" w:rsidR="00D72C83" w:rsidRPr="00E35BE6" w:rsidRDefault="00D72C83" w:rsidP="00D3564A">
            <w:pPr>
              <w:pStyle w:val="TableParagraph"/>
              <w:ind w:hanging="1"/>
              <w:rPr>
                <w:rFonts w:ascii="Times New Roman" w:hAnsi="Times New Roman"/>
                <w:lang w:val="pt-PT"/>
              </w:rPr>
            </w:pPr>
            <w:r w:rsidRPr="00D3564A">
              <w:rPr>
                <w:rFonts w:ascii="Times New Roman" w:hAnsi="Times New Roman"/>
                <w:lang w:val="lt-LT"/>
              </w:rPr>
              <w:lastRenderedPageBreak/>
              <w:t>Žvalgomoji analizė (BI termino 40 %) (n = 173)</w:t>
            </w:r>
          </w:p>
          <w:p w14:paraId="40D24012" w14:textId="77777777" w:rsidR="00D72C83" w:rsidRPr="00E35BE6" w:rsidRDefault="00D72C83" w:rsidP="00D3564A">
            <w:pPr>
              <w:pStyle w:val="TableParagraph"/>
              <w:rPr>
                <w:rFonts w:ascii="Times New Roman" w:hAnsi="Times New Roman"/>
                <w:lang w:val="pt-PT"/>
              </w:rPr>
            </w:pPr>
          </w:p>
          <w:p w14:paraId="5CF0CA5B"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Duomenų rinkimo pabaiga: 2011 m. sausis</w:t>
            </w:r>
          </w:p>
        </w:tc>
        <w:tc>
          <w:tcPr>
            <w:tcW w:w="2262" w:type="dxa"/>
            <w:tcBorders>
              <w:top w:val="single" w:sz="6" w:space="0" w:color="000000"/>
              <w:left w:val="single" w:sz="6" w:space="0" w:color="000000"/>
              <w:bottom w:val="single" w:sz="6" w:space="0" w:color="000000"/>
              <w:right w:val="single" w:sz="6" w:space="0" w:color="000000"/>
            </w:tcBorders>
          </w:tcPr>
          <w:p w14:paraId="1C8FDA68" w14:textId="77777777" w:rsidR="00D72C83" w:rsidRPr="00667863" w:rsidRDefault="00D72C83" w:rsidP="00E23115"/>
        </w:tc>
        <w:tc>
          <w:tcPr>
            <w:tcW w:w="1142" w:type="dxa"/>
            <w:tcBorders>
              <w:top w:val="single" w:sz="6" w:space="0" w:color="000000"/>
              <w:left w:val="single" w:sz="6" w:space="0" w:color="000000"/>
              <w:bottom w:val="single" w:sz="6" w:space="0" w:color="000000"/>
              <w:right w:val="single" w:sz="6" w:space="0" w:color="000000"/>
            </w:tcBorders>
          </w:tcPr>
          <w:p w14:paraId="55BA76FC"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n = 86</w:t>
            </w:r>
          </w:p>
        </w:tc>
        <w:tc>
          <w:tcPr>
            <w:tcW w:w="1349" w:type="dxa"/>
            <w:tcBorders>
              <w:top w:val="single" w:sz="6" w:space="0" w:color="000000"/>
              <w:left w:val="single" w:sz="6" w:space="0" w:color="000000"/>
              <w:bottom w:val="single" w:sz="6" w:space="0" w:color="000000"/>
              <w:right w:val="single" w:sz="6" w:space="0" w:color="000000"/>
            </w:tcBorders>
          </w:tcPr>
          <w:p w14:paraId="6D738C0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n = 87</w:t>
            </w:r>
          </w:p>
        </w:tc>
        <w:tc>
          <w:tcPr>
            <w:tcW w:w="1513" w:type="dxa"/>
            <w:tcBorders>
              <w:top w:val="single" w:sz="6" w:space="0" w:color="000000"/>
              <w:left w:val="single" w:sz="6" w:space="0" w:color="000000"/>
              <w:bottom w:val="single" w:sz="6" w:space="0" w:color="000000"/>
              <w:right w:val="single" w:sz="6" w:space="0" w:color="000000"/>
            </w:tcBorders>
          </w:tcPr>
          <w:p w14:paraId="04CF79EE" w14:textId="77777777" w:rsidR="00D72C83" w:rsidRPr="00667863" w:rsidRDefault="00D72C83" w:rsidP="00E23115">
            <w:pPr>
              <w:jc w:val="center"/>
            </w:pPr>
          </w:p>
        </w:tc>
        <w:tc>
          <w:tcPr>
            <w:tcW w:w="1170" w:type="dxa"/>
            <w:tcBorders>
              <w:top w:val="single" w:sz="6" w:space="0" w:color="000000"/>
              <w:left w:val="single" w:sz="6" w:space="0" w:color="000000"/>
              <w:bottom w:val="single" w:sz="6" w:space="0" w:color="000000"/>
              <w:right w:val="single" w:sz="2" w:space="0" w:color="000000"/>
            </w:tcBorders>
          </w:tcPr>
          <w:p w14:paraId="26855855" w14:textId="77777777" w:rsidR="00D72C83" w:rsidRPr="00667863" w:rsidRDefault="00D72C83" w:rsidP="00E23115">
            <w:pPr>
              <w:jc w:val="center"/>
            </w:pPr>
          </w:p>
        </w:tc>
      </w:tr>
      <w:tr w:rsidR="00D72C83" w:rsidRPr="00667863" w14:paraId="193ED675" w14:textId="77777777" w:rsidTr="00E23115">
        <w:trPr>
          <w:trHeight w:hRule="exact" w:val="900"/>
        </w:trPr>
        <w:tc>
          <w:tcPr>
            <w:tcW w:w="2087" w:type="dxa"/>
            <w:vMerge/>
            <w:tcBorders>
              <w:top w:val="single" w:sz="2" w:space="0" w:color="000000"/>
              <w:left w:val="single" w:sz="2" w:space="0" w:color="000000"/>
              <w:bottom w:val="single" w:sz="2" w:space="0" w:color="000000"/>
              <w:right w:val="single" w:sz="6" w:space="0" w:color="000000"/>
            </w:tcBorders>
          </w:tcPr>
          <w:p w14:paraId="179BA371"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48D9E8E3"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PFS (mediana mėnesiais),</w:t>
            </w:r>
          </w:p>
          <w:p w14:paraId="6AC82733"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Įvertinta tyrėjo</w:t>
            </w:r>
          </w:p>
        </w:tc>
        <w:tc>
          <w:tcPr>
            <w:tcW w:w="1142" w:type="dxa"/>
            <w:tcBorders>
              <w:top w:val="single" w:sz="6" w:space="0" w:color="000000"/>
              <w:left w:val="single" w:sz="6" w:space="0" w:color="000000"/>
              <w:bottom w:val="single" w:sz="6" w:space="0" w:color="000000"/>
              <w:right w:val="single" w:sz="6" w:space="0" w:color="000000"/>
            </w:tcBorders>
          </w:tcPr>
          <w:p w14:paraId="1B94CE75"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9,7</w:t>
            </w:r>
          </w:p>
        </w:tc>
        <w:tc>
          <w:tcPr>
            <w:tcW w:w="1349" w:type="dxa"/>
            <w:tcBorders>
              <w:top w:val="single" w:sz="6" w:space="0" w:color="000000"/>
              <w:left w:val="single" w:sz="6" w:space="0" w:color="000000"/>
              <w:bottom w:val="single" w:sz="6" w:space="0" w:color="000000"/>
              <w:right w:val="single" w:sz="6" w:space="0" w:color="000000"/>
            </w:tcBorders>
          </w:tcPr>
          <w:p w14:paraId="36C12CF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5,2</w:t>
            </w:r>
          </w:p>
        </w:tc>
        <w:tc>
          <w:tcPr>
            <w:tcW w:w="1513" w:type="dxa"/>
            <w:tcBorders>
              <w:top w:val="single" w:sz="6" w:space="0" w:color="000000"/>
              <w:left w:val="single" w:sz="6" w:space="0" w:color="000000"/>
              <w:bottom w:val="single" w:sz="6" w:space="0" w:color="000000"/>
              <w:right w:val="single" w:sz="6" w:space="0" w:color="000000"/>
            </w:tcBorders>
          </w:tcPr>
          <w:p w14:paraId="2BE66D4D"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0,37</w:t>
            </w:r>
          </w:p>
          <w:p w14:paraId="41FBE296"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(0,27 – 0,54)</w:t>
            </w:r>
          </w:p>
        </w:tc>
        <w:tc>
          <w:tcPr>
            <w:tcW w:w="1170" w:type="dxa"/>
            <w:tcBorders>
              <w:top w:val="single" w:sz="6" w:space="0" w:color="000000"/>
              <w:left w:val="single" w:sz="6" w:space="0" w:color="000000"/>
              <w:bottom w:val="single" w:sz="6" w:space="0" w:color="000000"/>
              <w:right w:val="single" w:sz="2" w:space="0" w:color="000000"/>
            </w:tcBorders>
          </w:tcPr>
          <w:p w14:paraId="7730767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&lt; 0,0001</w:t>
            </w:r>
          </w:p>
        </w:tc>
      </w:tr>
      <w:tr w:rsidR="00D72C83" w:rsidRPr="00667863" w14:paraId="41C77800" w14:textId="77777777" w:rsidTr="00E23115">
        <w:trPr>
          <w:trHeight w:hRule="exact" w:val="843"/>
        </w:trPr>
        <w:tc>
          <w:tcPr>
            <w:tcW w:w="2087" w:type="dxa"/>
            <w:vMerge/>
            <w:tcBorders>
              <w:top w:val="single" w:sz="2" w:space="0" w:color="000000"/>
              <w:left w:val="single" w:sz="2" w:space="0" w:color="000000"/>
              <w:bottom w:val="single" w:sz="2" w:space="0" w:color="000000"/>
              <w:right w:val="single" w:sz="6" w:space="0" w:color="000000"/>
            </w:tcBorders>
          </w:tcPr>
          <w:p w14:paraId="1AB604C6"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53E1D13B" w14:textId="77777777" w:rsidR="00D72C83" w:rsidRPr="00E35BE6" w:rsidRDefault="00D72C83" w:rsidP="00D3564A">
            <w:pPr>
              <w:pStyle w:val="TableParagraph"/>
              <w:rPr>
                <w:rFonts w:ascii="Times New Roman" w:hAnsi="Times New Roman"/>
                <w:lang w:val="pt-PT"/>
              </w:rPr>
            </w:pPr>
            <w:r w:rsidRPr="00D3564A">
              <w:rPr>
                <w:rFonts w:ascii="Times New Roman" w:hAnsi="Times New Roman"/>
                <w:lang w:val="lt-LT"/>
              </w:rPr>
              <w:t>Geriausias bendrojo atsako dažnis (VA/DA)</w:t>
            </w:r>
          </w:p>
        </w:tc>
        <w:tc>
          <w:tcPr>
            <w:tcW w:w="1142" w:type="dxa"/>
            <w:tcBorders>
              <w:top w:val="single" w:sz="6" w:space="0" w:color="000000"/>
              <w:left w:val="single" w:sz="6" w:space="0" w:color="000000"/>
              <w:bottom w:val="single" w:sz="6" w:space="0" w:color="000000"/>
              <w:right w:val="single" w:sz="6" w:space="0" w:color="000000"/>
            </w:tcBorders>
          </w:tcPr>
          <w:p w14:paraId="1924B235"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58,1 %</w:t>
            </w:r>
          </w:p>
        </w:tc>
        <w:tc>
          <w:tcPr>
            <w:tcW w:w="1349" w:type="dxa"/>
            <w:tcBorders>
              <w:top w:val="single" w:sz="6" w:space="0" w:color="000000"/>
              <w:left w:val="single" w:sz="6" w:space="0" w:color="000000"/>
              <w:bottom w:val="single" w:sz="6" w:space="0" w:color="000000"/>
              <w:right w:val="single" w:sz="6" w:space="0" w:color="000000"/>
            </w:tcBorders>
          </w:tcPr>
          <w:p w14:paraId="2FD552B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14,9 %</w:t>
            </w:r>
          </w:p>
        </w:tc>
        <w:tc>
          <w:tcPr>
            <w:tcW w:w="1513" w:type="dxa"/>
            <w:tcBorders>
              <w:top w:val="single" w:sz="6" w:space="0" w:color="000000"/>
              <w:left w:val="single" w:sz="6" w:space="0" w:color="000000"/>
              <w:bottom w:val="single" w:sz="6" w:space="0" w:color="000000"/>
              <w:right w:val="single" w:sz="6" w:space="0" w:color="000000"/>
            </w:tcBorders>
          </w:tcPr>
          <w:p w14:paraId="25D286C1" w14:textId="77777777" w:rsidR="00D72C83" w:rsidRPr="00667863" w:rsidRDefault="00D72C83" w:rsidP="00E23115">
            <w:pPr>
              <w:jc w:val="center"/>
            </w:pPr>
          </w:p>
        </w:tc>
        <w:tc>
          <w:tcPr>
            <w:tcW w:w="1170" w:type="dxa"/>
            <w:tcBorders>
              <w:top w:val="single" w:sz="6" w:space="0" w:color="000000"/>
              <w:left w:val="single" w:sz="6" w:space="0" w:color="000000"/>
              <w:bottom w:val="single" w:sz="6" w:space="0" w:color="000000"/>
              <w:right w:val="single" w:sz="2" w:space="0" w:color="000000"/>
            </w:tcBorders>
          </w:tcPr>
          <w:p w14:paraId="188858E8"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&lt; 0,0001</w:t>
            </w:r>
          </w:p>
        </w:tc>
      </w:tr>
      <w:tr w:rsidR="00D72C83" w:rsidRPr="00667863" w14:paraId="63207B31" w14:textId="77777777" w:rsidTr="00E23115">
        <w:trPr>
          <w:trHeight w:hRule="exact" w:val="544"/>
        </w:trPr>
        <w:tc>
          <w:tcPr>
            <w:tcW w:w="2087" w:type="dxa"/>
            <w:vMerge/>
            <w:tcBorders>
              <w:top w:val="single" w:sz="2" w:space="0" w:color="000000"/>
              <w:left w:val="single" w:sz="2" w:space="0" w:color="000000"/>
              <w:bottom w:val="single" w:sz="6" w:space="0" w:color="000000"/>
              <w:right w:val="single" w:sz="6" w:space="0" w:color="000000"/>
            </w:tcBorders>
          </w:tcPr>
          <w:p w14:paraId="1C5368ED"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46ED062B"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BI (mėnesiais)</w:t>
            </w:r>
          </w:p>
        </w:tc>
        <w:tc>
          <w:tcPr>
            <w:tcW w:w="1142" w:type="dxa"/>
            <w:tcBorders>
              <w:top w:val="single" w:sz="6" w:space="0" w:color="000000"/>
              <w:left w:val="single" w:sz="6" w:space="0" w:color="000000"/>
              <w:bottom w:val="single" w:sz="6" w:space="0" w:color="000000"/>
              <w:right w:val="single" w:sz="6" w:space="0" w:color="000000"/>
            </w:tcBorders>
          </w:tcPr>
          <w:p w14:paraId="0E1270B2"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19,3</w:t>
            </w:r>
          </w:p>
        </w:tc>
        <w:tc>
          <w:tcPr>
            <w:tcW w:w="1349" w:type="dxa"/>
            <w:tcBorders>
              <w:top w:val="single" w:sz="6" w:space="0" w:color="000000"/>
              <w:left w:val="single" w:sz="6" w:space="0" w:color="000000"/>
              <w:bottom w:val="single" w:sz="6" w:space="0" w:color="000000"/>
              <w:right w:val="single" w:sz="6" w:space="0" w:color="000000"/>
            </w:tcBorders>
          </w:tcPr>
          <w:p w14:paraId="747A24AB"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19,5</w:t>
            </w:r>
          </w:p>
        </w:tc>
        <w:tc>
          <w:tcPr>
            <w:tcW w:w="1513" w:type="dxa"/>
            <w:tcBorders>
              <w:top w:val="single" w:sz="6" w:space="0" w:color="000000"/>
              <w:left w:val="single" w:sz="6" w:space="0" w:color="000000"/>
              <w:bottom w:val="single" w:sz="6" w:space="0" w:color="000000"/>
              <w:right w:val="single" w:sz="6" w:space="0" w:color="000000"/>
            </w:tcBorders>
          </w:tcPr>
          <w:p w14:paraId="0CDDA351"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1,04</w:t>
            </w:r>
          </w:p>
          <w:p w14:paraId="2DCF232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[0,65-1,68]</w:t>
            </w:r>
          </w:p>
        </w:tc>
        <w:tc>
          <w:tcPr>
            <w:tcW w:w="1170" w:type="dxa"/>
            <w:tcBorders>
              <w:top w:val="single" w:sz="6" w:space="0" w:color="000000"/>
              <w:left w:val="single" w:sz="6" w:space="0" w:color="000000"/>
              <w:bottom w:val="single" w:sz="6" w:space="0" w:color="000000"/>
              <w:right w:val="single" w:sz="2" w:space="0" w:color="000000"/>
            </w:tcBorders>
          </w:tcPr>
          <w:p w14:paraId="7E8583DC"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p=0,8702</w:t>
            </w:r>
          </w:p>
        </w:tc>
      </w:tr>
      <w:tr w:rsidR="00D72C83" w:rsidRPr="00667863" w14:paraId="305AAFCE" w14:textId="77777777" w:rsidTr="00E23115">
        <w:trPr>
          <w:trHeight w:hRule="exact" w:val="379"/>
        </w:trPr>
        <w:tc>
          <w:tcPr>
            <w:tcW w:w="2087" w:type="dxa"/>
            <w:vMerge w:val="restart"/>
            <w:tcBorders>
              <w:top w:val="single" w:sz="6" w:space="0" w:color="000000"/>
              <w:left w:val="single" w:sz="2" w:space="0" w:color="000000"/>
              <w:bottom w:val="single" w:sz="2" w:space="0" w:color="000000"/>
              <w:right w:val="single" w:sz="6" w:space="0" w:color="000000"/>
            </w:tcBorders>
          </w:tcPr>
          <w:p w14:paraId="7022F2C5" w14:textId="58DDAA30" w:rsidR="00D72C83" w:rsidRPr="00D3564A" w:rsidRDefault="0035242E" w:rsidP="00D3564A">
            <w:pPr>
              <w:pStyle w:val="TableParagraph"/>
              <w:rPr>
                <w:rFonts w:ascii="Times New Roman" w:hAnsi="Times New Roman"/>
              </w:rPr>
            </w:pPr>
            <w:r>
              <w:rPr>
                <w:rFonts w:ascii="Times New Roman" w:hAnsi="Times New Roman"/>
                <w:lang w:val="lt-LT"/>
              </w:rPr>
              <w:t xml:space="preserve"> </w:t>
            </w:r>
            <w:r w:rsidR="00D72C83" w:rsidRPr="00D3564A">
              <w:rPr>
                <w:rFonts w:ascii="Times New Roman" w:hAnsi="Times New Roman"/>
                <w:lang w:val="lt-LT"/>
              </w:rPr>
              <w:t>Atnaujinta analizė (BI termino 62 %)</w:t>
            </w:r>
          </w:p>
          <w:p w14:paraId="07C865F5"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(n = 173)</w:t>
            </w:r>
          </w:p>
          <w:p w14:paraId="2DFC1B2E" w14:textId="77777777" w:rsidR="00D72C83" w:rsidRPr="00D3564A" w:rsidRDefault="00D72C83" w:rsidP="00D3564A">
            <w:pPr>
              <w:pStyle w:val="TableParagraph"/>
              <w:rPr>
                <w:rFonts w:ascii="Times New Roman" w:hAnsi="Times New Roman"/>
              </w:rPr>
            </w:pPr>
          </w:p>
          <w:p w14:paraId="3BAB8FE0"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Duomenų rinkimo pabaiga: 2012 m. balandis</w:t>
            </w:r>
          </w:p>
        </w:tc>
        <w:tc>
          <w:tcPr>
            <w:tcW w:w="2262" w:type="dxa"/>
            <w:tcBorders>
              <w:top w:val="single" w:sz="6" w:space="0" w:color="000000"/>
              <w:left w:val="single" w:sz="6" w:space="0" w:color="000000"/>
              <w:bottom w:val="single" w:sz="6" w:space="0" w:color="000000"/>
              <w:right w:val="single" w:sz="6" w:space="0" w:color="000000"/>
            </w:tcBorders>
          </w:tcPr>
          <w:p w14:paraId="3FBB47E3" w14:textId="77777777" w:rsidR="00D72C83" w:rsidRPr="00667863" w:rsidRDefault="00D72C83" w:rsidP="00E23115"/>
        </w:tc>
        <w:tc>
          <w:tcPr>
            <w:tcW w:w="1142" w:type="dxa"/>
            <w:tcBorders>
              <w:top w:val="single" w:sz="6" w:space="0" w:color="000000"/>
              <w:left w:val="single" w:sz="6" w:space="0" w:color="000000"/>
              <w:bottom w:val="single" w:sz="6" w:space="0" w:color="000000"/>
              <w:right w:val="single" w:sz="6" w:space="0" w:color="000000"/>
            </w:tcBorders>
          </w:tcPr>
          <w:p w14:paraId="0EC19C32"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n = 86</w:t>
            </w:r>
          </w:p>
        </w:tc>
        <w:tc>
          <w:tcPr>
            <w:tcW w:w="1349" w:type="dxa"/>
            <w:tcBorders>
              <w:top w:val="single" w:sz="6" w:space="0" w:color="000000"/>
              <w:left w:val="single" w:sz="6" w:space="0" w:color="000000"/>
              <w:bottom w:val="single" w:sz="6" w:space="0" w:color="000000"/>
              <w:right w:val="single" w:sz="6" w:space="0" w:color="000000"/>
            </w:tcBorders>
          </w:tcPr>
          <w:p w14:paraId="3491DDA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n = 87</w:t>
            </w:r>
          </w:p>
        </w:tc>
        <w:tc>
          <w:tcPr>
            <w:tcW w:w="1513" w:type="dxa"/>
            <w:tcBorders>
              <w:top w:val="single" w:sz="6" w:space="0" w:color="000000"/>
              <w:left w:val="single" w:sz="6" w:space="0" w:color="000000"/>
              <w:bottom w:val="single" w:sz="6" w:space="0" w:color="000000"/>
              <w:right w:val="single" w:sz="6" w:space="0" w:color="000000"/>
            </w:tcBorders>
          </w:tcPr>
          <w:p w14:paraId="5AF0AE40" w14:textId="77777777" w:rsidR="00D72C83" w:rsidRPr="00667863" w:rsidRDefault="00D72C83" w:rsidP="00E23115">
            <w:pPr>
              <w:jc w:val="center"/>
            </w:pPr>
          </w:p>
        </w:tc>
        <w:tc>
          <w:tcPr>
            <w:tcW w:w="1170" w:type="dxa"/>
            <w:tcBorders>
              <w:top w:val="single" w:sz="6" w:space="0" w:color="000000"/>
              <w:left w:val="single" w:sz="6" w:space="0" w:color="000000"/>
              <w:bottom w:val="single" w:sz="6" w:space="0" w:color="000000"/>
              <w:right w:val="single" w:sz="2" w:space="0" w:color="000000"/>
            </w:tcBorders>
          </w:tcPr>
          <w:p w14:paraId="5E59A6A3" w14:textId="77777777" w:rsidR="00D72C83" w:rsidRPr="00667863" w:rsidRDefault="00D72C83" w:rsidP="00E23115">
            <w:pPr>
              <w:jc w:val="center"/>
            </w:pPr>
          </w:p>
        </w:tc>
      </w:tr>
      <w:tr w:rsidR="00D72C83" w:rsidRPr="00667863" w14:paraId="48D47F4B" w14:textId="77777777" w:rsidTr="00E23115">
        <w:trPr>
          <w:trHeight w:hRule="exact" w:val="626"/>
        </w:trPr>
        <w:tc>
          <w:tcPr>
            <w:tcW w:w="2087" w:type="dxa"/>
            <w:vMerge/>
            <w:tcBorders>
              <w:top w:val="single" w:sz="2" w:space="0" w:color="000000"/>
              <w:left w:val="single" w:sz="2" w:space="0" w:color="000000"/>
              <w:bottom w:val="single" w:sz="2" w:space="0" w:color="000000"/>
              <w:right w:val="single" w:sz="6" w:space="0" w:color="000000"/>
            </w:tcBorders>
          </w:tcPr>
          <w:p w14:paraId="22173D97" w14:textId="77777777" w:rsidR="00D72C83" w:rsidRPr="00667863" w:rsidRDefault="00D72C83" w:rsidP="00E23115"/>
        </w:tc>
        <w:tc>
          <w:tcPr>
            <w:tcW w:w="2262" w:type="dxa"/>
            <w:tcBorders>
              <w:top w:val="single" w:sz="6" w:space="0" w:color="000000"/>
              <w:left w:val="single" w:sz="6" w:space="0" w:color="000000"/>
              <w:bottom w:val="single" w:sz="6" w:space="0" w:color="000000"/>
              <w:right w:val="single" w:sz="6" w:space="0" w:color="000000"/>
            </w:tcBorders>
          </w:tcPr>
          <w:p w14:paraId="70A295D5"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IBLP (mediana mėnesiais)</w:t>
            </w:r>
          </w:p>
        </w:tc>
        <w:tc>
          <w:tcPr>
            <w:tcW w:w="1142" w:type="dxa"/>
            <w:tcBorders>
              <w:top w:val="single" w:sz="6" w:space="0" w:color="000000"/>
              <w:left w:val="single" w:sz="6" w:space="0" w:color="000000"/>
              <w:bottom w:val="single" w:sz="6" w:space="0" w:color="000000"/>
              <w:right w:val="single" w:sz="6" w:space="0" w:color="000000"/>
            </w:tcBorders>
          </w:tcPr>
          <w:p w14:paraId="285AED43"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10,4</w:t>
            </w:r>
          </w:p>
        </w:tc>
        <w:tc>
          <w:tcPr>
            <w:tcW w:w="1349" w:type="dxa"/>
            <w:tcBorders>
              <w:top w:val="single" w:sz="6" w:space="0" w:color="000000"/>
              <w:left w:val="single" w:sz="6" w:space="0" w:color="000000"/>
              <w:bottom w:val="single" w:sz="6" w:space="0" w:color="000000"/>
              <w:right w:val="single" w:sz="6" w:space="0" w:color="000000"/>
            </w:tcBorders>
          </w:tcPr>
          <w:p w14:paraId="434CF7E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5,1</w:t>
            </w:r>
          </w:p>
        </w:tc>
        <w:tc>
          <w:tcPr>
            <w:tcW w:w="1513" w:type="dxa"/>
            <w:tcBorders>
              <w:top w:val="single" w:sz="6" w:space="0" w:color="000000"/>
              <w:left w:val="single" w:sz="6" w:space="0" w:color="000000"/>
              <w:bottom w:val="single" w:sz="6" w:space="0" w:color="000000"/>
              <w:right w:val="single" w:sz="6" w:space="0" w:color="000000"/>
            </w:tcBorders>
          </w:tcPr>
          <w:p w14:paraId="7AD0686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0,34</w:t>
            </w:r>
          </w:p>
          <w:p w14:paraId="284357A5"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(0,23 – 0,49)</w:t>
            </w:r>
          </w:p>
        </w:tc>
        <w:tc>
          <w:tcPr>
            <w:tcW w:w="1170" w:type="dxa"/>
            <w:tcBorders>
              <w:top w:val="single" w:sz="6" w:space="0" w:color="000000"/>
              <w:left w:val="single" w:sz="6" w:space="0" w:color="000000"/>
              <w:bottom w:val="single" w:sz="6" w:space="0" w:color="000000"/>
              <w:right w:val="single" w:sz="2" w:space="0" w:color="000000"/>
            </w:tcBorders>
          </w:tcPr>
          <w:p w14:paraId="3A862F61"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&lt; 0,0001</w:t>
            </w:r>
          </w:p>
        </w:tc>
      </w:tr>
      <w:tr w:rsidR="00D72C83" w:rsidRPr="00667863" w14:paraId="60F0DC8C" w14:textId="77777777" w:rsidTr="00E23115">
        <w:trPr>
          <w:trHeight w:hRule="exact" w:val="1704"/>
        </w:trPr>
        <w:tc>
          <w:tcPr>
            <w:tcW w:w="2087" w:type="dxa"/>
            <w:vMerge/>
            <w:tcBorders>
              <w:top w:val="single" w:sz="2" w:space="0" w:color="000000"/>
              <w:left w:val="single" w:sz="2" w:space="0" w:color="000000"/>
              <w:bottom w:val="single" w:sz="2" w:space="0" w:color="000000"/>
              <w:right w:val="single" w:sz="6" w:space="0" w:color="000000"/>
            </w:tcBorders>
          </w:tcPr>
          <w:p w14:paraId="1B243F08" w14:textId="77777777" w:rsidR="00D72C83" w:rsidRPr="00667863" w:rsidRDefault="00D72C83" w:rsidP="00E23115"/>
        </w:tc>
        <w:tc>
          <w:tcPr>
            <w:tcW w:w="2262" w:type="dxa"/>
            <w:tcBorders>
              <w:top w:val="single" w:sz="6" w:space="0" w:color="000000"/>
              <w:left w:val="single" w:sz="6" w:space="0" w:color="000000"/>
              <w:bottom w:val="single" w:sz="2" w:space="0" w:color="000000"/>
              <w:right w:val="single" w:sz="6" w:space="0" w:color="000000"/>
            </w:tcBorders>
          </w:tcPr>
          <w:p w14:paraId="5892E721" w14:textId="77777777" w:rsidR="00D72C83" w:rsidRPr="00D3564A" w:rsidRDefault="00D72C83" w:rsidP="00D3564A">
            <w:pPr>
              <w:pStyle w:val="TableParagraph"/>
              <w:rPr>
                <w:rFonts w:ascii="Times New Roman" w:hAnsi="Times New Roman"/>
              </w:rPr>
            </w:pPr>
          </w:p>
          <w:p w14:paraId="16B9B2EF"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BI*** (mėnesiais)</w:t>
            </w:r>
          </w:p>
        </w:tc>
        <w:tc>
          <w:tcPr>
            <w:tcW w:w="1142" w:type="dxa"/>
            <w:tcBorders>
              <w:top w:val="single" w:sz="6" w:space="0" w:color="000000"/>
              <w:left w:val="single" w:sz="6" w:space="0" w:color="000000"/>
              <w:bottom w:val="single" w:sz="2" w:space="0" w:color="000000"/>
              <w:right w:val="single" w:sz="6" w:space="0" w:color="000000"/>
            </w:tcBorders>
          </w:tcPr>
          <w:p w14:paraId="6D123B69" w14:textId="77777777" w:rsidR="00D72C83" w:rsidRPr="00D3564A" w:rsidRDefault="00D72C83" w:rsidP="00D3564A">
            <w:pPr>
              <w:pStyle w:val="TableParagraph"/>
              <w:jc w:val="center"/>
              <w:rPr>
                <w:rFonts w:ascii="Times New Roman" w:hAnsi="Times New Roman"/>
              </w:rPr>
            </w:pPr>
          </w:p>
          <w:p w14:paraId="6F7E1B03"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22,9</w:t>
            </w:r>
          </w:p>
        </w:tc>
        <w:tc>
          <w:tcPr>
            <w:tcW w:w="1349" w:type="dxa"/>
            <w:tcBorders>
              <w:top w:val="single" w:sz="6" w:space="0" w:color="000000"/>
              <w:left w:val="single" w:sz="6" w:space="0" w:color="000000"/>
              <w:bottom w:val="single" w:sz="2" w:space="0" w:color="000000"/>
              <w:right w:val="single" w:sz="6" w:space="0" w:color="000000"/>
            </w:tcBorders>
          </w:tcPr>
          <w:p w14:paraId="53DF2345" w14:textId="77777777" w:rsidR="00D72C83" w:rsidRPr="00D3564A" w:rsidRDefault="00D72C83" w:rsidP="00D3564A">
            <w:pPr>
              <w:pStyle w:val="TableParagraph"/>
              <w:jc w:val="center"/>
              <w:rPr>
                <w:rFonts w:ascii="Times New Roman" w:hAnsi="Times New Roman"/>
              </w:rPr>
            </w:pPr>
          </w:p>
          <w:p w14:paraId="3258FE89"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20,8</w:t>
            </w:r>
          </w:p>
        </w:tc>
        <w:tc>
          <w:tcPr>
            <w:tcW w:w="1513" w:type="dxa"/>
            <w:tcBorders>
              <w:top w:val="single" w:sz="6" w:space="0" w:color="000000"/>
              <w:left w:val="single" w:sz="6" w:space="0" w:color="000000"/>
              <w:bottom w:val="single" w:sz="2" w:space="0" w:color="000000"/>
              <w:right w:val="single" w:sz="6" w:space="0" w:color="000000"/>
            </w:tcBorders>
          </w:tcPr>
          <w:p w14:paraId="1B2999E6" w14:textId="77777777" w:rsidR="00D72C83" w:rsidRPr="00D3564A" w:rsidRDefault="00D72C83" w:rsidP="00D3564A">
            <w:pPr>
              <w:pStyle w:val="TableParagraph"/>
              <w:jc w:val="center"/>
              <w:rPr>
                <w:rFonts w:ascii="Times New Roman" w:hAnsi="Times New Roman"/>
              </w:rPr>
            </w:pPr>
          </w:p>
          <w:p w14:paraId="2601D503"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0,93</w:t>
            </w:r>
          </w:p>
          <w:p w14:paraId="2F55A05E"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(0,64 – 1,36)</w:t>
            </w:r>
          </w:p>
        </w:tc>
        <w:tc>
          <w:tcPr>
            <w:tcW w:w="1170" w:type="dxa"/>
            <w:tcBorders>
              <w:top w:val="single" w:sz="6" w:space="0" w:color="000000"/>
              <w:left w:val="single" w:sz="6" w:space="0" w:color="000000"/>
              <w:bottom w:val="single" w:sz="2" w:space="0" w:color="000000"/>
              <w:right w:val="single" w:sz="2" w:space="0" w:color="000000"/>
            </w:tcBorders>
          </w:tcPr>
          <w:p w14:paraId="02F60C8B" w14:textId="77777777" w:rsidR="00D72C83" w:rsidRPr="00D3564A" w:rsidRDefault="00D72C83" w:rsidP="00D3564A">
            <w:pPr>
              <w:pStyle w:val="TableParagraph"/>
              <w:jc w:val="center"/>
              <w:rPr>
                <w:rFonts w:ascii="Times New Roman" w:hAnsi="Times New Roman"/>
              </w:rPr>
            </w:pPr>
          </w:p>
          <w:p w14:paraId="344BF488"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lang w:val="lt-LT"/>
              </w:rPr>
              <w:t>p = 0,7149</w:t>
            </w:r>
          </w:p>
        </w:tc>
      </w:tr>
    </w:tbl>
    <w:p w14:paraId="1349E138" w14:textId="77777777" w:rsidR="00D72C83" w:rsidRPr="00DD5619" w:rsidRDefault="00D72C83" w:rsidP="00D72C83">
      <w:pPr>
        <w:widowControl w:val="0"/>
        <w:autoSpaceDE w:val="0"/>
        <w:autoSpaceDN w:val="0"/>
        <w:adjustRightInd w:val="0"/>
        <w:spacing w:after="0" w:line="240" w:lineRule="auto"/>
        <w:rPr>
          <w:rFonts w:ascii="Times New Roman" w:hAnsi="Times New Roman"/>
        </w:rPr>
      </w:pPr>
      <w:r w:rsidRPr="00DD5619">
        <w:rPr>
          <w:rFonts w:ascii="Times New Roman" w:hAnsi="Times New Roman"/>
        </w:rPr>
        <w:t>VA = visiškas atsakas; DA = dalinis atsakas;</w:t>
      </w:r>
    </w:p>
    <w:p w14:paraId="1451EC93" w14:textId="0E076E29" w:rsidR="00D72C83" w:rsidRPr="002E32EF" w:rsidRDefault="00D72C83" w:rsidP="00271131">
      <w:pPr>
        <w:widowControl w:val="0"/>
        <w:autoSpaceDE w:val="0"/>
        <w:autoSpaceDN w:val="0"/>
        <w:adjustRightInd w:val="0"/>
        <w:spacing w:after="0" w:line="240" w:lineRule="auto"/>
        <w:ind w:left="426" w:hanging="426"/>
        <w:rPr>
          <w:rFonts w:ascii="Times New Roman" w:eastAsiaTheme="minorEastAsia" w:hAnsi="Times New Roman" w:cs="Times New Roman"/>
        </w:rPr>
      </w:pPr>
      <w:r w:rsidRPr="002E32EF">
        <w:rPr>
          <w:rFonts w:ascii="Times New Roman" w:eastAsiaTheme="minorEastAsia" w:hAnsi="Times New Roman" w:cs="Times New Roman"/>
        </w:rPr>
        <w:t>*</w:t>
      </w:r>
      <w:r w:rsidR="00537A9B">
        <w:rPr>
          <w:rFonts w:ascii="Times New Roman" w:eastAsiaTheme="minorEastAsia" w:hAnsi="Times New Roman" w:cs="Times New Roman"/>
        </w:rPr>
        <w:tab/>
      </w:r>
      <w:r w:rsidRPr="002E32EF">
        <w:rPr>
          <w:rFonts w:ascii="Times New Roman" w:eastAsiaTheme="minorEastAsia" w:hAnsi="Times New Roman" w:cs="Times New Roman"/>
        </w:rPr>
        <w:t>buvo stebėtas ligos progresavimo ar mirties rizikos sumažėjimas 58 %</w:t>
      </w:r>
    </w:p>
    <w:p w14:paraId="25ED84F7" w14:textId="4E19E0A7" w:rsidR="00D72C83" w:rsidRPr="002E32EF" w:rsidRDefault="00D72C83" w:rsidP="00271131">
      <w:pPr>
        <w:widowControl w:val="0"/>
        <w:autoSpaceDE w:val="0"/>
        <w:autoSpaceDN w:val="0"/>
        <w:adjustRightInd w:val="0"/>
        <w:spacing w:after="0" w:line="240" w:lineRule="auto"/>
        <w:ind w:left="426" w:hanging="426"/>
        <w:rPr>
          <w:rFonts w:ascii="Times New Roman" w:eastAsiaTheme="minorEastAsia" w:hAnsi="Times New Roman" w:cs="Times New Roman"/>
        </w:rPr>
      </w:pPr>
      <w:r w:rsidRPr="002E32EF">
        <w:rPr>
          <w:rFonts w:ascii="Times New Roman" w:eastAsiaTheme="minorEastAsia" w:hAnsi="Times New Roman" w:cs="Times New Roman"/>
        </w:rPr>
        <w:t>**</w:t>
      </w:r>
      <w:r w:rsidR="00537A9B">
        <w:rPr>
          <w:rFonts w:ascii="Times New Roman" w:eastAsiaTheme="minorEastAsia" w:hAnsi="Times New Roman" w:cs="Times New Roman"/>
        </w:rPr>
        <w:tab/>
      </w:r>
      <w:r w:rsidRPr="002E32EF">
        <w:rPr>
          <w:rFonts w:ascii="Times New Roman" w:eastAsiaTheme="minorEastAsia" w:hAnsi="Times New Roman" w:cs="Times New Roman"/>
        </w:rPr>
        <w:t>bendrasis konkordantiškumo dažnis tarp tyrėjo ir NPK įvertinimų buvo 70 %</w:t>
      </w:r>
    </w:p>
    <w:p w14:paraId="2412CF19" w14:textId="51CC44A1" w:rsidR="00D72C83" w:rsidRPr="002E32EF" w:rsidRDefault="00D72C83" w:rsidP="00271131">
      <w:pPr>
        <w:widowControl w:val="0"/>
        <w:autoSpaceDE w:val="0"/>
        <w:autoSpaceDN w:val="0"/>
        <w:adjustRightInd w:val="0"/>
        <w:spacing w:after="0" w:line="240" w:lineRule="auto"/>
        <w:ind w:left="426" w:hanging="426"/>
        <w:rPr>
          <w:rFonts w:ascii="Times New Roman" w:eastAsiaTheme="minorEastAsia" w:hAnsi="Times New Roman" w:cs="Times New Roman"/>
        </w:rPr>
      </w:pPr>
      <w:r w:rsidRPr="002E32EF">
        <w:rPr>
          <w:rFonts w:ascii="Times New Roman" w:eastAsiaTheme="minorEastAsia" w:hAnsi="Times New Roman" w:cs="Times New Roman"/>
        </w:rPr>
        <w:t>***</w:t>
      </w:r>
      <w:r w:rsidR="00537A9B">
        <w:rPr>
          <w:rFonts w:ascii="Times New Roman" w:eastAsiaTheme="minorEastAsia" w:hAnsi="Times New Roman" w:cs="Times New Roman"/>
        </w:rPr>
        <w:tab/>
      </w:r>
      <w:r w:rsidRPr="002E32EF">
        <w:rPr>
          <w:rFonts w:ascii="Times New Roman" w:eastAsiaTheme="minorEastAsia" w:hAnsi="Times New Roman" w:cs="Times New Roman"/>
        </w:rPr>
        <w:t>didelis persikryžiavimas buvo stebėtas 82 % chemoterapijos pogrupio pacientų, kuriems po to buvo taikytas gydymas EGFR tirozinkinazės inhibitoriumi, o 2 iš šių pacientų buvo po to gydyti erlotinibu.</w:t>
      </w:r>
    </w:p>
    <w:p w14:paraId="009FC3FC"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0C2E3C1E" w14:textId="77777777" w:rsidR="00D72C83" w:rsidRPr="00271131" w:rsidRDefault="00D72C83" w:rsidP="00271131">
      <w:pPr>
        <w:widowControl w:val="0"/>
        <w:autoSpaceDE w:val="0"/>
        <w:autoSpaceDN w:val="0"/>
        <w:adjustRightInd w:val="0"/>
        <w:spacing w:line="240" w:lineRule="auto"/>
        <w:rPr>
          <w:rFonts w:eastAsiaTheme="minorEastAsia"/>
          <w:u w:val="single"/>
        </w:rPr>
      </w:pPr>
      <w:r w:rsidRPr="00271131">
        <w:rPr>
          <w:rFonts w:ascii="Times New Roman" w:eastAsiaTheme="minorEastAsia" w:hAnsi="Times New Roman" w:cs="Times New Roman"/>
          <w:u w:val="single"/>
        </w:rPr>
        <w:t>Palaikomasis NSLPV sergančių pacientų gydymas po pirmos eilės chemoterapijos (monoterapija erlotinibu):</w:t>
      </w:r>
    </w:p>
    <w:p w14:paraId="64C50CC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
    <w:p w14:paraId="76876D3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Palaikomojo gydymo erlotinibu, skiriamo NSLPV gydyti po pirmos eilės chemoterapijos, saugumas ir veiksmingumas buvo tirtas atsitiktinių imčių, dvigubai aklu būdu atliktu, placebu kontroliuotu klinikiniu tyrimu (BO18192, SATURN). Šiame tyrime dalyvavo 889 pacientai, sirgę vietiškai pažengusiu arba metastazavusiu NSLPV, kuris po keturių chemoterapijos platinos preparatų pagrindu dubletų ciklų neprogresavo. Atsitiktine tvarka santykiu 1:1 suskirstyti pacientai buvo gydyti iki ligos progresavimo arba geriamąja erlotinibo 150 mg doze vieną kartą per parą, arba placebo doze vieną kartą per parą. Pagrindinis tyrimo tikslas buvo įtrauktas visų pacientų išgyvenamumas be ligos progresavimo (IBLP). Prieš pradedant tyrimą demografiniai duomenys ir ligos charakteristikos tarp dviejų gydymo grupių buvo labai gerai subalansuotos. Pacientai, kurių ECOG PS buvo daugiau kaip 1 ar kurie sirgo reikšmingomis kepenų ar inkstų ligomis, į šį tyrimą nebuvo įtraukiami.</w:t>
      </w:r>
    </w:p>
    <w:p w14:paraId="4475CD5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765468A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Šio tyrimo metu bendrojoje populiacijoje buvo nustatyta nauda pagrindinei vertinamajai baigčiai IBLP (RS = 0,71; p &lt; 0,0001) ir antrinei vertinamai baigčiai BI (RS = 0,81; p = 0;0088). Vis dėlto, atlikus iš anksto suplanuotą žvalgomąją analizę, didžiausia nauda buvo stebėta pacientams, turintiems EGFR aktyvinančių mutacijų (n = 49), įrodant reikšmingą naudą IBLP (RS = 0,10; 95 % PI: 0,04 - 0,25; p &lt; 0,0001) ir bendrajam išgyvenamumui (RS = 0,83; (95 % PI: 0,34 - 2,02). EGFR mutacijų turinčių pacientų pogrupio 67 % placebą gavusių pacientų buvo taikytas antros ar tolesnės eilės gydymas EGFR TKIs.</w:t>
      </w:r>
    </w:p>
    <w:p w14:paraId="1F41041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Klinikinis tyrimas BO25460 (IUNO) buvo atliktas su 643 progresavusiu NSLPV sirgusiais pacientais, kurių navikas neturėjo EGFR aktyvuojančiosios mutacijos (19-ojo egzono delecijos arba 21-ojo egzono mutacijos L858R) ir kuriems po keturių chemoterapijos platinos preparatais ciklų liga neprogresavo.</w:t>
      </w:r>
    </w:p>
    <w:p w14:paraId="1C471D1C"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6F346F7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lastRenderedPageBreak/>
        <w:t>Šio klinikinio tyrimo tikslas buvo bendrąjį išgyvenamumą taikant pirmaeilį palaikomąjį gydymą erlotinibu palyginti su gydymu erlotinibą skiriant ligos progresavimo metu. Šis tyrimas savo pagrindinės vertinamosios baigties nepasiekė. Pacientų, kurių navikas neturėjo EGFR aktyvuojančiosios mutacijos, BI taikant pirmaeilį palaikomąjį gydymą erlotinibu nebuvo pranašesnis už antraeilį gydymą erlotinibu (RS = 1,02; 95% PI: 0,85 - 1,22; p = 0,82). Antrinės vertinamosios baigties IBLP skirtumo tarp erlotinibo ir placebo taikant palaikomąjį gydymą nenustatyta (RS = 0,94; 95 % PI: 0,80 iki 1,11; p = 0,48).</w:t>
      </w:r>
    </w:p>
    <w:p w14:paraId="49A5468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6490881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Remiantis klinikinio tyrimo BO25460 (IUNO) duomenimis, EGFR aktyvuojančiųjų mutacijų neturintiems pacientams pirmaeilio palaikomojo gydymo erlotinibu skirti nerekomenduojama.</w:t>
      </w:r>
    </w:p>
    <w:p w14:paraId="17C166F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7197192B" w14:textId="77777777" w:rsidR="00D72C83" w:rsidRPr="00271131" w:rsidRDefault="00D72C83" w:rsidP="00271131">
      <w:pPr>
        <w:widowControl w:val="0"/>
        <w:autoSpaceDE w:val="0"/>
        <w:autoSpaceDN w:val="0"/>
        <w:adjustRightInd w:val="0"/>
        <w:spacing w:line="240" w:lineRule="auto"/>
        <w:rPr>
          <w:rFonts w:eastAsiaTheme="minorEastAsia"/>
          <w:u w:val="single"/>
        </w:rPr>
      </w:pPr>
      <w:r w:rsidRPr="00271131">
        <w:rPr>
          <w:rFonts w:ascii="Times New Roman" w:eastAsiaTheme="minorEastAsia" w:hAnsi="Times New Roman" w:cs="Times New Roman"/>
          <w:u w:val="single"/>
        </w:rPr>
        <w:t>NSLPV sergančių pacientų gydymas, kai mažiausiai viena ankstesnė chemoterapijos schema buvo neveiksminga (monoterapija erlotinibu)</w:t>
      </w:r>
    </w:p>
    <w:p w14:paraId="4CAD7CD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p>
    <w:p w14:paraId="369BCFAD" w14:textId="4E95EBDD"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Antros eilės ir trečios eilės gydymo erlotinibu veiksmingumas ir saugumas įrodytas atsitiktinės atrankos dvigubai koduotu placebu kontroliuojamu tyrimu (BR.21); tirtas 731 </w:t>
      </w:r>
      <w:r w:rsidR="007502A6">
        <w:rPr>
          <w:rFonts w:ascii="Times New Roman" w:eastAsiaTheme="minorEastAsia" w:hAnsi="Times New Roman" w:cs="Times New Roman"/>
        </w:rPr>
        <w:t>pacientas</w:t>
      </w:r>
      <w:r w:rsidRPr="002E32EF">
        <w:rPr>
          <w:rFonts w:ascii="Times New Roman" w:eastAsiaTheme="minorEastAsia" w:hAnsi="Times New Roman" w:cs="Times New Roman"/>
        </w:rPr>
        <w:t xml:space="preserve">, sergantis vietoje išplitusiu arba metastaziniu NSLPV po nesėkmingo gydymo bent pagal vieną chemoterapijos schemą. Atsitiktiniu būdu santykiu 2:1 suskirstyti </w:t>
      </w:r>
      <w:r w:rsidR="00902EE4">
        <w:rPr>
          <w:rFonts w:ascii="Times New Roman" w:eastAsiaTheme="minorEastAsia" w:hAnsi="Times New Roman" w:cs="Times New Roman"/>
        </w:rPr>
        <w:t>pacientai</w:t>
      </w:r>
      <w:r w:rsidRPr="002E32EF">
        <w:rPr>
          <w:rFonts w:ascii="Times New Roman" w:eastAsiaTheme="minorEastAsia" w:hAnsi="Times New Roman" w:cs="Times New Roman"/>
        </w:rPr>
        <w:t xml:space="preserve"> buvo gydomi arba geriamuoju erlotinibu po 150 mg, arba placebu kartą per parą. Galutiniai vertinimo rodikliai buvo bendrasis išgyvenimas, išgyvenimas be ligos progresavimo (IBLP), atsako dažnis, atsako trukmė, laikas iki plaučių vėžio simptomų (kosulio, dusulio, skausmo) sustiprėjimo ir saugumas. Pagrindinis galutinio vertinimo rodiklis buvo išgyvenimas.</w:t>
      </w:r>
    </w:p>
    <w:p w14:paraId="127AEBD4"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10B5DE8A" w14:textId="46798112"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Abiejų grupių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demografiniai rodikliai gerai sutapo. Maždaug du trečdaliai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buvo vyriškosios lyties, maždaug vieno trečdalio pradinė ECOG pajėgumo būklė (PB) buvo 2, o 9 % – 3. erlotinibo grupės 93 %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ir placebo grupės 92 %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anksčiau buvo gydyti pagal schemas, į kurių sudėtį įėjo platina, o atitinkamai 36 % ir 37 % buvo gydyti taksanu.</w:t>
      </w:r>
    </w:p>
    <w:p w14:paraId="2C27024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6F8FA686" w14:textId="5F3BA443"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Erlotinibo grupės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koreguotasis mirties rizikos santykis (RS), palyginti su placebo grupe, buvo 0,73 (95 % PI 0,60–0,87) (p = 0,001). Dvylika mėnesių išgyvenusių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erlotinibo grupėje buvo 31,2 %, o placebo grupėje – 21,5 %. Erlotinibo grupės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vidutinis bendrasis išgyvenimas buvo lygus 6,7 mėnesio (95 % PI 5,5–7,8 mėnesio), palyginti su 4,7 mėnesio (95 % PI 4,1–6,3 mėnesio) placebo grupės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išgyvenimu.</w:t>
      </w:r>
    </w:p>
    <w:p w14:paraId="74F4541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C4C0366" w14:textId="33062F13"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Tirtas poveikis įvairių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pogrupių bendrajam išgyvenimui. Erlotinibo poveikis buvo panašus bendrajam išgyvenimui tiek tų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kurių pradinė pajėgumo būklė (ECOG) buvo 2–3 (RS = 0,77, 95 % PI 0,6–1,0), tiek tų, kurių ji buvo 0–1 (RS = 0,73, 95 % PI 0,6–0,9), tiek vyrų (RS = 0,76, 95 % PI 0,6–0,9), tiek moterų (RS = 0,80, 95 % PI 0,6–1,1), tiek &lt; 65 metų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(RS = 0,75, 95 % PI 0,6–0,9), tiek vyresnių (RS = 0,79, 95 % PI 0,6–1,0), tiek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anksčiau gydytų pagal vieną schema (RS = 0,76, 95 % PI 0,6–1,0), tiek gydytų pagal daugiau schemų (RS = 0,75, 95 % PI 0,6–1,0), tiek baltaodžių (RS = 0,79, 95 % PI 0,6–1,0), tiek azijiečių (RS = 0,61, 95 % PI 0,4–1,0), tiek sergančiųjų adenokarcinoma (RS = 0,71, 95 % PI 0,6–0,9), tiek plokščialąsteline karcinoma (RS = 0,67, 95 % PI 0,5–0,9), tačiau nevienodai padidėjo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sergančių kitos histologinės formos vėžiu (RS = 1,04, 95 % PI 0,7–1,5),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kurių liga diagnozės nustatymo metu buvo IV stadijos (RS = 0,92, 95 % PI 0,7–1,2) arba &lt; IV stadijos (RS = 0,65, 95 % PI 0,5–0,8). </w:t>
      </w:r>
      <w:r w:rsidR="007502A6">
        <w:rPr>
          <w:rFonts w:ascii="Times New Roman" w:eastAsiaTheme="minorEastAsia" w:hAnsi="Times New Roman" w:cs="Times New Roman"/>
        </w:rPr>
        <w:t>Pacientus</w:t>
      </w:r>
      <w:r w:rsidRPr="002E32EF">
        <w:rPr>
          <w:rFonts w:ascii="Times New Roman" w:eastAsiaTheme="minorEastAsia" w:hAnsi="Times New Roman" w:cs="Times New Roman"/>
        </w:rPr>
        <w:t xml:space="preserve">, kurie niekada nerūkė, erlotinibas veikė daug geriau (išgyvenimo RS = 0,42, 95 % PI 0,28–0,64), palyginti su rūkančiais ar anksčiau rūkiusiais </w:t>
      </w:r>
      <w:r w:rsidR="00902EE4">
        <w:rPr>
          <w:rFonts w:ascii="Times New Roman" w:eastAsiaTheme="minorEastAsia" w:hAnsi="Times New Roman" w:cs="Times New Roman"/>
        </w:rPr>
        <w:t>pacientai</w:t>
      </w:r>
      <w:r w:rsidRPr="002E32EF">
        <w:rPr>
          <w:rFonts w:ascii="Times New Roman" w:eastAsiaTheme="minorEastAsia" w:hAnsi="Times New Roman" w:cs="Times New Roman"/>
        </w:rPr>
        <w:t>s (RS = 0,87, 95 % PI 0,71–1,05).</w:t>
      </w:r>
    </w:p>
    <w:p w14:paraId="6B2B4DAC" w14:textId="74D70734"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EGFR ekspresijos būklė buvo žinoma 45 %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kai navikuose EGFR ekspresija pasireiškė, mirties rizikos santykis buvo 0,68 (95 % PI 0,49–0,94), o kai nepasireiškė, – 0,93 (95 % PI 0,63–1,36) (tirta IHC metodu EGFR pharmDx rinkiniu; buvo laikoma, kad EGFR ekspresija nepasireiškė, kai dažėsi mažiau negu 10 % naviko ląstelių). Kitiems 55 %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kurių EGFR ekspresijos būklė liko nežinoma, rizikos santykis buvo 0,77 (95 % PI 0,61–0,98).</w:t>
      </w:r>
    </w:p>
    <w:p w14:paraId="774FB5B8"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47FB45F6" w14:textId="3B27A644"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Erlotinibo grupės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vidutinis IBLP buvo 9,7 savaitės (95 % PI 8,4–12,4 savaitės), o placebo grupės </w:t>
      </w:r>
      <w:r w:rsidR="00902EE4">
        <w:rPr>
          <w:rFonts w:ascii="Times New Roman" w:eastAsiaTheme="minorEastAsia" w:hAnsi="Times New Roman" w:cs="Times New Roman"/>
        </w:rPr>
        <w:lastRenderedPageBreak/>
        <w:t>pacientų</w:t>
      </w:r>
      <w:r w:rsidRPr="002E32EF">
        <w:rPr>
          <w:rFonts w:ascii="Times New Roman" w:eastAsiaTheme="minorEastAsia" w:hAnsi="Times New Roman" w:cs="Times New Roman"/>
        </w:rPr>
        <w:t xml:space="preserve"> – 8 savaitės (95 % PI 7,9–8,1 savaitės).</w:t>
      </w:r>
    </w:p>
    <w:p w14:paraId="0DB7BA6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C7782B8" w14:textId="6E8C2B19"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Objektyvus atsako dažnis pagal RECIST erlotinibo grupėje buvo 8,9 % (95 % PI 6,4–12,0). Pirmųjų 330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gydymo rezultatai vertinti tyrimo centre (atsako dažnis – 6,2 %), o 401 </w:t>
      </w:r>
      <w:r w:rsidR="00902EE4">
        <w:rPr>
          <w:rFonts w:ascii="Times New Roman" w:eastAsiaTheme="minorEastAsia" w:hAnsi="Times New Roman" w:cs="Times New Roman"/>
        </w:rPr>
        <w:t>paciento</w:t>
      </w:r>
      <w:r w:rsidRPr="002E32EF">
        <w:rPr>
          <w:rFonts w:ascii="Times New Roman" w:eastAsiaTheme="minorEastAsia" w:hAnsi="Times New Roman" w:cs="Times New Roman"/>
        </w:rPr>
        <w:t xml:space="preserve"> – pačių tyrėjų (atsako dažnis – 11,2 %).</w:t>
      </w:r>
    </w:p>
    <w:p w14:paraId="6FDEC39A" w14:textId="125E5419"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Vidutinė atsako trukmė buvo 34,3 savaitės, ji svyravo nuo 9,7 iki 57,6 savaitės. Dalis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kuriems įvyko visiška remisija, dalinė remisija arba liga liko stabili, erlotinibo grupėje buvo 44 %, o placebo grupėje, – 27,5 % (p = 0,004).</w:t>
      </w:r>
    </w:p>
    <w:p w14:paraId="5002E75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1A714913" w14:textId="47CCF9DB"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Teigiamas erlotinibo poveikis pastebėtas ir išgyvenimui tų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kurių naviko objektyvaus atsako nebuvo (pagal RECIST). Tiek tų pacientų, kurių geriausias atsakas buvo ligos stabilumas, tiek tų, kurių liga progresavo, mirties rizikos santykis buvo 0,82 (95 % PI 0,68–0,99).</w:t>
      </w:r>
    </w:p>
    <w:p w14:paraId="070D234A"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1E0F8901" w14:textId="6EEFFCA5" w:rsidR="00D72C83"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Erlotinibas reikšmingai ilgino laiką iki kosulio, dusulio ir skausmo sustiprėjimo, palyginti su placebu.</w:t>
      </w:r>
    </w:p>
    <w:p w14:paraId="7B5AFE2B" w14:textId="77777777" w:rsidR="00A64E52" w:rsidRPr="00A64E52" w:rsidRDefault="00A64E52" w:rsidP="00A64E52">
      <w:pPr>
        <w:widowControl w:val="0"/>
        <w:autoSpaceDE w:val="0"/>
        <w:autoSpaceDN w:val="0"/>
        <w:adjustRightInd w:val="0"/>
        <w:spacing w:after="0" w:line="240" w:lineRule="auto"/>
        <w:jc w:val="both"/>
        <w:rPr>
          <w:rFonts w:ascii="Times New Roman" w:eastAsiaTheme="minorEastAsia" w:hAnsi="Times New Roman" w:cs="Times New Roman"/>
        </w:rPr>
      </w:pPr>
      <w:r w:rsidRPr="00A64E52">
        <w:rPr>
          <w:rFonts w:ascii="Times New Roman" w:eastAsiaTheme="minorEastAsia" w:hAnsi="Times New Roman" w:cs="Times New Roman"/>
        </w:rPr>
        <w:t>Dvigubai koduoto, atsitiktinių imčių, III fazės klinikinio tyrimo (MO22162, CURRENTS) metu palyginus dviejų erlotinibo dozių (300 mg ir 150 mg) poveikį rūkantiems (vidutiniškai po 38 pakelius per metus) pacientams, sirgusiems lokaliai progresavusiu ar metastazavusiu NSLPV, skiriant kaip antrosios eilės gydymą po nesėkmingos chemoterapijos, 300 mg erlotinibo dozės pranašumas, lyginant su rekomenduojama doze, pailginant IBLP nebuvo įrodytas (atitinkamai 7,00 ir 6,86 savaitės).</w:t>
      </w:r>
    </w:p>
    <w:p w14:paraId="6CD5AA2F" w14:textId="77777777" w:rsidR="00A64E52" w:rsidRPr="00A64E52" w:rsidRDefault="00A64E52" w:rsidP="00A64E52">
      <w:pPr>
        <w:widowControl w:val="0"/>
        <w:autoSpaceDE w:val="0"/>
        <w:autoSpaceDN w:val="0"/>
        <w:adjustRightInd w:val="0"/>
        <w:spacing w:after="0" w:line="240" w:lineRule="auto"/>
        <w:jc w:val="both"/>
        <w:rPr>
          <w:rFonts w:ascii="Times New Roman" w:eastAsiaTheme="minorEastAsia" w:hAnsi="Times New Roman" w:cs="Times New Roman"/>
        </w:rPr>
      </w:pPr>
    </w:p>
    <w:p w14:paraId="5BEEC2EF" w14:textId="77777777" w:rsidR="00A64E52" w:rsidRPr="00A64E52" w:rsidRDefault="00A64E52" w:rsidP="00A64E52">
      <w:pPr>
        <w:widowControl w:val="0"/>
        <w:autoSpaceDE w:val="0"/>
        <w:autoSpaceDN w:val="0"/>
        <w:adjustRightInd w:val="0"/>
        <w:spacing w:after="0" w:line="240" w:lineRule="auto"/>
        <w:jc w:val="both"/>
        <w:rPr>
          <w:rFonts w:ascii="Times New Roman" w:eastAsiaTheme="minorEastAsia" w:hAnsi="Times New Roman" w:cs="Times New Roman"/>
        </w:rPr>
      </w:pPr>
      <w:r w:rsidRPr="00A64E52">
        <w:rPr>
          <w:rFonts w:ascii="Times New Roman" w:eastAsiaTheme="minorEastAsia" w:hAnsi="Times New Roman" w:cs="Times New Roman"/>
        </w:rPr>
        <w:t>Antrinės veiksmingumo vertinamosios baigtys visiškai atitiko pagrindinę vertinamąją baigtį, o BI skirtumų tarp pacientų, gydytų 300 mg ar 150 mg erlotinibo paros doze, nenustatyta (RS 1,03; 95 % PI 0,80</w:t>
      </w:r>
      <w:r w:rsidRPr="00A64E52">
        <w:rPr>
          <w:rFonts w:ascii="Times New Roman" w:eastAsiaTheme="minorEastAsia" w:hAnsi="Times New Roman" w:cs="Times New Roman"/>
        </w:rPr>
        <w:noBreakHyphen/>
        <w:t>1,32). 300 mg ir 150 mg dozių vartojimo saugumo duomenys buvo panašūs, tačiau didesnėmis dozėmis erlotinibą vartojusiems pacientams dažniau pasireiškė išbėrimas, intersticinė plaučių liga ir viduriavimas. Remiantis klinikinio tyrimo CURRENTS duomenimis, įrodymų apie bet kokio palankesnį 300 mg dozės, palyginti su rekomenduojama 150 mg doze, poveikį rūkantiems asmenims negauta.</w:t>
      </w:r>
    </w:p>
    <w:p w14:paraId="71B94062" w14:textId="77777777" w:rsidR="00A64E52" w:rsidRPr="00A64E52" w:rsidRDefault="00A64E52" w:rsidP="00A64E52">
      <w:pPr>
        <w:widowControl w:val="0"/>
        <w:autoSpaceDE w:val="0"/>
        <w:autoSpaceDN w:val="0"/>
        <w:adjustRightInd w:val="0"/>
        <w:spacing w:after="0" w:line="240" w:lineRule="auto"/>
        <w:jc w:val="both"/>
        <w:rPr>
          <w:rFonts w:ascii="Times New Roman" w:eastAsiaTheme="minorEastAsia" w:hAnsi="Times New Roman" w:cs="Times New Roman"/>
        </w:rPr>
      </w:pPr>
    </w:p>
    <w:p w14:paraId="6AE7EF94" w14:textId="77777777" w:rsidR="00A64E52" w:rsidRPr="00A64E52" w:rsidRDefault="00A64E52" w:rsidP="00A64E52">
      <w:pPr>
        <w:widowControl w:val="0"/>
        <w:autoSpaceDE w:val="0"/>
        <w:autoSpaceDN w:val="0"/>
        <w:adjustRightInd w:val="0"/>
        <w:spacing w:after="0" w:line="240" w:lineRule="auto"/>
        <w:jc w:val="both"/>
        <w:rPr>
          <w:rFonts w:ascii="Times New Roman" w:eastAsiaTheme="minorEastAsia" w:hAnsi="Times New Roman" w:cs="Times New Roman"/>
        </w:rPr>
      </w:pPr>
      <w:r w:rsidRPr="00A64E52">
        <w:rPr>
          <w:rFonts w:ascii="Times New Roman" w:eastAsiaTheme="minorEastAsia" w:hAnsi="Times New Roman" w:cs="Times New Roman"/>
        </w:rPr>
        <w:t>Į šį klinikinį tyrimą pacientai buvo atrenkami neatsižvelgiant į EGFR mutacijų būklę (žr. 4.2, 4.4, 4.5 ir 5.2 skyrius).</w:t>
      </w:r>
    </w:p>
    <w:p w14:paraId="5507AAE7"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22343AF5" w14:textId="77777777" w:rsidR="00D72C83" w:rsidRPr="00271131" w:rsidRDefault="00D72C83" w:rsidP="00271131">
      <w:pPr>
        <w:widowControl w:val="0"/>
        <w:autoSpaceDE w:val="0"/>
        <w:autoSpaceDN w:val="0"/>
        <w:adjustRightInd w:val="0"/>
        <w:spacing w:line="240" w:lineRule="auto"/>
        <w:jc w:val="both"/>
        <w:rPr>
          <w:rFonts w:eastAsiaTheme="minorEastAsia"/>
          <w:u w:val="single"/>
        </w:rPr>
      </w:pPr>
      <w:r w:rsidRPr="00271131">
        <w:rPr>
          <w:rFonts w:ascii="Times New Roman" w:eastAsiaTheme="minorEastAsia" w:hAnsi="Times New Roman" w:cs="Times New Roman"/>
          <w:u w:val="single"/>
        </w:rPr>
        <w:t>Kasos vėžys (atliekant tyrimą PA.3 erlotinibas vartotas kartu su gemcitabinu):</w:t>
      </w:r>
    </w:p>
    <w:p w14:paraId="48C69714"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059EBE73" w14:textId="1D9A17EF"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Erlotinibo, vartojamo kartu su gemcitabinu, kaip pagrindinio gydymo veiksmingumas ir saugumas vertintas pagal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sergančių vietoje progresavusiu, neįmanomu pašalinti arba metastaziniu kasos vėžiu, randomizuoto, dvigubai koduoto, placebu kontroliuojamo tyrimo rezultatus. Atsitiktinės atrankos būdu pacientai buvo suskirstyti į gydymo erlotinibu arba placebu grupes; preparatai vartoti kartą per parą nepertraukiamai kartu su gemcitabinu į veną (po 1000 mg/m2 pirmojo 8 savaičių ciklo</w:t>
      </w:r>
    </w:p>
    <w:p w14:paraId="35FCEFA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1-ąją, 8-ąją, 15-ąją, 22-ąją, 29-ąją, 36-ąją ir 43-ąją dienomis, antrojo ir vėlesnių 4 savaičių ciklų 1-ąją, 8-ąją ir 15-ąją dienomis; patvirtintą dozę ir kasos vėžio gydymo schemą žr. gemcitabino PCS).</w:t>
      </w:r>
    </w:p>
    <w:p w14:paraId="4381F9F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Erlotinibas arba placebas buvo geriami kartą per parą iki ligos progresavimo arba nepriimtino toksinio poveikio. Pagrindinis baigties vertinimo matas buvo bendrasis išgyvenimas.</w:t>
      </w:r>
    </w:p>
    <w:p w14:paraId="6C60141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3CF04EAA" w14:textId="3B94E95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Abiejų gydymo grupių (po 100 mg erlotinibo su gemcitabinu arba placebu su gemcitabinu)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pradiniai demografiniai ir ligos ypatybių duomenys buvo panašūs, išskyrus tai, kad erlotinibo/gemcitabino grupėje buvo šiek tiek daugiau moterų, palyginti su placebo/gemcitabino grupe:</w:t>
      </w:r>
    </w:p>
    <w:p w14:paraId="6A06972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19E2041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tbl>
      <w:tblPr>
        <w:tblW w:w="7994" w:type="dxa"/>
        <w:tblInd w:w="112" w:type="dxa"/>
        <w:tblLayout w:type="fixed"/>
        <w:tblCellMar>
          <w:left w:w="0" w:type="dxa"/>
          <w:right w:w="0" w:type="dxa"/>
        </w:tblCellMar>
        <w:tblLook w:val="01E0" w:firstRow="1" w:lastRow="1" w:firstColumn="1" w:lastColumn="1" w:noHBand="0" w:noVBand="0"/>
      </w:tblPr>
      <w:tblGrid>
        <w:gridCol w:w="4396"/>
        <w:gridCol w:w="1888"/>
        <w:gridCol w:w="1710"/>
      </w:tblGrid>
      <w:tr w:rsidR="00D72C83" w:rsidRPr="002E32EF" w14:paraId="76CD08A9" w14:textId="77777777" w:rsidTr="00E23115">
        <w:trPr>
          <w:trHeight w:hRule="exact" w:val="606"/>
        </w:trPr>
        <w:tc>
          <w:tcPr>
            <w:tcW w:w="4396" w:type="dxa"/>
            <w:tcBorders>
              <w:top w:val="single" w:sz="5" w:space="0" w:color="000000"/>
              <w:left w:val="single" w:sz="5" w:space="0" w:color="000000"/>
              <w:bottom w:val="single" w:sz="5" w:space="0" w:color="000000"/>
              <w:right w:val="single" w:sz="5" w:space="0" w:color="000000"/>
            </w:tcBorders>
          </w:tcPr>
          <w:p w14:paraId="0EC2E9E7" w14:textId="77777777" w:rsidR="00D72C83" w:rsidRPr="00D3564A" w:rsidRDefault="00D72C83" w:rsidP="00D3564A">
            <w:pPr>
              <w:pStyle w:val="TableParagraph"/>
              <w:rPr>
                <w:rFonts w:ascii="Times New Roman" w:hAnsi="Times New Roman"/>
              </w:rPr>
            </w:pPr>
            <w:r w:rsidRPr="00D3564A">
              <w:rPr>
                <w:rFonts w:ascii="Times New Roman" w:hAnsi="Times New Roman"/>
                <w:b/>
                <w:spacing w:val="-1"/>
                <w:lang w:val="lt-LT"/>
              </w:rPr>
              <w:t>Pagrindiniai duomenys</w:t>
            </w:r>
          </w:p>
        </w:tc>
        <w:tc>
          <w:tcPr>
            <w:tcW w:w="1888" w:type="dxa"/>
            <w:tcBorders>
              <w:top w:val="single" w:sz="5" w:space="0" w:color="000000"/>
              <w:left w:val="single" w:sz="5" w:space="0" w:color="000000"/>
              <w:bottom w:val="single" w:sz="5" w:space="0" w:color="000000"/>
              <w:right w:val="single" w:sz="5" w:space="0" w:color="000000"/>
            </w:tcBorders>
          </w:tcPr>
          <w:p w14:paraId="669401B5" w14:textId="77777777" w:rsidR="00D72C83" w:rsidRPr="00D3564A" w:rsidRDefault="00D72C83" w:rsidP="00D3564A">
            <w:pPr>
              <w:pStyle w:val="TableParagraph"/>
              <w:rPr>
                <w:rFonts w:ascii="Times New Roman" w:hAnsi="Times New Roman"/>
              </w:rPr>
            </w:pPr>
            <w:r w:rsidRPr="00D3564A">
              <w:rPr>
                <w:rFonts w:ascii="Times New Roman" w:hAnsi="Times New Roman"/>
                <w:b/>
                <w:spacing w:val="-1"/>
                <w:lang w:val="lt-LT"/>
              </w:rPr>
              <w:t>Erlotinibas</w:t>
            </w:r>
          </w:p>
        </w:tc>
        <w:tc>
          <w:tcPr>
            <w:tcW w:w="1710" w:type="dxa"/>
            <w:tcBorders>
              <w:top w:val="single" w:sz="5" w:space="0" w:color="000000"/>
              <w:left w:val="single" w:sz="5" w:space="0" w:color="000000"/>
              <w:bottom w:val="single" w:sz="5" w:space="0" w:color="000000"/>
              <w:right w:val="single" w:sz="5" w:space="0" w:color="000000"/>
            </w:tcBorders>
          </w:tcPr>
          <w:p w14:paraId="57125ED5" w14:textId="77777777" w:rsidR="00D72C83" w:rsidRPr="00D3564A" w:rsidRDefault="00D72C83" w:rsidP="00D3564A">
            <w:pPr>
              <w:pStyle w:val="TableParagraph"/>
              <w:rPr>
                <w:rFonts w:ascii="Times New Roman" w:hAnsi="Times New Roman"/>
              </w:rPr>
            </w:pPr>
            <w:r w:rsidRPr="00D3564A">
              <w:rPr>
                <w:rFonts w:ascii="Times New Roman" w:hAnsi="Times New Roman"/>
                <w:b/>
                <w:spacing w:val="-1"/>
                <w:lang w:val="lt-LT"/>
              </w:rPr>
              <w:t>Placebas</w:t>
            </w:r>
          </w:p>
        </w:tc>
      </w:tr>
      <w:tr w:rsidR="00D72C83" w:rsidRPr="002E32EF" w14:paraId="6E74E952" w14:textId="77777777" w:rsidTr="00E23115">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32D24231"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Moterys</w:t>
            </w:r>
          </w:p>
        </w:tc>
        <w:tc>
          <w:tcPr>
            <w:tcW w:w="1888" w:type="dxa"/>
            <w:tcBorders>
              <w:top w:val="single" w:sz="5" w:space="0" w:color="000000"/>
              <w:left w:val="single" w:sz="5" w:space="0" w:color="000000"/>
              <w:bottom w:val="single" w:sz="5" w:space="0" w:color="000000"/>
              <w:right w:val="single" w:sz="5" w:space="0" w:color="000000"/>
            </w:tcBorders>
          </w:tcPr>
          <w:p w14:paraId="474222F3"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51%</w:t>
            </w:r>
          </w:p>
        </w:tc>
        <w:tc>
          <w:tcPr>
            <w:tcW w:w="1710" w:type="dxa"/>
            <w:tcBorders>
              <w:top w:val="single" w:sz="5" w:space="0" w:color="000000"/>
              <w:left w:val="single" w:sz="5" w:space="0" w:color="000000"/>
              <w:bottom w:val="single" w:sz="5" w:space="0" w:color="000000"/>
              <w:right w:val="single" w:sz="5" w:space="0" w:color="000000"/>
            </w:tcBorders>
          </w:tcPr>
          <w:p w14:paraId="4F43934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44%</w:t>
            </w:r>
          </w:p>
        </w:tc>
      </w:tr>
      <w:tr w:rsidR="00D72C83" w:rsidRPr="002E32EF" w14:paraId="7B8B7957" w14:textId="77777777" w:rsidTr="00E23115">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1627DE49"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spacing w:val="-1"/>
                <w:lang w:val="lt-LT"/>
              </w:rPr>
              <w:t>Pradinė pajėgumo būklė (PB) pagal ECOG</w:t>
            </w:r>
            <w:r w:rsidRPr="00D3564A">
              <w:rPr>
                <w:rFonts w:ascii="Times New Roman" w:hAnsi="Times New Roman"/>
                <w:lang w:val="lt-LT"/>
              </w:rPr>
              <w:t xml:space="preserve"> =</w:t>
            </w:r>
            <w:r w:rsidRPr="00D3564A">
              <w:rPr>
                <w:rFonts w:ascii="Times New Roman" w:hAnsi="Times New Roman"/>
                <w:spacing w:val="-1"/>
                <w:lang w:val="lt-LT"/>
              </w:rPr>
              <w:t xml:space="preserve"> </w:t>
            </w:r>
            <w:r w:rsidRPr="00D3564A">
              <w:rPr>
                <w:rFonts w:ascii="Times New Roman" w:hAnsi="Times New Roman"/>
                <w:lang w:val="lt-LT"/>
              </w:rPr>
              <w:t>0</w:t>
            </w:r>
          </w:p>
        </w:tc>
        <w:tc>
          <w:tcPr>
            <w:tcW w:w="1888" w:type="dxa"/>
            <w:tcBorders>
              <w:top w:val="single" w:sz="5" w:space="0" w:color="000000"/>
              <w:left w:val="single" w:sz="5" w:space="0" w:color="000000"/>
              <w:bottom w:val="single" w:sz="5" w:space="0" w:color="000000"/>
              <w:right w:val="single" w:sz="5" w:space="0" w:color="000000"/>
            </w:tcBorders>
          </w:tcPr>
          <w:p w14:paraId="128754CA"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31%</w:t>
            </w:r>
          </w:p>
        </w:tc>
        <w:tc>
          <w:tcPr>
            <w:tcW w:w="1710" w:type="dxa"/>
            <w:tcBorders>
              <w:top w:val="single" w:sz="5" w:space="0" w:color="000000"/>
              <w:left w:val="single" w:sz="5" w:space="0" w:color="000000"/>
              <w:bottom w:val="single" w:sz="5" w:space="0" w:color="000000"/>
              <w:right w:val="single" w:sz="5" w:space="0" w:color="000000"/>
            </w:tcBorders>
          </w:tcPr>
          <w:p w14:paraId="6CCC7AA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32%</w:t>
            </w:r>
          </w:p>
        </w:tc>
      </w:tr>
      <w:tr w:rsidR="00D72C83" w:rsidRPr="002E32EF" w14:paraId="39E2427C" w14:textId="77777777" w:rsidTr="00E23115">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30BB02DB"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spacing w:val="-1"/>
                <w:lang w:val="lt-LT"/>
              </w:rPr>
              <w:lastRenderedPageBreak/>
              <w:t>Pradinė pajėgumo būklė (PB) pagal ECOG</w:t>
            </w:r>
            <w:r w:rsidRPr="00D3564A">
              <w:rPr>
                <w:rFonts w:ascii="Times New Roman" w:hAnsi="Times New Roman"/>
                <w:lang w:val="lt-LT"/>
              </w:rPr>
              <w:t xml:space="preserve"> =</w:t>
            </w:r>
            <w:r w:rsidRPr="00D3564A">
              <w:rPr>
                <w:rFonts w:ascii="Times New Roman" w:hAnsi="Times New Roman"/>
                <w:spacing w:val="-1"/>
                <w:lang w:val="lt-LT"/>
              </w:rPr>
              <w:t xml:space="preserve"> </w:t>
            </w:r>
            <w:r w:rsidRPr="00D3564A">
              <w:rPr>
                <w:rFonts w:ascii="Times New Roman" w:hAnsi="Times New Roman"/>
                <w:lang w:val="lt-LT"/>
              </w:rPr>
              <w:t>1</w:t>
            </w:r>
          </w:p>
        </w:tc>
        <w:tc>
          <w:tcPr>
            <w:tcW w:w="1888" w:type="dxa"/>
            <w:tcBorders>
              <w:top w:val="single" w:sz="5" w:space="0" w:color="000000"/>
              <w:left w:val="single" w:sz="5" w:space="0" w:color="000000"/>
              <w:bottom w:val="single" w:sz="5" w:space="0" w:color="000000"/>
              <w:right w:val="single" w:sz="5" w:space="0" w:color="000000"/>
            </w:tcBorders>
          </w:tcPr>
          <w:p w14:paraId="116955F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51%</w:t>
            </w:r>
          </w:p>
        </w:tc>
        <w:tc>
          <w:tcPr>
            <w:tcW w:w="1710" w:type="dxa"/>
            <w:tcBorders>
              <w:top w:val="single" w:sz="5" w:space="0" w:color="000000"/>
              <w:left w:val="single" w:sz="5" w:space="0" w:color="000000"/>
              <w:bottom w:val="single" w:sz="5" w:space="0" w:color="000000"/>
              <w:right w:val="single" w:sz="5" w:space="0" w:color="000000"/>
            </w:tcBorders>
          </w:tcPr>
          <w:p w14:paraId="1113A65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51%</w:t>
            </w:r>
          </w:p>
        </w:tc>
      </w:tr>
      <w:tr w:rsidR="00D72C83" w:rsidRPr="002E32EF" w14:paraId="6CCC2F63" w14:textId="77777777" w:rsidTr="00E23115">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381D5CD3" w14:textId="77777777" w:rsidR="00D72C83" w:rsidRPr="00E35BE6" w:rsidRDefault="00D72C83" w:rsidP="00D3564A">
            <w:pPr>
              <w:pStyle w:val="TableParagraph"/>
              <w:rPr>
                <w:rFonts w:ascii="Times New Roman" w:hAnsi="Times New Roman"/>
                <w:lang w:val="lt-LT"/>
              </w:rPr>
            </w:pPr>
            <w:r w:rsidRPr="00D3564A">
              <w:rPr>
                <w:rFonts w:ascii="Times New Roman" w:hAnsi="Times New Roman"/>
                <w:spacing w:val="-1"/>
                <w:lang w:val="lt-LT"/>
              </w:rPr>
              <w:t>Pradinė pajėgumo būklė (PB) pagal ECOG</w:t>
            </w:r>
            <w:r w:rsidRPr="00D3564A">
              <w:rPr>
                <w:rFonts w:ascii="Times New Roman" w:hAnsi="Times New Roman"/>
                <w:lang w:val="lt-LT"/>
              </w:rPr>
              <w:t xml:space="preserve"> =</w:t>
            </w:r>
            <w:r w:rsidRPr="00D3564A">
              <w:rPr>
                <w:rFonts w:ascii="Times New Roman" w:hAnsi="Times New Roman"/>
                <w:spacing w:val="-1"/>
                <w:lang w:val="lt-LT"/>
              </w:rPr>
              <w:t xml:space="preserve"> </w:t>
            </w:r>
            <w:r w:rsidRPr="00D3564A">
              <w:rPr>
                <w:rFonts w:ascii="Times New Roman" w:hAnsi="Times New Roman"/>
                <w:lang w:val="lt-LT"/>
              </w:rPr>
              <w:t>2</w:t>
            </w:r>
          </w:p>
        </w:tc>
        <w:tc>
          <w:tcPr>
            <w:tcW w:w="1888" w:type="dxa"/>
            <w:tcBorders>
              <w:top w:val="single" w:sz="5" w:space="0" w:color="000000"/>
              <w:left w:val="single" w:sz="5" w:space="0" w:color="000000"/>
              <w:bottom w:val="single" w:sz="5" w:space="0" w:color="000000"/>
              <w:right w:val="single" w:sz="5" w:space="0" w:color="000000"/>
            </w:tcBorders>
          </w:tcPr>
          <w:p w14:paraId="597ED2F5"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17%</w:t>
            </w:r>
          </w:p>
        </w:tc>
        <w:tc>
          <w:tcPr>
            <w:tcW w:w="1710" w:type="dxa"/>
            <w:tcBorders>
              <w:top w:val="single" w:sz="5" w:space="0" w:color="000000"/>
              <w:left w:val="single" w:sz="5" w:space="0" w:color="000000"/>
              <w:bottom w:val="single" w:sz="5" w:space="0" w:color="000000"/>
              <w:right w:val="single" w:sz="5" w:space="0" w:color="000000"/>
            </w:tcBorders>
          </w:tcPr>
          <w:p w14:paraId="716FE5B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17%</w:t>
            </w:r>
          </w:p>
        </w:tc>
      </w:tr>
      <w:tr w:rsidR="00D72C83" w:rsidRPr="002E32EF" w14:paraId="10F1AE60" w14:textId="77777777" w:rsidTr="00E23115">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7042D2B0"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Metastazinė liga</w:t>
            </w:r>
          </w:p>
        </w:tc>
        <w:tc>
          <w:tcPr>
            <w:tcW w:w="1888" w:type="dxa"/>
            <w:tcBorders>
              <w:top w:val="single" w:sz="5" w:space="0" w:color="000000"/>
              <w:left w:val="single" w:sz="5" w:space="0" w:color="000000"/>
              <w:bottom w:val="single" w:sz="5" w:space="0" w:color="000000"/>
              <w:right w:val="single" w:sz="5" w:space="0" w:color="000000"/>
            </w:tcBorders>
          </w:tcPr>
          <w:p w14:paraId="4E998F2A"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77%</w:t>
            </w:r>
          </w:p>
        </w:tc>
        <w:tc>
          <w:tcPr>
            <w:tcW w:w="1710" w:type="dxa"/>
            <w:tcBorders>
              <w:top w:val="single" w:sz="5" w:space="0" w:color="000000"/>
              <w:left w:val="single" w:sz="5" w:space="0" w:color="000000"/>
              <w:bottom w:val="single" w:sz="5" w:space="0" w:color="000000"/>
              <w:right w:val="single" w:sz="5" w:space="0" w:color="000000"/>
            </w:tcBorders>
          </w:tcPr>
          <w:p w14:paraId="74162761"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76%</w:t>
            </w:r>
          </w:p>
        </w:tc>
      </w:tr>
    </w:tbl>
    <w:p w14:paraId="22BB4F5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06DFE533"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Buvo vertinamas ketinimo gydyti populiacijos išgyvenimas pagal tolesnio išgyvenimo stebėjimo duomenis. Rezultatai pateikiami toliau lentelėje (metastazinės ir vietoje progresavusios ligos grupių duomenys pateikiami pagal žvalgomąją pogrupių analizę).</w:t>
      </w:r>
    </w:p>
    <w:p w14:paraId="56687D2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tbl>
      <w:tblPr>
        <w:tblW w:w="8825" w:type="dxa"/>
        <w:tblInd w:w="112" w:type="dxa"/>
        <w:tblLayout w:type="fixed"/>
        <w:tblCellMar>
          <w:left w:w="0" w:type="dxa"/>
          <w:right w:w="0" w:type="dxa"/>
        </w:tblCellMar>
        <w:tblLook w:val="01E0" w:firstRow="1" w:lastRow="1" w:firstColumn="1" w:lastColumn="1" w:noHBand="0" w:noVBand="0"/>
      </w:tblPr>
      <w:tblGrid>
        <w:gridCol w:w="1454"/>
        <w:gridCol w:w="1417"/>
        <w:gridCol w:w="1134"/>
        <w:gridCol w:w="851"/>
        <w:gridCol w:w="1275"/>
        <w:gridCol w:w="709"/>
        <w:gridCol w:w="1097"/>
        <w:gridCol w:w="888"/>
      </w:tblGrid>
      <w:tr w:rsidR="00D72C83" w:rsidRPr="002E32EF" w14:paraId="177316E7" w14:textId="77777777" w:rsidTr="00E23115">
        <w:trPr>
          <w:trHeight w:hRule="exact" w:val="818"/>
        </w:trPr>
        <w:tc>
          <w:tcPr>
            <w:tcW w:w="1454" w:type="dxa"/>
            <w:tcBorders>
              <w:top w:val="single" w:sz="5" w:space="0" w:color="000000"/>
              <w:left w:val="single" w:sz="5" w:space="0" w:color="000000"/>
              <w:bottom w:val="single" w:sz="5" w:space="0" w:color="000000"/>
              <w:right w:val="single" w:sz="5" w:space="0" w:color="000000"/>
            </w:tcBorders>
          </w:tcPr>
          <w:p w14:paraId="01969179" w14:textId="77777777" w:rsidR="00D72C83" w:rsidRPr="00E35BE6" w:rsidRDefault="00D72C83" w:rsidP="00D3564A">
            <w:pPr>
              <w:pStyle w:val="TableParagraph"/>
              <w:rPr>
                <w:rFonts w:ascii="Times New Roman" w:hAnsi="Times New Roman"/>
                <w:lang w:val="lt-LT"/>
              </w:rPr>
            </w:pPr>
          </w:p>
          <w:p w14:paraId="085780F0" w14:textId="77777777" w:rsidR="00D72C83" w:rsidRPr="00D3564A" w:rsidRDefault="00D72C83" w:rsidP="00D3564A">
            <w:pPr>
              <w:pStyle w:val="TableParagraph"/>
              <w:rPr>
                <w:rFonts w:ascii="Times New Roman" w:hAnsi="Times New Roman"/>
              </w:rPr>
            </w:pPr>
            <w:r w:rsidRPr="00D3564A">
              <w:rPr>
                <w:rFonts w:ascii="Times New Roman" w:hAnsi="Times New Roman"/>
                <w:b/>
                <w:spacing w:val="-1"/>
                <w:lang w:val="lt-LT"/>
              </w:rPr>
              <w:t>Baigtis</w:t>
            </w:r>
          </w:p>
        </w:tc>
        <w:tc>
          <w:tcPr>
            <w:tcW w:w="1417" w:type="dxa"/>
            <w:tcBorders>
              <w:top w:val="single" w:sz="5" w:space="0" w:color="000000"/>
              <w:left w:val="single" w:sz="5" w:space="0" w:color="000000"/>
              <w:bottom w:val="single" w:sz="5" w:space="0" w:color="000000"/>
              <w:right w:val="single" w:sz="5" w:space="0" w:color="000000"/>
            </w:tcBorders>
          </w:tcPr>
          <w:p w14:paraId="1FFA3096" w14:textId="77777777" w:rsidR="00D72C83" w:rsidRPr="00D3564A" w:rsidRDefault="00D72C83" w:rsidP="00D3564A">
            <w:pPr>
              <w:pStyle w:val="TableParagraph"/>
              <w:ind w:firstLine="33"/>
              <w:rPr>
                <w:rFonts w:ascii="Times New Roman" w:hAnsi="Times New Roman"/>
              </w:rPr>
            </w:pPr>
            <w:r w:rsidRPr="00D3564A">
              <w:rPr>
                <w:rFonts w:ascii="Times New Roman" w:hAnsi="Times New Roman"/>
                <w:b/>
                <w:lang w:val="lt-LT"/>
              </w:rPr>
              <w:t xml:space="preserve">Erlotinibas </w:t>
            </w:r>
            <w:r w:rsidRPr="00D3564A">
              <w:rPr>
                <w:rFonts w:ascii="Times New Roman" w:hAnsi="Times New Roman"/>
                <w:b/>
                <w:spacing w:val="-1"/>
                <w:lang w:val="lt-LT"/>
              </w:rPr>
              <w:t>(mėn.)</w:t>
            </w:r>
          </w:p>
        </w:tc>
        <w:tc>
          <w:tcPr>
            <w:tcW w:w="1134" w:type="dxa"/>
            <w:tcBorders>
              <w:top w:val="single" w:sz="5" w:space="0" w:color="000000"/>
              <w:left w:val="single" w:sz="5" w:space="0" w:color="000000"/>
              <w:bottom w:val="single" w:sz="5" w:space="0" w:color="000000"/>
              <w:right w:val="single" w:sz="5" w:space="0" w:color="000000"/>
            </w:tcBorders>
          </w:tcPr>
          <w:p w14:paraId="5C26AEB7" w14:textId="77777777" w:rsidR="00D72C83" w:rsidRPr="00D3564A" w:rsidRDefault="00D72C83" w:rsidP="00D3564A">
            <w:pPr>
              <w:pStyle w:val="TableParagraph"/>
              <w:ind w:firstLine="50"/>
              <w:rPr>
                <w:rFonts w:ascii="Times New Roman" w:hAnsi="Times New Roman"/>
              </w:rPr>
            </w:pPr>
            <w:r w:rsidRPr="00D3564A">
              <w:rPr>
                <w:rFonts w:ascii="Times New Roman" w:hAnsi="Times New Roman"/>
                <w:b/>
                <w:spacing w:val="-1"/>
                <w:lang w:val="lt-LT"/>
              </w:rPr>
              <w:t>Placebas</w:t>
            </w:r>
            <w:r w:rsidRPr="00D3564A">
              <w:rPr>
                <w:rFonts w:ascii="Times New Roman" w:hAnsi="Times New Roman"/>
                <w:b/>
                <w:spacing w:val="20"/>
                <w:lang w:val="lt-LT"/>
              </w:rPr>
              <w:t xml:space="preserve"> </w:t>
            </w:r>
            <w:r w:rsidRPr="00D3564A">
              <w:rPr>
                <w:rFonts w:ascii="Times New Roman" w:hAnsi="Times New Roman"/>
                <w:b/>
                <w:spacing w:val="-1"/>
                <w:lang w:val="lt-LT"/>
              </w:rPr>
              <w:t>(mėn.)</w:t>
            </w:r>
          </w:p>
        </w:tc>
        <w:tc>
          <w:tcPr>
            <w:tcW w:w="851" w:type="dxa"/>
            <w:tcBorders>
              <w:top w:val="single" w:sz="5" w:space="0" w:color="000000"/>
              <w:left w:val="single" w:sz="5" w:space="0" w:color="000000"/>
              <w:bottom w:val="single" w:sz="5" w:space="0" w:color="000000"/>
              <w:right w:val="single" w:sz="5" w:space="0" w:color="000000"/>
            </w:tcBorders>
          </w:tcPr>
          <w:p w14:paraId="530977DC"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b/>
                <w:spacing w:val="-36"/>
                <w:w w:val="120"/>
                <w:lang w:val="lt-LT"/>
              </w:rPr>
              <w:t>Δ</w:t>
            </w:r>
          </w:p>
          <w:p w14:paraId="2D481F1F"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b/>
                <w:spacing w:val="-1"/>
                <w:lang w:val="lt-LT"/>
              </w:rPr>
              <w:t>(mėn.)</w:t>
            </w:r>
          </w:p>
        </w:tc>
        <w:tc>
          <w:tcPr>
            <w:tcW w:w="1275" w:type="dxa"/>
            <w:tcBorders>
              <w:top w:val="single" w:sz="5" w:space="0" w:color="000000"/>
              <w:left w:val="single" w:sz="5" w:space="0" w:color="000000"/>
              <w:bottom w:val="single" w:sz="5" w:space="0" w:color="000000"/>
              <w:right w:val="single" w:sz="5" w:space="0" w:color="000000"/>
            </w:tcBorders>
          </w:tcPr>
          <w:p w14:paraId="42DEA6D4" w14:textId="77777777" w:rsidR="00D72C83" w:rsidRPr="00D3564A" w:rsidRDefault="00D72C83" w:rsidP="00D3564A">
            <w:pPr>
              <w:pStyle w:val="TableParagraph"/>
              <w:rPr>
                <w:rFonts w:ascii="Times New Roman" w:hAnsi="Times New Roman"/>
              </w:rPr>
            </w:pPr>
          </w:p>
          <w:p w14:paraId="72B2E030" w14:textId="77777777" w:rsidR="00D72C83" w:rsidRPr="00D3564A" w:rsidRDefault="00D72C83" w:rsidP="00D3564A">
            <w:pPr>
              <w:pStyle w:val="TableParagraph"/>
              <w:rPr>
                <w:rFonts w:ascii="Times New Roman" w:hAnsi="Times New Roman"/>
              </w:rPr>
            </w:pPr>
            <w:r w:rsidRPr="00D3564A">
              <w:rPr>
                <w:rFonts w:ascii="Times New Roman" w:hAnsi="Times New Roman"/>
                <w:b/>
                <w:spacing w:val="-36"/>
                <w:w w:val="120"/>
                <w:lang w:val="lt-LT"/>
              </w:rPr>
              <w:t>Δ PI</w:t>
            </w:r>
          </w:p>
        </w:tc>
        <w:tc>
          <w:tcPr>
            <w:tcW w:w="709" w:type="dxa"/>
            <w:tcBorders>
              <w:top w:val="single" w:sz="5" w:space="0" w:color="000000"/>
              <w:left w:val="single" w:sz="5" w:space="0" w:color="000000"/>
              <w:bottom w:val="single" w:sz="5" w:space="0" w:color="000000"/>
              <w:right w:val="single" w:sz="5" w:space="0" w:color="000000"/>
            </w:tcBorders>
          </w:tcPr>
          <w:p w14:paraId="534F9516" w14:textId="77777777" w:rsidR="00D72C83" w:rsidRPr="00D3564A" w:rsidRDefault="00D72C83" w:rsidP="00D3564A">
            <w:pPr>
              <w:pStyle w:val="TableParagraph"/>
              <w:rPr>
                <w:rFonts w:ascii="Times New Roman" w:hAnsi="Times New Roman"/>
              </w:rPr>
            </w:pPr>
          </w:p>
          <w:p w14:paraId="2F174C61" w14:textId="77777777" w:rsidR="00D72C83" w:rsidRPr="00D3564A" w:rsidRDefault="00D72C83" w:rsidP="00D3564A">
            <w:pPr>
              <w:pStyle w:val="TableParagraph"/>
              <w:rPr>
                <w:rFonts w:ascii="Times New Roman" w:hAnsi="Times New Roman"/>
              </w:rPr>
            </w:pPr>
            <w:r w:rsidRPr="00D3564A">
              <w:rPr>
                <w:rFonts w:ascii="Times New Roman" w:hAnsi="Times New Roman"/>
                <w:b/>
                <w:lang w:val="lt-LT"/>
              </w:rPr>
              <w:t xml:space="preserve"> RS</w:t>
            </w:r>
          </w:p>
        </w:tc>
        <w:tc>
          <w:tcPr>
            <w:tcW w:w="1097" w:type="dxa"/>
            <w:tcBorders>
              <w:top w:val="single" w:sz="5" w:space="0" w:color="000000"/>
              <w:left w:val="single" w:sz="5" w:space="0" w:color="000000"/>
              <w:bottom w:val="single" w:sz="5" w:space="0" w:color="000000"/>
              <w:right w:val="single" w:sz="5" w:space="0" w:color="000000"/>
            </w:tcBorders>
          </w:tcPr>
          <w:p w14:paraId="2BD9E17B" w14:textId="77777777" w:rsidR="00D72C83" w:rsidRPr="00D3564A" w:rsidRDefault="00D72C83" w:rsidP="00D3564A">
            <w:pPr>
              <w:pStyle w:val="TableParagraph"/>
              <w:ind w:hanging="70"/>
              <w:rPr>
                <w:rFonts w:ascii="Times New Roman" w:hAnsi="Times New Roman"/>
              </w:rPr>
            </w:pPr>
            <w:r w:rsidRPr="00D3564A">
              <w:rPr>
                <w:rFonts w:ascii="Times New Roman" w:hAnsi="Times New Roman"/>
                <w:b/>
                <w:lang w:val="lt-LT"/>
              </w:rPr>
              <w:t xml:space="preserve">  RS PI</w:t>
            </w:r>
          </w:p>
        </w:tc>
        <w:tc>
          <w:tcPr>
            <w:tcW w:w="888" w:type="dxa"/>
            <w:tcBorders>
              <w:top w:val="single" w:sz="5" w:space="0" w:color="000000"/>
              <w:left w:val="single" w:sz="5" w:space="0" w:color="000000"/>
              <w:bottom w:val="single" w:sz="5" w:space="0" w:color="000000"/>
              <w:right w:val="single" w:sz="5" w:space="0" w:color="000000"/>
            </w:tcBorders>
          </w:tcPr>
          <w:p w14:paraId="60AC0705"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b/>
                <w:i/>
                <w:lang w:val="lt-LT"/>
              </w:rPr>
              <w:t>P</w:t>
            </w:r>
            <w:r w:rsidRPr="00D3564A">
              <w:rPr>
                <w:rFonts w:ascii="Times New Roman" w:hAnsi="Times New Roman"/>
                <w:b/>
                <w:lang w:val="lt-LT"/>
              </w:rPr>
              <w:t>-</w:t>
            </w:r>
          </w:p>
          <w:p w14:paraId="429634C4"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b/>
                <w:spacing w:val="-1"/>
                <w:lang w:val="lt-LT"/>
              </w:rPr>
              <w:t>reikšmė</w:t>
            </w:r>
          </w:p>
        </w:tc>
      </w:tr>
      <w:tr w:rsidR="00D72C83" w:rsidRPr="002E32EF" w14:paraId="4B4E8E7A" w14:textId="77777777" w:rsidTr="00E23115">
        <w:trPr>
          <w:trHeight w:hRule="exact" w:val="300"/>
        </w:trPr>
        <w:tc>
          <w:tcPr>
            <w:tcW w:w="8825" w:type="dxa"/>
            <w:gridSpan w:val="8"/>
            <w:tcBorders>
              <w:top w:val="single" w:sz="5" w:space="0" w:color="000000"/>
              <w:left w:val="single" w:sz="5" w:space="0" w:color="000000"/>
              <w:bottom w:val="single" w:sz="5" w:space="0" w:color="000000"/>
              <w:right w:val="single" w:sz="5" w:space="0" w:color="000000"/>
            </w:tcBorders>
          </w:tcPr>
          <w:p w14:paraId="35424B46"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Visi tiriamieji</w:t>
            </w:r>
          </w:p>
        </w:tc>
      </w:tr>
      <w:tr w:rsidR="00D72C83" w:rsidRPr="002E32EF" w14:paraId="2332318F" w14:textId="77777777" w:rsidTr="00E23115">
        <w:trPr>
          <w:trHeight w:hRule="exact" w:val="868"/>
        </w:trPr>
        <w:tc>
          <w:tcPr>
            <w:tcW w:w="1454" w:type="dxa"/>
            <w:tcBorders>
              <w:top w:val="single" w:sz="5" w:space="0" w:color="000000"/>
              <w:left w:val="single" w:sz="5" w:space="0" w:color="000000"/>
              <w:bottom w:val="single" w:sz="5" w:space="0" w:color="000000"/>
              <w:right w:val="single" w:sz="5" w:space="0" w:color="000000"/>
            </w:tcBorders>
          </w:tcPr>
          <w:p w14:paraId="1FBCB431"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2559756C"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mediana</w:t>
            </w:r>
          </w:p>
        </w:tc>
        <w:tc>
          <w:tcPr>
            <w:tcW w:w="1417" w:type="dxa"/>
            <w:tcBorders>
              <w:top w:val="single" w:sz="5" w:space="0" w:color="000000"/>
              <w:left w:val="single" w:sz="5" w:space="0" w:color="000000"/>
              <w:bottom w:val="single" w:sz="5" w:space="0" w:color="000000"/>
              <w:right w:val="single" w:sz="5" w:space="0" w:color="000000"/>
            </w:tcBorders>
          </w:tcPr>
          <w:p w14:paraId="73FA7DDB"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6,4</w:t>
            </w:r>
          </w:p>
        </w:tc>
        <w:tc>
          <w:tcPr>
            <w:tcW w:w="1134" w:type="dxa"/>
            <w:tcBorders>
              <w:top w:val="single" w:sz="5" w:space="0" w:color="000000"/>
              <w:left w:val="single" w:sz="5" w:space="0" w:color="000000"/>
              <w:bottom w:val="single" w:sz="5" w:space="0" w:color="000000"/>
              <w:right w:val="single" w:sz="5" w:space="0" w:color="000000"/>
            </w:tcBorders>
          </w:tcPr>
          <w:p w14:paraId="6BBB41A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6,0</w:t>
            </w:r>
          </w:p>
        </w:tc>
        <w:tc>
          <w:tcPr>
            <w:tcW w:w="851" w:type="dxa"/>
            <w:tcBorders>
              <w:top w:val="single" w:sz="5" w:space="0" w:color="000000"/>
              <w:left w:val="single" w:sz="5" w:space="0" w:color="000000"/>
              <w:bottom w:val="single" w:sz="5" w:space="0" w:color="000000"/>
              <w:right w:val="single" w:sz="5" w:space="0" w:color="000000"/>
            </w:tcBorders>
          </w:tcPr>
          <w:p w14:paraId="09D290B1"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0,41</w:t>
            </w:r>
          </w:p>
        </w:tc>
        <w:tc>
          <w:tcPr>
            <w:tcW w:w="1275" w:type="dxa"/>
            <w:tcBorders>
              <w:top w:val="single" w:sz="5" w:space="0" w:color="000000"/>
              <w:left w:val="single" w:sz="5" w:space="0" w:color="000000"/>
              <w:bottom w:val="single" w:sz="5" w:space="0" w:color="000000"/>
              <w:right w:val="single" w:sz="5" w:space="0" w:color="000000"/>
            </w:tcBorders>
          </w:tcPr>
          <w:p w14:paraId="6E0594DD"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-0,54-1,64</w:t>
            </w:r>
          </w:p>
        </w:tc>
        <w:tc>
          <w:tcPr>
            <w:tcW w:w="709" w:type="dxa"/>
            <w:vMerge w:val="restart"/>
            <w:tcBorders>
              <w:top w:val="single" w:sz="5" w:space="0" w:color="000000"/>
              <w:left w:val="single" w:sz="5" w:space="0" w:color="000000"/>
              <w:right w:val="single" w:sz="5" w:space="0" w:color="000000"/>
            </w:tcBorders>
          </w:tcPr>
          <w:p w14:paraId="672CD5D3"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0,82</w:t>
            </w:r>
          </w:p>
        </w:tc>
        <w:tc>
          <w:tcPr>
            <w:tcW w:w="1097" w:type="dxa"/>
            <w:vMerge w:val="restart"/>
            <w:tcBorders>
              <w:top w:val="single" w:sz="5" w:space="0" w:color="000000"/>
              <w:left w:val="single" w:sz="5" w:space="0" w:color="000000"/>
              <w:right w:val="single" w:sz="5" w:space="0" w:color="000000"/>
            </w:tcBorders>
          </w:tcPr>
          <w:p w14:paraId="3E13DD17"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0,69-0,98</w:t>
            </w:r>
          </w:p>
        </w:tc>
        <w:tc>
          <w:tcPr>
            <w:tcW w:w="888" w:type="dxa"/>
            <w:vMerge w:val="restart"/>
            <w:tcBorders>
              <w:top w:val="single" w:sz="5" w:space="0" w:color="000000"/>
              <w:left w:val="single" w:sz="5" w:space="0" w:color="000000"/>
              <w:right w:val="single" w:sz="5" w:space="0" w:color="000000"/>
            </w:tcBorders>
          </w:tcPr>
          <w:p w14:paraId="1B15823D"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0,028</w:t>
            </w:r>
          </w:p>
        </w:tc>
      </w:tr>
      <w:tr w:rsidR="00D72C83" w:rsidRPr="002E32EF" w14:paraId="0C245C50" w14:textId="77777777" w:rsidTr="00E23115">
        <w:trPr>
          <w:trHeight w:hRule="exact" w:val="839"/>
        </w:trPr>
        <w:tc>
          <w:tcPr>
            <w:tcW w:w="1454" w:type="dxa"/>
            <w:tcBorders>
              <w:top w:val="single" w:sz="5" w:space="0" w:color="000000"/>
              <w:left w:val="single" w:sz="5" w:space="0" w:color="000000"/>
              <w:bottom w:val="single" w:sz="5" w:space="0" w:color="000000"/>
              <w:right w:val="single" w:sz="5" w:space="0" w:color="000000"/>
            </w:tcBorders>
          </w:tcPr>
          <w:p w14:paraId="57A3F4CB"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47F2F247"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vidurkis</w:t>
            </w:r>
          </w:p>
        </w:tc>
        <w:tc>
          <w:tcPr>
            <w:tcW w:w="1417" w:type="dxa"/>
            <w:tcBorders>
              <w:top w:val="single" w:sz="5" w:space="0" w:color="000000"/>
              <w:left w:val="single" w:sz="5" w:space="0" w:color="000000"/>
              <w:bottom w:val="single" w:sz="5" w:space="0" w:color="000000"/>
              <w:right w:val="single" w:sz="5" w:space="0" w:color="000000"/>
            </w:tcBorders>
          </w:tcPr>
          <w:p w14:paraId="4E456229"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8,8</w:t>
            </w:r>
          </w:p>
        </w:tc>
        <w:tc>
          <w:tcPr>
            <w:tcW w:w="1134" w:type="dxa"/>
            <w:tcBorders>
              <w:top w:val="single" w:sz="5" w:space="0" w:color="000000"/>
              <w:left w:val="single" w:sz="5" w:space="0" w:color="000000"/>
              <w:bottom w:val="single" w:sz="5" w:space="0" w:color="000000"/>
              <w:right w:val="single" w:sz="5" w:space="0" w:color="000000"/>
            </w:tcBorders>
          </w:tcPr>
          <w:p w14:paraId="56D3ACF7"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7,6</w:t>
            </w:r>
          </w:p>
        </w:tc>
        <w:tc>
          <w:tcPr>
            <w:tcW w:w="851" w:type="dxa"/>
            <w:tcBorders>
              <w:top w:val="single" w:sz="5" w:space="0" w:color="000000"/>
              <w:left w:val="single" w:sz="5" w:space="0" w:color="000000"/>
              <w:bottom w:val="single" w:sz="5" w:space="0" w:color="000000"/>
              <w:right w:val="single" w:sz="5" w:space="0" w:color="000000"/>
            </w:tcBorders>
          </w:tcPr>
          <w:p w14:paraId="119F530E"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1,16</w:t>
            </w:r>
          </w:p>
        </w:tc>
        <w:tc>
          <w:tcPr>
            <w:tcW w:w="1275" w:type="dxa"/>
            <w:tcBorders>
              <w:top w:val="single" w:sz="5" w:space="0" w:color="000000"/>
              <w:left w:val="single" w:sz="5" w:space="0" w:color="000000"/>
              <w:bottom w:val="single" w:sz="5" w:space="0" w:color="000000"/>
              <w:right w:val="single" w:sz="5" w:space="0" w:color="000000"/>
            </w:tcBorders>
          </w:tcPr>
          <w:p w14:paraId="2841F2F7"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-0,05-2,34</w:t>
            </w:r>
          </w:p>
        </w:tc>
        <w:tc>
          <w:tcPr>
            <w:tcW w:w="709" w:type="dxa"/>
            <w:vMerge/>
            <w:tcBorders>
              <w:left w:val="single" w:sz="5" w:space="0" w:color="000000"/>
              <w:bottom w:val="single" w:sz="5" w:space="0" w:color="000000"/>
              <w:right w:val="single" w:sz="5" w:space="0" w:color="000000"/>
            </w:tcBorders>
          </w:tcPr>
          <w:p w14:paraId="0512AE06" w14:textId="77777777" w:rsidR="00D72C83" w:rsidRPr="002E32EF" w:rsidRDefault="00D72C83" w:rsidP="00E23115">
            <w:pPr>
              <w:spacing w:after="0" w:line="240" w:lineRule="auto"/>
              <w:rPr>
                <w:rFonts w:ascii="Times New Roman" w:hAnsi="Times New Roman" w:cs="Times New Roman"/>
              </w:rPr>
            </w:pPr>
          </w:p>
        </w:tc>
        <w:tc>
          <w:tcPr>
            <w:tcW w:w="1097" w:type="dxa"/>
            <w:vMerge/>
            <w:tcBorders>
              <w:left w:val="single" w:sz="5" w:space="0" w:color="000000"/>
              <w:bottom w:val="single" w:sz="5" w:space="0" w:color="000000"/>
              <w:right w:val="single" w:sz="5" w:space="0" w:color="000000"/>
            </w:tcBorders>
          </w:tcPr>
          <w:p w14:paraId="38AAC9D0" w14:textId="77777777" w:rsidR="00D72C83" w:rsidRPr="002E32EF" w:rsidRDefault="00D72C83" w:rsidP="00E23115">
            <w:pPr>
              <w:spacing w:after="0" w:line="240" w:lineRule="auto"/>
              <w:rPr>
                <w:rFonts w:ascii="Times New Roman" w:hAnsi="Times New Roman" w:cs="Times New Roman"/>
              </w:rPr>
            </w:pPr>
          </w:p>
        </w:tc>
        <w:tc>
          <w:tcPr>
            <w:tcW w:w="888" w:type="dxa"/>
            <w:vMerge/>
            <w:tcBorders>
              <w:left w:val="single" w:sz="5" w:space="0" w:color="000000"/>
              <w:bottom w:val="single" w:sz="5" w:space="0" w:color="000000"/>
              <w:right w:val="single" w:sz="5" w:space="0" w:color="000000"/>
            </w:tcBorders>
          </w:tcPr>
          <w:p w14:paraId="0B0CFBCB" w14:textId="77777777" w:rsidR="00D72C83" w:rsidRPr="002E32EF" w:rsidRDefault="00D72C83" w:rsidP="00E23115">
            <w:pPr>
              <w:spacing w:after="0" w:line="240" w:lineRule="auto"/>
              <w:rPr>
                <w:rFonts w:ascii="Times New Roman" w:hAnsi="Times New Roman" w:cs="Times New Roman"/>
              </w:rPr>
            </w:pPr>
          </w:p>
        </w:tc>
      </w:tr>
      <w:tr w:rsidR="00D72C83" w:rsidRPr="002E32EF" w14:paraId="2152D013" w14:textId="77777777" w:rsidTr="00E23115">
        <w:trPr>
          <w:trHeight w:hRule="exact" w:val="299"/>
        </w:trPr>
        <w:tc>
          <w:tcPr>
            <w:tcW w:w="8825" w:type="dxa"/>
            <w:gridSpan w:val="8"/>
            <w:tcBorders>
              <w:top w:val="single" w:sz="5" w:space="0" w:color="000000"/>
              <w:left w:val="single" w:sz="5" w:space="0" w:color="000000"/>
              <w:bottom w:val="single" w:sz="5" w:space="0" w:color="000000"/>
              <w:right w:val="single" w:sz="5" w:space="0" w:color="000000"/>
            </w:tcBorders>
          </w:tcPr>
          <w:p w14:paraId="69F61A1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Metastazinė liga</w:t>
            </w:r>
          </w:p>
        </w:tc>
      </w:tr>
      <w:tr w:rsidR="00D72C83" w:rsidRPr="002E32EF" w14:paraId="1D2DAD76" w14:textId="77777777" w:rsidTr="00E23115">
        <w:trPr>
          <w:trHeight w:hRule="exact" w:val="841"/>
        </w:trPr>
        <w:tc>
          <w:tcPr>
            <w:tcW w:w="1454" w:type="dxa"/>
            <w:tcBorders>
              <w:top w:val="single" w:sz="5" w:space="0" w:color="000000"/>
              <w:left w:val="single" w:sz="5" w:space="0" w:color="000000"/>
              <w:bottom w:val="single" w:sz="5" w:space="0" w:color="000000"/>
              <w:right w:val="single" w:sz="5" w:space="0" w:color="000000"/>
            </w:tcBorders>
          </w:tcPr>
          <w:p w14:paraId="010530D6"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3F2F439B"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mediana</w:t>
            </w:r>
          </w:p>
        </w:tc>
        <w:tc>
          <w:tcPr>
            <w:tcW w:w="1417" w:type="dxa"/>
            <w:tcBorders>
              <w:top w:val="single" w:sz="5" w:space="0" w:color="000000"/>
              <w:left w:val="single" w:sz="5" w:space="0" w:color="000000"/>
              <w:bottom w:val="single" w:sz="5" w:space="0" w:color="000000"/>
              <w:right w:val="single" w:sz="5" w:space="0" w:color="000000"/>
            </w:tcBorders>
          </w:tcPr>
          <w:p w14:paraId="13415E3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5,9</w:t>
            </w:r>
          </w:p>
        </w:tc>
        <w:tc>
          <w:tcPr>
            <w:tcW w:w="1134" w:type="dxa"/>
            <w:tcBorders>
              <w:top w:val="single" w:sz="5" w:space="0" w:color="000000"/>
              <w:left w:val="single" w:sz="5" w:space="0" w:color="000000"/>
              <w:bottom w:val="single" w:sz="5" w:space="0" w:color="000000"/>
              <w:right w:val="single" w:sz="5" w:space="0" w:color="000000"/>
            </w:tcBorders>
          </w:tcPr>
          <w:p w14:paraId="4DC7245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5,1</w:t>
            </w:r>
          </w:p>
        </w:tc>
        <w:tc>
          <w:tcPr>
            <w:tcW w:w="851" w:type="dxa"/>
            <w:tcBorders>
              <w:top w:val="single" w:sz="5" w:space="0" w:color="000000"/>
              <w:left w:val="single" w:sz="5" w:space="0" w:color="000000"/>
              <w:bottom w:val="single" w:sz="5" w:space="0" w:color="000000"/>
              <w:right w:val="single" w:sz="5" w:space="0" w:color="000000"/>
            </w:tcBorders>
          </w:tcPr>
          <w:p w14:paraId="6BC8F8D6"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0,87</w:t>
            </w:r>
          </w:p>
        </w:tc>
        <w:tc>
          <w:tcPr>
            <w:tcW w:w="1275" w:type="dxa"/>
            <w:tcBorders>
              <w:top w:val="single" w:sz="5" w:space="0" w:color="000000"/>
              <w:left w:val="single" w:sz="5" w:space="0" w:color="000000"/>
              <w:bottom w:val="single" w:sz="5" w:space="0" w:color="000000"/>
              <w:right w:val="single" w:sz="5" w:space="0" w:color="000000"/>
            </w:tcBorders>
          </w:tcPr>
          <w:p w14:paraId="17FF198A"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-0,26-1,56</w:t>
            </w:r>
          </w:p>
        </w:tc>
        <w:tc>
          <w:tcPr>
            <w:tcW w:w="709" w:type="dxa"/>
            <w:vMerge w:val="restart"/>
            <w:tcBorders>
              <w:top w:val="single" w:sz="5" w:space="0" w:color="000000"/>
              <w:left w:val="single" w:sz="5" w:space="0" w:color="000000"/>
              <w:right w:val="single" w:sz="5" w:space="0" w:color="000000"/>
            </w:tcBorders>
          </w:tcPr>
          <w:p w14:paraId="308376E9"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0,80</w:t>
            </w:r>
          </w:p>
        </w:tc>
        <w:tc>
          <w:tcPr>
            <w:tcW w:w="1097" w:type="dxa"/>
            <w:vMerge w:val="restart"/>
            <w:tcBorders>
              <w:top w:val="single" w:sz="5" w:space="0" w:color="000000"/>
              <w:left w:val="single" w:sz="5" w:space="0" w:color="000000"/>
              <w:right w:val="single" w:sz="5" w:space="0" w:color="000000"/>
            </w:tcBorders>
          </w:tcPr>
          <w:p w14:paraId="3E758FD4"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0,66-0,98</w:t>
            </w:r>
          </w:p>
        </w:tc>
        <w:tc>
          <w:tcPr>
            <w:tcW w:w="888" w:type="dxa"/>
            <w:vMerge w:val="restart"/>
            <w:tcBorders>
              <w:top w:val="single" w:sz="5" w:space="0" w:color="000000"/>
              <w:left w:val="single" w:sz="5" w:space="0" w:color="000000"/>
              <w:right w:val="single" w:sz="5" w:space="0" w:color="000000"/>
            </w:tcBorders>
          </w:tcPr>
          <w:p w14:paraId="3F1B80EC"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0,029</w:t>
            </w:r>
          </w:p>
        </w:tc>
      </w:tr>
      <w:tr w:rsidR="00D72C83" w:rsidRPr="002E32EF" w14:paraId="37F78926" w14:textId="77777777" w:rsidTr="00E23115">
        <w:trPr>
          <w:trHeight w:hRule="exact" w:val="853"/>
        </w:trPr>
        <w:tc>
          <w:tcPr>
            <w:tcW w:w="1454" w:type="dxa"/>
            <w:tcBorders>
              <w:top w:val="single" w:sz="5" w:space="0" w:color="000000"/>
              <w:left w:val="single" w:sz="5" w:space="0" w:color="000000"/>
              <w:bottom w:val="single" w:sz="5" w:space="0" w:color="000000"/>
              <w:right w:val="single" w:sz="5" w:space="0" w:color="000000"/>
            </w:tcBorders>
          </w:tcPr>
          <w:p w14:paraId="7C644588"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2DCC5F0E"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vidurkis</w:t>
            </w:r>
          </w:p>
        </w:tc>
        <w:tc>
          <w:tcPr>
            <w:tcW w:w="1417" w:type="dxa"/>
            <w:tcBorders>
              <w:top w:val="single" w:sz="5" w:space="0" w:color="000000"/>
              <w:left w:val="single" w:sz="5" w:space="0" w:color="000000"/>
              <w:bottom w:val="single" w:sz="5" w:space="0" w:color="000000"/>
              <w:right w:val="single" w:sz="5" w:space="0" w:color="000000"/>
            </w:tcBorders>
          </w:tcPr>
          <w:p w14:paraId="14675E40"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8,1</w:t>
            </w:r>
          </w:p>
        </w:tc>
        <w:tc>
          <w:tcPr>
            <w:tcW w:w="1134" w:type="dxa"/>
            <w:tcBorders>
              <w:top w:val="single" w:sz="5" w:space="0" w:color="000000"/>
              <w:left w:val="single" w:sz="5" w:space="0" w:color="000000"/>
              <w:bottom w:val="single" w:sz="5" w:space="0" w:color="000000"/>
              <w:right w:val="single" w:sz="5" w:space="0" w:color="000000"/>
            </w:tcBorders>
          </w:tcPr>
          <w:p w14:paraId="5C977FA3"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6.7</w:t>
            </w:r>
          </w:p>
        </w:tc>
        <w:tc>
          <w:tcPr>
            <w:tcW w:w="851" w:type="dxa"/>
            <w:tcBorders>
              <w:top w:val="single" w:sz="5" w:space="0" w:color="000000"/>
              <w:left w:val="single" w:sz="5" w:space="0" w:color="000000"/>
              <w:bottom w:val="single" w:sz="5" w:space="0" w:color="000000"/>
              <w:right w:val="single" w:sz="5" w:space="0" w:color="000000"/>
            </w:tcBorders>
          </w:tcPr>
          <w:p w14:paraId="3B086782"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1,43</w:t>
            </w:r>
          </w:p>
        </w:tc>
        <w:tc>
          <w:tcPr>
            <w:tcW w:w="1275" w:type="dxa"/>
            <w:tcBorders>
              <w:top w:val="single" w:sz="5" w:space="0" w:color="000000"/>
              <w:left w:val="single" w:sz="5" w:space="0" w:color="000000"/>
              <w:bottom w:val="single" w:sz="5" w:space="0" w:color="000000"/>
              <w:right w:val="single" w:sz="5" w:space="0" w:color="000000"/>
            </w:tcBorders>
          </w:tcPr>
          <w:p w14:paraId="4C77B128"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0,17-2,66</w:t>
            </w:r>
          </w:p>
        </w:tc>
        <w:tc>
          <w:tcPr>
            <w:tcW w:w="709" w:type="dxa"/>
            <w:vMerge/>
            <w:tcBorders>
              <w:left w:val="single" w:sz="5" w:space="0" w:color="000000"/>
              <w:bottom w:val="single" w:sz="5" w:space="0" w:color="000000"/>
              <w:right w:val="single" w:sz="5" w:space="0" w:color="000000"/>
            </w:tcBorders>
          </w:tcPr>
          <w:p w14:paraId="26D41796" w14:textId="77777777" w:rsidR="00D72C83" w:rsidRPr="002E32EF" w:rsidRDefault="00D72C83" w:rsidP="00E23115">
            <w:pPr>
              <w:spacing w:after="0" w:line="240" w:lineRule="auto"/>
              <w:rPr>
                <w:rFonts w:ascii="Times New Roman" w:hAnsi="Times New Roman" w:cs="Times New Roman"/>
              </w:rPr>
            </w:pPr>
          </w:p>
        </w:tc>
        <w:tc>
          <w:tcPr>
            <w:tcW w:w="1097" w:type="dxa"/>
            <w:vMerge/>
            <w:tcBorders>
              <w:left w:val="single" w:sz="5" w:space="0" w:color="000000"/>
              <w:bottom w:val="single" w:sz="5" w:space="0" w:color="000000"/>
              <w:right w:val="single" w:sz="5" w:space="0" w:color="000000"/>
            </w:tcBorders>
          </w:tcPr>
          <w:p w14:paraId="319996FB" w14:textId="77777777" w:rsidR="00D72C83" w:rsidRPr="002E32EF" w:rsidRDefault="00D72C83" w:rsidP="00E23115">
            <w:pPr>
              <w:spacing w:after="0" w:line="240" w:lineRule="auto"/>
              <w:rPr>
                <w:rFonts w:ascii="Times New Roman" w:hAnsi="Times New Roman" w:cs="Times New Roman"/>
              </w:rPr>
            </w:pPr>
          </w:p>
        </w:tc>
        <w:tc>
          <w:tcPr>
            <w:tcW w:w="888" w:type="dxa"/>
            <w:vMerge/>
            <w:tcBorders>
              <w:left w:val="single" w:sz="5" w:space="0" w:color="000000"/>
              <w:bottom w:val="single" w:sz="5" w:space="0" w:color="000000"/>
              <w:right w:val="single" w:sz="5" w:space="0" w:color="000000"/>
            </w:tcBorders>
          </w:tcPr>
          <w:p w14:paraId="6C41EB94" w14:textId="77777777" w:rsidR="00D72C83" w:rsidRPr="002E32EF" w:rsidRDefault="00D72C83" w:rsidP="00E23115">
            <w:pPr>
              <w:spacing w:after="0" w:line="240" w:lineRule="auto"/>
              <w:rPr>
                <w:rFonts w:ascii="Times New Roman" w:hAnsi="Times New Roman" w:cs="Times New Roman"/>
              </w:rPr>
            </w:pPr>
          </w:p>
        </w:tc>
      </w:tr>
      <w:tr w:rsidR="00D72C83" w:rsidRPr="002E32EF" w14:paraId="17463B2C" w14:textId="77777777" w:rsidTr="00E23115">
        <w:trPr>
          <w:trHeight w:hRule="exact" w:val="300"/>
        </w:trPr>
        <w:tc>
          <w:tcPr>
            <w:tcW w:w="8825" w:type="dxa"/>
            <w:gridSpan w:val="8"/>
            <w:tcBorders>
              <w:top w:val="single" w:sz="5" w:space="0" w:color="000000"/>
              <w:left w:val="single" w:sz="5" w:space="0" w:color="000000"/>
              <w:bottom w:val="single" w:sz="5" w:space="0" w:color="000000"/>
              <w:right w:val="single" w:sz="5" w:space="0" w:color="000000"/>
            </w:tcBorders>
          </w:tcPr>
          <w:p w14:paraId="2E553E5D"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Vietoje išplitusi liga</w:t>
            </w:r>
          </w:p>
        </w:tc>
      </w:tr>
      <w:tr w:rsidR="00D72C83" w:rsidRPr="002E32EF" w14:paraId="7A61A916" w14:textId="77777777" w:rsidTr="00E23115">
        <w:trPr>
          <w:trHeight w:hRule="exact" w:val="837"/>
        </w:trPr>
        <w:tc>
          <w:tcPr>
            <w:tcW w:w="1454" w:type="dxa"/>
            <w:tcBorders>
              <w:top w:val="single" w:sz="5" w:space="0" w:color="000000"/>
              <w:left w:val="single" w:sz="5" w:space="0" w:color="000000"/>
              <w:bottom w:val="single" w:sz="5" w:space="0" w:color="000000"/>
              <w:right w:val="single" w:sz="5" w:space="0" w:color="000000"/>
            </w:tcBorders>
          </w:tcPr>
          <w:p w14:paraId="7C58C219"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741B4558"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mediana</w:t>
            </w:r>
          </w:p>
        </w:tc>
        <w:tc>
          <w:tcPr>
            <w:tcW w:w="1417" w:type="dxa"/>
            <w:tcBorders>
              <w:top w:val="single" w:sz="5" w:space="0" w:color="000000"/>
              <w:left w:val="single" w:sz="5" w:space="0" w:color="000000"/>
              <w:bottom w:val="single" w:sz="5" w:space="0" w:color="000000"/>
              <w:right w:val="single" w:sz="5" w:space="0" w:color="000000"/>
            </w:tcBorders>
          </w:tcPr>
          <w:p w14:paraId="5540425E"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8,5</w:t>
            </w:r>
          </w:p>
        </w:tc>
        <w:tc>
          <w:tcPr>
            <w:tcW w:w="1134" w:type="dxa"/>
            <w:tcBorders>
              <w:top w:val="single" w:sz="5" w:space="0" w:color="000000"/>
              <w:left w:val="single" w:sz="5" w:space="0" w:color="000000"/>
              <w:bottom w:val="single" w:sz="5" w:space="0" w:color="000000"/>
              <w:right w:val="single" w:sz="5" w:space="0" w:color="000000"/>
            </w:tcBorders>
          </w:tcPr>
          <w:p w14:paraId="1D3F04AA" w14:textId="77777777" w:rsidR="00D72C83" w:rsidRPr="00D3564A" w:rsidRDefault="00D72C83" w:rsidP="00D3564A">
            <w:pPr>
              <w:pStyle w:val="TableParagraph"/>
              <w:jc w:val="center"/>
              <w:rPr>
                <w:rFonts w:ascii="Times New Roman" w:hAnsi="Times New Roman"/>
              </w:rPr>
            </w:pPr>
            <w:r w:rsidRPr="00D3564A">
              <w:rPr>
                <w:rFonts w:ascii="Times New Roman" w:hAnsi="Times New Roman"/>
                <w:spacing w:val="-1"/>
                <w:lang w:val="lt-LT"/>
              </w:rPr>
              <w:t>8,2</w:t>
            </w:r>
          </w:p>
        </w:tc>
        <w:tc>
          <w:tcPr>
            <w:tcW w:w="851" w:type="dxa"/>
            <w:tcBorders>
              <w:top w:val="single" w:sz="5" w:space="0" w:color="000000"/>
              <w:left w:val="single" w:sz="5" w:space="0" w:color="000000"/>
              <w:bottom w:val="single" w:sz="5" w:space="0" w:color="000000"/>
              <w:right w:val="single" w:sz="5" w:space="0" w:color="000000"/>
            </w:tcBorders>
          </w:tcPr>
          <w:p w14:paraId="15A2B28B"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0,36</w:t>
            </w:r>
          </w:p>
        </w:tc>
        <w:tc>
          <w:tcPr>
            <w:tcW w:w="1275" w:type="dxa"/>
            <w:tcBorders>
              <w:top w:val="single" w:sz="5" w:space="0" w:color="000000"/>
              <w:left w:val="single" w:sz="5" w:space="0" w:color="000000"/>
              <w:bottom w:val="single" w:sz="5" w:space="0" w:color="000000"/>
              <w:right w:val="single" w:sz="5" w:space="0" w:color="000000"/>
            </w:tcBorders>
          </w:tcPr>
          <w:p w14:paraId="1DA84E99"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-2,43-2,96</w:t>
            </w:r>
          </w:p>
        </w:tc>
        <w:tc>
          <w:tcPr>
            <w:tcW w:w="709" w:type="dxa"/>
            <w:vMerge w:val="restart"/>
            <w:tcBorders>
              <w:top w:val="single" w:sz="5" w:space="0" w:color="000000"/>
              <w:left w:val="single" w:sz="5" w:space="0" w:color="000000"/>
              <w:right w:val="single" w:sz="5" w:space="0" w:color="000000"/>
            </w:tcBorders>
          </w:tcPr>
          <w:p w14:paraId="5CDBFDBA"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0,93</w:t>
            </w:r>
          </w:p>
        </w:tc>
        <w:tc>
          <w:tcPr>
            <w:tcW w:w="1097" w:type="dxa"/>
            <w:vMerge w:val="restart"/>
            <w:tcBorders>
              <w:top w:val="single" w:sz="5" w:space="0" w:color="000000"/>
              <w:left w:val="single" w:sz="5" w:space="0" w:color="000000"/>
              <w:right w:val="single" w:sz="5" w:space="0" w:color="000000"/>
            </w:tcBorders>
          </w:tcPr>
          <w:p w14:paraId="7EA1A09C"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0,65-1.35</w:t>
            </w:r>
          </w:p>
        </w:tc>
        <w:tc>
          <w:tcPr>
            <w:tcW w:w="888" w:type="dxa"/>
            <w:vMerge w:val="restart"/>
            <w:tcBorders>
              <w:top w:val="single" w:sz="5" w:space="0" w:color="000000"/>
              <w:left w:val="single" w:sz="5" w:space="0" w:color="000000"/>
              <w:right w:val="single" w:sz="5" w:space="0" w:color="000000"/>
            </w:tcBorders>
          </w:tcPr>
          <w:p w14:paraId="199B6AEC"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0,713</w:t>
            </w:r>
          </w:p>
        </w:tc>
      </w:tr>
      <w:tr w:rsidR="00D72C83" w:rsidRPr="002E32EF" w14:paraId="16C31F3F" w14:textId="77777777" w:rsidTr="00E23115">
        <w:trPr>
          <w:trHeight w:hRule="exact" w:val="839"/>
        </w:trPr>
        <w:tc>
          <w:tcPr>
            <w:tcW w:w="1454" w:type="dxa"/>
            <w:tcBorders>
              <w:top w:val="single" w:sz="5" w:space="0" w:color="000000"/>
              <w:left w:val="single" w:sz="5" w:space="0" w:color="000000"/>
              <w:bottom w:val="single" w:sz="5" w:space="0" w:color="000000"/>
              <w:right w:val="single" w:sz="5" w:space="0" w:color="000000"/>
            </w:tcBorders>
          </w:tcPr>
          <w:p w14:paraId="0FA0AA87" w14:textId="77777777" w:rsidR="00D72C83" w:rsidRPr="002E32EF" w:rsidRDefault="00D72C83" w:rsidP="00E23115">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Bendrojo    išgyvenimo</w:t>
            </w:r>
          </w:p>
          <w:p w14:paraId="21BAC87F" w14:textId="77777777" w:rsidR="00D72C83" w:rsidRPr="00D3564A" w:rsidRDefault="00D72C83" w:rsidP="00D3564A">
            <w:pPr>
              <w:pStyle w:val="TableParagraph"/>
              <w:rPr>
                <w:rFonts w:ascii="Times New Roman" w:hAnsi="Times New Roman"/>
              </w:rPr>
            </w:pPr>
            <w:r w:rsidRPr="00D3564A">
              <w:rPr>
                <w:rFonts w:ascii="Times New Roman" w:hAnsi="Times New Roman"/>
                <w:lang w:val="lt-LT"/>
              </w:rPr>
              <w:t>vidurkis</w:t>
            </w:r>
          </w:p>
        </w:tc>
        <w:tc>
          <w:tcPr>
            <w:tcW w:w="1417" w:type="dxa"/>
            <w:tcBorders>
              <w:top w:val="single" w:sz="5" w:space="0" w:color="000000"/>
              <w:left w:val="single" w:sz="5" w:space="0" w:color="000000"/>
              <w:bottom w:val="single" w:sz="5" w:space="0" w:color="000000"/>
              <w:right w:val="single" w:sz="5" w:space="0" w:color="000000"/>
            </w:tcBorders>
          </w:tcPr>
          <w:p w14:paraId="15AA869B"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10,7</w:t>
            </w:r>
          </w:p>
        </w:tc>
        <w:tc>
          <w:tcPr>
            <w:tcW w:w="1134" w:type="dxa"/>
            <w:tcBorders>
              <w:top w:val="single" w:sz="5" w:space="0" w:color="000000"/>
              <w:left w:val="single" w:sz="5" w:space="0" w:color="000000"/>
              <w:bottom w:val="single" w:sz="5" w:space="0" w:color="000000"/>
              <w:right w:val="single" w:sz="5" w:space="0" w:color="000000"/>
            </w:tcBorders>
          </w:tcPr>
          <w:p w14:paraId="49FAB350"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10,5</w:t>
            </w:r>
          </w:p>
        </w:tc>
        <w:tc>
          <w:tcPr>
            <w:tcW w:w="851" w:type="dxa"/>
            <w:tcBorders>
              <w:top w:val="single" w:sz="5" w:space="0" w:color="000000"/>
              <w:left w:val="single" w:sz="5" w:space="0" w:color="000000"/>
              <w:bottom w:val="single" w:sz="5" w:space="0" w:color="000000"/>
              <w:right w:val="single" w:sz="5" w:space="0" w:color="000000"/>
            </w:tcBorders>
          </w:tcPr>
          <w:p w14:paraId="31BDD716"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0,19</w:t>
            </w:r>
          </w:p>
        </w:tc>
        <w:tc>
          <w:tcPr>
            <w:tcW w:w="1275" w:type="dxa"/>
            <w:tcBorders>
              <w:top w:val="single" w:sz="5" w:space="0" w:color="000000"/>
              <w:left w:val="single" w:sz="5" w:space="0" w:color="000000"/>
              <w:bottom w:val="single" w:sz="5" w:space="0" w:color="000000"/>
              <w:right w:val="single" w:sz="5" w:space="0" w:color="000000"/>
            </w:tcBorders>
          </w:tcPr>
          <w:p w14:paraId="5AF1245B" w14:textId="77777777" w:rsidR="00D72C83" w:rsidRPr="00D3564A" w:rsidRDefault="00D72C83" w:rsidP="00D3564A">
            <w:pPr>
              <w:pStyle w:val="TableParagraph"/>
              <w:rPr>
                <w:rFonts w:ascii="Times New Roman" w:hAnsi="Times New Roman"/>
              </w:rPr>
            </w:pPr>
            <w:r w:rsidRPr="00D3564A">
              <w:rPr>
                <w:rFonts w:ascii="Times New Roman" w:hAnsi="Times New Roman"/>
                <w:spacing w:val="-1"/>
                <w:lang w:val="lt-LT"/>
              </w:rPr>
              <w:t>-2,43-2,69</w:t>
            </w:r>
          </w:p>
        </w:tc>
        <w:tc>
          <w:tcPr>
            <w:tcW w:w="709" w:type="dxa"/>
            <w:vMerge/>
            <w:tcBorders>
              <w:left w:val="single" w:sz="5" w:space="0" w:color="000000"/>
              <w:bottom w:val="single" w:sz="5" w:space="0" w:color="000000"/>
              <w:right w:val="single" w:sz="5" w:space="0" w:color="000000"/>
            </w:tcBorders>
          </w:tcPr>
          <w:p w14:paraId="700CAE31" w14:textId="77777777" w:rsidR="00D72C83" w:rsidRPr="002E32EF" w:rsidRDefault="00D72C83" w:rsidP="00E23115">
            <w:pPr>
              <w:spacing w:after="0" w:line="240" w:lineRule="auto"/>
              <w:rPr>
                <w:rFonts w:ascii="Times New Roman" w:hAnsi="Times New Roman" w:cs="Times New Roman"/>
              </w:rPr>
            </w:pPr>
          </w:p>
        </w:tc>
        <w:tc>
          <w:tcPr>
            <w:tcW w:w="1097" w:type="dxa"/>
            <w:vMerge/>
            <w:tcBorders>
              <w:left w:val="single" w:sz="5" w:space="0" w:color="000000"/>
              <w:bottom w:val="single" w:sz="5" w:space="0" w:color="000000"/>
              <w:right w:val="single" w:sz="5" w:space="0" w:color="000000"/>
            </w:tcBorders>
          </w:tcPr>
          <w:p w14:paraId="318386A9" w14:textId="77777777" w:rsidR="00D72C83" w:rsidRPr="002E32EF" w:rsidRDefault="00D72C83" w:rsidP="00E23115">
            <w:pPr>
              <w:spacing w:after="0" w:line="240" w:lineRule="auto"/>
              <w:rPr>
                <w:rFonts w:ascii="Times New Roman" w:hAnsi="Times New Roman" w:cs="Times New Roman"/>
              </w:rPr>
            </w:pPr>
          </w:p>
        </w:tc>
        <w:tc>
          <w:tcPr>
            <w:tcW w:w="888" w:type="dxa"/>
            <w:vMerge/>
            <w:tcBorders>
              <w:left w:val="single" w:sz="5" w:space="0" w:color="000000"/>
              <w:bottom w:val="single" w:sz="5" w:space="0" w:color="000000"/>
              <w:right w:val="single" w:sz="5" w:space="0" w:color="000000"/>
            </w:tcBorders>
          </w:tcPr>
          <w:p w14:paraId="1DD1DAC9" w14:textId="77777777" w:rsidR="00D72C83" w:rsidRPr="002E32EF" w:rsidRDefault="00D72C83" w:rsidP="00E23115">
            <w:pPr>
              <w:spacing w:after="0" w:line="240" w:lineRule="auto"/>
              <w:rPr>
                <w:rFonts w:ascii="Times New Roman" w:hAnsi="Times New Roman" w:cs="Times New Roman"/>
              </w:rPr>
            </w:pPr>
          </w:p>
        </w:tc>
      </w:tr>
    </w:tbl>
    <w:p w14:paraId="56927FA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4D37828E" w14:textId="77777777" w:rsidR="00D72C83" w:rsidRPr="002E32EF" w:rsidRDefault="00D72C83" w:rsidP="00D72C83">
      <w:pPr>
        <w:spacing w:after="0" w:line="240" w:lineRule="auto"/>
        <w:ind w:firstLine="720"/>
        <w:rPr>
          <w:rFonts w:ascii="Times New Roman" w:hAnsi="Times New Roman" w:cs="Times New Roman"/>
        </w:rPr>
      </w:pPr>
      <w:r w:rsidRPr="00AE56FA">
        <w:rPr>
          <w:rFonts w:ascii="Times New Roman" w:hAnsi="Times New Roman" w:cs="Times New Roman"/>
          <w:noProof/>
          <w:lang w:eastAsia="lt-LT"/>
        </w:rPr>
        <w:lastRenderedPageBreak/>
        <w:drawing>
          <wp:inline distT="0" distB="0" distL="0" distR="0" wp14:anchorId="4AA481E2" wp14:editId="241797F1">
            <wp:extent cx="4260565" cy="36861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0430" cy="3694710"/>
                    </a:xfrm>
                    <a:prstGeom prst="rect">
                      <a:avLst/>
                    </a:prstGeom>
                    <a:noFill/>
                    <a:ln>
                      <a:noFill/>
                    </a:ln>
                  </pic:spPr>
                </pic:pic>
              </a:graphicData>
            </a:graphic>
          </wp:inline>
        </w:drawing>
      </w:r>
    </w:p>
    <w:p w14:paraId="65986277" w14:textId="77777777" w:rsidR="00D72C83" w:rsidRPr="00874D95" w:rsidRDefault="00D72C83" w:rsidP="00D72C83">
      <w:pPr>
        <w:tabs>
          <w:tab w:val="left" w:pos="1137"/>
        </w:tabs>
        <w:spacing w:after="0" w:line="240" w:lineRule="auto"/>
        <w:rPr>
          <w:rFonts w:ascii="Times New Roman" w:hAnsi="Times New Roman" w:cs="Times New Roman"/>
        </w:rPr>
      </w:pPr>
      <w:r w:rsidRPr="002E32EF">
        <w:rPr>
          <w:rFonts w:ascii="Times New Roman" w:hAnsi="Times New Roman" w:cs="Times New Roman"/>
        </w:rPr>
        <w:t xml:space="preserve">              </w:t>
      </w:r>
      <w:r w:rsidRPr="00AE56FA">
        <w:rPr>
          <w:rFonts w:ascii="Times New Roman" w:hAnsi="Times New Roman" w:cs="Times New Roman"/>
          <w:noProof/>
          <w:lang w:eastAsia="lt-LT"/>
        </w:rPr>
        <w:drawing>
          <wp:inline distT="0" distB="0" distL="0" distR="0" wp14:anchorId="382CAE0D" wp14:editId="251DF6BA">
            <wp:extent cx="4271608" cy="3400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4417" cy="3402661"/>
                    </a:xfrm>
                    <a:prstGeom prst="rect">
                      <a:avLst/>
                    </a:prstGeom>
                    <a:noFill/>
                    <a:ln>
                      <a:noFill/>
                    </a:ln>
                  </pic:spPr>
                </pic:pic>
              </a:graphicData>
            </a:graphic>
          </wp:inline>
        </w:drawing>
      </w:r>
      <w:r w:rsidRPr="002E32EF">
        <w:rPr>
          <w:rFonts w:ascii="Times New Roman" w:hAnsi="Times New Roman" w:cs="Times New Roman"/>
        </w:rPr>
        <w:tab/>
      </w:r>
    </w:p>
    <w:p w14:paraId="22066A1D" w14:textId="77777777" w:rsidR="00D72C83" w:rsidRPr="00874D95" w:rsidRDefault="00D72C83" w:rsidP="00D72C83">
      <w:pPr>
        <w:widowControl w:val="0"/>
        <w:autoSpaceDE w:val="0"/>
        <w:autoSpaceDN w:val="0"/>
        <w:adjustRightInd w:val="0"/>
        <w:spacing w:after="0" w:line="240" w:lineRule="auto"/>
        <w:jc w:val="both"/>
        <w:rPr>
          <w:rFonts w:ascii="Times New Roman" w:hAnsi="Times New Roman" w:cs="Times New Roman"/>
        </w:rPr>
      </w:pPr>
    </w:p>
    <w:p w14:paraId="6B21B02D" w14:textId="5AC88D50"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Po to atliktos analizės duomenimis, </w:t>
      </w:r>
      <w:r w:rsidR="007502A6">
        <w:rPr>
          <w:rFonts w:ascii="Times New Roman" w:eastAsiaTheme="minorEastAsia" w:hAnsi="Times New Roman" w:cs="Times New Roman"/>
        </w:rPr>
        <w:t>pacientams</w:t>
      </w:r>
      <w:r w:rsidRPr="002E32EF">
        <w:rPr>
          <w:rFonts w:ascii="Times New Roman" w:eastAsiaTheme="minorEastAsia" w:hAnsi="Times New Roman" w:cs="Times New Roman"/>
        </w:rPr>
        <w:t>, kurių klinikinė būklė tyrimo pradžioje buvo palanki (mažesnis skausmas, gera gyvenimo kokybė ir gera PB), gydymas erlotinibu gali būti naudingesnis. Šį naudingumą daugiausia lemia mažas skausmo intensyvumo balas.</w:t>
      </w:r>
    </w:p>
    <w:p w14:paraId="06709FC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p>
    <w:p w14:paraId="29AEE286" w14:textId="5AE226AE"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Po to atliktos analizės duomenimis, erlotinibu gydomų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kuriems atsirado bėrimas, bendrasis išgyvenimas (BI) buvo ilgesnis, palyginti su tais, kuriems bėrimo neatsirado (BI mediana atitinkamai 7,2 ir 5 mėnesiai, RS – 0,61). </w:t>
      </w:r>
    </w:p>
    <w:p w14:paraId="3534F5DD" w14:textId="30F2BB4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lastRenderedPageBreak/>
        <w:t xml:space="preserve">90 % erlotinibu gydomų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per pirmąsias 44 dienas atsirado bėrimas. Laiko iki išbėrimo mediana buvo 10 dienų.</w:t>
      </w:r>
    </w:p>
    <w:p w14:paraId="4BC8E831"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75806F8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Vaikų populiacija</w:t>
      </w:r>
    </w:p>
    <w:p w14:paraId="5B434BB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Europos vaistų agentūra atleido nuo įpareigojimo pateikti erlotinibo tyrimų su visais vaikų populiacijos pogrupiais duomenis sergantiesiems nesmulkialąsteliniu plaučių vėžiu ir kasos vėžiu (vartojimo vaikams informacija pateikiama 4.2 skyriuje).</w:t>
      </w:r>
    </w:p>
    <w:p w14:paraId="3FBC4B7A" w14:textId="77777777" w:rsidR="00D72C83" w:rsidRPr="002E32EF" w:rsidRDefault="00D72C83" w:rsidP="00D72C83">
      <w:pPr>
        <w:spacing w:after="0" w:line="240" w:lineRule="auto"/>
        <w:rPr>
          <w:rFonts w:ascii="Times New Roman" w:hAnsi="Times New Roman" w:cs="Times New Roman"/>
        </w:rPr>
      </w:pPr>
    </w:p>
    <w:p w14:paraId="35A8504D" w14:textId="77777777" w:rsidR="00D72C83" w:rsidRPr="00E35BE6" w:rsidRDefault="00D72C83" w:rsidP="00D3564A">
      <w:pPr>
        <w:pStyle w:val="Antrat4"/>
        <w:spacing w:line="240" w:lineRule="auto"/>
        <w:rPr>
          <w:rFonts w:ascii="Times New Roman" w:hAnsi="Times New Roman"/>
          <w:b w:val="0"/>
          <w:lang w:val="lt-LT"/>
        </w:rPr>
      </w:pPr>
      <w:r w:rsidRPr="00D3564A">
        <w:rPr>
          <w:rFonts w:ascii="Times New Roman" w:hAnsi="Times New Roman"/>
          <w:sz w:val="22"/>
          <w:lang w:val="lt-LT"/>
        </w:rPr>
        <w:t>5.2</w:t>
      </w:r>
      <w:r w:rsidRPr="00D3564A">
        <w:rPr>
          <w:rFonts w:ascii="Times New Roman" w:hAnsi="Times New Roman"/>
          <w:sz w:val="22"/>
          <w:lang w:val="lt-LT"/>
        </w:rPr>
        <w:tab/>
        <w:t>Farmakokinetinės savybės</w:t>
      </w:r>
    </w:p>
    <w:p w14:paraId="151D70AB" w14:textId="77777777" w:rsidR="00D72C83" w:rsidRPr="002E32EF" w:rsidRDefault="00D72C83" w:rsidP="00D72C83">
      <w:pPr>
        <w:spacing w:after="0" w:line="240" w:lineRule="auto"/>
        <w:rPr>
          <w:rFonts w:ascii="Times New Roman" w:hAnsi="Times New Roman" w:cs="Times New Roman"/>
        </w:rPr>
      </w:pPr>
    </w:p>
    <w:p w14:paraId="257809AB"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u w:val="single"/>
        </w:rPr>
        <w:t>Absorbcija</w:t>
      </w:r>
    </w:p>
    <w:p w14:paraId="0917ABC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Išgėrus erlotinibo didžiausioji koncentracija plazmoje susidaro praėjus maždaug 4 valandoms. Sveikų savanorių tyrimo duomenimis, vaisto absoliutus biologinis prieinamumas yra 59 %. Maistas gali padidinti ekspoziciją išgertam vaistui.</w:t>
      </w:r>
    </w:p>
    <w:p w14:paraId="6C25D62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2953604"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u w:val="single"/>
        </w:rPr>
        <w:t>Pasiskirstymas</w:t>
      </w:r>
    </w:p>
    <w:p w14:paraId="3145F293" w14:textId="6B075301"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Erlotinibo vidutinis tariamasis pasiskirstymo tūris yra 232 l; vaistas prasiskverbia į naviko audinius. Ištyrus 4 </w:t>
      </w:r>
      <w:r w:rsidR="007502A6">
        <w:rPr>
          <w:rFonts w:ascii="Times New Roman" w:eastAsiaTheme="minorEastAsia" w:hAnsi="Times New Roman" w:cs="Times New Roman"/>
        </w:rPr>
        <w:t>pacientus</w:t>
      </w:r>
      <w:r w:rsidRPr="002E32EF">
        <w:rPr>
          <w:rFonts w:ascii="Times New Roman" w:eastAsiaTheme="minorEastAsia" w:hAnsi="Times New Roman" w:cs="Times New Roman"/>
        </w:rPr>
        <w:t xml:space="preserve"> (3 sergančius nesmulkialąsteliniu plaučių vėžiu ir 1 – gerklų vėžiu), kurie gėrė po 150 mg erlotinibo per parą, devintą gydymo dieną chirurginiu būdu pašalintų navikų bandiniuose vidutinė erlotinibo koncentracija buvo 1185 ng/g naviko audinio. Tai atitinka vidutiniškai 63 % (nuo 5 % iki 161 %) didžiausios vaisto koncentracijos plazmoje pastoviosios koncentracijos laikotarpiu. Vidutinė pagrindinių veikliųjų metabolitų koncentracija buvo 160 ng/g naviko audinio; tai atitinka vidutiniškai 113 % (nuo 88 % iki 130 %) didžiausios vaisto koncentracijos plazmoje pastoviosios koncentracijos laikotarpiu. Jungimasis su plazmos baltymais – maždaug 95 %; erlotinibas jungiasi su kraujo serumo albuminu ir alfa-1 rūgščiuoju glikoproteinu (ARG).</w:t>
      </w:r>
    </w:p>
    <w:p w14:paraId="6377B0F1"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iCs/>
          <w:highlight w:val="yellow"/>
        </w:rPr>
      </w:pPr>
    </w:p>
    <w:p w14:paraId="01CBFF99"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u w:val="single"/>
        </w:rPr>
        <w:t>Biotransformacija</w:t>
      </w:r>
    </w:p>
    <w:p w14:paraId="0A192F3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Žmogaus kepenyse erlotinibą metabolizuoja kepenų citochromai, daugiausia CYP3A4, mažiau CYP1A2. Erlotinibo metabolinis klirensas gali priklausyti ir nuo jo metabolizmo ne kepenyse: nuo CYP3A4 – žarnyne, nuo CYP1A1 – plaučiuose ir nuo 1B1 – navikiniame audinyje.</w:t>
      </w:r>
    </w:p>
    <w:p w14:paraId="0335A91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CA4290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Ištirti trys pagrindiniai metabolizmo būdai: 1) vienos ar kitos arba abiejų šoninių grandinių O-demetilinimas, paskui oksidinimas į karboksirūgštis; 2) acetileninės dalies oksidinimas, paskui hidrolizė į arilkarboksirūgštį; 3) fenilacetileno grandinės aromatinis hidroksilinimas. Neklinikinių </w:t>
      </w:r>
      <w:r w:rsidRPr="002E32EF">
        <w:rPr>
          <w:rFonts w:ascii="Times New Roman" w:eastAsiaTheme="minorEastAsia" w:hAnsi="Times New Roman" w:cs="Times New Roman"/>
          <w:i/>
        </w:rPr>
        <w:t>in vitro</w:t>
      </w:r>
      <w:r w:rsidRPr="002E32EF">
        <w:rPr>
          <w:rFonts w:ascii="Times New Roman" w:eastAsiaTheme="minorEastAsia" w:hAnsi="Times New Roman" w:cs="Times New Roman"/>
        </w:rPr>
        <w:t xml:space="preserve"> ir navikų modelių </w:t>
      </w:r>
      <w:r w:rsidRPr="002E32EF">
        <w:rPr>
          <w:rFonts w:ascii="Times New Roman" w:eastAsiaTheme="minorEastAsia" w:hAnsi="Times New Roman" w:cs="Times New Roman"/>
          <w:i/>
        </w:rPr>
        <w:t>in vivo</w:t>
      </w:r>
      <w:r w:rsidRPr="002E32EF">
        <w:rPr>
          <w:rFonts w:ascii="Times New Roman" w:eastAsiaTheme="minorEastAsia" w:hAnsi="Times New Roman" w:cs="Times New Roman"/>
        </w:rPr>
        <w:t xml:space="preserve"> tyrimų duomenimis, pirminių erlotinibo metabolitų OSI-420 ir OSI-413, susidarančių po vienos ar kitos šoninės grandinės O-demetilinimo, veiklumas panašus į erlotinibo. Jų koncentracija plazmoje yra &lt;10 % erlotinibo koncentracijos, o farmakokinetika panaši į erlotinibo.</w:t>
      </w:r>
    </w:p>
    <w:p w14:paraId="00C74BD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78B54D92"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u w:val="single"/>
        </w:rPr>
        <w:t>Eliminacija</w:t>
      </w:r>
    </w:p>
    <w:p w14:paraId="5E6DCB68" w14:textId="130840C2"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Daugiausia erlotinibo metabolitų pavidalu pasišalina su išmatomis (&gt;90 %); per inkstus išsiskiria tik nedidelė dalis (maždaug 9 %) išgertos dozės. Nepakitusios medžiagos pasišalina mažiau negu 2 % išgertos dozės. Populiacinė farmakokinetikos analizė, atlikta ištyrus 591 </w:t>
      </w:r>
      <w:r w:rsidR="007502A6">
        <w:rPr>
          <w:rFonts w:ascii="Times New Roman" w:eastAsiaTheme="minorEastAsia" w:hAnsi="Times New Roman" w:cs="Times New Roman"/>
        </w:rPr>
        <w:t>pacientą</w:t>
      </w:r>
      <w:r w:rsidRPr="002E32EF">
        <w:rPr>
          <w:rFonts w:ascii="Times New Roman" w:eastAsiaTheme="minorEastAsia" w:hAnsi="Times New Roman" w:cs="Times New Roman"/>
        </w:rPr>
        <w:t>, vartojusius tik erlotinibo, parodė, kad vidutinis erlotinibo klirensas yra 4,47 l/val., o vidutinis pusinės eliminacijos periodas – 36,2 valandos. Taigi pastovioji koncentracija kraujo plazmoje turėtų susidaryti maždaug po 7–8 dienų.</w:t>
      </w:r>
    </w:p>
    <w:p w14:paraId="3521336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5BE5328" w14:textId="3EA8FB76" w:rsidR="00D72C83"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r w:rsidRPr="002E32EF">
        <w:rPr>
          <w:rFonts w:ascii="Times New Roman" w:eastAsiaTheme="minorEastAsia" w:hAnsi="Times New Roman" w:cs="Times New Roman"/>
          <w:u w:val="single"/>
        </w:rPr>
        <w:t xml:space="preserve">Farmakokinetika įvairių </w:t>
      </w:r>
      <w:r w:rsidR="00902EE4">
        <w:rPr>
          <w:rFonts w:ascii="Times New Roman" w:eastAsiaTheme="minorEastAsia" w:hAnsi="Times New Roman" w:cs="Times New Roman"/>
          <w:u w:val="single"/>
        </w:rPr>
        <w:t>pacientų</w:t>
      </w:r>
      <w:r w:rsidRPr="002E32EF">
        <w:rPr>
          <w:rFonts w:ascii="Times New Roman" w:eastAsiaTheme="minorEastAsia" w:hAnsi="Times New Roman" w:cs="Times New Roman"/>
          <w:u w:val="single"/>
        </w:rPr>
        <w:t xml:space="preserve"> grupių organizme</w:t>
      </w:r>
    </w:p>
    <w:p w14:paraId="018903B8"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r>
        <w:rPr>
          <w:rFonts w:ascii="Times New Roman" w:eastAsiaTheme="minorEastAsia" w:hAnsi="Times New Roman" w:cs="Times New Roman"/>
          <w:i/>
        </w:rPr>
        <w:t>Rūkantys asmenys</w:t>
      </w:r>
    </w:p>
    <w:p w14:paraId="006069B0" w14:textId="73C3C56A"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u w:val="single"/>
        </w:rPr>
      </w:pPr>
      <w:r w:rsidRPr="002E32EF">
        <w:rPr>
          <w:rFonts w:ascii="Times New Roman" w:eastAsiaTheme="minorEastAsia" w:hAnsi="Times New Roman" w:cs="Times New Roman"/>
        </w:rPr>
        <w:t>Populiacinės farmakokinetikos analizės duomenimis, nepastebėta kliniškai svarbaus apskaičiuotojo</w:t>
      </w:r>
      <w:r w:rsidRPr="002E32EF">
        <w:rPr>
          <w:rFonts w:ascii="Times New Roman" w:eastAsiaTheme="minorEastAsia" w:hAnsi="Times New Roman" w:cs="Times New Roman"/>
          <w:u w:val="single"/>
        </w:rPr>
        <w:t xml:space="preserve"> </w:t>
      </w:r>
      <w:r w:rsidRPr="002E32EF">
        <w:rPr>
          <w:rFonts w:ascii="Times New Roman" w:eastAsiaTheme="minorEastAsia" w:hAnsi="Times New Roman" w:cs="Times New Roman"/>
        </w:rPr>
        <w:t xml:space="preserve">klirenso ir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amžiaus, kūno svorio, lyties ir etninės priklausomybės ryšio. Veiksniai, su kuriais erlotinibo farmakokinetika koreliuoja, yra bendrojo bilirubino, ARG koncentracija kraujo serume ir rūkymas. Padidėjusi bendrojo bilirubino ir ARG koncentracija kraujo serume susijusi su mažesniu erlotinibo klirensu. Neaišku, ar šie skirtumai kliniškai svarbūs. Rūkymas susijęs su greitesniu klirensu. Tai patvirtinta</w:t>
      </w:r>
    </w:p>
    <w:p w14:paraId="0DC32F2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tiriant farmakokinetiką nerūkančių ir cigaretes rūkančių sveikų savanorių, išgėrusių vienkartinę 150 mg </w:t>
      </w:r>
      <w:r w:rsidRPr="002E32EF">
        <w:rPr>
          <w:rFonts w:ascii="Times New Roman" w:eastAsiaTheme="minorEastAsia" w:hAnsi="Times New Roman" w:cs="Times New Roman"/>
        </w:rPr>
        <w:lastRenderedPageBreak/>
        <w:t>erlotinibo dozę, organizme. Nerūkančių asmenų kraujo serume C</w:t>
      </w:r>
      <w:r w:rsidRPr="002E32EF">
        <w:rPr>
          <w:rFonts w:ascii="Times New Roman" w:eastAsiaTheme="minorEastAsia" w:hAnsi="Times New Roman" w:cs="Times New Roman"/>
          <w:vertAlign w:val="subscript"/>
        </w:rPr>
        <w:t>max</w:t>
      </w:r>
      <w:r w:rsidRPr="002E32EF">
        <w:rPr>
          <w:rFonts w:ascii="Times New Roman" w:eastAsiaTheme="minorEastAsia" w:hAnsi="Times New Roman" w:cs="Times New Roman"/>
        </w:rPr>
        <w:t xml:space="preserve"> geometrinis vidurkis buvo 1056 ng/ml, rūkančių – 689 ng/ml, o vidutinis koncentracijos rūkančių ir nerūkančių asmenų kraujo serume santykis buvo 65,2 % (95 % PI: 44,3–95,9 %, p = 0,031). Nerūkančių asmenų organizme AUC</w:t>
      </w:r>
      <w:r w:rsidRPr="002E32EF">
        <w:rPr>
          <w:rFonts w:ascii="Times New Roman" w:eastAsiaTheme="minorEastAsia" w:hAnsi="Times New Roman" w:cs="Times New Roman"/>
          <w:vertAlign w:val="subscript"/>
        </w:rPr>
        <w:t xml:space="preserve">0-inf </w:t>
      </w:r>
      <w:r w:rsidRPr="002E32EF">
        <w:rPr>
          <w:rFonts w:ascii="Times New Roman" w:eastAsiaTheme="minorEastAsia" w:hAnsi="Times New Roman" w:cs="Times New Roman"/>
        </w:rPr>
        <w:t>geometrinis vidurkis buvo 18726 ng·h/ml, rūkančių – 6718 ng·h/ml, o vidutinis santykis – 35,9 % (95 % PI: 23,7–54,3, p = 0,0001). Nerūkančių asmenų organizme C24h geometrinis vidurkis buvo 288 ng/ml, rūkančių – 34,8 ng/ml, o vidutinis santykis – 12,1 % (95 % PI: 4,82–30,2, p = 0,0001).</w:t>
      </w:r>
    </w:p>
    <w:p w14:paraId="51DFDFB4" w14:textId="26811D0E" w:rsidR="00A64E52" w:rsidRPr="0035242E" w:rsidRDefault="00D72C83" w:rsidP="0035242E">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Atliekant pagrindinį III fazės NSLPV gydymo tyrimą, erlotinibo nusistovėjus apykaitai mažiausioji koncentracija rūkančių asmenų kraujo plazmoje buvo 0,65 μg/ml (n=16); tai apytikriai perpus mažiau negu anksčiau rūkiusių arba niekada nerūkiusių pacientų kraujo plazmoje (1,28 μg/ml, n=108). Šis poveikis buvo susijęs su 24 % padidėjusiu menamuoju erlotinibo kraujo plazmos klirensu. Atliekant I fazės dozės didinimo NSLPV sergantiems rūkantiems pacientams tyrimą, farmakokinetine analize nusistovėjus koncentracijai nustatytas proporcingas dozei ekspozicijos erlotinibui padidėjimas, kai erlotinibo dozė buvo padidinta nuo 150 mg iki didžiausios toleruojamos 300 mg dozės. Vartojant 300 mg dozę, nusistovėjus apykaitai mažiausioji koncentracija rūkančių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xml:space="preserve"> kraujo plazmoje šiame tyrime buvo 1,22 μg/ml (n=17).</w:t>
      </w:r>
      <w:r w:rsidR="00A64E52">
        <w:rPr>
          <w:rFonts w:ascii="Times New Roman" w:eastAsiaTheme="minorEastAsia" w:hAnsi="Times New Roman" w:cs="Times New Roman"/>
        </w:rPr>
        <w:t xml:space="preserve"> </w:t>
      </w:r>
      <w:r w:rsidR="00A64E52">
        <w:rPr>
          <w:rFonts w:ascii="Times New Roman" w:eastAsia="MS Mincho" w:hAnsi="Times New Roman" w:cs="Times New Roman"/>
        </w:rPr>
        <w:t>Ž</w:t>
      </w:r>
      <w:r w:rsidR="00A64E52" w:rsidRPr="00EB18EB">
        <w:rPr>
          <w:rFonts w:ascii="Times New Roman" w:eastAsia="MS Mincho" w:hAnsi="Times New Roman" w:cs="Times New Roman"/>
        </w:rPr>
        <w:t>r. 4.2, 4.4, 4.5 ir 5.1 skyrius</w:t>
      </w:r>
      <w:r w:rsidR="00A64E52" w:rsidRPr="00914766">
        <w:rPr>
          <w:rFonts w:ascii="Times New Roman" w:eastAsia="MS Mincho" w:hAnsi="Times New Roman" w:cs="Times New Roman"/>
        </w:rPr>
        <w:t>.</w:t>
      </w:r>
    </w:p>
    <w:p w14:paraId="0575F7B1" w14:textId="77777777" w:rsidR="00D72C83" w:rsidRPr="002E32EF" w:rsidRDefault="00D72C83" w:rsidP="00A64E52">
      <w:pPr>
        <w:widowControl w:val="0"/>
        <w:autoSpaceDE w:val="0"/>
        <w:autoSpaceDN w:val="0"/>
        <w:adjustRightInd w:val="0"/>
        <w:spacing w:after="0" w:line="240" w:lineRule="auto"/>
        <w:rPr>
          <w:rFonts w:ascii="Times New Roman" w:eastAsiaTheme="minorEastAsia" w:hAnsi="Times New Roman" w:cs="Times New Roman"/>
        </w:rPr>
      </w:pPr>
    </w:p>
    <w:p w14:paraId="19ABFD79" w14:textId="42446F1D" w:rsidR="00D72C83" w:rsidRPr="002E32EF" w:rsidRDefault="00D72C83" w:rsidP="0035242E">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Atsižvelgiant į farmakokinetikos tyrimų duomenis, erlotinibu gydomiems </w:t>
      </w:r>
      <w:r w:rsidR="007502A6">
        <w:rPr>
          <w:rFonts w:ascii="Times New Roman" w:eastAsiaTheme="minorEastAsia" w:hAnsi="Times New Roman" w:cs="Times New Roman"/>
        </w:rPr>
        <w:t>pacientams</w:t>
      </w:r>
      <w:r w:rsidRPr="002E32EF">
        <w:rPr>
          <w:rFonts w:ascii="Times New Roman" w:eastAsiaTheme="minorEastAsia" w:hAnsi="Times New Roman" w:cs="Times New Roman"/>
        </w:rPr>
        <w:t xml:space="preserve"> patartina mesti rūkyti, nes rūkant vaisto koncentracija kraujo plazmoje gali būti mažesnė.</w:t>
      </w:r>
    </w:p>
    <w:p w14:paraId="7627B8F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6CEFA36F"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Populiacinės farmakokinetikos tyrimo duomenimis opioidai maždaug 11 % didina ekspoziciją vaistui.</w:t>
      </w:r>
    </w:p>
    <w:p w14:paraId="405DD315"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6A77ACE9" w14:textId="56677AE2"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Atlikta antra populiacinės farmakokinetikos analizė; imti 204 vėžiu sergančių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gydytų erlotinibu kartu su gemcitabinu, erlotinibo tyrimo duomenys. Ši analizė parodė, kad kovariantai, veikiantys erlotinibo klirensą atliekant kasos tyrimą, buvo labai panašūs į tuos, kurie pastebėti atliekant ankstesnę vienintelio vaisto farmakokinetikos analizę. Jokio naujo kovariantiško poveikio nenustatyta. Gemcitabino vartojimas kartu su erlotinibu pastarojo kraujo plazmos klirenso neveikė.</w:t>
      </w:r>
    </w:p>
    <w:p w14:paraId="0C31502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iCs/>
          <w:highlight w:val="yellow"/>
        </w:rPr>
      </w:pPr>
    </w:p>
    <w:p w14:paraId="5ADC6BB0" w14:textId="77777777" w:rsidR="00D72C83" w:rsidRPr="002F6BC3" w:rsidRDefault="00D72C83" w:rsidP="00D72C83">
      <w:pPr>
        <w:widowControl w:val="0"/>
        <w:autoSpaceDE w:val="0"/>
        <w:autoSpaceDN w:val="0"/>
        <w:adjustRightInd w:val="0"/>
        <w:spacing w:after="0" w:line="240" w:lineRule="auto"/>
        <w:rPr>
          <w:rFonts w:ascii="Times New Roman" w:eastAsiaTheme="minorEastAsia" w:hAnsi="Times New Roman" w:cs="Times New Roman"/>
          <w:i/>
        </w:rPr>
      </w:pPr>
      <w:r w:rsidRPr="002F6BC3">
        <w:rPr>
          <w:rFonts w:ascii="Times New Roman" w:eastAsiaTheme="minorEastAsia" w:hAnsi="Times New Roman" w:cs="Times New Roman"/>
          <w:i/>
        </w:rPr>
        <w:t>Vaikų populiacija</w:t>
      </w:r>
    </w:p>
    <w:p w14:paraId="551C2D61"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Farmakokinetika vaikų organizme specialiai netirta.</w:t>
      </w:r>
    </w:p>
    <w:p w14:paraId="3505D8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C4BAC0E" w14:textId="77777777" w:rsidR="00D72C83" w:rsidRPr="002F6BC3"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i/>
        </w:rPr>
      </w:pPr>
      <w:r w:rsidRPr="002F6BC3">
        <w:rPr>
          <w:rFonts w:ascii="Times New Roman" w:eastAsiaTheme="minorEastAsia" w:hAnsi="Times New Roman" w:cs="Times New Roman"/>
          <w:i/>
        </w:rPr>
        <w:t>Senyvi pacientai</w:t>
      </w:r>
    </w:p>
    <w:p w14:paraId="3E145740"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Farmakokinetika senyvų asmenų organizme specialiai netirta.</w:t>
      </w:r>
    </w:p>
    <w:p w14:paraId="2D63F4A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iCs/>
          <w:highlight w:val="yellow"/>
        </w:rPr>
      </w:pPr>
    </w:p>
    <w:p w14:paraId="6EACE881" w14:textId="77777777" w:rsidR="00D72C83" w:rsidRPr="002F6BC3" w:rsidRDefault="00D72C83" w:rsidP="00D72C83">
      <w:pPr>
        <w:widowControl w:val="0"/>
        <w:autoSpaceDE w:val="0"/>
        <w:autoSpaceDN w:val="0"/>
        <w:adjustRightInd w:val="0"/>
        <w:spacing w:after="0" w:line="240" w:lineRule="auto"/>
        <w:rPr>
          <w:rFonts w:ascii="Times New Roman" w:eastAsiaTheme="minorEastAsia" w:hAnsi="Times New Roman" w:cs="Times New Roman"/>
          <w:i/>
        </w:rPr>
      </w:pPr>
      <w:r w:rsidRPr="002F6BC3">
        <w:rPr>
          <w:rFonts w:ascii="Times New Roman" w:hAnsi="Times New Roman" w:cs="Times New Roman"/>
          <w:i/>
          <w:iCs/>
          <w:color w:val="000000"/>
          <w:u w:val="single"/>
        </w:rPr>
        <w:t>Sutrikusi kepenų funkcija</w:t>
      </w:r>
    </w:p>
    <w:p w14:paraId="7A608E27" w14:textId="0D8C0A6B" w:rsidR="00D72C83" w:rsidRPr="002F6BC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F6BC3">
        <w:rPr>
          <w:rFonts w:ascii="Times New Roman" w:eastAsiaTheme="minorEastAsia" w:hAnsi="Times New Roman" w:cs="Times New Roman"/>
        </w:rPr>
        <w:t xml:space="preserve">Erlotinibas daugiausia pasišalina per kepenis. Standžiaisiais navikais sergančių </w:t>
      </w:r>
      <w:r w:rsidR="00902EE4">
        <w:rPr>
          <w:rFonts w:ascii="Times New Roman" w:eastAsiaTheme="minorEastAsia" w:hAnsi="Times New Roman" w:cs="Times New Roman"/>
        </w:rPr>
        <w:t>pacientų</w:t>
      </w:r>
      <w:r w:rsidRPr="002F6BC3">
        <w:rPr>
          <w:rFonts w:ascii="Times New Roman" w:eastAsiaTheme="minorEastAsia" w:hAnsi="Times New Roman" w:cs="Times New Roman"/>
        </w:rPr>
        <w:t>, kurių kepenų funkcija vidutiniškai sutrikusi (</w:t>
      </w:r>
      <w:r w:rsidRPr="002F6BC3">
        <w:rPr>
          <w:rFonts w:ascii="Times New Roman" w:eastAsiaTheme="minorEastAsia" w:hAnsi="Times New Roman" w:cs="Times New Roman"/>
          <w:i/>
        </w:rPr>
        <w:t>Child-Pugh</w:t>
      </w:r>
      <w:r w:rsidRPr="002F6BC3">
        <w:rPr>
          <w:rFonts w:ascii="Times New Roman" w:eastAsiaTheme="minorEastAsia" w:hAnsi="Times New Roman" w:cs="Times New Roman"/>
        </w:rPr>
        <w:t xml:space="preserve"> 7–9 laipsnio), erlotinibo AUC</w:t>
      </w:r>
      <w:r w:rsidRPr="002F6BC3">
        <w:rPr>
          <w:rFonts w:ascii="Times New Roman" w:eastAsiaTheme="minorEastAsia" w:hAnsi="Times New Roman" w:cs="Times New Roman"/>
          <w:vertAlign w:val="subscript"/>
        </w:rPr>
        <w:t>0-t</w:t>
      </w:r>
      <w:r w:rsidRPr="002F6BC3">
        <w:rPr>
          <w:rFonts w:ascii="Times New Roman" w:eastAsiaTheme="minorEastAsia" w:hAnsi="Times New Roman" w:cs="Times New Roman"/>
        </w:rPr>
        <w:t xml:space="preserve"> ir C</w:t>
      </w:r>
      <w:r w:rsidRPr="002F6BC3">
        <w:rPr>
          <w:rFonts w:ascii="Times New Roman" w:eastAsiaTheme="minorEastAsia" w:hAnsi="Times New Roman" w:cs="Times New Roman"/>
          <w:vertAlign w:val="subscript"/>
        </w:rPr>
        <w:t>max</w:t>
      </w:r>
      <w:r w:rsidRPr="002F6BC3">
        <w:rPr>
          <w:rFonts w:ascii="Times New Roman" w:eastAsiaTheme="minorEastAsia" w:hAnsi="Times New Roman" w:cs="Times New Roman"/>
        </w:rPr>
        <w:t xml:space="preserve"> geometriniai vidurkiai buvo atitinkamai 27 000 ng·val./ml ir 805 ng/ml, palyginti su 29 300 ng·val./ml ir 1090 ng/ml tų </w:t>
      </w:r>
      <w:r w:rsidR="00902EE4">
        <w:rPr>
          <w:rFonts w:ascii="Times New Roman" w:eastAsiaTheme="minorEastAsia" w:hAnsi="Times New Roman" w:cs="Times New Roman"/>
        </w:rPr>
        <w:t>pacientų</w:t>
      </w:r>
      <w:r w:rsidRPr="002F6BC3">
        <w:rPr>
          <w:rFonts w:ascii="Times New Roman" w:eastAsiaTheme="minorEastAsia" w:hAnsi="Times New Roman" w:cs="Times New Roman"/>
        </w:rPr>
        <w:t xml:space="preserve">, kurių kepenų funkcija buvo pakankama, įskaitant </w:t>
      </w:r>
      <w:r w:rsidR="007502A6">
        <w:rPr>
          <w:rFonts w:ascii="Times New Roman" w:eastAsiaTheme="minorEastAsia" w:hAnsi="Times New Roman" w:cs="Times New Roman"/>
        </w:rPr>
        <w:t>pacientus</w:t>
      </w:r>
      <w:r w:rsidRPr="002F6BC3">
        <w:rPr>
          <w:rFonts w:ascii="Times New Roman" w:eastAsiaTheme="minorEastAsia" w:hAnsi="Times New Roman" w:cs="Times New Roman"/>
        </w:rPr>
        <w:t xml:space="preserve">, sergančius pirminiu kepenų vėžiu ar kepenų metastazėmis. Nors </w:t>
      </w:r>
      <w:r w:rsidR="00902EE4">
        <w:rPr>
          <w:rFonts w:ascii="Times New Roman" w:eastAsiaTheme="minorEastAsia" w:hAnsi="Times New Roman" w:cs="Times New Roman"/>
        </w:rPr>
        <w:t>pacientų</w:t>
      </w:r>
      <w:r w:rsidRPr="002F6BC3">
        <w:rPr>
          <w:rFonts w:ascii="Times New Roman" w:eastAsiaTheme="minorEastAsia" w:hAnsi="Times New Roman" w:cs="Times New Roman"/>
        </w:rPr>
        <w:t>, kurių kepenų funkcija vidutiniškai sutrikusi, C</w:t>
      </w:r>
      <w:r w:rsidRPr="002F6BC3">
        <w:rPr>
          <w:rFonts w:ascii="Times New Roman" w:eastAsiaTheme="minorEastAsia" w:hAnsi="Times New Roman" w:cs="Times New Roman"/>
          <w:vertAlign w:val="subscript"/>
        </w:rPr>
        <w:t>max</w:t>
      </w:r>
      <w:r w:rsidRPr="002F6BC3">
        <w:rPr>
          <w:rFonts w:ascii="Times New Roman" w:eastAsiaTheme="minorEastAsia" w:hAnsi="Times New Roman" w:cs="Times New Roman"/>
        </w:rPr>
        <w:t xml:space="preserve"> statistiškai reikšmingai mažesnė, šis skirtumas nelaikomas kliniškai svarbiu. Duomenų apie sunkaus kepenų funkcijos sutrikimo įtaką erlotinibo farmakokinetikai nėra. Populiacinės farmakokinetikos analizės duomenimis, padidėjusi bendrojo bilirubino koncentracija serume yra susijusi su lėtesniu erlotinibo klirensu.</w:t>
      </w:r>
    </w:p>
    <w:p w14:paraId="653A6095" w14:textId="77777777" w:rsidR="00D72C83" w:rsidRPr="002F6BC3" w:rsidRDefault="00D72C83" w:rsidP="00D72C83">
      <w:pPr>
        <w:widowControl w:val="0"/>
        <w:autoSpaceDE w:val="0"/>
        <w:autoSpaceDN w:val="0"/>
        <w:adjustRightInd w:val="0"/>
        <w:spacing w:after="0" w:line="240" w:lineRule="auto"/>
        <w:jc w:val="both"/>
        <w:rPr>
          <w:rFonts w:ascii="Times New Roman" w:hAnsi="Times New Roman" w:cs="Times New Roman"/>
          <w:iCs/>
        </w:rPr>
      </w:pPr>
    </w:p>
    <w:p w14:paraId="0B981C0F" w14:textId="77777777" w:rsidR="00D72C83" w:rsidRPr="002F6BC3" w:rsidRDefault="00D72C83" w:rsidP="00D72C83">
      <w:pPr>
        <w:widowControl w:val="0"/>
        <w:autoSpaceDE w:val="0"/>
        <w:autoSpaceDN w:val="0"/>
        <w:adjustRightInd w:val="0"/>
        <w:spacing w:after="0" w:line="240" w:lineRule="auto"/>
        <w:rPr>
          <w:rFonts w:ascii="Times New Roman" w:eastAsiaTheme="minorEastAsia" w:hAnsi="Times New Roman" w:cs="Times New Roman"/>
          <w:i/>
        </w:rPr>
      </w:pPr>
      <w:r w:rsidRPr="002F6BC3">
        <w:rPr>
          <w:rFonts w:ascii="Times New Roman" w:hAnsi="Times New Roman" w:cs="Times New Roman"/>
          <w:i/>
          <w:iCs/>
          <w:color w:val="000000"/>
          <w:u w:val="single"/>
        </w:rPr>
        <w:t>Sutrikusi inkstų funkcija</w:t>
      </w:r>
    </w:p>
    <w:p w14:paraId="65791C73" w14:textId="507857FA"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Nedaug erlotinibo ir jo metabolitų išsiskiria per inkstus, nes mažiau kaip 9 % jo vienkartinės dozės pasišalina su šlapimu. Populiacinės farmakokinetikos analizės duomenimis, kliniškai svarbaus erlotinibo klirenso ir kreatinino klirenso ryšio nepastebėta, tačiau </w:t>
      </w:r>
      <w:r w:rsidR="00902EE4">
        <w:rPr>
          <w:rFonts w:ascii="Times New Roman" w:eastAsiaTheme="minorEastAsia" w:hAnsi="Times New Roman" w:cs="Times New Roman"/>
        </w:rPr>
        <w:t>pacientų</w:t>
      </w:r>
      <w:r w:rsidRPr="002E32EF">
        <w:rPr>
          <w:rFonts w:ascii="Times New Roman" w:eastAsiaTheme="minorEastAsia" w:hAnsi="Times New Roman" w:cs="Times New Roman"/>
        </w:rPr>
        <w:t>, kurių kreatinino klirensas &lt; 15 ml/min., tyrimo duomenų nėra.</w:t>
      </w:r>
    </w:p>
    <w:p w14:paraId="72456009"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6A822790"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5.3</w:t>
      </w:r>
      <w:r w:rsidRPr="00D3564A">
        <w:rPr>
          <w:rFonts w:ascii="Times New Roman" w:hAnsi="Times New Roman"/>
          <w:sz w:val="22"/>
          <w:lang w:val="lt-LT"/>
        </w:rPr>
        <w:tab/>
        <w:t>Ikiklinikinių saugumo tyrimų duomenys</w:t>
      </w:r>
    </w:p>
    <w:p w14:paraId="1E34A78A" w14:textId="77777777" w:rsidR="00D72C83" w:rsidRPr="002E32EF" w:rsidRDefault="00D72C83" w:rsidP="00D72C83">
      <w:pPr>
        <w:spacing w:after="0" w:line="240" w:lineRule="auto"/>
        <w:rPr>
          <w:rFonts w:ascii="Times New Roman" w:hAnsi="Times New Roman" w:cs="Times New Roman"/>
        </w:rPr>
      </w:pPr>
    </w:p>
    <w:p w14:paraId="650C260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Pastebėtas vaistinio preparato lėtinio dozavimo poveikis bent vienos rūšies gyvūnų akių ragenai (atrofija, išopėjimas), odai (folikulų degeneracija ir uždegimas, paraudimas, alopecija), kiaušidėms (atrofija), </w:t>
      </w:r>
      <w:r w:rsidRPr="002E32EF">
        <w:rPr>
          <w:rFonts w:ascii="Times New Roman" w:eastAsiaTheme="minorEastAsia" w:hAnsi="Times New Roman" w:cs="Times New Roman"/>
        </w:rPr>
        <w:lastRenderedPageBreak/>
        <w:t>kepenims (kepenų nekrozė), inkstams (inkstų spenelių nekrozė ir kanalėlių išsiplėtimas) ir virškinimo traktui (sulėtėjęs maisto pasišalinimas iš skrandžio ir viduriavimas). Mažėjo eritrocitų rodmenys, daugėjo leukocitų, ypač neutrofilų. Su gydymu buvo susijęs ALT, AST aktyvumo  ir bilirubino koncentracijos padidėjimas. Šie pokyčiai pastebėti nuo ekspozicijų, gerokai mažesnių už klinikines.</w:t>
      </w:r>
    </w:p>
    <w:p w14:paraId="1E1B0281"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0D3BD84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Atsižvelgiant į erlotinibo veikimo būdą, šis vaistinis preparatas gali veikti teratogeniškai. Toksinio poveikio žiurkių ir triušių dauginimosi funkcijai tyrimų duomenimis, erlotinibo dozės, artimos didžiausioms toleruojamoms dozėms, ir (arba) motininiams gyvūnams toksinės dozės veikė reprodukciją (pasireiškė embriotoksinis poveikis žiurkėms, triušių gemalų rezorbcija ir toksinis poveikis vaisiams) bei raidą (lėtėjo žiurkiukų augimas, mažėjo išgyvenimas), tačiau teratogeninio poveikio ir poveikio vaisingumui nepastebėta. Aprašytasis poveikis pasireiškė nuo ekspozicijų, artimų klinikinėms.</w:t>
      </w:r>
    </w:p>
    <w:p w14:paraId="4BE58F6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40BA902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Erlotinibo genotoksinio poveikio tyrimo duomenys neigiami. Erlotinibo kancerogeninio poveikio žiurkėms ir pelėms dvejų metų tyrimų duomenys buvo neigiami iki ekspozicijų, viršijančių terapinę ekspoziciją žmogaus organizme (atitinkamai iki 2 ir 10 kartų aukštesnių, remiantis C</w:t>
      </w:r>
      <w:r w:rsidRPr="002E32EF">
        <w:rPr>
          <w:rFonts w:ascii="Times New Roman" w:eastAsiaTheme="minorEastAsia" w:hAnsi="Times New Roman" w:cs="Times New Roman"/>
          <w:vertAlign w:val="subscript"/>
        </w:rPr>
        <w:t xml:space="preserve">max </w:t>
      </w:r>
      <w:r w:rsidRPr="002E32EF">
        <w:rPr>
          <w:rFonts w:ascii="Times New Roman" w:eastAsiaTheme="minorEastAsia" w:hAnsi="Times New Roman" w:cs="Times New Roman"/>
        </w:rPr>
        <w:t>ir/arba AUC).</w:t>
      </w:r>
    </w:p>
    <w:p w14:paraId="5038CAB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p>
    <w:p w14:paraId="2DC577D8"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highlight w:val="yellow"/>
        </w:rPr>
      </w:pPr>
      <w:r w:rsidRPr="002E32EF">
        <w:rPr>
          <w:rFonts w:ascii="Times New Roman" w:eastAsiaTheme="minorEastAsia" w:hAnsi="Times New Roman" w:cs="Times New Roman"/>
        </w:rPr>
        <w:t>Žiurkes apšvitinus UV spinduliais, pastebėta silpna fototoksinė odos reakcija.</w:t>
      </w:r>
      <w:r w:rsidRPr="002E32EF">
        <w:rPr>
          <w:rFonts w:ascii="Times New Roman" w:hAnsi="Times New Roman" w:cs="Times New Roman"/>
          <w:highlight w:val="yellow"/>
        </w:rPr>
        <w:t xml:space="preserve"> </w:t>
      </w:r>
    </w:p>
    <w:p w14:paraId="0B935723" w14:textId="77777777" w:rsidR="00D72C83" w:rsidRPr="002E32EF" w:rsidRDefault="00D72C83" w:rsidP="00D72C83">
      <w:pPr>
        <w:spacing w:after="0" w:line="240" w:lineRule="auto"/>
        <w:rPr>
          <w:rFonts w:ascii="Times New Roman" w:hAnsi="Times New Roman" w:cs="Times New Roman"/>
        </w:rPr>
      </w:pPr>
    </w:p>
    <w:p w14:paraId="2E82A000" w14:textId="77777777" w:rsidR="00D72C83" w:rsidRPr="002E32EF" w:rsidRDefault="00D72C83" w:rsidP="00D72C83">
      <w:pPr>
        <w:spacing w:after="0" w:line="240" w:lineRule="auto"/>
        <w:rPr>
          <w:rFonts w:ascii="Times New Roman" w:hAnsi="Times New Roman" w:cs="Times New Roman"/>
        </w:rPr>
      </w:pPr>
    </w:p>
    <w:p w14:paraId="6440E203"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6.</w:t>
      </w:r>
      <w:r w:rsidRPr="00D3564A">
        <w:rPr>
          <w:rFonts w:ascii="Times New Roman" w:hAnsi="Times New Roman"/>
          <w:sz w:val="22"/>
          <w:lang w:val="lt-LT"/>
        </w:rPr>
        <w:tab/>
        <w:t>FARMACINĖ INFORMACIJA</w:t>
      </w:r>
    </w:p>
    <w:p w14:paraId="282B67E8" w14:textId="77777777" w:rsidR="00D72C83" w:rsidRPr="002E32EF" w:rsidRDefault="00D72C83" w:rsidP="00D72C83">
      <w:pPr>
        <w:spacing w:after="0" w:line="240" w:lineRule="auto"/>
        <w:rPr>
          <w:rFonts w:ascii="Times New Roman" w:hAnsi="Times New Roman" w:cs="Times New Roman"/>
        </w:rPr>
      </w:pPr>
    </w:p>
    <w:p w14:paraId="243DE874"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6.1</w:t>
      </w:r>
      <w:r w:rsidRPr="00D3564A">
        <w:rPr>
          <w:rFonts w:ascii="Times New Roman" w:hAnsi="Times New Roman"/>
          <w:sz w:val="22"/>
          <w:lang w:val="lt-LT"/>
        </w:rPr>
        <w:tab/>
        <w:t>Pagalbinių medžiagų sąrašas</w:t>
      </w:r>
    </w:p>
    <w:p w14:paraId="760B7451" w14:textId="77777777" w:rsidR="00D72C83" w:rsidRPr="002E32EF" w:rsidRDefault="00D72C83" w:rsidP="00D72C83">
      <w:pPr>
        <w:spacing w:after="0" w:line="240" w:lineRule="auto"/>
        <w:rPr>
          <w:rFonts w:ascii="Times New Roman" w:hAnsi="Times New Roman" w:cs="Times New Roman"/>
        </w:rPr>
      </w:pPr>
    </w:p>
    <w:p w14:paraId="307A40E3" w14:textId="77777777" w:rsidR="00D72C83" w:rsidRPr="00E35BE6" w:rsidRDefault="00D72C83" w:rsidP="00D3564A">
      <w:pPr>
        <w:pStyle w:val="Pagrindinistekstas"/>
        <w:rPr>
          <w:u w:val="single"/>
          <w:lang w:val="lt-LT"/>
        </w:rPr>
      </w:pPr>
      <w:r w:rsidRPr="00D3564A">
        <w:rPr>
          <w:i w:val="0"/>
          <w:color w:val="auto"/>
          <w:sz w:val="22"/>
          <w:u w:val="single"/>
          <w:lang w:val="lt-LT"/>
        </w:rPr>
        <w:t>Tabletės branduolys</w:t>
      </w:r>
    </w:p>
    <w:p w14:paraId="5D1808DF" w14:textId="77777777" w:rsidR="00D72C83" w:rsidRPr="002E32EF" w:rsidRDefault="00D72C83" w:rsidP="00D72C83">
      <w:pPr>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Laktozė monohidratas</w:t>
      </w:r>
    </w:p>
    <w:p w14:paraId="7E194CFE" w14:textId="77777777" w:rsidR="00D72C83" w:rsidRPr="002E32EF" w:rsidRDefault="00D72C83" w:rsidP="00D72C83">
      <w:pPr>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Mikrokristalinė celiuliozė (E460) </w:t>
      </w:r>
    </w:p>
    <w:p w14:paraId="2BABA163" w14:textId="77777777" w:rsidR="00D72C83" w:rsidRPr="002E32EF" w:rsidRDefault="00D72C83" w:rsidP="00D72C83">
      <w:pPr>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Karboksimetilkrakmolo A natrio druska </w:t>
      </w:r>
    </w:p>
    <w:p w14:paraId="725B2934" w14:textId="77777777" w:rsidR="00D72C83" w:rsidRPr="002E32EF" w:rsidRDefault="00D72C83" w:rsidP="00D72C83">
      <w:pPr>
        <w:spacing w:after="0" w:line="240" w:lineRule="auto"/>
        <w:rPr>
          <w:rFonts w:ascii="Times New Roman" w:hAnsi="Times New Roman" w:cs="Times New Roman"/>
          <w:highlight w:val="yellow"/>
        </w:rPr>
      </w:pPr>
      <w:r w:rsidRPr="002E32EF">
        <w:rPr>
          <w:rFonts w:ascii="Times New Roman" w:eastAsiaTheme="minorEastAsia" w:hAnsi="Times New Roman" w:cs="Times New Roman"/>
        </w:rPr>
        <w:t>Magnio stearatas (E470b)</w:t>
      </w:r>
    </w:p>
    <w:p w14:paraId="2E48B2B8" w14:textId="77777777" w:rsidR="00D72C83" w:rsidRPr="00E35BE6" w:rsidRDefault="00D72C83" w:rsidP="00D3564A">
      <w:pPr>
        <w:pStyle w:val="Pagrindinistekstas"/>
        <w:rPr>
          <w:lang w:val="lt-LT"/>
        </w:rPr>
      </w:pPr>
    </w:p>
    <w:p w14:paraId="35FCF604" w14:textId="77777777" w:rsidR="00D72C83" w:rsidRPr="00E35BE6" w:rsidRDefault="00D72C83" w:rsidP="00D3564A">
      <w:pPr>
        <w:pStyle w:val="Pagrindinistekstas"/>
        <w:rPr>
          <w:u w:val="single"/>
          <w:lang w:val="lt-LT"/>
        </w:rPr>
      </w:pPr>
      <w:r w:rsidRPr="00D3564A">
        <w:rPr>
          <w:i w:val="0"/>
          <w:color w:val="auto"/>
          <w:sz w:val="22"/>
          <w:u w:val="single"/>
          <w:lang w:val="lt-LT"/>
        </w:rPr>
        <w:t>Tabletės plėvelė</w:t>
      </w:r>
    </w:p>
    <w:p w14:paraId="4476C1A2" w14:textId="77777777" w:rsidR="00D72C83" w:rsidRPr="00E35BE6" w:rsidRDefault="00D72C83" w:rsidP="00D3564A">
      <w:pPr>
        <w:pStyle w:val="Pagrindinistekstas"/>
        <w:rPr>
          <w:color w:val="000000"/>
          <w:lang w:val="lt-LT"/>
        </w:rPr>
      </w:pPr>
      <w:r w:rsidRPr="00D3564A">
        <w:rPr>
          <w:i w:val="0"/>
          <w:color w:val="000000"/>
          <w:sz w:val="22"/>
          <w:lang w:val="lt-LT"/>
        </w:rPr>
        <w:t xml:space="preserve">Polivinilo alkoholis (E1203) </w:t>
      </w:r>
    </w:p>
    <w:p w14:paraId="1AEF36F3" w14:textId="77777777" w:rsidR="00D72C83" w:rsidRPr="00E35BE6" w:rsidRDefault="00D72C83" w:rsidP="00D3564A">
      <w:pPr>
        <w:pStyle w:val="Pagrindinistekstas"/>
        <w:rPr>
          <w:color w:val="000000"/>
          <w:lang w:val="lt-LT"/>
        </w:rPr>
      </w:pPr>
      <w:r w:rsidRPr="00D3564A">
        <w:rPr>
          <w:i w:val="0"/>
          <w:color w:val="000000"/>
          <w:sz w:val="22"/>
          <w:lang w:val="lt-LT"/>
        </w:rPr>
        <w:t>Titano dioksidas (E171)</w:t>
      </w:r>
    </w:p>
    <w:p w14:paraId="661BCC9C" w14:textId="77777777" w:rsidR="00D72C83" w:rsidRPr="00E35BE6" w:rsidRDefault="00D72C83" w:rsidP="00D3564A">
      <w:pPr>
        <w:pStyle w:val="Pagrindinistekstas"/>
        <w:rPr>
          <w:color w:val="000000"/>
          <w:lang w:val="lt-LT"/>
        </w:rPr>
      </w:pPr>
      <w:r w:rsidRPr="00D3564A">
        <w:rPr>
          <w:i w:val="0"/>
          <w:color w:val="000000"/>
          <w:sz w:val="22"/>
          <w:lang w:val="lt-LT"/>
        </w:rPr>
        <w:t>Makrogolis 3350 (E1521)</w:t>
      </w:r>
    </w:p>
    <w:p w14:paraId="53856FB0" w14:textId="77777777" w:rsidR="00D72C83" w:rsidRPr="00E35BE6" w:rsidRDefault="00D72C83" w:rsidP="00D3564A">
      <w:pPr>
        <w:pStyle w:val="Pagrindinistekstas"/>
        <w:rPr>
          <w:color w:val="000000"/>
          <w:lang w:val="lt-LT"/>
        </w:rPr>
      </w:pPr>
      <w:r w:rsidRPr="00D3564A">
        <w:rPr>
          <w:i w:val="0"/>
          <w:color w:val="000000"/>
          <w:sz w:val="22"/>
          <w:lang w:val="lt-LT"/>
        </w:rPr>
        <w:t>Talkas (E553b)</w:t>
      </w:r>
    </w:p>
    <w:p w14:paraId="411A85CF" w14:textId="77777777" w:rsidR="00D72C83" w:rsidRPr="00E35BE6" w:rsidRDefault="00D72C83" w:rsidP="00D3564A">
      <w:pPr>
        <w:pStyle w:val="Pagrindinistekstas"/>
        <w:rPr>
          <w:color w:val="000000"/>
          <w:lang w:val="lt-LT"/>
        </w:rPr>
      </w:pPr>
      <w:r w:rsidRPr="00D3564A">
        <w:rPr>
          <w:i w:val="0"/>
          <w:color w:val="000000"/>
          <w:sz w:val="22"/>
          <w:lang w:val="lt-LT"/>
        </w:rPr>
        <w:t>Metakrilo rūgšties ir etilakrilato 1:1 kopolimeras A</w:t>
      </w:r>
    </w:p>
    <w:p w14:paraId="318C2BFE" w14:textId="77777777" w:rsidR="00D72C83" w:rsidRPr="00E35BE6" w:rsidRDefault="00D72C83" w:rsidP="00D3564A">
      <w:pPr>
        <w:pStyle w:val="Pagrindinistekstas"/>
        <w:rPr>
          <w:u w:val="single"/>
          <w:lang w:val="pt-PT"/>
        </w:rPr>
      </w:pPr>
      <w:r w:rsidRPr="00D3564A">
        <w:rPr>
          <w:i w:val="0"/>
          <w:color w:val="000000"/>
          <w:sz w:val="22"/>
          <w:lang w:val="lt-LT"/>
        </w:rPr>
        <w:t>Natrio-vandenilio karbonatas</w:t>
      </w:r>
    </w:p>
    <w:p w14:paraId="69808849" w14:textId="77777777" w:rsidR="00D72C83" w:rsidRPr="002E32EF" w:rsidRDefault="00D72C83" w:rsidP="00D72C83">
      <w:pPr>
        <w:spacing w:after="0" w:line="240" w:lineRule="auto"/>
        <w:rPr>
          <w:rFonts w:ascii="Times New Roman" w:hAnsi="Times New Roman" w:cs="Times New Roman"/>
        </w:rPr>
      </w:pPr>
    </w:p>
    <w:p w14:paraId="02F950A2" w14:textId="77777777" w:rsidR="00D72C83" w:rsidRPr="00E35BE6" w:rsidRDefault="00D72C83" w:rsidP="00D3564A">
      <w:pPr>
        <w:pStyle w:val="Antrat4"/>
        <w:spacing w:line="240" w:lineRule="auto"/>
        <w:jc w:val="left"/>
        <w:rPr>
          <w:rFonts w:ascii="Times New Roman" w:hAnsi="Times New Roman"/>
          <w:b w:val="0"/>
          <w:lang w:val="pt-PT"/>
        </w:rPr>
      </w:pPr>
      <w:r w:rsidRPr="00D3564A">
        <w:rPr>
          <w:rFonts w:ascii="Times New Roman" w:hAnsi="Times New Roman"/>
          <w:sz w:val="22"/>
          <w:lang w:val="lt-LT"/>
        </w:rPr>
        <w:t>6.2</w:t>
      </w:r>
      <w:r w:rsidRPr="00D3564A">
        <w:rPr>
          <w:rFonts w:ascii="Times New Roman" w:hAnsi="Times New Roman"/>
          <w:sz w:val="22"/>
          <w:lang w:val="lt-LT"/>
        </w:rPr>
        <w:tab/>
        <w:t>Nesuderinamumas</w:t>
      </w:r>
    </w:p>
    <w:p w14:paraId="319710D9" w14:textId="77777777" w:rsidR="00D72C83" w:rsidRPr="002E32EF" w:rsidRDefault="00D72C83" w:rsidP="00D72C83">
      <w:pPr>
        <w:spacing w:after="0" w:line="240" w:lineRule="auto"/>
        <w:rPr>
          <w:rFonts w:ascii="Times New Roman" w:hAnsi="Times New Roman" w:cs="Times New Roman"/>
        </w:rPr>
      </w:pPr>
    </w:p>
    <w:p w14:paraId="0B6E1EF1"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Duomenys nebūtini.</w:t>
      </w:r>
    </w:p>
    <w:p w14:paraId="1AA5C052" w14:textId="77777777" w:rsidR="00D72C83" w:rsidRPr="002E32EF" w:rsidRDefault="00D72C83" w:rsidP="00D72C83">
      <w:pPr>
        <w:spacing w:after="0" w:line="240" w:lineRule="auto"/>
        <w:rPr>
          <w:rFonts w:ascii="Times New Roman" w:hAnsi="Times New Roman" w:cs="Times New Roman"/>
        </w:rPr>
      </w:pPr>
    </w:p>
    <w:p w14:paraId="63CFC92D"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6.3</w:t>
      </w:r>
      <w:r w:rsidRPr="00D3564A">
        <w:rPr>
          <w:rFonts w:ascii="Times New Roman" w:hAnsi="Times New Roman"/>
          <w:sz w:val="22"/>
          <w:lang w:val="lt-LT"/>
        </w:rPr>
        <w:tab/>
        <w:t>Tinkamumo laikas</w:t>
      </w:r>
    </w:p>
    <w:p w14:paraId="3565B6D0" w14:textId="77777777" w:rsidR="00D72C83" w:rsidRPr="002E32EF" w:rsidRDefault="00D72C83" w:rsidP="00D72C83">
      <w:pPr>
        <w:spacing w:after="0" w:line="240" w:lineRule="auto"/>
        <w:rPr>
          <w:rFonts w:ascii="Times New Roman" w:hAnsi="Times New Roman" w:cs="Times New Roman"/>
        </w:rPr>
      </w:pPr>
    </w:p>
    <w:p w14:paraId="1A231FE2" w14:textId="2F70968E" w:rsidR="00D72C83" w:rsidRPr="002E32EF" w:rsidRDefault="00D72C83" w:rsidP="00D72C83">
      <w:pPr>
        <w:spacing w:after="0" w:line="240" w:lineRule="auto"/>
        <w:rPr>
          <w:rFonts w:ascii="Times New Roman" w:hAnsi="Times New Roman" w:cs="Times New Roman"/>
        </w:rPr>
      </w:pPr>
      <w:r>
        <w:rPr>
          <w:rFonts w:ascii="Times New Roman" w:hAnsi="Times New Roman" w:cs="Times New Roman"/>
        </w:rPr>
        <w:t>4</w:t>
      </w:r>
      <w:r w:rsidRPr="002E32EF">
        <w:rPr>
          <w:rFonts w:ascii="Times New Roman" w:hAnsi="Times New Roman" w:cs="Times New Roman"/>
        </w:rPr>
        <w:t xml:space="preserve"> metai.</w:t>
      </w:r>
    </w:p>
    <w:p w14:paraId="508ADE2B" w14:textId="77777777" w:rsidR="00D72C83" w:rsidRPr="002E32EF" w:rsidRDefault="00D72C83" w:rsidP="00D72C83">
      <w:pPr>
        <w:spacing w:after="0" w:line="240" w:lineRule="auto"/>
        <w:rPr>
          <w:rFonts w:ascii="Times New Roman" w:hAnsi="Times New Roman" w:cs="Times New Roman"/>
        </w:rPr>
      </w:pPr>
    </w:p>
    <w:p w14:paraId="7A79F2E1"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6.4</w:t>
      </w:r>
      <w:r w:rsidRPr="00D3564A">
        <w:rPr>
          <w:rFonts w:ascii="Times New Roman" w:hAnsi="Times New Roman"/>
          <w:sz w:val="22"/>
          <w:lang w:val="lt-LT"/>
        </w:rPr>
        <w:tab/>
        <w:t>Specialios laikymo sąlygos</w:t>
      </w:r>
    </w:p>
    <w:p w14:paraId="3367AB15" w14:textId="77777777" w:rsidR="00D72C83" w:rsidRPr="002E32EF" w:rsidRDefault="00D72C83" w:rsidP="00D72C83">
      <w:pPr>
        <w:spacing w:after="0" w:line="240" w:lineRule="auto"/>
        <w:rPr>
          <w:rFonts w:ascii="Times New Roman" w:hAnsi="Times New Roman" w:cs="Times New Roman"/>
        </w:rPr>
      </w:pPr>
    </w:p>
    <w:p w14:paraId="2B1B1C85"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r w:rsidRPr="002E32EF">
        <w:rPr>
          <w:rFonts w:ascii="Times New Roman" w:eastAsia="Calibri" w:hAnsi="Times New Roman" w:cs="Times New Roman"/>
        </w:rPr>
        <w:t>Šiam vaistiniam preparatui specialių laikymo sąlygų nereikia.</w:t>
      </w:r>
    </w:p>
    <w:p w14:paraId="4A21F6A1" w14:textId="77777777" w:rsidR="00D72C83" w:rsidRPr="00E35BE6" w:rsidRDefault="00D72C83" w:rsidP="00D3564A">
      <w:pPr>
        <w:pStyle w:val="Pagrindinistekstas"/>
        <w:rPr>
          <w:i w:val="0"/>
          <w:lang w:val="pt-PT"/>
        </w:rPr>
      </w:pPr>
    </w:p>
    <w:p w14:paraId="13FF4FF0" w14:textId="77777777" w:rsidR="00D72C83" w:rsidRPr="00E35BE6" w:rsidRDefault="00D72C83" w:rsidP="00D3564A">
      <w:pPr>
        <w:pStyle w:val="Antrat4"/>
        <w:spacing w:line="240" w:lineRule="auto"/>
        <w:jc w:val="left"/>
        <w:rPr>
          <w:rFonts w:ascii="Times New Roman" w:hAnsi="Times New Roman"/>
          <w:b w:val="0"/>
          <w:lang w:val="pt-PT"/>
        </w:rPr>
      </w:pPr>
      <w:r w:rsidRPr="00D3564A">
        <w:rPr>
          <w:rFonts w:ascii="Times New Roman" w:hAnsi="Times New Roman"/>
          <w:sz w:val="22"/>
          <w:lang w:val="lt-LT"/>
        </w:rPr>
        <w:t>6.5</w:t>
      </w:r>
      <w:r w:rsidRPr="00D3564A">
        <w:rPr>
          <w:rFonts w:ascii="Times New Roman" w:hAnsi="Times New Roman"/>
          <w:sz w:val="22"/>
          <w:lang w:val="lt-LT"/>
        </w:rPr>
        <w:tab/>
        <w:t xml:space="preserve">Talpyklės pobūdis ir jos turinys </w:t>
      </w:r>
    </w:p>
    <w:p w14:paraId="44AA6EAC" w14:textId="77777777" w:rsidR="00D72C83" w:rsidRPr="002E32EF" w:rsidRDefault="00D72C83" w:rsidP="00D72C83">
      <w:pPr>
        <w:spacing w:after="0" w:line="240" w:lineRule="auto"/>
        <w:rPr>
          <w:rFonts w:ascii="Times New Roman" w:hAnsi="Times New Roman" w:cs="Times New Roman"/>
        </w:rPr>
      </w:pPr>
    </w:p>
    <w:p w14:paraId="59649712" w14:textId="77777777" w:rsidR="00D72C83" w:rsidRPr="002E32EF" w:rsidRDefault="00D72C83" w:rsidP="00D72C83">
      <w:pPr>
        <w:numPr>
          <w:ilvl w:val="12"/>
          <w:numId w:val="0"/>
        </w:numPr>
        <w:spacing w:after="0" w:line="240" w:lineRule="auto"/>
        <w:rPr>
          <w:rFonts w:ascii="Times New Roman" w:hAnsi="Times New Roman" w:cs="Times New Roman"/>
        </w:rPr>
      </w:pPr>
      <w:r w:rsidRPr="002E32EF">
        <w:rPr>
          <w:rFonts w:ascii="Times New Roman" w:hAnsi="Times New Roman" w:cs="Times New Roman"/>
        </w:rPr>
        <w:t>Aliuminio-OPA/aliuminio/PVC lizdinės plokštelės, supakuotos į kartono dėžutes po 30 tablečių.</w:t>
      </w:r>
    </w:p>
    <w:p w14:paraId="03047E89" w14:textId="77777777" w:rsidR="00D72C83" w:rsidRPr="002E32EF" w:rsidRDefault="00D72C83" w:rsidP="00D72C83">
      <w:pPr>
        <w:spacing w:after="0" w:line="240" w:lineRule="auto"/>
        <w:rPr>
          <w:rFonts w:ascii="Times New Roman" w:hAnsi="Times New Roman" w:cs="Times New Roman"/>
        </w:rPr>
      </w:pPr>
    </w:p>
    <w:p w14:paraId="5E76FDF2" w14:textId="77777777" w:rsidR="00D72C83" w:rsidRPr="00E35BE6" w:rsidRDefault="00D72C83" w:rsidP="00D3564A">
      <w:pPr>
        <w:pStyle w:val="Antrat4"/>
        <w:spacing w:line="240" w:lineRule="auto"/>
        <w:jc w:val="left"/>
        <w:rPr>
          <w:rFonts w:ascii="Times New Roman" w:hAnsi="Times New Roman"/>
          <w:b w:val="0"/>
          <w:lang w:val="lt-LT"/>
        </w:rPr>
      </w:pPr>
      <w:bookmarkStart w:id="1" w:name="OLE_LINK1"/>
      <w:r w:rsidRPr="00D3564A">
        <w:rPr>
          <w:rFonts w:ascii="Times New Roman" w:hAnsi="Times New Roman"/>
          <w:sz w:val="22"/>
          <w:lang w:val="lt-LT"/>
        </w:rPr>
        <w:lastRenderedPageBreak/>
        <w:t>6.6</w:t>
      </w:r>
      <w:r w:rsidRPr="00D3564A">
        <w:rPr>
          <w:rFonts w:ascii="Times New Roman" w:hAnsi="Times New Roman"/>
          <w:sz w:val="22"/>
          <w:lang w:val="lt-LT"/>
        </w:rPr>
        <w:tab/>
        <w:t xml:space="preserve">Specialūs reikalavimai atliekoms tvarkyti </w:t>
      </w:r>
    </w:p>
    <w:bookmarkEnd w:id="1"/>
    <w:p w14:paraId="15F92541" w14:textId="77777777" w:rsidR="00D72C83" w:rsidRPr="002E32EF" w:rsidRDefault="00D72C83" w:rsidP="00D72C83">
      <w:pPr>
        <w:spacing w:after="0" w:line="240" w:lineRule="auto"/>
        <w:rPr>
          <w:rFonts w:ascii="Times New Roman" w:hAnsi="Times New Roman" w:cs="Times New Roman"/>
        </w:rPr>
      </w:pPr>
    </w:p>
    <w:p w14:paraId="1216EE2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Specialių reikalavimų atliekoms tvarkyti nėra.</w:t>
      </w:r>
    </w:p>
    <w:p w14:paraId="14BB2935"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r w:rsidRPr="002E32EF">
        <w:rPr>
          <w:rFonts w:ascii="Times New Roman" w:eastAsiaTheme="minorEastAsia" w:hAnsi="Times New Roman" w:cs="Times New Roman"/>
        </w:rPr>
        <w:t>Nesuvartotą vaistinį preparatą ar atliekas reikia tvarkyti laikantis vietinių reikalavimų.</w:t>
      </w:r>
    </w:p>
    <w:p w14:paraId="6B28A454" w14:textId="77777777" w:rsidR="00D72C83" w:rsidRPr="002E32EF" w:rsidRDefault="00D72C83" w:rsidP="00D72C83">
      <w:pPr>
        <w:spacing w:after="0" w:line="240" w:lineRule="auto"/>
        <w:rPr>
          <w:rFonts w:ascii="Times New Roman" w:hAnsi="Times New Roman" w:cs="Times New Roman"/>
        </w:rPr>
      </w:pPr>
    </w:p>
    <w:p w14:paraId="11350EB3" w14:textId="77777777" w:rsidR="00D72C83" w:rsidRPr="002E32EF" w:rsidRDefault="00D72C83" w:rsidP="00D72C83">
      <w:pPr>
        <w:spacing w:after="0" w:line="240" w:lineRule="auto"/>
        <w:rPr>
          <w:rFonts w:ascii="Times New Roman" w:hAnsi="Times New Roman" w:cs="Times New Roman"/>
        </w:rPr>
      </w:pPr>
    </w:p>
    <w:p w14:paraId="3B8196F6"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7.</w:t>
      </w:r>
      <w:r w:rsidRPr="00D3564A">
        <w:rPr>
          <w:rFonts w:ascii="Times New Roman" w:hAnsi="Times New Roman"/>
          <w:sz w:val="22"/>
          <w:lang w:val="lt-LT"/>
        </w:rPr>
        <w:tab/>
        <w:t>REGISTRUOTOJAS</w:t>
      </w:r>
    </w:p>
    <w:p w14:paraId="75891C1A" w14:textId="77777777" w:rsidR="00D72C83" w:rsidRPr="002E32EF" w:rsidRDefault="00D72C83" w:rsidP="00D72C83">
      <w:pPr>
        <w:spacing w:after="0" w:line="240" w:lineRule="auto"/>
        <w:rPr>
          <w:rFonts w:ascii="Times New Roman" w:hAnsi="Times New Roman" w:cs="Times New Roman"/>
        </w:rPr>
      </w:pPr>
    </w:p>
    <w:p w14:paraId="44D9E456" w14:textId="4C467B12" w:rsidR="00160EA3" w:rsidRDefault="00160EA3" w:rsidP="00160EA3">
      <w:pPr>
        <w:spacing w:after="0"/>
        <w:rPr>
          <w:rFonts w:ascii="Times New Roman" w:hAnsi="Times New Roman" w:cs="Times New Roman"/>
        </w:rPr>
      </w:pPr>
      <w:r w:rsidRPr="00160EA3">
        <w:rPr>
          <w:rFonts w:ascii="Times New Roman" w:hAnsi="Times New Roman" w:cs="Times New Roman"/>
        </w:rPr>
        <w:t xml:space="preserve">Alvogen Pharma Trading Europe EOOD </w:t>
      </w:r>
    </w:p>
    <w:p w14:paraId="7AB10882" w14:textId="77777777" w:rsidR="00160EA3" w:rsidRDefault="00160EA3" w:rsidP="00160EA3">
      <w:pPr>
        <w:spacing w:after="0"/>
        <w:rPr>
          <w:rFonts w:ascii="Times New Roman" w:hAnsi="Times New Roman" w:cs="Times New Roman"/>
        </w:rPr>
      </w:pPr>
      <w:r w:rsidRPr="00160EA3">
        <w:rPr>
          <w:rFonts w:ascii="Times New Roman" w:hAnsi="Times New Roman" w:cs="Times New Roman"/>
        </w:rPr>
        <w:t xml:space="preserve">86, Bulgaria blvd. </w:t>
      </w:r>
    </w:p>
    <w:p w14:paraId="74A756EA" w14:textId="274E844C" w:rsidR="00160EA3" w:rsidRPr="00160EA3" w:rsidRDefault="00160EA3" w:rsidP="00160EA3">
      <w:pPr>
        <w:spacing w:after="0"/>
        <w:rPr>
          <w:rFonts w:ascii="Times New Roman" w:hAnsi="Times New Roman" w:cs="Times New Roman"/>
        </w:rPr>
      </w:pPr>
      <w:r w:rsidRPr="00160EA3">
        <w:rPr>
          <w:rFonts w:ascii="Times New Roman" w:hAnsi="Times New Roman" w:cs="Times New Roman"/>
        </w:rPr>
        <w:t>1680 Sofia</w:t>
      </w:r>
    </w:p>
    <w:p w14:paraId="7876AE0B" w14:textId="52BE4E3C" w:rsidR="00D72C83" w:rsidRPr="00160EA3" w:rsidRDefault="00160EA3" w:rsidP="00160EA3">
      <w:pPr>
        <w:spacing w:after="0" w:line="240" w:lineRule="auto"/>
        <w:rPr>
          <w:rFonts w:ascii="Times New Roman" w:hAnsi="Times New Roman" w:cs="Times New Roman"/>
        </w:rPr>
      </w:pPr>
      <w:r w:rsidRPr="00160EA3">
        <w:rPr>
          <w:rFonts w:ascii="Times New Roman" w:hAnsi="Times New Roman" w:cs="Times New Roman"/>
        </w:rPr>
        <w:t>Bulgarija</w:t>
      </w:r>
    </w:p>
    <w:p w14:paraId="7BFFDF6B" w14:textId="4076EB3A" w:rsidR="00D72C83" w:rsidRDefault="00D72C83" w:rsidP="00D72C83">
      <w:pPr>
        <w:spacing w:after="0" w:line="240" w:lineRule="auto"/>
        <w:rPr>
          <w:rFonts w:ascii="Times New Roman" w:hAnsi="Times New Roman" w:cs="Times New Roman"/>
        </w:rPr>
      </w:pPr>
    </w:p>
    <w:p w14:paraId="2D2AE51E" w14:textId="77777777" w:rsidR="00160EA3" w:rsidRPr="00874D95" w:rsidRDefault="00160EA3" w:rsidP="00D72C83">
      <w:pPr>
        <w:spacing w:after="0" w:line="240" w:lineRule="auto"/>
        <w:rPr>
          <w:rFonts w:ascii="Times New Roman" w:hAnsi="Times New Roman" w:cs="Times New Roman"/>
        </w:rPr>
      </w:pPr>
    </w:p>
    <w:p w14:paraId="222AFCCA"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8.</w:t>
      </w:r>
      <w:r w:rsidRPr="00D3564A">
        <w:rPr>
          <w:rFonts w:ascii="Times New Roman" w:hAnsi="Times New Roman"/>
          <w:sz w:val="22"/>
          <w:lang w:val="lt-LT"/>
        </w:rPr>
        <w:tab/>
        <w:t xml:space="preserve">REGISTRACIJOS PAŽYMĖJIMO NUMERIS (-IAI) </w:t>
      </w:r>
    </w:p>
    <w:p w14:paraId="6630A108" w14:textId="77777777" w:rsidR="00D72C83" w:rsidRPr="002E32EF" w:rsidRDefault="00D72C83" w:rsidP="00D72C83">
      <w:pPr>
        <w:spacing w:after="0" w:line="240" w:lineRule="auto"/>
        <w:rPr>
          <w:rFonts w:ascii="Times New Roman" w:hAnsi="Times New Roman" w:cs="Times New Roman"/>
        </w:rPr>
      </w:pPr>
    </w:p>
    <w:p w14:paraId="729E8CF7"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Varlota</w:t>
      </w:r>
      <w:r w:rsidRPr="002E32EF">
        <w:rPr>
          <w:rFonts w:ascii="Times New Roman" w:hAnsi="Times New Roman" w:cs="Times New Roman"/>
          <w:caps/>
        </w:rPr>
        <w:t xml:space="preserve"> 50 </w:t>
      </w:r>
      <w:r w:rsidRPr="002E32EF">
        <w:rPr>
          <w:rFonts w:ascii="Times New Roman" w:hAnsi="Times New Roman" w:cs="Times New Roman"/>
        </w:rPr>
        <w:t>mg – LT/1/16/3981/001</w:t>
      </w:r>
    </w:p>
    <w:p w14:paraId="4792D07F"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Varlota</w:t>
      </w:r>
      <w:r w:rsidRPr="002E32EF">
        <w:rPr>
          <w:rFonts w:ascii="Times New Roman" w:hAnsi="Times New Roman" w:cs="Times New Roman"/>
          <w:caps/>
        </w:rPr>
        <w:t xml:space="preserve"> 100 </w:t>
      </w:r>
      <w:r w:rsidRPr="002E32EF">
        <w:rPr>
          <w:rFonts w:ascii="Times New Roman" w:hAnsi="Times New Roman" w:cs="Times New Roman"/>
        </w:rPr>
        <w:t>mg – LT/1/16/3981/002</w:t>
      </w:r>
    </w:p>
    <w:p w14:paraId="66558036"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Varlota</w:t>
      </w:r>
      <w:r w:rsidRPr="002E32EF">
        <w:rPr>
          <w:rFonts w:ascii="Times New Roman" w:hAnsi="Times New Roman" w:cs="Times New Roman"/>
          <w:caps/>
        </w:rPr>
        <w:t xml:space="preserve"> 150 </w:t>
      </w:r>
      <w:r w:rsidRPr="002E32EF">
        <w:rPr>
          <w:rFonts w:ascii="Times New Roman" w:hAnsi="Times New Roman" w:cs="Times New Roman"/>
        </w:rPr>
        <w:t>mg – LT/1/16/3981/003</w:t>
      </w:r>
    </w:p>
    <w:p w14:paraId="79247CEB" w14:textId="77777777" w:rsidR="00D72C83" w:rsidRPr="002E32EF" w:rsidRDefault="00D72C83" w:rsidP="00D72C83">
      <w:pPr>
        <w:spacing w:after="0" w:line="240" w:lineRule="auto"/>
        <w:rPr>
          <w:rFonts w:ascii="Times New Roman" w:hAnsi="Times New Roman" w:cs="Times New Roman"/>
        </w:rPr>
      </w:pPr>
    </w:p>
    <w:p w14:paraId="07D93365" w14:textId="77777777" w:rsidR="00D72C83" w:rsidRPr="002E32EF" w:rsidRDefault="00D72C83" w:rsidP="00D72C83">
      <w:pPr>
        <w:spacing w:after="0" w:line="240" w:lineRule="auto"/>
        <w:rPr>
          <w:rFonts w:ascii="Times New Roman" w:hAnsi="Times New Roman" w:cs="Times New Roman"/>
        </w:rPr>
      </w:pPr>
    </w:p>
    <w:p w14:paraId="32954C16" w14:textId="77777777" w:rsidR="00D72C83" w:rsidRPr="00E35BE6" w:rsidRDefault="00D72C83" w:rsidP="00D3564A">
      <w:pPr>
        <w:pStyle w:val="Antrat3"/>
        <w:spacing w:before="0" w:after="0" w:line="240" w:lineRule="auto"/>
        <w:rPr>
          <w:rFonts w:ascii="Times New Roman" w:hAnsi="Times New Roman"/>
          <w:b w:val="0"/>
          <w:lang w:val="it-IT"/>
        </w:rPr>
      </w:pPr>
      <w:r w:rsidRPr="00D3564A">
        <w:rPr>
          <w:rFonts w:ascii="Times New Roman" w:hAnsi="Times New Roman"/>
          <w:sz w:val="22"/>
          <w:lang w:val="lt-LT"/>
        </w:rPr>
        <w:t>9.</w:t>
      </w:r>
      <w:r w:rsidRPr="00D3564A">
        <w:rPr>
          <w:rFonts w:ascii="Times New Roman" w:hAnsi="Times New Roman"/>
          <w:sz w:val="22"/>
          <w:lang w:val="lt-LT"/>
        </w:rPr>
        <w:tab/>
        <w:t>REGISTRAVIMO / PERREGISTRAVIMO DATA</w:t>
      </w:r>
    </w:p>
    <w:p w14:paraId="2494A9C8" w14:textId="77777777" w:rsidR="00D72C83" w:rsidRPr="002E32EF" w:rsidRDefault="00D72C83" w:rsidP="00D72C83">
      <w:pPr>
        <w:spacing w:after="0" w:line="240" w:lineRule="auto"/>
        <w:rPr>
          <w:rFonts w:ascii="Times New Roman" w:hAnsi="Times New Roman" w:cs="Times New Roman"/>
        </w:rPr>
      </w:pPr>
    </w:p>
    <w:p w14:paraId="76422390" w14:textId="77777777" w:rsidR="00D72C83" w:rsidRPr="002E32EF" w:rsidRDefault="00D72C83" w:rsidP="00D72C83">
      <w:pPr>
        <w:widowControl w:val="0"/>
        <w:tabs>
          <w:tab w:val="left" w:pos="567"/>
          <w:tab w:val="left" w:pos="2160"/>
        </w:tabs>
        <w:snapToGrid w:val="0"/>
        <w:spacing w:after="0" w:line="240" w:lineRule="auto"/>
        <w:rPr>
          <w:rFonts w:ascii="Times New Roman" w:eastAsia="Times New Roman" w:hAnsi="Times New Roman" w:cs="Times New Roman"/>
          <w:lang w:eastAsia="sl-SI"/>
        </w:rPr>
      </w:pPr>
      <w:r w:rsidRPr="002E32EF">
        <w:rPr>
          <w:rFonts w:ascii="Times New Roman" w:eastAsia="Times New Roman" w:hAnsi="Times New Roman" w:cs="Times New Roman"/>
          <w:lang w:eastAsia="sl-SI"/>
        </w:rPr>
        <w:t>Registravimo data 2016 m. spalio 11 d.</w:t>
      </w:r>
    </w:p>
    <w:p w14:paraId="625B3735" w14:textId="77777777" w:rsidR="00D72C83" w:rsidRPr="002E32EF" w:rsidRDefault="00D72C83" w:rsidP="00D72C83">
      <w:pPr>
        <w:spacing w:after="0" w:line="240" w:lineRule="auto"/>
        <w:rPr>
          <w:rFonts w:ascii="Times New Roman" w:hAnsi="Times New Roman" w:cs="Times New Roman"/>
        </w:rPr>
      </w:pPr>
    </w:p>
    <w:p w14:paraId="6061DBAC" w14:textId="77777777" w:rsidR="00D72C83" w:rsidRPr="002E32EF" w:rsidRDefault="00D72C83" w:rsidP="00D72C83">
      <w:pPr>
        <w:spacing w:after="0" w:line="240" w:lineRule="auto"/>
        <w:rPr>
          <w:rFonts w:ascii="Times New Roman" w:hAnsi="Times New Roman" w:cs="Times New Roman"/>
        </w:rPr>
      </w:pPr>
    </w:p>
    <w:p w14:paraId="25353326" w14:textId="77777777" w:rsidR="00D72C83" w:rsidRPr="00537A9B"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10.</w:t>
      </w:r>
      <w:r w:rsidRPr="00D3564A">
        <w:rPr>
          <w:rFonts w:ascii="Times New Roman" w:hAnsi="Times New Roman"/>
          <w:sz w:val="22"/>
          <w:lang w:val="lt-LT"/>
        </w:rPr>
        <w:tab/>
        <w:t>TEKSTO PERŽIŪROS DATA</w:t>
      </w:r>
    </w:p>
    <w:p w14:paraId="04F7EE3C" w14:textId="77777777" w:rsidR="00D72C83" w:rsidRPr="002E32EF" w:rsidRDefault="00D72C83" w:rsidP="00D72C83">
      <w:pPr>
        <w:spacing w:after="0" w:line="240" w:lineRule="auto"/>
        <w:rPr>
          <w:rFonts w:ascii="Times New Roman" w:hAnsi="Times New Roman" w:cs="Times New Roman"/>
        </w:rPr>
      </w:pPr>
    </w:p>
    <w:p w14:paraId="367B1477" w14:textId="2471A5CA" w:rsidR="00D72C83" w:rsidRDefault="00E35BE6" w:rsidP="00D72C83">
      <w:pPr>
        <w:spacing w:after="0" w:line="240" w:lineRule="auto"/>
        <w:rPr>
          <w:rFonts w:ascii="Times New Roman" w:hAnsi="Times New Roman" w:cs="Times New Roman"/>
        </w:rPr>
      </w:pPr>
      <w:r>
        <w:rPr>
          <w:rFonts w:ascii="Times New Roman" w:hAnsi="Times New Roman" w:cs="Times New Roman"/>
        </w:rPr>
        <w:t xml:space="preserve">2021 m. </w:t>
      </w:r>
      <w:r w:rsidR="00AE56C0">
        <w:rPr>
          <w:rFonts w:ascii="Times New Roman" w:hAnsi="Times New Roman" w:cs="Times New Roman"/>
        </w:rPr>
        <w:t>gruodžio 23</w:t>
      </w:r>
      <w:r>
        <w:rPr>
          <w:rFonts w:ascii="Times New Roman" w:hAnsi="Times New Roman" w:cs="Times New Roman"/>
        </w:rPr>
        <w:t xml:space="preserve"> d.</w:t>
      </w:r>
    </w:p>
    <w:p w14:paraId="2ACCFA90" w14:textId="77777777" w:rsidR="00D72C83" w:rsidRPr="002E32EF" w:rsidRDefault="00D72C83" w:rsidP="00D72C83">
      <w:pPr>
        <w:spacing w:after="0" w:line="240" w:lineRule="auto"/>
        <w:rPr>
          <w:rFonts w:ascii="Times New Roman" w:hAnsi="Times New Roman" w:cs="Times New Roman"/>
        </w:rPr>
      </w:pPr>
    </w:p>
    <w:p w14:paraId="14B53E48" w14:textId="77777777" w:rsidR="00D72C83" w:rsidRPr="00E35BE6" w:rsidRDefault="00D72C83" w:rsidP="00D3564A">
      <w:pPr>
        <w:pStyle w:val="Paprastasistekstas"/>
        <w:tabs>
          <w:tab w:val="left" w:pos="5954"/>
          <w:tab w:val="left" w:pos="6237"/>
          <w:tab w:val="left" w:pos="6663"/>
          <w:tab w:val="left" w:pos="6946"/>
        </w:tabs>
        <w:rPr>
          <w:rFonts w:ascii="Times New Roman" w:hAnsi="Times New Roman"/>
          <w:lang w:val="lt-LT"/>
        </w:rPr>
      </w:pPr>
      <w:r w:rsidRPr="00D3564A">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D3564A">
        <w:rPr>
          <w:rFonts w:ascii="Times New Roman" w:hAnsi="Times New Roman"/>
          <w:i/>
          <w:sz w:val="22"/>
          <w:lang w:val="lt-LT"/>
        </w:rPr>
        <w:t xml:space="preserve"> </w:t>
      </w:r>
      <w:hyperlink r:id="rId12" w:history="1">
        <w:r w:rsidRPr="00E35BE6">
          <w:rPr>
            <w:rStyle w:val="Hipersaitas"/>
            <w:lang w:val="lt-LT"/>
          </w:rPr>
          <w:t>http://www.vvkt.lt</w:t>
        </w:r>
      </w:hyperlink>
    </w:p>
    <w:p w14:paraId="08230D14" w14:textId="77777777" w:rsidR="00D72C83" w:rsidRPr="00E35BE6" w:rsidRDefault="00D72C83" w:rsidP="00D3564A">
      <w:pPr>
        <w:pStyle w:val="Paprastasistekstas"/>
        <w:tabs>
          <w:tab w:val="left" w:pos="5954"/>
          <w:tab w:val="left" w:pos="6237"/>
          <w:tab w:val="left" w:pos="6663"/>
          <w:tab w:val="left" w:pos="6946"/>
        </w:tabs>
        <w:jc w:val="center"/>
        <w:rPr>
          <w:rFonts w:ascii="Times New Roman" w:hAnsi="Times New Roman"/>
          <w:lang w:val="lt-LT"/>
        </w:rPr>
      </w:pPr>
    </w:p>
    <w:p w14:paraId="43B95F3A" w14:textId="77777777" w:rsidR="00D72C83" w:rsidRPr="002E32EF" w:rsidRDefault="00D72C83" w:rsidP="00D72C83">
      <w:pPr>
        <w:spacing w:line="240" w:lineRule="auto"/>
        <w:rPr>
          <w:rFonts w:ascii="Times New Roman" w:hAnsi="Times New Roman" w:cs="Times New Roman"/>
        </w:rPr>
      </w:pPr>
      <w:r w:rsidRPr="002E32EF">
        <w:rPr>
          <w:rFonts w:ascii="Times New Roman" w:hAnsi="Times New Roman" w:cs="Times New Roman"/>
        </w:rPr>
        <w:br w:type="page"/>
      </w:r>
    </w:p>
    <w:p w14:paraId="39871F4B" w14:textId="77777777" w:rsidR="00D72C83" w:rsidRPr="002E32EF" w:rsidRDefault="00D72C83" w:rsidP="00D72C83">
      <w:pPr>
        <w:spacing w:after="0" w:line="240" w:lineRule="auto"/>
        <w:rPr>
          <w:rFonts w:ascii="Times New Roman" w:hAnsi="Times New Roman" w:cs="Times New Roman"/>
        </w:rPr>
      </w:pPr>
    </w:p>
    <w:p w14:paraId="0FC85751" w14:textId="77777777" w:rsidR="00D72C83" w:rsidRPr="002E32EF" w:rsidRDefault="00D72C83" w:rsidP="00D72C83">
      <w:pPr>
        <w:spacing w:after="0" w:line="240" w:lineRule="auto"/>
        <w:rPr>
          <w:rFonts w:ascii="Times New Roman" w:hAnsi="Times New Roman" w:cs="Times New Roman"/>
        </w:rPr>
      </w:pPr>
    </w:p>
    <w:p w14:paraId="13CA7474" w14:textId="77777777" w:rsidR="00D72C83" w:rsidRPr="002E32EF" w:rsidRDefault="00D72C83" w:rsidP="00D72C83">
      <w:pPr>
        <w:spacing w:after="0" w:line="240" w:lineRule="auto"/>
        <w:rPr>
          <w:rFonts w:ascii="Times New Roman" w:hAnsi="Times New Roman" w:cs="Times New Roman"/>
        </w:rPr>
      </w:pPr>
    </w:p>
    <w:p w14:paraId="58E23831" w14:textId="77777777" w:rsidR="00D72C83" w:rsidRPr="002E32EF" w:rsidRDefault="00D72C83" w:rsidP="00D72C83">
      <w:pPr>
        <w:spacing w:after="0" w:line="240" w:lineRule="auto"/>
        <w:rPr>
          <w:rFonts w:ascii="Times New Roman" w:hAnsi="Times New Roman" w:cs="Times New Roman"/>
        </w:rPr>
      </w:pPr>
    </w:p>
    <w:p w14:paraId="79929686" w14:textId="77777777" w:rsidR="00D72C83" w:rsidRPr="002E32EF" w:rsidRDefault="00D72C83" w:rsidP="00D72C83">
      <w:pPr>
        <w:spacing w:after="0" w:line="240" w:lineRule="auto"/>
        <w:rPr>
          <w:rFonts w:ascii="Times New Roman" w:hAnsi="Times New Roman" w:cs="Times New Roman"/>
        </w:rPr>
      </w:pPr>
    </w:p>
    <w:p w14:paraId="07A59402" w14:textId="77777777" w:rsidR="00D72C83" w:rsidRPr="002E32EF" w:rsidRDefault="00D72C83" w:rsidP="00D72C83">
      <w:pPr>
        <w:spacing w:after="0" w:line="240" w:lineRule="auto"/>
        <w:rPr>
          <w:rFonts w:ascii="Times New Roman" w:hAnsi="Times New Roman" w:cs="Times New Roman"/>
        </w:rPr>
      </w:pPr>
    </w:p>
    <w:p w14:paraId="762BD7FB" w14:textId="77777777" w:rsidR="00D72C83" w:rsidRPr="002E32EF" w:rsidRDefault="00D72C83" w:rsidP="00D72C83">
      <w:pPr>
        <w:spacing w:after="0" w:line="240" w:lineRule="auto"/>
        <w:rPr>
          <w:rFonts w:ascii="Times New Roman" w:hAnsi="Times New Roman" w:cs="Times New Roman"/>
        </w:rPr>
      </w:pPr>
    </w:p>
    <w:p w14:paraId="0B09AE6D" w14:textId="77777777" w:rsidR="00D72C83" w:rsidRPr="002E32EF" w:rsidRDefault="00D72C83" w:rsidP="00D72C83">
      <w:pPr>
        <w:spacing w:after="0" w:line="240" w:lineRule="auto"/>
        <w:rPr>
          <w:rFonts w:ascii="Times New Roman" w:hAnsi="Times New Roman" w:cs="Times New Roman"/>
        </w:rPr>
      </w:pPr>
    </w:p>
    <w:p w14:paraId="0D7530FE" w14:textId="77777777" w:rsidR="00D72C83" w:rsidRPr="002E32EF" w:rsidRDefault="00D72C83" w:rsidP="00D72C83">
      <w:pPr>
        <w:spacing w:after="0" w:line="240" w:lineRule="auto"/>
        <w:rPr>
          <w:rFonts w:ascii="Times New Roman" w:hAnsi="Times New Roman" w:cs="Times New Roman"/>
        </w:rPr>
      </w:pPr>
    </w:p>
    <w:p w14:paraId="63E525E3" w14:textId="77777777" w:rsidR="00D72C83" w:rsidRPr="002E32EF" w:rsidRDefault="00D72C83" w:rsidP="00D72C83">
      <w:pPr>
        <w:spacing w:after="0" w:line="240" w:lineRule="auto"/>
        <w:rPr>
          <w:rFonts w:ascii="Times New Roman" w:hAnsi="Times New Roman" w:cs="Times New Roman"/>
        </w:rPr>
      </w:pPr>
    </w:p>
    <w:p w14:paraId="68EB5658" w14:textId="77777777" w:rsidR="00D72C83" w:rsidRPr="002E32EF" w:rsidRDefault="00D72C83" w:rsidP="00D72C83">
      <w:pPr>
        <w:spacing w:after="0" w:line="240" w:lineRule="auto"/>
        <w:rPr>
          <w:rFonts w:ascii="Times New Roman" w:hAnsi="Times New Roman" w:cs="Times New Roman"/>
        </w:rPr>
      </w:pPr>
    </w:p>
    <w:p w14:paraId="275C68DA" w14:textId="77777777" w:rsidR="00D72C83" w:rsidRPr="002E32EF" w:rsidRDefault="00D72C83" w:rsidP="00D72C83">
      <w:pPr>
        <w:spacing w:after="0" w:line="240" w:lineRule="auto"/>
        <w:rPr>
          <w:rFonts w:ascii="Times New Roman" w:hAnsi="Times New Roman" w:cs="Times New Roman"/>
        </w:rPr>
      </w:pPr>
    </w:p>
    <w:p w14:paraId="1F2F48D7" w14:textId="77777777" w:rsidR="00D72C83" w:rsidRPr="002E32EF" w:rsidRDefault="00D72C83" w:rsidP="00D72C83">
      <w:pPr>
        <w:spacing w:after="0" w:line="240" w:lineRule="auto"/>
        <w:rPr>
          <w:rFonts w:ascii="Times New Roman" w:hAnsi="Times New Roman" w:cs="Times New Roman"/>
        </w:rPr>
      </w:pPr>
    </w:p>
    <w:p w14:paraId="740A2B2E" w14:textId="77777777" w:rsidR="00D72C83" w:rsidRPr="002E32EF" w:rsidRDefault="00D72C83" w:rsidP="00D72C83">
      <w:pPr>
        <w:spacing w:after="0" w:line="240" w:lineRule="auto"/>
        <w:rPr>
          <w:rFonts w:ascii="Times New Roman" w:hAnsi="Times New Roman" w:cs="Times New Roman"/>
        </w:rPr>
      </w:pPr>
    </w:p>
    <w:p w14:paraId="45278410" w14:textId="77777777" w:rsidR="00D72C83" w:rsidRPr="002E32EF" w:rsidRDefault="00D72C83" w:rsidP="00D72C83">
      <w:pPr>
        <w:spacing w:after="0" w:line="240" w:lineRule="auto"/>
        <w:rPr>
          <w:rFonts w:ascii="Times New Roman" w:hAnsi="Times New Roman" w:cs="Times New Roman"/>
        </w:rPr>
      </w:pPr>
    </w:p>
    <w:p w14:paraId="18023980" w14:textId="77777777" w:rsidR="00D72C83" w:rsidRPr="002E32EF" w:rsidRDefault="00D72C83" w:rsidP="00D72C83">
      <w:pPr>
        <w:spacing w:after="0" w:line="240" w:lineRule="auto"/>
        <w:rPr>
          <w:rFonts w:ascii="Times New Roman" w:hAnsi="Times New Roman" w:cs="Times New Roman"/>
        </w:rPr>
      </w:pPr>
    </w:p>
    <w:p w14:paraId="28649541" w14:textId="77777777" w:rsidR="00D72C83" w:rsidRPr="002E32EF" w:rsidRDefault="00D72C83" w:rsidP="00D72C83">
      <w:pPr>
        <w:spacing w:after="0" w:line="240" w:lineRule="auto"/>
        <w:rPr>
          <w:rFonts w:ascii="Times New Roman" w:hAnsi="Times New Roman" w:cs="Times New Roman"/>
        </w:rPr>
      </w:pPr>
    </w:p>
    <w:p w14:paraId="35BEA978" w14:textId="77777777" w:rsidR="00D72C83" w:rsidRPr="002E32EF" w:rsidRDefault="00D72C83" w:rsidP="00D72C83">
      <w:pPr>
        <w:spacing w:after="0" w:line="240" w:lineRule="auto"/>
        <w:rPr>
          <w:rFonts w:ascii="Times New Roman" w:hAnsi="Times New Roman" w:cs="Times New Roman"/>
        </w:rPr>
      </w:pPr>
    </w:p>
    <w:p w14:paraId="6E7825AD" w14:textId="77777777" w:rsidR="00D72C83" w:rsidRPr="002E32EF" w:rsidRDefault="00D72C83" w:rsidP="00D72C83">
      <w:pPr>
        <w:spacing w:after="0" w:line="240" w:lineRule="auto"/>
        <w:rPr>
          <w:rFonts w:ascii="Times New Roman" w:hAnsi="Times New Roman" w:cs="Times New Roman"/>
        </w:rPr>
      </w:pPr>
    </w:p>
    <w:p w14:paraId="124A49D3" w14:textId="77777777" w:rsidR="00D72C83" w:rsidRPr="002E32EF" w:rsidRDefault="00D72C83" w:rsidP="00D72C83">
      <w:pPr>
        <w:spacing w:after="0" w:line="240" w:lineRule="auto"/>
        <w:rPr>
          <w:rFonts w:ascii="Times New Roman" w:hAnsi="Times New Roman" w:cs="Times New Roman"/>
        </w:rPr>
      </w:pPr>
    </w:p>
    <w:p w14:paraId="46FECD63" w14:textId="77777777" w:rsidR="00D72C83" w:rsidRPr="002E32EF" w:rsidRDefault="00D72C83" w:rsidP="00D72C83">
      <w:pPr>
        <w:spacing w:after="0" w:line="240" w:lineRule="auto"/>
        <w:rPr>
          <w:rFonts w:ascii="Times New Roman" w:hAnsi="Times New Roman" w:cs="Times New Roman"/>
        </w:rPr>
      </w:pPr>
    </w:p>
    <w:p w14:paraId="381A2F79" w14:textId="77777777" w:rsidR="00D72C83" w:rsidRPr="002E32EF" w:rsidRDefault="00D72C83" w:rsidP="00D72C83">
      <w:pPr>
        <w:spacing w:after="0" w:line="240" w:lineRule="auto"/>
        <w:rPr>
          <w:rFonts w:ascii="Times New Roman" w:hAnsi="Times New Roman" w:cs="Times New Roman"/>
        </w:rPr>
      </w:pPr>
    </w:p>
    <w:p w14:paraId="5F9C0CFF" w14:textId="77777777" w:rsidR="00D72C83" w:rsidRPr="002E32EF" w:rsidRDefault="00D72C83" w:rsidP="00D72C83">
      <w:pPr>
        <w:spacing w:after="0" w:line="240" w:lineRule="auto"/>
        <w:rPr>
          <w:rFonts w:ascii="Times New Roman" w:hAnsi="Times New Roman" w:cs="Times New Roman"/>
        </w:rPr>
      </w:pPr>
    </w:p>
    <w:p w14:paraId="00AB7CE4" w14:textId="77777777" w:rsidR="00D72C83" w:rsidRPr="002E32EF" w:rsidRDefault="00D72C83" w:rsidP="00D72C83">
      <w:pPr>
        <w:spacing w:after="0" w:line="240" w:lineRule="auto"/>
        <w:jc w:val="center"/>
        <w:rPr>
          <w:rFonts w:ascii="Times New Roman" w:hAnsi="Times New Roman" w:cs="Times New Roman"/>
          <w:b/>
          <w:bCs/>
        </w:rPr>
      </w:pPr>
      <w:r w:rsidRPr="002E32EF">
        <w:rPr>
          <w:rFonts w:ascii="Times New Roman" w:hAnsi="Times New Roman" w:cs="Times New Roman"/>
          <w:b/>
          <w:bCs/>
        </w:rPr>
        <w:t>II PRIEDAS</w:t>
      </w:r>
    </w:p>
    <w:p w14:paraId="4DE2D9AB" w14:textId="77777777" w:rsidR="00D72C83" w:rsidRPr="002E32EF" w:rsidRDefault="00D72C83" w:rsidP="00D72C83">
      <w:pPr>
        <w:spacing w:after="0" w:line="240" w:lineRule="auto"/>
        <w:ind w:hanging="567"/>
        <w:jc w:val="center"/>
        <w:rPr>
          <w:rFonts w:ascii="Times New Roman" w:hAnsi="Times New Roman" w:cs="Times New Roman"/>
        </w:rPr>
      </w:pPr>
    </w:p>
    <w:p w14:paraId="12C560B9" w14:textId="77777777" w:rsidR="00D72C83" w:rsidRPr="002E32EF" w:rsidRDefault="00D72C83" w:rsidP="00D72C83">
      <w:pPr>
        <w:spacing w:after="0" w:line="240" w:lineRule="auto"/>
        <w:jc w:val="center"/>
        <w:rPr>
          <w:rFonts w:ascii="Times New Roman" w:hAnsi="Times New Roman" w:cs="Times New Roman"/>
          <w:i/>
          <w:iCs/>
        </w:rPr>
      </w:pPr>
      <w:r w:rsidRPr="002E32EF">
        <w:rPr>
          <w:rFonts w:ascii="Times New Roman" w:hAnsi="Times New Roman" w:cs="Times New Roman"/>
          <w:b/>
          <w:bCs/>
        </w:rPr>
        <w:t>REGISTRACIJOS SĄLYGOS</w:t>
      </w:r>
    </w:p>
    <w:p w14:paraId="391C51DB" w14:textId="77777777" w:rsidR="00D72C83" w:rsidRPr="002E32EF" w:rsidRDefault="00D72C83" w:rsidP="00D72C83">
      <w:pPr>
        <w:spacing w:after="0" w:line="240" w:lineRule="auto"/>
        <w:jc w:val="center"/>
        <w:rPr>
          <w:rFonts w:ascii="Times New Roman" w:hAnsi="Times New Roman" w:cs="Times New Roman"/>
        </w:rPr>
      </w:pPr>
    </w:p>
    <w:p w14:paraId="0E7CFE53" w14:textId="77777777" w:rsidR="00D72C83" w:rsidRPr="002E32EF" w:rsidRDefault="00D72C83" w:rsidP="00D72C83">
      <w:pPr>
        <w:spacing w:after="0" w:line="240" w:lineRule="auto"/>
        <w:ind w:left="1134" w:firstLine="567"/>
        <w:rPr>
          <w:rFonts w:ascii="Times New Roman" w:hAnsi="Times New Roman" w:cs="Times New Roman"/>
          <w:b/>
          <w:bCs/>
        </w:rPr>
      </w:pPr>
      <w:r w:rsidRPr="002E32EF">
        <w:rPr>
          <w:rFonts w:ascii="Times New Roman" w:hAnsi="Times New Roman" w:cs="Times New Roman"/>
          <w:b/>
          <w:bCs/>
        </w:rPr>
        <w:t>A.</w:t>
      </w:r>
      <w:r w:rsidRPr="002E32EF">
        <w:rPr>
          <w:rFonts w:ascii="Times New Roman" w:hAnsi="Times New Roman" w:cs="Times New Roman"/>
          <w:b/>
          <w:bCs/>
        </w:rPr>
        <w:tab/>
        <w:t>GAMINTOJAS (-AI), ATSAKINGAS (-I) UŽ SERIJŲ IŠLEIDIMĄ</w:t>
      </w:r>
    </w:p>
    <w:p w14:paraId="6C357FBB" w14:textId="77777777" w:rsidR="00D72C83" w:rsidRPr="002E32EF" w:rsidRDefault="00D72C83" w:rsidP="00D72C83">
      <w:pPr>
        <w:tabs>
          <w:tab w:val="left" w:pos="1701"/>
        </w:tabs>
        <w:spacing w:after="0" w:line="240" w:lineRule="auto"/>
        <w:ind w:hanging="567"/>
        <w:rPr>
          <w:rFonts w:ascii="Times New Roman" w:hAnsi="Times New Roman" w:cs="Times New Roman"/>
        </w:rPr>
      </w:pPr>
    </w:p>
    <w:p w14:paraId="5B721102" w14:textId="77777777" w:rsidR="00D72C83" w:rsidRPr="002E32EF" w:rsidRDefault="00D72C83" w:rsidP="00D72C83">
      <w:pPr>
        <w:tabs>
          <w:tab w:val="left" w:pos="1418"/>
        </w:tabs>
        <w:spacing w:after="0" w:line="240" w:lineRule="auto"/>
        <w:ind w:left="1134" w:firstLine="567"/>
        <w:rPr>
          <w:rFonts w:ascii="Times New Roman" w:hAnsi="Times New Roman" w:cs="Times New Roman"/>
          <w:b/>
          <w:bCs/>
        </w:rPr>
      </w:pPr>
      <w:r w:rsidRPr="002E32EF">
        <w:rPr>
          <w:rFonts w:ascii="Times New Roman" w:hAnsi="Times New Roman" w:cs="Times New Roman"/>
          <w:b/>
          <w:bCs/>
        </w:rPr>
        <w:t>B.</w:t>
      </w:r>
      <w:r w:rsidRPr="002E32EF">
        <w:rPr>
          <w:rFonts w:ascii="Times New Roman" w:hAnsi="Times New Roman" w:cs="Times New Roman"/>
          <w:b/>
          <w:bCs/>
        </w:rPr>
        <w:tab/>
        <w:t>TIEKIMO IR VARTOJIMO SĄLYGOS AR APRIBOJIMAI</w:t>
      </w:r>
    </w:p>
    <w:p w14:paraId="42035F1B" w14:textId="77777777" w:rsidR="00D72C83" w:rsidRPr="002E32EF" w:rsidRDefault="00D72C83" w:rsidP="00D72C83">
      <w:pPr>
        <w:tabs>
          <w:tab w:val="left" w:pos="1701"/>
        </w:tabs>
        <w:spacing w:after="0" w:line="240" w:lineRule="auto"/>
        <w:ind w:hanging="567"/>
        <w:jc w:val="center"/>
        <w:rPr>
          <w:rFonts w:ascii="Times New Roman" w:hAnsi="Times New Roman" w:cs="Times New Roman"/>
        </w:rPr>
      </w:pPr>
    </w:p>
    <w:p w14:paraId="16645F6F" w14:textId="77777777" w:rsidR="00D72C83" w:rsidRPr="002E32EF" w:rsidRDefault="00D72C83" w:rsidP="00D72C83">
      <w:pPr>
        <w:spacing w:after="0" w:line="240" w:lineRule="auto"/>
        <w:ind w:left="567" w:hanging="567"/>
        <w:rPr>
          <w:rFonts w:ascii="Times New Roman" w:hAnsi="Times New Roman" w:cs="Times New Roman"/>
          <w:b/>
          <w:bCs/>
        </w:rPr>
      </w:pPr>
      <w:r w:rsidRPr="002E32EF">
        <w:rPr>
          <w:rFonts w:ascii="Times New Roman" w:hAnsi="Times New Roman" w:cs="Times New Roman"/>
        </w:rPr>
        <w:br w:type="page"/>
      </w:r>
      <w:r w:rsidRPr="002E32EF">
        <w:rPr>
          <w:rFonts w:ascii="Times New Roman" w:hAnsi="Times New Roman" w:cs="Times New Roman"/>
          <w:b/>
          <w:bCs/>
        </w:rPr>
        <w:lastRenderedPageBreak/>
        <w:t>A.</w:t>
      </w:r>
      <w:r w:rsidRPr="002E32EF">
        <w:rPr>
          <w:rFonts w:ascii="Times New Roman" w:hAnsi="Times New Roman" w:cs="Times New Roman"/>
          <w:b/>
          <w:bCs/>
        </w:rPr>
        <w:tab/>
        <w:t>GAMINTOJAS (-AI), ATSAKINGAS (-I) UŽ SERIJŲ IŠLEIDIMĄ</w:t>
      </w:r>
    </w:p>
    <w:p w14:paraId="23ADE9E3" w14:textId="77777777" w:rsidR="00D72C83" w:rsidRPr="002E32EF" w:rsidRDefault="00D72C83" w:rsidP="00D72C83">
      <w:pPr>
        <w:spacing w:after="0" w:line="240" w:lineRule="auto"/>
        <w:rPr>
          <w:rFonts w:ascii="Times New Roman" w:hAnsi="Times New Roman" w:cs="Times New Roman"/>
        </w:rPr>
      </w:pPr>
    </w:p>
    <w:p w14:paraId="61F264A8" w14:textId="77777777" w:rsidR="00D72C83" w:rsidRPr="002E32EF" w:rsidRDefault="00D72C83" w:rsidP="00D72C83">
      <w:pPr>
        <w:spacing w:after="0" w:line="240" w:lineRule="auto"/>
        <w:jc w:val="both"/>
        <w:rPr>
          <w:rFonts w:ascii="Times New Roman" w:hAnsi="Times New Roman" w:cs="Times New Roman"/>
        </w:rPr>
      </w:pPr>
      <w:r w:rsidRPr="002E32EF">
        <w:rPr>
          <w:rFonts w:ascii="Times New Roman" w:hAnsi="Times New Roman" w:cs="Times New Roman"/>
          <w:u w:val="single"/>
        </w:rPr>
        <w:t xml:space="preserve">Gamintojo (-ų), atsakingo už serijų išleidimą, pavadinimas (-ai) ir adresas (-ai) </w:t>
      </w:r>
    </w:p>
    <w:p w14:paraId="2B0C6DE7" w14:textId="77777777" w:rsidR="00D72C83" w:rsidRPr="002E32EF" w:rsidRDefault="00D72C83" w:rsidP="00D72C83">
      <w:pPr>
        <w:spacing w:after="0" w:line="240" w:lineRule="auto"/>
        <w:rPr>
          <w:rFonts w:ascii="Times New Roman" w:hAnsi="Times New Roman" w:cs="Times New Roman"/>
        </w:rPr>
      </w:pPr>
    </w:p>
    <w:p w14:paraId="16E10DD6"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Remedica Ltd.</w:t>
      </w:r>
    </w:p>
    <w:p w14:paraId="52DC9931"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Aharnon Street, Limassol Industrial Estate</w:t>
      </w:r>
    </w:p>
    <w:p w14:paraId="73EDCD75"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Limassol, 3056</w:t>
      </w:r>
    </w:p>
    <w:p w14:paraId="04EFE77C"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Kipras</w:t>
      </w:r>
    </w:p>
    <w:p w14:paraId="02903BC5" w14:textId="77777777" w:rsidR="00D72C83" w:rsidRPr="002E32EF" w:rsidRDefault="00D72C83" w:rsidP="00D72C83">
      <w:pPr>
        <w:spacing w:after="0" w:line="240" w:lineRule="auto"/>
        <w:rPr>
          <w:rFonts w:ascii="Times New Roman" w:hAnsi="Times New Roman" w:cs="Times New Roman"/>
        </w:rPr>
      </w:pPr>
    </w:p>
    <w:p w14:paraId="72519F1F" w14:textId="77777777" w:rsidR="00D72C83" w:rsidRPr="002E32EF" w:rsidRDefault="00D72C83" w:rsidP="00D72C83">
      <w:pPr>
        <w:spacing w:after="0" w:line="240" w:lineRule="auto"/>
        <w:rPr>
          <w:rFonts w:ascii="Times New Roman" w:hAnsi="Times New Roman" w:cs="Times New Roman"/>
        </w:rPr>
      </w:pPr>
    </w:p>
    <w:p w14:paraId="40526F0F" w14:textId="77777777" w:rsidR="00D72C83" w:rsidRPr="002E32EF" w:rsidRDefault="00D72C83" w:rsidP="00D72C83">
      <w:pPr>
        <w:spacing w:after="0" w:line="240" w:lineRule="auto"/>
        <w:ind w:left="567" w:hanging="567"/>
        <w:rPr>
          <w:rFonts w:ascii="Times New Roman" w:hAnsi="Times New Roman" w:cs="Times New Roman"/>
        </w:rPr>
      </w:pPr>
      <w:r w:rsidRPr="002E32EF">
        <w:rPr>
          <w:rFonts w:ascii="Times New Roman" w:hAnsi="Times New Roman" w:cs="Times New Roman"/>
          <w:b/>
          <w:bCs/>
        </w:rPr>
        <w:t>B.</w:t>
      </w:r>
      <w:r w:rsidRPr="002E32EF">
        <w:rPr>
          <w:rFonts w:ascii="Times New Roman" w:hAnsi="Times New Roman" w:cs="Times New Roman"/>
          <w:b/>
          <w:bCs/>
        </w:rPr>
        <w:tab/>
        <w:t>TIEKIMO IR VARTOJIMO SĄLYGOS AR APRIBOJIMAI</w:t>
      </w:r>
    </w:p>
    <w:p w14:paraId="357B7A87" w14:textId="77777777" w:rsidR="00D72C83" w:rsidRPr="002E32EF" w:rsidRDefault="00D72C83" w:rsidP="00D72C83">
      <w:pPr>
        <w:spacing w:after="0" w:line="240" w:lineRule="auto"/>
        <w:rPr>
          <w:rFonts w:ascii="Times New Roman" w:hAnsi="Times New Roman" w:cs="Times New Roman"/>
        </w:rPr>
      </w:pPr>
    </w:p>
    <w:p w14:paraId="5D184BFB"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Receptinis vaistinis preparatas.</w:t>
      </w:r>
    </w:p>
    <w:p w14:paraId="0827CC35" w14:textId="77777777" w:rsidR="00D72C83" w:rsidRPr="00E35BE6" w:rsidRDefault="00D72C83" w:rsidP="00D3564A">
      <w:pPr>
        <w:pStyle w:val="Paprastasistekstas"/>
        <w:tabs>
          <w:tab w:val="left" w:pos="5954"/>
          <w:tab w:val="left" w:pos="6237"/>
          <w:tab w:val="left" w:pos="6663"/>
          <w:tab w:val="left" w:pos="6946"/>
        </w:tabs>
        <w:rPr>
          <w:rFonts w:ascii="Times New Roman" w:hAnsi="Times New Roman"/>
          <w:lang w:val="pt-PT"/>
        </w:rPr>
      </w:pPr>
      <w:r w:rsidRPr="00D3564A">
        <w:rPr>
          <w:rFonts w:ascii="Times New Roman" w:hAnsi="Times New Roman"/>
          <w:sz w:val="22"/>
          <w:lang w:val="lt-LT"/>
        </w:rPr>
        <w:br w:type="page"/>
      </w:r>
    </w:p>
    <w:p w14:paraId="79D1AF91" w14:textId="77777777" w:rsidR="00D72C83" w:rsidRPr="002E32EF" w:rsidRDefault="00D72C83" w:rsidP="00D72C83">
      <w:pPr>
        <w:spacing w:after="0" w:line="240" w:lineRule="auto"/>
        <w:rPr>
          <w:rFonts w:ascii="Times New Roman" w:hAnsi="Times New Roman" w:cs="Times New Roman"/>
        </w:rPr>
      </w:pPr>
    </w:p>
    <w:p w14:paraId="7C495538" w14:textId="77777777" w:rsidR="00D72C83" w:rsidRPr="002E32EF" w:rsidRDefault="00D72C83" w:rsidP="00D72C83">
      <w:pPr>
        <w:spacing w:after="0" w:line="240" w:lineRule="auto"/>
        <w:rPr>
          <w:rFonts w:ascii="Times New Roman" w:hAnsi="Times New Roman" w:cs="Times New Roman"/>
        </w:rPr>
      </w:pPr>
    </w:p>
    <w:p w14:paraId="245735D0" w14:textId="77777777" w:rsidR="00D72C83" w:rsidRPr="002E32EF" w:rsidRDefault="00D72C83" w:rsidP="00D72C83">
      <w:pPr>
        <w:spacing w:after="0" w:line="240" w:lineRule="auto"/>
        <w:rPr>
          <w:rFonts w:ascii="Times New Roman" w:hAnsi="Times New Roman" w:cs="Times New Roman"/>
        </w:rPr>
      </w:pPr>
    </w:p>
    <w:p w14:paraId="40B838C4" w14:textId="77777777" w:rsidR="00D72C83" w:rsidRPr="002E32EF" w:rsidRDefault="00D72C83" w:rsidP="00D72C83">
      <w:pPr>
        <w:spacing w:after="0" w:line="240" w:lineRule="auto"/>
        <w:rPr>
          <w:rFonts w:ascii="Times New Roman" w:hAnsi="Times New Roman" w:cs="Times New Roman"/>
        </w:rPr>
      </w:pPr>
    </w:p>
    <w:p w14:paraId="766686A0" w14:textId="77777777" w:rsidR="00D72C83" w:rsidRPr="002E32EF" w:rsidRDefault="00D72C83" w:rsidP="00D72C83">
      <w:pPr>
        <w:spacing w:after="0" w:line="240" w:lineRule="auto"/>
        <w:rPr>
          <w:rFonts w:ascii="Times New Roman" w:hAnsi="Times New Roman" w:cs="Times New Roman"/>
        </w:rPr>
      </w:pPr>
    </w:p>
    <w:p w14:paraId="564796A5" w14:textId="77777777" w:rsidR="00D72C83" w:rsidRPr="002E32EF" w:rsidRDefault="00D72C83" w:rsidP="00D72C83">
      <w:pPr>
        <w:spacing w:after="0" w:line="240" w:lineRule="auto"/>
        <w:rPr>
          <w:rFonts w:ascii="Times New Roman" w:hAnsi="Times New Roman" w:cs="Times New Roman"/>
        </w:rPr>
      </w:pPr>
    </w:p>
    <w:p w14:paraId="136B0EC9" w14:textId="77777777" w:rsidR="00D72C83" w:rsidRPr="002E32EF" w:rsidRDefault="00D72C83" w:rsidP="00D72C83">
      <w:pPr>
        <w:spacing w:after="0" w:line="240" w:lineRule="auto"/>
        <w:rPr>
          <w:rFonts w:ascii="Times New Roman" w:hAnsi="Times New Roman" w:cs="Times New Roman"/>
        </w:rPr>
      </w:pPr>
    </w:p>
    <w:p w14:paraId="0D22FC81" w14:textId="77777777" w:rsidR="00D72C83" w:rsidRPr="002E32EF" w:rsidRDefault="00D72C83" w:rsidP="00D72C83">
      <w:pPr>
        <w:spacing w:after="0" w:line="240" w:lineRule="auto"/>
        <w:rPr>
          <w:rFonts w:ascii="Times New Roman" w:hAnsi="Times New Roman" w:cs="Times New Roman"/>
        </w:rPr>
      </w:pPr>
    </w:p>
    <w:p w14:paraId="123D9F48" w14:textId="77777777" w:rsidR="00D72C83" w:rsidRPr="002E32EF" w:rsidRDefault="00D72C83" w:rsidP="00D72C83">
      <w:pPr>
        <w:spacing w:after="0" w:line="240" w:lineRule="auto"/>
        <w:rPr>
          <w:rFonts w:ascii="Times New Roman" w:hAnsi="Times New Roman" w:cs="Times New Roman"/>
        </w:rPr>
      </w:pPr>
    </w:p>
    <w:p w14:paraId="61144C65" w14:textId="77777777" w:rsidR="00D72C83" w:rsidRPr="002E32EF" w:rsidRDefault="00D72C83" w:rsidP="00D72C83">
      <w:pPr>
        <w:spacing w:after="0" w:line="240" w:lineRule="auto"/>
        <w:rPr>
          <w:rFonts w:ascii="Times New Roman" w:hAnsi="Times New Roman" w:cs="Times New Roman"/>
        </w:rPr>
      </w:pPr>
    </w:p>
    <w:p w14:paraId="62C3A438" w14:textId="77777777" w:rsidR="00D72C83" w:rsidRPr="002E32EF" w:rsidRDefault="00D72C83" w:rsidP="00D72C83">
      <w:pPr>
        <w:spacing w:after="0" w:line="240" w:lineRule="auto"/>
        <w:rPr>
          <w:rFonts w:ascii="Times New Roman" w:hAnsi="Times New Roman" w:cs="Times New Roman"/>
        </w:rPr>
      </w:pPr>
    </w:p>
    <w:p w14:paraId="067FD6E8" w14:textId="77777777" w:rsidR="00D72C83" w:rsidRPr="002E32EF" w:rsidRDefault="00D72C83" w:rsidP="00D72C83">
      <w:pPr>
        <w:spacing w:after="0" w:line="240" w:lineRule="auto"/>
        <w:rPr>
          <w:rFonts w:ascii="Times New Roman" w:hAnsi="Times New Roman" w:cs="Times New Roman"/>
        </w:rPr>
      </w:pPr>
    </w:p>
    <w:p w14:paraId="71643E99" w14:textId="77777777" w:rsidR="00D72C83" w:rsidRPr="002E32EF" w:rsidRDefault="00D72C83" w:rsidP="00D72C83">
      <w:pPr>
        <w:spacing w:after="0" w:line="240" w:lineRule="auto"/>
        <w:rPr>
          <w:rFonts w:ascii="Times New Roman" w:hAnsi="Times New Roman" w:cs="Times New Roman"/>
        </w:rPr>
      </w:pPr>
    </w:p>
    <w:p w14:paraId="2DC255E4" w14:textId="77777777" w:rsidR="00D72C83" w:rsidRPr="002E32EF" w:rsidRDefault="00D72C83" w:rsidP="00D72C83">
      <w:pPr>
        <w:spacing w:after="0" w:line="240" w:lineRule="auto"/>
        <w:rPr>
          <w:rFonts w:ascii="Times New Roman" w:hAnsi="Times New Roman" w:cs="Times New Roman"/>
        </w:rPr>
      </w:pPr>
    </w:p>
    <w:p w14:paraId="1365CB4C" w14:textId="77777777" w:rsidR="00D72C83" w:rsidRPr="002E32EF" w:rsidRDefault="00D72C83" w:rsidP="00D72C83">
      <w:pPr>
        <w:spacing w:after="0" w:line="240" w:lineRule="auto"/>
        <w:rPr>
          <w:rFonts w:ascii="Times New Roman" w:hAnsi="Times New Roman" w:cs="Times New Roman"/>
        </w:rPr>
      </w:pPr>
    </w:p>
    <w:p w14:paraId="4334D051" w14:textId="77777777" w:rsidR="00D72C83" w:rsidRPr="002E32EF" w:rsidRDefault="00D72C83" w:rsidP="00D72C83">
      <w:pPr>
        <w:spacing w:after="0" w:line="240" w:lineRule="auto"/>
        <w:rPr>
          <w:rFonts w:ascii="Times New Roman" w:hAnsi="Times New Roman" w:cs="Times New Roman"/>
        </w:rPr>
      </w:pPr>
    </w:p>
    <w:p w14:paraId="5C28859F" w14:textId="77777777" w:rsidR="00D72C83" w:rsidRPr="002E32EF" w:rsidRDefault="00D72C83" w:rsidP="00D72C83">
      <w:pPr>
        <w:spacing w:after="0" w:line="240" w:lineRule="auto"/>
        <w:outlineLvl w:val="0"/>
        <w:rPr>
          <w:rFonts w:ascii="Times New Roman" w:hAnsi="Times New Roman" w:cs="Times New Roman"/>
          <w:b/>
          <w:bCs/>
        </w:rPr>
      </w:pPr>
    </w:p>
    <w:p w14:paraId="199B0892" w14:textId="77777777" w:rsidR="00D72C83" w:rsidRPr="002E32EF" w:rsidRDefault="00D72C83" w:rsidP="00D72C83">
      <w:pPr>
        <w:spacing w:after="0" w:line="240" w:lineRule="auto"/>
        <w:outlineLvl w:val="0"/>
        <w:rPr>
          <w:rFonts w:ascii="Times New Roman" w:hAnsi="Times New Roman" w:cs="Times New Roman"/>
          <w:b/>
          <w:bCs/>
        </w:rPr>
      </w:pPr>
    </w:p>
    <w:p w14:paraId="6BA47A6A" w14:textId="77777777" w:rsidR="00D72C83" w:rsidRPr="002E32EF" w:rsidRDefault="00D72C83" w:rsidP="00D72C83">
      <w:pPr>
        <w:spacing w:after="0" w:line="240" w:lineRule="auto"/>
        <w:outlineLvl w:val="0"/>
        <w:rPr>
          <w:rFonts w:ascii="Times New Roman" w:hAnsi="Times New Roman" w:cs="Times New Roman"/>
          <w:b/>
          <w:bCs/>
        </w:rPr>
      </w:pPr>
    </w:p>
    <w:p w14:paraId="1FF92940" w14:textId="77777777" w:rsidR="00D72C83" w:rsidRPr="002E32EF" w:rsidRDefault="00D72C83" w:rsidP="00D72C83">
      <w:pPr>
        <w:spacing w:after="0" w:line="240" w:lineRule="auto"/>
        <w:outlineLvl w:val="0"/>
        <w:rPr>
          <w:rFonts w:ascii="Times New Roman" w:hAnsi="Times New Roman" w:cs="Times New Roman"/>
          <w:b/>
          <w:bCs/>
        </w:rPr>
      </w:pPr>
    </w:p>
    <w:p w14:paraId="34B02FBA" w14:textId="77777777" w:rsidR="00D72C83" w:rsidRPr="002E32EF" w:rsidRDefault="00D72C83" w:rsidP="00D72C83">
      <w:pPr>
        <w:spacing w:after="0" w:line="240" w:lineRule="auto"/>
        <w:outlineLvl w:val="0"/>
        <w:rPr>
          <w:rFonts w:ascii="Times New Roman" w:hAnsi="Times New Roman" w:cs="Times New Roman"/>
          <w:b/>
          <w:bCs/>
        </w:rPr>
      </w:pPr>
    </w:p>
    <w:p w14:paraId="6623C43D" w14:textId="77777777" w:rsidR="00D72C83" w:rsidRPr="002E32EF" w:rsidRDefault="00D72C83" w:rsidP="00D72C83">
      <w:pPr>
        <w:spacing w:after="0" w:line="240" w:lineRule="auto"/>
        <w:outlineLvl w:val="0"/>
        <w:rPr>
          <w:rFonts w:ascii="Times New Roman" w:hAnsi="Times New Roman" w:cs="Times New Roman"/>
          <w:b/>
          <w:bCs/>
        </w:rPr>
      </w:pPr>
    </w:p>
    <w:p w14:paraId="052C57EB" w14:textId="77777777" w:rsidR="00D72C83" w:rsidRPr="00E35BE6" w:rsidRDefault="00D72C83" w:rsidP="00D3564A">
      <w:pPr>
        <w:pStyle w:val="Antrat2"/>
        <w:spacing w:before="0" w:after="0" w:line="240" w:lineRule="auto"/>
        <w:jc w:val="center"/>
        <w:rPr>
          <w:rFonts w:ascii="Times New Roman" w:hAnsi="Times New Roman"/>
          <w:b w:val="0"/>
          <w:lang w:val="pt-PT"/>
        </w:rPr>
      </w:pPr>
    </w:p>
    <w:p w14:paraId="11357A3C" w14:textId="77777777" w:rsidR="00D72C83" w:rsidRPr="00E35BE6" w:rsidRDefault="00D72C83" w:rsidP="00D3564A">
      <w:pPr>
        <w:pStyle w:val="Antrat2"/>
        <w:spacing w:before="0" w:after="0" w:line="240" w:lineRule="auto"/>
        <w:jc w:val="center"/>
        <w:rPr>
          <w:rFonts w:ascii="Times New Roman" w:hAnsi="Times New Roman"/>
          <w:b w:val="0"/>
          <w:lang w:val="pt-PT"/>
        </w:rPr>
      </w:pPr>
      <w:r w:rsidRPr="00D3564A">
        <w:rPr>
          <w:rFonts w:ascii="Times New Roman" w:hAnsi="Times New Roman"/>
          <w:i w:val="0"/>
          <w:sz w:val="22"/>
          <w:lang w:val="lt-LT"/>
        </w:rPr>
        <w:t>III PRIEDAS</w:t>
      </w:r>
    </w:p>
    <w:p w14:paraId="4B9F1B8D" w14:textId="77777777" w:rsidR="00D72C83" w:rsidRPr="002E32EF" w:rsidRDefault="00D72C83" w:rsidP="00D72C83">
      <w:pPr>
        <w:spacing w:after="0" w:line="240" w:lineRule="auto"/>
        <w:rPr>
          <w:rFonts w:ascii="Times New Roman" w:hAnsi="Times New Roman" w:cs="Times New Roman"/>
        </w:rPr>
      </w:pPr>
    </w:p>
    <w:p w14:paraId="31F0BC33" w14:textId="77777777" w:rsidR="00D72C83" w:rsidRPr="00E35BE6" w:rsidRDefault="00D72C83" w:rsidP="00D3564A">
      <w:pPr>
        <w:pStyle w:val="Antrat2"/>
        <w:spacing w:before="0" w:after="0" w:line="240" w:lineRule="auto"/>
        <w:jc w:val="center"/>
        <w:rPr>
          <w:rFonts w:ascii="Times New Roman" w:hAnsi="Times New Roman"/>
          <w:b w:val="0"/>
          <w:lang w:val="pt-PT"/>
        </w:rPr>
      </w:pPr>
      <w:r w:rsidRPr="00D3564A">
        <w:rPr>
          <w:rFonts w:ascii="Times New Roman" w:hAnsi="Times New Roman"/>
          <w:i w:val="0"/>
          <w:sz w:val="22"/>
          <w:lang w:val="lt-LT"/>
        </w:rPr>
        <w:t>ŽENKLINIMAS IR PAKUOTĖS LAPELIS</w:t>
      </w:r>
    </w:p>
    <w:p w14:paraId="7B70D168"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br w:type="page"/>
      </w:r>
    </w:p>
    <w:p w14:paraId="321E7DAA" w14:textId="77777777" w:rsidR="00D72C83" w:rsidRPr="002E32EF" w:rsidRDefault="00D72C83" w:rsidP="00D72C83">
      <w:pPr>
        <w:spacing w:after="0" w:line="240" w:lineRule="auto"/>
        <w:rPr>
          <w:rFonts w:ascii="Times New Roman" w:hAnsi="Times New Roman" w:cs="Times New Roman"/>
        </w:rPr>
      </w:pPr>
    </w:p>
    <w:p w14:paraId="56C7B866" w14:textId="77777777" w:rsidR="00D72C83" w:rsidRPr="002E32EF" w:rsidRDefault="00D72C83" w:rsidP="00D72C83">
      <w:pPr>
        <w:spacing w:after="0" w:line="240" w:lineRule="auto"/>
        <w:rPr>
          <w:rFonts w:ascii="Times New Roman" w:hAnsi="Times New Roman" w:cs="Times New Roman"/>
        </w:rPr>
      </w:pPr>
    </w:p>
    <w:p w14:paraId="46FA127F" w14:textId="77777777" w:rsidR="00D72C83" w:rsidRPr="002E32EF" w:rsidRDefault="00D72C83" w:rsidP="00D72C83">
      <w:pPr>
        <w:spacing w:after="0" w:line="240" w:lineRule="auto"/>
        <w:rPr>
          <w:rFonts w:ascii="Times New Roman" w:hAnsi="Times New Roman" w:cs="Times New Roman"/>
        </w:rPr>
      </w:pPr>
    </w:p>
    <w:p w14:paraId="02A46C21" w14:textId="77777777" w:rsidR="00D72C83" w:rsidRPr="002E32EF" w:rsidRDefault="00D72C83" w:rsidP="00D72C83">
      <w:pPr>
        <w:spacing w:after="0" w:line="240" w:lineRule="auto"/>
        <w:rPr>
          <w:rFonts w:ascii="Times New Roman" w:hAnsi="Times New Roman" w:cs="Times New Roman"/>
        </w:rPr>
      </w:pPr>
    </w:p>
    <w:p w14:paraId="78D4E73B" w14:textId="77777777" w:rsidR="00D72C83" w:rsidRPr="002E32EF" w:rsidRDefault="00D72C83" w:rsidP="00D72C83">
      <w:pPr>
        <w:spacing w:after="0" w:line="240" w:lineRule="auto"/>
        <w:rPr>
          <w:rFonts w:ascii="Times New Roman" w:hAnsi="Times New Roman" w:cs="Times New Roman"/>
        </w:rPr>
      </w:pPr>
    </w:p>
    <w:p w14:paraId="1AB7B9F3" w14:textId="77777777" w:rsidR="00D72C83" w:rsidRPr="002E32EF" w:rsidRDefault="00D72C83" w:rsidP="00D72C83">
      <w:pPr>
        <w:spacing w:after="0" w:line="240" w:lineRule="auto"/>
        <w:rPr>
          <w:rFonts w:ascii="Times New Roman" w:hAnsi="Times New Roman" w:cs="Times New Roman"/>
        </w:rPr>
      </w:pPr>
    </w:p>
    <w:p w14:paraId="15655EE5" w14:textId="77777777" w:rsidR="00D72C83" w:rsidRPr="002E32EF" w:rsidRDefault="00D72C83" w:rsidP="00D72C83">
      <w:pPr>
        <w:spacing w:after="0" w:line="240" w:lineRule="auto"/>
        <w:rPr>
          <w:rFonts w:ascii="Times New Roman" w:hAnsi="Times New Roman" w:cs="Times New Roman"/>
        </w:rPr>
      </w:pPr>
    </w:p>
    <w:p w14:paraId="6CF632D5" w14:textId="77777777" w:rsidR="00D72C83" w:rsidRPr="002E32EF" w:rsidRDefault="00D72C83" w:rsidP="00D72C83">
      <w:pPr>
        <w:spacing w:after="0" w:line="240" w:lineRule="auto"/>
        <w:rPr>
          <w:rFonts w:ascii="Times New Roman" w:hAnsi="Times New Roman" w:cs="Times New Roman"/>
        </w:rPr>
      </w:pPr>
    </w:p>
    <w:p w14:paraId="3C0905B2" w14:textId="77777777" w:rsidR="00D72C83" w:rsidRPr="002E32EF" w:rsidRDefault="00D72C83" w:rsidP="00D72C83">
      <w:pPr>
        <w:spacing w:after="0" w:line="240" w:lineRule="auto"/>
        <w:rPr>
          <w:rFonts w:ascii="Times New Roman" w:hAnsi="Times New Roman" w:cs="Times New Roman"/>
        </w:rPr>
      </w:pPr>
    </w:p>
    <w:p w14:paraId="412C624B" w14:textId="77777777" w:rsidR="00D72C83" w:rsidRPr="002E32EF" w:rsidRDefault="00D72C83" w:rsidP="00D72C83">
      <w:pPr>
        <w:spacing w:after="0" w:line="240" w:lineRule="auto"/>
        <w:rPr>
          <w:rFonts w:ascii="Times New Roman" w:hAnsi="Times New Roman" w:cs="Times New Roman"/>
        </w:rPr>
      </w:pPr>
    </w:p>
    <w:p w14:paraId="5EC3AEE9" w14:textId="77777777" w:rsidR="00D72C83" w:rsidRPr="002E32EF" w:rsidRDefault="00D72C83" w:rsidP="00D72C83">
      <w:pPr>
        <w:spacing w:after="0" w:line="240" w:lineRule="auto"/>
        <w:rPr>
          <w:rFonts w:ascii="Times New Roman" w:hAnsi="Times New Roman" w:cs="Times New Roman"/>
        </w:rPr>
      </w:pPr>
    </w:p>
    <w:p w14:paraId="141A0E6B" w14:textId="77777777" w:rsidR="00D72C83" w:rsidRPr="002E32EF" w:rsidRDefault="00D72C83" w:rsidP="00D72C83">
      <w:pPr>
        <w:spacing w:after="0" w:line="240" w:lineRule="auto"/>
        <w:rPr>
          <w:rFonts w:ascii="Times New Roman" w:hAnsi="Times New Roman" w:cs="Times New Roman"/>
        </w:rPr>
      </w:pPr>
    </w:p>
    <w:p w14:paraId="46A7D651" w14:textId="77777777" w:rsidR="00D72C83" w:rsidRPr="002E32EF" w:rsidRDefault="00D72C83" w:rsidP="00D72C83">
      <w:pPr>
        <w:spacing w:after="0" w:line="240" w:lineRule="auto"/>
        <w:rPr>
          <w:rFonts w:ascii="Times New Roman" w:hAnsi="Times New Roman" w:cs="Times New Roman"/>
        </w:rPr>
      </w:pPr>
    </w:p>
    <w:p w14:paraId="2FD5CB27" w14:textId="77777777" w:rsidR="00D72C83" w:rsidRPr="002E32EF" w:rsidRDefault="00D72C83" w:rsidP="00D72C83">
      <w:pPr>
        <w:spacing w:after="0" w:line="240" w:lineRule="auto"/>
        <w:rPr>
          <w:rFonts w:ascii="Times New Roman" w:hAnsi="Times New Roman" w:cs="Times New Roman"/>
        </w:rPr>
      </w:pPr>
    </w:p>
    <w:p w14:paraId="37DF55F5" w14:textId="77777777" w:rsidR="00D72C83" w:rsidRPr="002E32EF" w:rsidRDefault="00D72C83" w:rsidP="00D72C83">
      <w:pPr>
        <w:spacing w:after="0" w:line="240" w:lineRule="auto"/>
        <w:rPr>
          <w:rFonts w:ascii="Times New Roman" w:hAnsi="Times New Roman" w:cs="Times New Roman"/>
        </w:rPr>
      </w:pPr>
    </w:p>
    <w:p w14:paraId="0DF17A17" w14:textId="77777777" w:rsidR="00D72C83" w:rsidRPr="002E32EF" w:rsidRDefault="00D72C83" w:rsidP="00D72C83">
      <w:pPr>
        <w:spacing w:after="0" w:line="240" w:lineRule="auto"/>
        <w:rPr>
          <w:rFonts w:ascii="Times New Roman" w:hAnsi="Times New Roman" w:cs="Times New Roman"/>
        </w:rPr>
      </w:pPr>
    </w:p>
    <w:p w14:paraId="03E56EEB" w14:textId="77777777" w:rsidR="00D72C83" w:rsidRPr="002E32EF" w:rsidRDefault="00D72C83" w:rsidP="00D72C83">
      <w:pPr>
        <w:spacing w:after="0" w:line="240" w:lineRule="auto"/>
        <w:rPr>
          <w:rFonts w:ascii="Times New Roman" w:hAnsi="Times New Roman" w:cs="Times New Roman"/>
        </w:rPr>
      </w:pPr>
    </w:p>
    <w:p w14:paraId="13DCE772" w14:textId="77777777" w:rsidR="00D72C83" w:rsidRPr="002E32EF" w:rsidRDefault="00D72C83" w:rsidP="00D72C83">
      <w:pPr>
        <w:spacing w:after="0" w:line="240" w:lineRule="auto"/>
        <w:rPr>
          <w:rFonts w:ascii="Times New Roman" w:hAnsi="Times New Roman" w:cs="Times New Roman"/>
        </w:rPr>
      </w:pPr>
    </w:p>
    <w:p w14:paraId="1CA7AB20" w14:textId="77777777" w:rsidR="00D72C83" w:rsidRPr="002E32EF" w:rsidRDefault="00D72C83" w:rsidP="00D72C83">
      <w:pPr>
        <w:spacing w:after="0" w:line="240" w:lineRule="auto"/>
        <w:rPr>
          <w:rFonts w:ascii="Times New Roman" w:hAnsi="Times New Roman" w:cs="Times New Roman"/>
        </w:rPr>
      </w:pPr>
    </w:p>
    <w:p w14:paraId="675CB2A1" w14:textId="77777777" w:rsidR="00D72C83" w:rsidRPr="002E32EF" w:rsidRDefault="00D72C83" w:rsidP="00D72C83">
      <w:pPr>
        <w:spacing w:after="0" w:line="240" w:lineRule="auto"/>
        <w:rPr>
          <w:rFonts w:ascii="Times New Roman" w:hAnsi="Times New Roman" w:cs="Times New Roman"/>
        </w:rPr>
      </w:pPr>
    </w:p>
    <w:p w14:paraId="6A3DB9AE" w14:textId="77777777" w:rsidR="00D72C83" w:rsidRPr="002E32EF" w:rsidRDefault="00D72C83" w:rsidP="00D72C83">
      <w:pPr>
        <w:spacing w:after="0" w:line="240" w:lineRule="auto"/>
        <w:rPr>
          <w:rFonts w:ascii="Times New Roman" w:hAnsi="Times New Roman" w:cs="Times New Roman"/>
        </w:rPr>
      </w:pPr>
    </w:p>
    <w:p w14:paraId="5D093754" w14:textId="77777777" w:rsidR="00D72C83" w:rsidRPr="002E32EF" w:rsidRDefault="00D72C83" w:rsidP="00D72C83">
      <w:pPr>
        <w:spacing w:after="0" w:line="240" w:lineRule="auto"/>
        <w:rPr>
          <w:rFonts w:ascii="Times New Roman" w:hAnsi="Times New Roman" w:cs="Times New Roman"/>
        </w:rPr>
      </w:pPr>
    </w:p>
    <w:p w14:paraId="459C79AA" w14:textId="77777777" w:rsidR="00D72C83" w:rsidRPr="002E32EF" w:rsidRDefault="00D72C83" w:rsidP="00D72C83">
      <w:pPr>
        <w:spacing w:after="0" w:line="240" w:lineRule="auto"/>
        <w:rPr>
          <w:rFonts w:ascii="Times New Roman" w:hAnsi="Times New Roman" w:cs="Times New Roman"/>
        </w:rPr>
      </w:pPr>
    </w:p>
    <w:p w14:paraId="1EF45B08" w14:textId="77777777" w:rsidR="00D72C83" w:rsidRPr="00E35BE6" w:rsidRDefault="00D72C83" w:rsidP="00D3564A">
      <w:pPr>
        <w:pStyle w:val="Antrat2"/>
        <w:spacing w:before="0" w:after="0" w:line="240" w:lineRule="auto"/>
        <w:jc w:val="center"/>
        <w:rPr>
          <w:rFonts w:ascii="Times New Roman" w:hAnsi="Times New Roman"/>
          <w:b w:val="0"/>
          <w:lang w:val="lt-LT"/>
        </w:rPr>
      </w:pPr>
      <w:r w:rsidRPr="00D3564A">
        <w:rPr>
          <w:rFonts w:ascii="Times New Roman" w:hAnsi="Times New Roman"/>
          <w:i w:val="0"/>
          <w:sz w:val="22"/>
          <w:lang w:val="lt-LT"/>
        </w:rPr>
        <w:t>A. ŽENKLINIMAS</w:t>
      </w:r>
    </w:p>
    <w:p w14:paraId="1F550771"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br w:type="page"/>
      </w:r>
    </w:p>
    <w:p w14:paraId="1C0B431C"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2E32EF">
        <w:rPr>
          <w:rFonts w:ascii="Times New Roman" w:hAnsi="Times New Roman" w:cs="Times New Roman"/>
          <w:b/>
          <w:bCs/>
        </w:rPr>
        <w:lastRenderedPageBreak/>
        <w:t>INFORMACIJA ANT IŠORINĖS PAKUOTĖS</w:t>
      </w:r>
    </w:p>
    <w:p w14:paraId="771A4077"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p>
    <w:p w14:paraId="45281762"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2E32EF">
        <w:rPr>
          <w:rFonts w:ascii="Times New Roman" w:hAnsi="Times New Roman" w:cs="Times New Roman"/>
          <w:b/>
          <w:bCs/>
        </w:rPr>
        <w:t>KARTONO DĖŽUTĖ</w:t>
      </w:r>
    </w:p>
    <w:p w14:paraId="2E15D1B6" w14:textId="77777777" w:rsidR="00D72C83" w:rsidRPr="002E32EF" w:rsidRDefault="00D72C83" w:rsidP="00D72C83">
      <w:pPr>
        <w:spacing w:after="0" w:line="240" w:lineRule="auto"/>
        <w:rPr>
          <w:rFonts w:ascii="Times New Roman" w:hAnsi="Times New Roman" w:cs="Times New Roman"/>
        </w:rPr>
      </w:pPr>
    </w:p>
    <w:p w14:paraId="161AF50F" w14:textId="77777777" w:rsidR="00D72C83" w:rsidRPr="002E32EF" w:rsidRDefault="00D72C83" w:rsidP="00D72C83">
      <w:pPr>
        <w:spacing w:after="0" w:line="240" w:lineRule="auto"/>
        <w:rPr>
          <w:rFonts w:ascii="Times New Roman" w:hAnsi="Times New Roman" w:cs="Times New Roman"/>
        </w:rPr>
      </w:pPr>
    </w:p>
    <w:p w14:paraId="2337EDEF"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1.</w:t>
      </w:r>
      <w:r w:rsidRPr="002E32EF">
        <w:rPr>
          <w:rFonts w:ascii="Times New Roman" w:hAnsi="Times New Roman" w:cs="Times New Roman"/>
          <w:b/>
          <w:bCs/>
        </w:rPr>
        <w:tab/>
      </w:r>
      <w:r w:rsidRPr="002E32EF">
        <w:rPr>
          <w:rFonts w:ascii="Times New Roman" w:hAnsi="Times New Roman" w:cs="Times New Roman"/>
          <w:b/>
          <w:bCs/>
          <w:caps/>
        </w:rPr>
        <w:t>VAISTINIO</w:t>
      </w:r>
      <w:r w:rsidRPr="002E32EF">
        <w:rPr>
          <w:rFonts w:ascii="Times New Roman" w:hAnsi="Times New Roman" w:cs="Times New Roman"/>
          <w:b/>
          <w:bCs/>
        </w:rPr>
        <w:t xml:space="preserve"> PREPARATO PAVADINIMAS</w:t>
      </w:r>
    </w:p>
    <w:p w14:paraId="33AFA71E" w14:textId="77777777" w:rsidR="00D72C83" w:rsidRPr="002E32EF" w:rsidRDefault="00D72C83" w:rsidP="00D72C83">
      <w:pPr>
        <w:spacing w:after="0" w:line="240" w:lineRule="auto"/>
        <w:rPr>
          <w:rFonts w:ascii="Times New Roman" w:hAnsi="Times New Roman" w:cs="Times New Roman"/>
        </w:rPr>
      </w:pPr>
    </w:p>
    <w:p w14:paraId="74AAF3B3" w14:textId="77777777" w:rsidR="00D72C83" w:rsidRPr="002E32EF" w:rsidRDefault="00D72C83" w:rsidP="00D72C83">
      <w:pPr>
        <w:spacing w:after="0" w:line="240" w:lineRule="auto"/>
        <w:jc w:val="both"/>
        <w:rPr>
          <w:rFonts w:ascii="Times New Roman" w:hAnsi="Times New Roman" w:cs="Times New Roman"/>
        </w:rPr>
      </w:pPr>
      <w:r w:rsidRPr="002E32EF">
        <w:rPr>
          <w:rFonts w:ascii="Times New Roman" w:hAnsi="Times New Roman" w:cs="Times New Roman"/>
        </w:rPr>
        <w:t>Varlota 50 mg plėvele dengtos tabletės</w:t>
      </w:r>
    </w:p>
    <w:p w14:paraId="5D541702" w14:textId="77777777" w:rsidR="00D72C83" w:rsidRPr="002E32EF" w:rsidRDefault="00D72C83" w:rsidP="00D72C83">
      <w:pPr>
        <w:spacing w:after="0" w:line="240" w:lineRule="auto"/>
        <w:jc w:val="both"/>
        <w:rPr>
          <w:rFonts w:ascii="Times New Roman" w:hAnsi="Times New Roman" w:cs="Times New Roman"/>
          <w:highlight w:val="lightGray"/>
        </w:rPr>
      </w:pPr>
      <w:r w:rsidRPr="002E32EF">
        <w:rPr>
          <w:rFonts w:ascii="Times New Roman" w:hAnsi="Times New Roman" w:cs="Times New Roman"/>
          <w:highlight w:val="lightGray"/>
        </w:rPr>
        <w:t>Varlota 100 mg plėvele dengtos tabletės</w:t>
      </w:r>
    </w:p>
    <w:p w14:paraId="7E0380AA" w14:textId="77777777" w:rsidR="00D72C83" w:rsidRPr="002E32EF" w:rsidRDefault="00D72C83" w:rsidP="00D72C83">
      <w:pPr>
        <w:spacing w:after="0" w:line="240" w:lineRule="auto"/>
        <w:jc w:val="both"/>
        <w:rPr>
          <w:rFonts w:ascii="Times New Roman" w:hAnsi="Times New Roman" w:cs="Times New Roman"/>
        </w:rPr>
      </w:pPr>
      <w:r w:rsidRPr="002F6BC3">
        <w:rPr>
          <w:rFonts w:ascii="Times New Roman" w:hAnsi="Times New Roman" w:cs="Times New Roman"/>
          <w:highlight w:val="darkGray"/>
        </w:rPr>
        <w:t>Varlota 150 mg plėvele dengtos tabletės</w:t>
      </w:r>
    </w:p>
    <w:p w14:paraId="7BF2963B" w14:textId="77777777" w:rsidR="003D0740" w:rsidRPr="002E32EF" w:rsidRDefault="003D0740" w:rsidP="003D0740">
      <w:pPr>
        <w:spacing w:after="0" w:line="240" w:lineRule="auto"/>
        <w:jc w:val="both"/>
        <w:rPr>
          <w:rFonts w:ascii="Times New Roman" w:hAnsi="Times New Roman" w:cs="Times New Roman"/>
        </w:rPr>
      </w:pPr>
      <w:r>
        <w:rPr>
          <w:rFonts w:ascii="Times New Roman" w:hAnsi="Times New Roman" w:cs="Times New Roman"/>
        </w:rPr>
        <w:t>e</w:t>
      </w:r>
      <w:r w:rsidRPr="002E32EF">
        <w:rPr>
          <w:rFonts w:ascii="Times New Roman" w:hAnsi="Times New Roman" w:cs="Times New Roman"/>
        </w:rPr>
        <w:t>rlotinib</w:t>
      </w:r>
      <w:r>
        <w:rPr>
          <w:rFonts w:ascii="Times New Roman" w:hAnsi="Times New Roman" w:cs="Times New Roman"/>
        </w:rPr>
        <w:t>as</w:t>
      </w:r>
    </w:p>
    <w:p w14:paraId="321F5E2F" w14:textId="77777777" w:rsidR="00D72C83" w:rsidRPr="002E32EF" w:rsidRDefault="00D72C83" w:rsidP="00D72C83">
      <w:pPr>
        <w:spacing w:after="0" w:line="240" w:lineRule="auto"/>
        <w:rPr>
          <w:rFonts w:ascii="Times New Roman" w:hAnsi="Times New Roman" w:cs="Times New Roman"/>
        </w:rPr>
      </w:pPr>
    </w:p>
    <w:p w14:paraId="786D08BD" w14:textId="77777777" w:rsidR="00D72C83" w:rsidRPr="002E32EF" w:rsidRDefault="00D72C83" w:rsidP="00D72C83">
      <w:pPr>
        <w:spacing w:after="0" w:line="240" w:lineRule="auto"/>
        <w:rPr>
          <w:rFonts w:ascii="Times New Roman" w:hAnsi="Times New Roman" w:cs="Times New Roman"/>
        </w:rPr>
      </w:pPr>
    </w:p>
    <w:p w14:paraId="09F5286F"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2.</w:t>
      </w:r>
      <w:r w:rsidRPr="002E32EF">
        <w:rPr>
          <w:rFonts w:ascii="Times New Roman" w:hAnsi="Times New Roman" w:cs="Times New Roman"/>
          <w:b/>
          <w:bCs/>
        </w:rPr>
        <w:tab/>
        <w:t>VEIKLIOJI (-IOS) MEDŽIAGA (-OS) IR JOS (-Ų) KIEKIS (-IAI)</w:t>
      </w:r>
    </w:p>
    <w:p w14:paraId="1D1CE1D9" w14:textId="77777777" w:rsidR="00D72C83" w:rsidRPr="002E32EF" w:rsidRDefault="00D72C83" w:rsidP="00D72C83">
      <w:pPr>
        <w:tabs>
          <w:tab w:val="left" w:pos="7620"/>
        </w:tabs>
        <w:spacing w:after="0" w:line="240" w:lineRule="auto"/>
        <w:rPr>
          <w:rFonts w:ascii="Times New Roman" w:hAnsi="Times New Roman" w:cs="Times New Roman"/>
        </w:rPr>
      </w:pPr>
    </w:p>
    <w:p w14:paraId="78110C28" w14:textId="77777777" w:rsidR="00D72C83" w:rsidRPr="002E32EF" w:rsidRDefault="00D72C83" w:rsidP="00D72C83">
      <w:pPr>
        <w:spacing w:after="0" w:line="240" w:lineRule="auto"/>
        <w:jc w:val="both"/>
        <w:rPr>
          <w:rFonts w:ascii="Times New Roman" w:hAnsi="Times New Roman" w:cs="Times New Roman"/>
        </w:rPr>
      </w:pPr>
      <w:r w:rsidRPr="002E32EF">
        <w:rPr>
          <w:rFonts w:ascii="Times New Roman" w:hAnsi="Times New Roman" w:cs="Times New Roman"/>
        </w:rPr>
        <w:t xml:space="preserve">Kiekvienoje tabletėje yra 50 mg erlotinibo (erlotinibo hidrochlorido pavidalu). </w:t>
      </w:r>
    </w:p>
    <w:p w14:paraId="410C61ED" w14:textId="77777777" w:rsidR="00D72C83" w:rsidRPr="002E32EF" w:rsidRDefault="00D72C83" w:rsidP="00D72C83">
      <w:pPr>
        <w:spacing w:after="0" w:line="240" w:lineRule="auto"/>
        <w:jc w:val="both"/>
        <w:rPr>
          <w:rFonts w:ascii="Times New Roman" w:hAnsi="Times New Roman" w:cs="Times New Roman"/>
          <w:highlight w:val="lightGray"/>
        </w:rPr>
      </w:pPr>
      <w:r w:rsidRPr="002E32EF">
        <w:rPr>
          <w:rFonts w:ascii="Times New Roman" w:hAnsi="Times New Roman" w:cs="Times New Roman"/>
          <w:highlight w:val="lightGray"/>
        </w:rPr>
        <w:t xml:space="preserve">Kiekvienoje tabletėje yra 100 mg erlotinibo (erlotinibo hidrochlorido pavidalu). </w:t>
      </w:r>
    </w:p>
    <w:p w14:paraId="1315A3A2" w14:textId="77777777" w:rsidR="00D72C83" w:rsidRPr="002E32EF" w:rsidRDefault="00D72C83" w:rsidP="00D72C83">
      <w:pPr>
        <w:spacing w:after="0" w:line="240" w:lineRule="auto"/>
        <w:jc w:val="both"/>
        <w:rPr>
          <w:rFonts w:ascii="Times New Roman" w:hAnsi="Times New Roman" w:cs="Times New Roman"/>
        </w:rPr>
      </w:pPr>
      <w:r w:rsidRPr="002F6BC3">
        <w:rPr>
          <w:rFonts w:ascii="Times New Roman" w:hAnsi="Times New Roman" w:cs="Times New Roman"/>
          <w:highlight w:val="darkGray"/>
        </w:rPr>
        <w:t>Kiekvienoje tabletėje yra 150 mg erlotinibo (erlotinibo hidrochlorido pavidalu).</w:t>
      </w:r>
      <w:r w:rsidRPr="002E32EF">
        <w:rPr>
          <w:rFonts w:ascii="Times New Roman" w:hAnsi="Times New Roman" w:cs="Times New Roman"/>
        </w:rPr>
        <w:t xml:space="preserve"> </w:t>
      </w:r>
    </w:p>
    <w:p w14:paraId="40332BDC" w14:textId="77777777" w:rsidR="00D72C83" w:rsidRPr="002E32EF" w:rsidRDefault="00D72C83" w:rsidP="00D72C83">
      <w:pPr>
        <w:spacing w:after="0" w:line="240" w:lineRule="auto"/>
        <w:rPr>
          <w:rFonts w:ascii="Times New Roman" w:hAnsi="Times New Roman" w:cs="Times New Roman"/>
        </w:rPr>
      </w:pPr>
    </w:p>
    <w:p w14:paraId="06265EA2" w14:textId="77777777" w:rsidR="00D72C83" w:rsidRPr="002E32EF" w:rsidRDefault="00D72C83" w:rsidP="00D72C83">
      <w:pPr>
        <w:spacing w:after="0" w:line="240" w:lineRule="auto"/>
        <w:rPr>
          <w:rFonts w:ascii="Times New Roman" w:hAnsi="Times New Roman" w:cs="Times New Roman"/>
        </w:rPr>
      </w:pPr>
    </w:p>
    <w:p w14:paraId="090919D0"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3.</w:t>
      </w:r>
      <w:r w:rsidRPr="002E32EF">
        <w:rPr>
          <w:rFonts w:ascii="Times New Roman" w:hAnsi="Times New Roman" w:cs="Times New Roman"/>
          <w:b/>
          <w:bCs/>
        </w:rPr>
        <w:tab/>
        <w:t>PAGALBINIŲ MEDŽIAGŲ SĄRAŠAS</w:t>
      </w:r>
    </w:p>
    <w:p w14:paraId="3D2FF370" w14:textId="77777777" w:rsidR="00D72C83" w:rsidRPr="002E32EF" w:rsidRDefault="00D72C83" w:rsidP="00D72C83">
      <w:pPr>
        <w:spacing w:after="0" w:line="240" w:lineRule="auto"/>
        <w:rPr>
          <w:rFonts w:ascii="Times New Roman" w:hAnsi="Times New Roman" w:cs="Times New Roman"/>
        </w:rPr>
      </w:pPr>
    </w:p>
    <w:p w14:paraId="739AF656" w14:textId="77777777" w:rsidR="00D72C83" w:rsidRPr="002E32EF" w:rsidRDefault="00D72C83" w:rsidP="00D72C83">
      <w:pPr>
        <w:spacing w:after="0" w:line="240" w:lineRule="auto"/>
        <w:jc w:val="both"/>
        <w:rPr>
          <w:rFonts w:ascii="Times New Roman" w:hAnsi="Times New Roman" w:cs="Times New Roman"/>
        </w:rPr>
      </w:pPr>
      <w:r w:rsidRPr="002E32EF">
        <w:rPr>
          <w:rFonts w:ascii="Times New Roman" w:hAnsi="Times New Roman" w:cs="Times New Roman"/>
        </w:rPr>
        <w:t>Sudėtyje yra laktozės</w:t>
      </w:r>
      <w:r>
        <w:rPr>
          <w:rFonts w:ascii="Times New Roman" w:hAnsi="Times New Roman" w:cs="Times New Roman"/>
        </w:rPr>
        <w:t>.</w:t>
      </w:r>
    </w:p>
    <w:p w14:paraId="1AE93B9A" w14:textId="77777777" w:rsidR="00D72C83" w:rsidRPr="002E32EF" w:rsidRDefault="00D72C83" w:rsidP="00D72C83">
      <w:pPr>
        <w:spacing w:after="0" w:line="240" w:lineRule="auto"/>
        <w:rPr>
          <w:rFonts w:ascii="Times New Roman" w:hAnsi="Times New Roman" w:cs="Times New Roman"/>
        </w:rPr>
      </w:pPr>
    </w:p>
    <w:p w14:paraId="00A04E41" w14:textId="77777777" w:rsidR="00D72C83" w:rsidRPr="002E32EF" w:rsidRDefault="00D72C83" w:rsidP="00D72C83">
      <w:pPr>
        <w:spacing w:after="0" w:line="240" w:lineRule="auto"/>
        <w:rPr>
          <w:rFonts w:ascii="Times New Roman" w:hAnsi="Times New Roman" w:cs="Times New Roman"/>
        </w:rPr>
      </w:pPr>
    </w:p>
    <w:p w14:paraId="20E6B5C8"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4.</w:t>
      </w:r>
      <w:r w:rsidRPr="002E32EF">
        <w:rPr>
          <w:rFonts w:ascii="Times New Roman" w:hAnsi="Times New Roman" w:cs="Times New Roman"/>
          <w:b/>
          <w:bCs/>
        </w:rPr>
        <w:tab/>
        <w:t>FARMACINĖ FORMA IR KIEKIS PAKUOTĖJE</w:t>
      </w:r>
    </w:p>
    <w:p w14:paraId="4DD88CE7" w14:textId="77777777" w:rsidR="00D72C83" w:rsidRPr="002E32EF" w:rsidRDefault="00D72C83" w:rsidP="00D72C83">
      <w:pPr>
        <w:spacing w:after="0" w:line="240" w:lineRule="auto"/>
        <w:rPr>
          <w:rFonts w:ascii="Times New Roman" w:hAnsi="Times New Roman" w:cs="Times New Roman"/>
        </w:rPr>
      </w:pPr>
    </w:p>
    <w:p w14:paraId="07A257B2" w14:textId="77777777" w:rsidR="00D72C83"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Plėvele dengta tabletė</w:t>
      </w:r>
    </w:p>
    <w:p w14:paraId="7A0AF451"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30 tablečių</w:t>
      </w:r>
    </w:p>
    <w:p w14:paraId="114BD186" w14:textId="77777777" w:rsidR="00D72C83" w:rsidRPr="002E32EF" w:rsidRDefault="00D72C83" w:rsidP="00D72C83">
      <w:pPr>
        <w:spacing w:after="0" w:line="240" w:lineRule="auto"/>
        <w:rPr>
          <w:rFonts w:ascii="Times New Roman" w:hAnsi="Times New Roman" w:cs="Times New Roman"/>
        </w:rPr>
      </w:pPr>
    </w:p>
    <w:p w14:paraId="24B1AC2B" w14:textId="77777777" w:rsidR="00D72C83" w:rsidRPr="002E32EF" w:rsidRDefault="00D72C83" w:rsidP="00D72C83">
      <w:pPr>
        <w:spacing w:after="0" w:line="240" w:lineRule="auto"/>
        <w:rPr>
          <w:rFonts w:ascii="Times New Roman" w:hAnsi="Times New Roman" w:cs="Times New Roman"/>
        </w:rPr>
      </w:pPr>
    </w:p>
    <w:p w14:paraId="4F26A0B9"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5.</w:t>
      </w:r>
      <w:r w:rsidRPr="002E32EF">
        <w:rPr>
          <w:rFonts w:ascii="Times New Roman" w:hAnsi="Times New Roman" w:cs="Times New Roman"/>
          <w:b/>
          <w:bCs/>
        </w:rPr>
        <w:tab/>
        <w:t>VARTOJIMO METODAS IR BŪDAS (-AI)</w:t>
      </w:r>
    </w:p>
    <w:p w14:paraId="17F0AE67" w14:textId="77777777" w:rsidR="00D72C83" w:rsidRPr="002E32EF" w:rsidRDefault="00D72C83" w:rsidP="00D72C83">
      <w:pPr>
        <w:spacing w:after="0" w:line="240" w:lineRule="auto"/>
        <w:rPr>
          <w:rFonts w:ascii="Times New Roman" w:hAnsi="Times New Roman" w:cs="Times New Roman"/>
        </w:rPr>
      </w:pPr>
    </w:p>
    <w:p w14:paraId="075F6D0E" w14:textId="77777777"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Vartoti per burną.</w:t>
      </w:r>
    </w:p>
    <w:p w14:paraId="72E75812"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Prieš vartojimą perskaitykite pakuotės lapelį.</w:t>
      </w:r>
    </w:p>
    <w:p w14:paraId="302AAE44" w14:textId="77777777" w:rsidR="00D72C83" w:rsidRPr="002E32EF" w:rsidRDefault="00D72C83" w:rsidP="00D72C83">
      <w:pPr>
        <w:spacing w:after="0" w:line="240" w:lineRule="auto"/>
        <w:rPr>
          <w:rFonts w:ascii="Times New Roman" w:hAnsi="Times New Roman" w:cs="Times New Roman"/>
        </w:rPr>
      </w:pPr>
    </w:p>
    <w:p w14:paraId="706C26C4" w14:textId="77777777" w:rsidR="00D72C83" w:rsidRPr="002E32EF" w:rsidRDefault="00D72C83" w:rsidP="00D72C83">
      <w:pPr>
        <w:spacing w:after="0" w:line="240" w:lineRule="auto"/>
        <w:rPr>
          <w:rFonts w:ascii="Times New Roman" w:hAnsi="Times New Roman" w:cs="Times New Roman"/>
        </w:rPr>
      </w:pPr>
    </w:p>
    <w:p w14:paraId="001812A9"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rPr>
      </w:pPr>
      <w:r w:rsidRPr="002E32EF">
        <w:rPr>
          <w:rFonts w:ascii="Times New Roman" w:hAnsi="Times New Roman" w:cs="Times New Roman"/>
          <w:b/>
          <w:bCs/>
        </w:rPr>
        <w:t>6.</w:t>
      </w:r>
      <w:r w:rsidRPr="002E32EF">
        <w:rPr>
          <w:rFonts w:ascii="Times New Roman" w:hAnsi="Times New Roman" w:cs="Times New Roman"/>
          <w:b/>
          <w:bCs/>
        </w:rPr>
        <w:tab/>
        <w:t>SPECIALUS ĮSPĖJIMAS, KAD VAISTINĮ PREPARATĄ BŪTINA LAIKYTI VAIKAMS NEPASTEBIMOJE IR NEPASIEKIAMOJE VIETOJE</w:t>
      </w:r>
    </w:p>
    <w:p w14:paraId="36908EC6" w14:textId="77777777" w:rsidR="00D72C83" w:rsidRPr="002E32EF" w:rsidRDefault="00D72C83" w:rsidP="00D72C83">
      <w:pPr>
        <w:spacing w:after="0" w:line="240" w:lineRule="auto"/>
        <w:rPr>
          <w:rFonts w:ascii="Times New Roman" w:hAnsi="Times New Roman" w:cs="Times New Roman"/>
        </w:rPr>
      </w:pPr>
    </w:p>
    <w:p w14:paraId="62C2104E"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Laikyti vaikams nepastebimoje ir nepasiekiamoje vietoje.</w:t>
      </w:r>
    </w:p>
    <w:p w14:paraId="49F867A9" w14:textId="77777777" w:rsidR="00D72C83" w:rsidRPr="002E32EF" w:rsidRDefault="00D72C83" w:rsidP="00D72C83">
      <w:pPr>
        <w:spacing w:after="0" w:line="240" w:lineRule="auto"/>
        <w:rPr>
          <w:rFonts w:ascii="Times New Roman" w:hAnsi="Times New Roman" w:cs="Times New Roman"/>
        </w:rPr>
      </w:pPr>
    </w:p>
    <w:p w14:paraId="59ADAABD" w14:textId="77777777" w:rsidR="00D72C83" w:rsidRPr="002E32EF" w:rsidRDefault="00D72C83" w:rsidP="00D72C83">
      <w:pPr>
        <w:spacing w:after="0" w:line="240" w:lineRule="auto"/>
        <w:rPr>
          <w:rFonts w:ascii="Times New Roman" w:hAnsi="Times New Roman" w:cs="Times New Roman"/>
        </w:rPr>
      </w:pPr>
    </w:p>
    <w:p w14:paraId="767C0786"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7.</w:t>
      </w:r>
      <w:r w:rsidRPr="002E32EF">
        <w:rPr>
          <w:rFonts w:ascii="Times New Roman" w:hAnsi="Times New Roman" w:cs="Times New Roman"/>
          <w:b/>
          <w:bCs/>
        </w:rPr>
        <w:tab/>
        <w:t>KITAS (-I) SPECIALUS (-ŪS) ĮSPĖJIMAS (-AI) (JEI REIKIA)</w:t>
      </w:r>
    </w:p>
    <w:p w14:paraId="0F398AFB" w14:textId="77777777" w:rsidR="00D72C83" w:rsidRPr="002E32EF" w:rsidRDefault="00D72C83" w:rsidP="00D72C83">
      <w:pPr>
        <w:spacing w:after="0" w:line="240" w:lineRule="auto"/>
        <w:rPr>
          <w:rFonts w:ascii="Times New Roman" w:hAnsi="Times New Roman" w:cs="Times New Roman"/>
        </w:rPr>
      </w:pPr>
    </w:p>
    <w:p w14:paraId="2D9576DB" w14:textId="77777777" w:rsidR="00D72C83" w:rsidRPr="002E32EF" w:rsidRDefault="00D72C83" w:rsidP="00D72C83">
      <w:pPr>
        <w:spacing w:after="0" w:line="240" w:lineRule="auto"/>
        <w:rPr>
          <w:rFonts w:ascii="Times New Roman" w:hAnsi="Times New Roman" w:cs="Times New Roman"/>
        </w:rPr>
      </w:pPr>
    </w:p>
    <w:p w14:paraId="59FD87D3"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8.</w:t>
      </w:r>
      <w:r w:rsidRPr="002E32EF">
        <w:rPr>
          <w:rFonts w:ascii="Times New Roman" w:hAnsi="Times New Roman" w:cs="Times New Roman"/>
          <w:b/>
          <w:bCs/>
        </w:rPr>
        <w:tab/>
        <w:t>TINKAMUMO LAIKAS</w:t>
      </w:r>
    </w:p>
    <w:p w14:paraId="6E508271" w14:textId="77777777" w:rsidR="00D72C83" w:rsidRPr="002E32EF" w:rsidRDefault="00D72C83" w:rsidP="00D72C83">
      <w:pPr>
        <w:spacing w:after="0" w:line="240" w:lineRule="auto"/>
        <w:rPr>
          <w:rFonts w:ascii="Times New Roman" w:hAnsi="Times New Roman" w:cs="Times New Roman"/>
        </w:rPr>
      </w:pPr>
    </w:p>
    <w:p w14:paraId="21A90C42" w14:textId="1A38F73F" w:rsidR="00D72C83" w:rsidRPr="002E32EF" w:rsidRDefault="00D72C83" w:rsidP="00D72C83">
      <w:pPr>
        <w:spacing w:after="0" w:line="240" w:lineRule="auto"/>
        <w:rPr>
          <w:rFonts w:ascii="Times New Roman" w:hAnsi="Times New Roman" w:cs="Times New Roman"/>
        </w:rPr>
      </w:pPr>
      <w:r>
        <w:rPr>
          <w:rFonts w:ascii="Times New Roman" w:hAnsi="Times New Roman" w:cs="Times New Roman"/>
        </w:rPr>
        <w:t>EXP</w:t>
      </w:r>
      <w:r w:rsidRPr="002E32EF">
        <w:rPr>
          <w:rFonts w:ascii="Times New Roman" w:hAnsi="Times New Roman" w:cs="Times New Roman"/>
        </w:rPr>
        <w:t xml:space="preserve"> {mm</w:t>
      </w:r>
      <w:r>
        <w:rPr>
          <w:rFonts w:ascii="Times New Roman" w:hAnsi="Times New Roman" w:cs="Times New Roman"/>
        </w:rPr>
        <w:t>/</w:t>
      </w:r>
      <w:r w:rsidRPr="002E32EF">
        <w:rPr>
          <w:rFonts w:ascii="Times New Roman" w:hAnsi="Times New Roman" w:cs="Times New Roman"/>
        </w:rPr>
        <w:t>MMMM}</w:t>
      </w:r>
    </w:p>
    <w:p w14:paraId="6D480655" w14:textId="77777777" w:rsidR="00D72C83" w:rsidRPr="002E32EF" w:rsidRDefault="00D72C83" w:rsidP="00D72C83">
      <w:pPr>
        <w:spacing w:after="0" w:line="240" w:lineRule="auto"/>
        <w:rPr>
          <w:rFonts w:ascii="Times New Roman" w:hAnsi="Times New Roman" w:cs="Times New Roman"/>
        </w:rPr>
      </w:pPr>
    </w:p>
    <w:p w14:paraId="7F27DA38" w14:textId="77777777" w:rsidR="00D72C83" w:rsidRPr="002E32EF" w:rsidRDefault="00D72C83" w:rsidP="00D72C83">
      <w:pPr>
        <w:spacing w:after="0" w:line="240" w:lineRule="auto"/>
        <w:rPr>
          <w:rFonts w:ascii="Times New Roman" w:hAnsi="Times New Roman" w:cs="Times New Roman"/>
        </w:rPr>
      </w:pPr>
    </w:p>
    <w:p w14:paraId="36EB938D" w14:textId="77777777" w:rsidR="00D72C83" w:rsidRPr="002E32EF" w:rsidRDefault="00D72C83" w:rsidP="00D72C83">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9.</w:t>
      </w:r>
      <w:r w:rsidRPr="002E32EF">
        <w:rPr>
          <w:rFonts w:ascii="Times New Roman" w:hAnsi="Times New Roman" w:cs="Times New Roman"/>
          <w:b/>
          <w:bCs/>
        </w:rPr>
        <w:tab/>
        <w:t>SPECIALIOS LAIKYMO SĄLYGOS</w:t>
      </w:r>
    </w:p>
    <w:p w14:paraId="06884FC8" w14:textId="77777777" w:rsidR="00D72C83" w:rsidRPr="002E32EF" w:rsidRDefault="00D72C83" w:rsidP="00D72C83">
      <w:pPr>
        <w:spacing w:after="0" w:line="240" w:lineRule="auto"/>
        <w:rPr>
          <w:rFonts w:ascii="Times New Roman" w:hAnsi="Times New Roman" w:cs="Times New Roman"/>
        </w:rPr>
      </w:pPr>
    </w:p>
    <w:p w14:paraId="3669710A" w14:textId="77777777" w:rsidR="00D72C83" w:rsidRPr="002E32EF" w:rsidRDefault="00D72C83" w:rsidP="00D72C83">
      <w:pPr>
        <w:spacing w:after="0" w:line="240" w:lineRule="auto"/>
        <w:rPr>
          <w:rFonts w:ascii="Times New Roman" w:hAnsi="Times New Roman" w:cs="Times New Roman"/>
        </w:rPr>
      </w:pPr>
    </w:p>
    <w:p w14:paraId="06226E1E"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ind w:left="709" w:hanging="709"/>
        <w:outlineLvl w:val="0"/>
        <w:rPr>
          <w:rFonts w:ascii="Times New Roman" w:hAnsi="Times New Roman" w:cs="Times New Roman"/>
          <w:b/>
          <w:bCs/>
        </w:rPr>
      </w:pPr>
      <w:r w:rsidRPr="002E32EF">
        <w:rPr>
          <w:rFonts w:ascii="Times New Roman" w:hAnsi="Times New Roman" w:cs="Times New Roman"/>
          <w:b/>
          <w:bCs/>
        </w:rPr>
        <w:t>10.</w:t>
      </w:r>
      <w:r w:rsidRPr="002E32EF">
        <w:rPr>
          <w:rFonts w:ascii="Times New Roman" w:hAnsi="Times New Roman" w:cs="Times New Roman"/>
          <w:b/>
          <w:bCs/>
        </w:rPr>
        <w:tab/>
        <w:t>SPECIALIOS ATSARGUMO PRIEMONĖS DĖL NESUVARTOTO VAISTINIO PREPARATO AR JO ATLIEKŲ TVARKYMO (JEI REIKIA)</w:t>
      </w:r>
    </w:p>
    <w:p w14:paraId="71E7346F" w14:textId="77777777" w:rsidR="00D72C83" w:rsidRPr="002E32EF" w:rsidRDefault="00D72C83" w:rsidP="00D72C83">
      <w:pPr>
        <w:spacing w:after="0" w:line="240" w:lineRule="auto"/>
        <w:rPr>
          <w:rFonts w:ascii="Times New Roman" w:hAnsi="Times New Roman" w:cs="Times New Roman"/>
        </w:rPr>
      </w:pPr>
    </w:p>
    <w:p w14:paraId="4DD387BA" w14:textId="77777777" w:rsidR="00D72C83" w:rsidRPr="002E32EF" w:rsidRDefault="00D72C83" w:rsidP="00D72C83">
      <w:pPr>
        <w:spacing w:after="0" w:line="240" w:lineRule="auto"/>
        <w:rPr>
          <w:rFonts w:ascii="Times New Roman" w:hAnsi="Times New Roman" w:cs="Times New Roman"/>
        </w:rPr>
      </w:pPr>
    </w:p>
    <w:p w14:paraId="470AB8B8"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11.</w:t>
      </w:r>
      <w:r w:rsidRPr="002E32EF">
        <w:rPr>
          <w:rFonts w:ascii="Times New Roman" w:hAnsi="Times New Roman" w:cs="Times New Roman"/>
          <w:b/>
          <w:bCs/>
        </w:rPr>
        <w:tab/>
      </w:r>
      <w:r w:rsidRPr="002E32EF">
        <w:rPr>
          <w:rFonts w:ascii="Times New Roman" w:hAnsi="Times New Roman" w:cs="Times New Roman"/>
          <w:b/>
          <w:caps/>
        </w:rPr>
        <w:t>REGISTRUOTOJO</w:t>
      </w:r>
      <w:r w:rsidRPr="002E32EF" w:rsidDel="007C3E8D">
        <w:rPr>
          <w:rFonts w:ascii="Times New Roman" w:hAnsi="Times New Roman" w:cs="Times New Roman"/>
          <w:b/>
          <w:bCs/>
          <w:caps/>
        </w:rPr>
        <w:t xml:space="preserve"> </w:t>
      </w:r>
      <w:r w:rsidRPr="002E32EF">
        <w:rPr>
          <w:rFonts w:ascii="Times New Roman" w:hAnsi="Times New Roman" w:cs="Times New Roman"/>
          <w:b/>
          <w:bCs/>
          <w:caps/>
        </w:rPr>
        <w:t>PAVADINIMAS IR ADRESAS</w:t>
      </w:r>
    </w:p>
    <w:p w14:paraId="015D55FF" w14:textId="77777777" w:rsidR="00D72C83" w:rsidRPr="002E32EF" w:rsidRDefault="00D72C83" w:rsidP="00D72C83">
      <w:pPr>
        <w:spacing w:after="0" w:line="240" w:lineRule="auto"/>
        <w:rPr>
          <w:rFonts w:ascii="Times New Roman" w:hAnsi="Times New Roman" w:cs="Times New Roman"/>
        </w:rPr>
      </w:pPr>
    </w:p>
    <w:p w14:paraId="2A8DB538" w14:textId="77777777" w:rsidR="00160EA3" w:rsidRDefault="00160EA3" w:rsidP="00160EA3">
      <w:pPr>
        <w:spacing w:after="0"/>
        <w:rPr>
          <w:rFonts w:ascii="Times New Roman" w:hAnsi="Times New Roman" w:cs="Times New Roman"/>
        </w:rPr>
      </w:pPr>
      <w:r w:rsidRPr="00160EA3">
        <w:rPr>
          <w:rFonts w:ascii="Times New Roman" w:hAnsi="Times New Roman" w:cs="Times New Roman"/>
        </w:rPr>
        <w:t xml:space="preserve">Alvogen Pharma Trading Europe EOOD </w:t>
      </w:r>
    </w:p>
    <w:p w14:paraId="196DF020" w14:textId="77777777" w:rsidR="00160EA3" w:rsidRDefault="00160EA3" w:rsidP="00160EA3">
      <w:pPr>
        <w:spacing w:after="0"/>
        <w:rPr>
          <w:rFonts w:ascii="Times New Roman" w:hAnsi="Times New Roman" w:cs="Times New Roman"/>
        </w:rPr>
      </w:pPr>
      <w:r w:rsidRPr="00160EA3">
        <w:rPr>
          <w:rFonts w:ascii="Times New Roman" w:hAnsi="Times New Roman" w:cs="Times New Roman"/>
        </w:rPr>
        <w:t xml:space="preserve">86, Bulgaria blvd. </w:t>
      </w:r>
    </w:p>
    <w:p w14:paraId="29A1B9BE" w14:textId="77777777" w:rsidR="00160EA3" w:rsidRPr="00160EA3" w:rsidRDefault="00160EA3" w:rsidP="00160EA3">
      <w:pPr>
        <w:spacing w:after="0"/>
        <w:rPr>
          <w:rFonts w:ascii="Times New Roman" w:hAnsi="Times New Roman" w:cs="Times New Roman"/>
        </w:rPr>
      </w:pPr>
      <w:r w:rsidRPr="00160EA3">
        <w:rPr>
          <w:rFonts w:ascii="Times New Roman" w:hAnsi="Times New Roman" w:cs="Times New Roman"/>
        </w:rPr>
        <w:t>1680 Sofia</w:t>
      </w:r>
    </w:p>
    <w:p w14:paraId="3C5F77C1" w14:textId="77777777" w:rsidR="00160EA3" w:rsidRPr="00160EA3" w:rsidRDefault="00160EA3" w:rsidP="00160EA3">
      <w:pPr>
        <w:spacing w:after="0" w:line="240" w:lineRule="auto"/>
        <w:rPr>
          <w:rFonts w:ascii="Times New Roman" w:hAnsi="Times New Roman" w:cs="Times New Roman"/>
        </w:rPr>
      </w:pPr>
      <w:r w:rsidRPr="00160EA3">
        <w:rPr>
          <w:rFonts w:ascii="Times New Roman" w:hAnsi="Times New Roman" w:cs="Times New Roman"/>
        </w:rPr>
        <w:t>Bulgarija</w:t>
      </w:r>
    </w:p>
    <w:p w14:paraId="6EDF3A05" w14:textId="77777777" w:rsidR="00D72C83" w:rsidRPr="002E32EF" w:rsidRDefault="00D72C83" w:rsidP="00D72C83">
      <w:pPr>
        <w:spacing w:after="0" w:line="240" w:lineRule="auto"/>
        <w:rPr>
          <w:rFonts w:ascii="Times New Roman" w:hAnsi="Times New Roman" w:cs="Times New Roman"/>
        </w:rPr>
      </w:pPr>
    </w:p>
    <w:p w14:paraId="04C1B566" w14:textId="77777777" w:rsidR="00D72C83" w:rsidRPr="00874D95" w:rsidRDefault="00D72C83" w:rsidP="00D72C83">
      <w:pPr>
        <w:spacing w:after="0" w:line="240" w:lineRule="auto"/>
        <w:rPr>
          <w:rFonts w:ascii="Times New Roman" w:hAnsi="Times New Roman" w:cs="Times New Roman"/>
        </w:rPr>
      </w:pPr>
    </w:p>
    <w:p w14:paraId="1658CCF8"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874D95">
        <w:rPr>
          <w:rFonts w:ascii="Times New Roman" w:hAnsi="Times New Roman" w:cs="Times New Roman"/>
          <w:b/>
          <w:bCs/>
        </w:rPr>
        <w:t>12.</w:t>
      </w:r>
      <w:r w:rsidRPr="00874D95">
        <w:rPr>
          <w:rFonts w:ascii="Times New Roman" w:hAnsi="Times New Roman" w:cs="Times New Roman"/>
          <w:b/>
          <w:bCs/>
        </w:rPr>
        <w:tab/>
      </w:r>
      <w:r w:rsidRPr="005710B6">
        <w:rPr>
          <w:rFonts w:ascii="Times New Roman" w:hAnsi="Times New Roman" w:cs="Times New Roman"/>
          <w:b/>
        </w:rPr>
        <w:t>REGISTRACIJOS PAŽYMĖJIMO</w:t>
      </w:r>
      <w:r w:rsidRPr="002E32EF">
        <w:rPr>
          <w:rFonts w:ascii="Times New Roman" w:hAnsi="Times New Roman" w:cs="Times New Roman"/>
          <w:b/>
          <w:bCs/>
        </w:rPr>
        <w:t xml:space="preserve"> NUMERIS (-IAI) </w:t>
      </w:r>
    </w:p>
    <w:p w14:paraId="67BC016F" w14:textId="77777777" w:rsidR="00D72C83" w:rsidRPr="002E32EF" w:rsidRDefault="00D72C83" w:rsidP="00D72C83">
      <w:pPr>
        <w:spacing w:after="0" w:line="240" w:lineRule="auto"/>
        <w:rPr>
          <w:rFonts w:ascii="Times New Roman" w:hAnsi="Times New Roman" w:cs="Times New Roman"/>
        </w:rPr>
      </w:pPr>
    </w:p>
    <w:p w14:paraId="328FFA22" w14:textId="77777777"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Varlota</w:t>
      </w:r>
      <w:r w:rsidRPr="002F6BC3">
        <w:rPr>
          <w:rFonts w:ascii="Times New Roman" w:hAnsi="Times New Roman" w:cs="Times New Roman"/>
          <w:caps/>
          <w:highlight w:val="lightGray"/>
        </w:rPr>
        <w:t xml:space="preserve"> 50 </w:t>
      </w:r>
      <w:r w:rsidRPr="002F6BC3">
        <w:rPr>
          <w:rFonts w:ascii="Times New Roman" w:hAnsi="Times New Roman" w:cs="Times New Roman"/>
          <w:highlight w:val="lightGray"/>
        </w:rPr>
        <w:t>mg –</w:t>
      </w:r>
      <w:r w:rsidRPr="002E32EF">
        <w:rPr>
          <w:rFonts w:ascii="Times New Roman" w:hAnsi="Times New Roman" w:cs="Times New Roman"/>
        </w:rPr>
        <w:t xml:space="preserve"> LT/1/16/3981/001</w:t>
      </w:r>
    </w:p>
    <w:p w14:paraId="587BB906" w14:textId="77777777" w:rsidR="00D72C83" w:rsidRPr="002F6BC3" w:rsidRDefault="00D72C83" w:rsidP="00D72C83">
      <w:pPr>
        <w:spacing w:after="0" w:line="240" w:lineRule="auto"/>
        <w:rPr>
          <w:rFonts w:ascii="Times New Roman" w:hAnsi="Times New Roman" w:cs="Times New Roman"/>
          <w:highlight w:val="lightGray"/>
        </w:rPr>
      </w:pPr>
      <w:r w:rsidRPr="002F6BC3">
        <w:rPr>
          <w:rFonts w:ascii="Times New Roman" w:hAnsi="Times New Roman" w:cs="Times New Roman"/>
          <w:highlight w:val="lightGray"/>
        </w:rPr>
        <w:t>Varlota</w:t>
      </w:r>
      <w:r w:rsidRPr="002F6BC3">
        <w:rPr>
          <w:rFonts w:ascii="Times New Roman" w:hAnsi="Times New Roman" w:cs="Times New Roman"/>
          <w:caps/>
          <w:highlight w:val="lightGray"/>
        </w:rPr>
        <w:t xml:space="preserve"> 100 </w:t>
      </w:r>
      <w:r w:rsidRPr="002F6BC3">
        <w:rPr>
          <w:rFonts w:ascii="Times New Roman" w:hAnsi="Times New Roman" w:cs="Times New Roman"/>
          <w:highlight w:val="lightGray"/>
        </w:rPr>
        <w:t>mg – LT/1/16/3981/002</w:t>
      </w:r>
    </w:p>
    <w:p w14:paraId="1D7610BF" w14:textId="77777777"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Varlota</w:t>
      </w:r>
      <w:r w:rsidRPr="002F6BC3">
        <w:rPr>
          <w:rFonts w:ascii="Times New Roman" w:hAnsi="Times New Roman" w:cs="Times New Roman"/>
          <w:caps/>
          <w:highlight w:val="lightGray"/>
        </w:rPr>
        <w:t xml:space="preserve"> 150 </w:t>
      </w:r>
      <w:r w:rsidRPr="002F6BC3">
        <w:rPr>
          <w:rFonts w:ascii="Times New Roman" w:hAnsi="Times New Roman" w:cs="Times New Roman"/>
          <w:highlight w:val="lightGray"/>
        </w:rPr>
        <w:t>mg – LT/1/16/3981/003</w:t>
      </w:r>
    </w:p>
    <w:p w14:paraId="556D22A3" w14:textId="77777777" w:rsidR="00D72C83" w:rsidRPr="002E32EF" w:rsidRDefault="00D72C83" w:rsidP="00D72C83">
      <w:pPr>
        <w:spacing w:after="0" w:line="240" w:lineRule="auto"/>
        <w:rPr>
          <w:rFonts w:ascii="Times New Roman" w:hAnsi="Times New Roman" w:cs="Times New Roman"/>
        </w:rPr>
      </w:pPr>
    </w:p>
    <w:p w14:paraId="56D6AA58" w14:textId="77777777" w:rsidR="00D72C83" w:rsidRPr="002E32EF" w:rsidRDefault="00D72C83" w:rsidP="00D72C83">
      <w:pPr>
        <w:spacing w:after="0" w:line="240" w:lineRule="auto"/>
        <w:rPr>
          <w:rFonts w:ascii="Times New Roman" w:hAnsi="Times New Roman" w:cs="Times New Roman"/>
        </w:rPr>
      </w:pPr>
    </w:p>
    <w:p w14:paraId="0451D7BA"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13.</w:t>
      </w:r>
      <w:r w:rsidRPr="002E32EF">
        <w:rPr>
          <w:rFonts w:ascii="Times New Roman" w:hAnsi="Times New Roman" w:cs="Times New Roman"/>
          <w:b/>
          <w:bCs/>
        </w:rPr>
        <w:tab/>
        <w:t xml:space="preserve">SERIJOS NUMERIS </w:t>
      </w:r>
    </w:p>
    <w:p w14:paraId="52CDA14F" w14:textId="77777777" w:rsidR="00D72C83" w:rsidRPr="002E32EF" w:rsidRDefault="00D72C83" w:rsidP="00D72C83">
      <w:pPr>
        <w:spacing w:after="0" w:line="240" w:lineRule="auto"/>
        <w:rPr>
          <w:rFonts w:ascii="Times New Roman" w:hAnsi="Times New Roman" w:cs="Times New Roman"/>
        </w:rPr>
      </w:pPr>
    </w:p>
    <w:p w14:paraId="35B22A04" w14:textId="1671E596" w:rsidR="00D72C83" w:rsidRPr="002E32EF" w:rsidRDefault="00D72C83" w:rsidP="00D72C83">
      <w:pPr>
        <w:spacing w:after="0" w:line="240" w:lineRule="auto"/>
        <w:rPr>
          <w:rFonts w:ascii="Times New Roman" w:hAnsi="Times New Roman" w:cs="Times New Roman"/>
        </w:rPr>
      </w:pPr>
      <w:r>
        <w:rPr>
          <w:rFonts w:ascii="Times New Roman" w:hAnsi="Times New Roman" w:cs="Times New Roman"/>
        </w:rPr>
        <w:t>Lot {numeris}</w:t>
      </w:r>
    </w:p>
    <w:p w14:paraId="0F02BEE3" w14:textId="77777777" w:rsidR="00D72C83" w:rsidRPr="002E32EF" w:rsidRDefault="00D72C83" w:rsidP="00D72C83">
      <w:pPr>
        <w:spacing w:after="0" w:line="240" w:lineRule="auto"/>
        <w:rPr>
          <w:rFonts w:ascii="Times New Roman" w:hAnsi="Times New Roman" w:cs="Times New Roman"/>
        </w:rPr>
      </w:pPr>
    </w:p>
    <w:p w14:paraId="7761BF5C" w14:textId="77777777" w:rsidR="00D72C83" w:rsidRPr="002E32EF" w:rsidRDefault="00D72C83" w:rsidP="00D72C83">
      <w:pPr>
        <w:spacing w:after="0" w:line="240" w:lineRule="auto"/>
        <w:rPr>
          <w:rFonts w:ascii="Times New Roman" w:hAnsi="Times New Roman" w:cs="Times New Roman"/>
        </w:rPr>
      </w:pPr>
    </w:p>
    <w:p w14:paraId="7BF735C3"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14.</w:t>
      </w:r>
      <w:r w:rsidRPr="002E32EF">
        <w:rPr>
          <w:rFonts w:ascii="Times New Roman" w:hAnsi="Times New Roman" w:cs="Times New Roman"/>
          <w:b/>
          <w:bCs/>
        </w:rPr>
        <w:tab/>
        <w:t>PARDAVIMO (IŠDAVIMO) TVARKA</w:t>
      </w:r>
    </w:p>
    <w:p w14:paraId="55D67818" w14:textId="77777777" w:rsidR="00D72C83" w:rsidRPr="002E32EF" w:rsidRDefault="00D72C83" w:rsidP="00D72C83">
      <w:pPr>
        <w:spacing w:after="0" w:line="240" w:lineRule="auto"/>
        <w:rPr>
          <w:rFonts w:ascii="Times New Roman" w:hAnsi="Times New Roman" w:cs="Times New Roman"/>
        </w:rPr>
      </w:pPr>
    </w:p>
    <w:p w14:paraId="1FCA0D1C"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Receptinis vaistas</w:t>
      </w:r>
      <w:r>
        <w:rPr>
          <w:rFonts w:ascii="Times New Roman" w:hAnsi="Times New Roman" w:cs="Times New Roman"/>
        </w:rPr>
        <w:t>.</w:t>
      </w:r>
    </w:p>
    <w:p w14:paraId="25659D3A" w14:textId="77777777" w:rsidR="00D72C83" w:rsidRPr="002E32EF" w:rsidRDefault="00D72C83" w:rsidP="00D72C83">
      <w:pPr>
        <w:spacing w:after="0" w:line="240" w:lineRule="auto"/>
        <w:rPr>
          <w:rFonts w:ascii="Times New Roman" w:hAnsi="Times New Roman" w:cs="Times New Roman"/>
        </w:rPr>
      </w:pPr>
    </w:p>
    <w:p w14:paraId="464D7A6F" w14:textId="77777777" w:rsidR="00D72C83" w:rsidRPr="002E32EF" w:rsidRDefault="00D72C83" w:rsidP="00D72C83">
      <w:pPr>
        <w:spacing w:after="0" w:line="240" w:lineRule="auto"/>
        <w:rPr>
          <w:rFonts w:ascii="Times New Roman" w:hAnsi="Times New Roman" w:cs="Times New Roman"/>
        </w:rPr>
      </w:pPr>
    </w:p>
    <w:p w14:paraId="255ECF4A" w14:textId="77777777" w:rsidR="00D72C83" w:rsidRPr="002E32EF" w:rsidRDefault="00D72C83" w:rsidP="00D72C83">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2E32EF">
        <w:rPr>
          <w:rFonts w:ascii="Times New Roman" w:hAnsi="Times New Roman" w:cs="Times New Roman"/>
          <w:b/>
          <w:bCs/>
        </w:rPr>
        <w:t>15.</w:t>
      </w:r>
      <w:r w:rsidRPr="002E32EF">
        <w:rPr>
          <w:rFonts w:ascii="Times New Roman" w:hAnsi="Times New Roman" w:cs="Times New Roman"/>
          <w:b/>
          <w:bCs/>
        </w:rPr>
        <w:tab/>
        <w:t>VARTOJIMO INSTRUKCIJA</w:t>
      </w:r>
    </w:p>
    <w:p w14:paraId="414310FD" w14:textId="77777777" w:rsidR="00D72C83" w:rsidRPr="002E32EF" w:rsidRDefault="00D72C83" w:rsidP="00D72C83">
      <w:pPr>
        <w:spacing w:after="0" w:line="240" w:lineRule="auto"/>
        <w:rPr>
          <w:rFonts w:ascii="Times New Roman" w:hAnsi="Times New Roman" w:cs="Times New Roman"/>
        </w:rPr>
      </w:pPr>
    </w:p>
    <w:p w14:paraId="44EFA236" w14:textId="77777777" w:rsidR="00D72C83" w:rsidRPr="002E32EF" w:rsidRDefault="00D72C83" w:rsidP="00D72C83">
      <w:pPr>
        <w:spacing w:after="0" w:line="240" w:lineRule="auto"/>
        <w:rPr>
          <w:rFonts w:ascii="Times New Roman" w:hAnsi="Times New Roman" w:cs="Times New Roman"/>
        </w:rPr>
      </w:pPr>
    </w:p>
    <w:p w14:paraId="382EC576" w14:textId="77777777" w:rsidR="00D72C83" w:rsidRPr="002E32EF" w:rsidRDefault="00D72C83" w:rsidP="00D72C83">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rPr>
      </w:pPr>
      <w:r w:rsidRPr="002E32EF">
        <w:rPr>
          <w:rFonts w:ascii="Times New Roman" w:hAnsi="Times New Roman" w:cs="Times New Roman"/>
          <w:b/>
          <w:bCs/>
        </w:rPr>
        <w:t>16.</w:t>
      </w:r>
      <w:r w:rsidRPr="002E32EF">
        <w:rPr>
          <w:rFonts w:ascii="Times New Roman" w:hAnsi="Times New Roman" w:cs="Times New Roman"/>
          <w:b/>
          <w:bCs/>
        </w:rPr>
        <w:tab/>
        <w:t>INFORMACIJA BRAILIO RAŠTU</w:t>
      </w:r>
    </w:p>
    <w:p w14:paraId="755A2385" w14:textId="77777777" w:rsidR="00D72C83" w:rsidRPr="002E32EF" w:rsidRDefault="00D72C83" w:rsidP="00D72C83">
      <w:pPr>
        <w:spacing w:after="0" w:line="240" w:lineRule="auto"/>
        <w:rPr>
          <w:rFonts w:ascii="Times New Roman" w:hAnsi="Times New Roman" w:cs="Times New Roman"/>
        </w:rPr>
      </w:pPr>
    </w:p>
    <w:p w14:paraId="1E11957D"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rPr>
      </w:pPr>
      <w:r w:rsidRPr="002E32EF">
        <w:rPr>
          <w:rFonts w:ascii="Times New Roman" w:hAnsi="Times New Roman" w:cs="Times New Roman"/>
        </w:rPr>
        <w:t>varlota 50 mg</w:t>
      </w:r>
    </w:p>
    <w:p w14:paraId="23A08CBE" w14:textId="77777777" w:rsidR="00D72C83" w:rsidRPr="002E32EF" w:rsidRDefault="00D72C83" w:rsidP="00D72C83">
      <w:pPr>
        <w:spacing w:after="0" w:line="240" w:lineRule="auto"/>
        <w:jc w:val="both"/>
        <w:rPr>
          <w:rFonts w:ascii="Times New Roman" w:hAnsi="Times New Roman" w:cs="Times New Roman"/>
          <w:highlight w:val="lightGray"/>
        </w:rPr>
      </w:pPr>
      <w:r w:rsidRPr="002E32EF">
        <w:rPr>
          <w:rFonts w:ascii="Times New Roman" w:hAnsi="Times New Roman" w:cs="Times New Roman"/>
          <w:highlight w:val="lightGray"/>
        </w:rPr>
        <w:t>varlota 100 mg</w:t>
      </w:r>
    </w:p>
    <w:p w14:paraId="61440E91" w14:textId="77777777" w:rsidR="00D72C83" w:rsidRPr="002E32EF" w:rsidRDefault="00D72C83" w:rsidP="00D72C83">
      <w:pPr>
        <w:spacing w:after="0" w:line="240" w:lineRule="auto"/>
        <w:jc w:val="both"/>
        <w:rPr>
          <w:rFonts w:ascii="Times New Roman" w:hAnsi="Times New Roman" w:cs="Times New Roman"/>
        </w:rPr>
      </w:pPr>
      <w:r w:rsidRPr="002E32EF">
        <w:rPr>
          <w:rFonts w:ascii="Times New Roman" w:hAnsi="Times New Roman" w:cs="Times New Roman"/>
          <w:highlight w:val="lightGray"/>
        </w:rPr>
        <w:t>varlota 150 mg</w:t>
      </w:r>
    </w:p>
    <w:p w14:paraId="0AEFBDB3" w14:textId="77777777" w:rsidR="00D72C83" w:rsidRPr="002E32EF" w:rsidRDefault="00D72C83" w:rsidP="00D72C83">
      <w:pPr>
        <w:spacing w:after="0" w:line="240" w:lineRule="auto"/>
        <w:rPr>
          <w:rFonts w:ascii="Times New Roman" w:hAnsi="Times New Roman" w:cs="Times New Roman"/>
          <w:shd w:val="clear" w:color="auto" w:fill="CCCCCC"/>
        </w:rPr>
      </w:pPr>
    </w:p>
    <w:p w14:paraId="2A4D3A85" w14:textId="77777777" w:rsidR="00D72C83" w:rsidRPr="002E32EF" w:rsidRDefault="00D72C83" w:rsidP="00D72C83">
      <w:pPr>
        <w:spacing w:after="0" w:line="240" w:lineRule="auto"/>
        <w:rPr>
          <w:rFonts w:ascii="Times New Roman" w:hAnsi="Times New Roman" w:cs="Times New Roman"/>
          <w:shd w:val="clear" w:color="auto" w:fill="CCCCCC"/>
        </w:rPr>
      </w:pPr>
    </w:p>
    <w:p w14:paraId="6FCAC686" w14:textId="77777777" w:rsidR="00D72C83" w:rsidRPr="00D3564A" w:rsidRDefault="00D72C83" w:rsidP="00D3564A">
      <w:pPr>
        <w:pStyle w:val="Sraopastraipa"/>
        <w:keepNext/>
        <w:numPr>
          <w:ilvl w:val="0"/>
          <w:numId w:val="16"/>
        </w:numPr>
        <w:pBdr>
          <w:top w:val="single" w:sz="4" w:space="1" w:color="auto"/>
          <w:left w:val="single" w:sz="4" w:space="4" w:color="auto"/>
          <w:bottom w:val="single" w:sz="4" w:space="1" w:color="auto"/>
          <w:right w:val="single" w:sz="4" w:space="4" w:color="auto"/>
        </w:pBdr>
        <w:spacing w:line="240" w:lineRule="auto"/>
        <w:ind w:left="0" w:firstLine="0"/>
        <w:outlineLvl w:val="0"/>
        <w:rPr>
          <w:i/>
        </w:rPr>
      </w:pPr>
      <w:r w:rsidRPr="00D3564A">
        <w:rPr>
          <w:b/>
          <w:lang w:val="lt-LT"/>
        </w:rPr>
        <w:t>UNIKALUS IDENTIFIKATORIUS – 2D BRŪKŠNINIS KODAS</w:t>
      </w:r>
    </w:p>
    <w:p w14:paraId="512EE416" w14:textId="77777777" w:rsidR="00D72C83" w:rsidRPr="002E32EF" w:rsidRDefault="00D72C83" w:rsidP="00D72C83">
      <w:pPr>
        <w:spacing w:after="0" w:line="240" w:lineRule="auto"/>
        <w:rPr>
          <w:rFonts w:ascii="Times New Roman" w:hAnsi="Times New Roman" w:cs="Times New Roman"/>
        </w:rPr>
      </w:pPr>
    </w:p>
    <w:p w14:paraId="0EF0FEEE"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highlight w:val="lightGray"/>
        </w:rPr>
        <w:t>2D brūkšninis kodas su nurodytu unikaliu identifikatoriumi.</w:t>
      </w:r>
    </w:p>
    <w:p w14:paraId="4E70A942" w14:textId="77777777" w:rsidR="00D72C83" w:rsidRPr="002E32EF" w:rsidRDefault="00D72C83" w:rsidP="00D72C83">
      <w:pPr>
        <w:spacing w:after="0" w:line="240" w:lineRule="auto"/>
        <w:rPr>
          <w:rFonts w:ascii="Times New Roman" w:hAnsi="Times New Roman" w:cs="Times New Roman"/>
        </w:rPr>
      </w:pPr>
    </w:p>
    <w:p w14:paraId="531A16AD" w14:textId="77777777" w:rsidR="00D72C83" w:rsidRPr="002E32EF" w:rsidRDefault="00D72C83" w:rsidP="00D72C83">
      <w:pPr>
        <w:spacing w:after="0" w:line="240" w:lineRule="auto"/>
        <w:rPr>
          <w:rFonts w:ascii="Times New Roman" w:hAnsi="Times New Roman" w:cs="Times New Roman"/>
        </w:rPr>
      </w:pPr>
    </w:p>
    <w:p w14:paraId="2AE4D28D" w14:textId="77777777" w:rsidR="00D72C83" w:rsidRPr="00D3564A" w:rsidRDefault="00D72C83" w:rsidP="00D3564A">
      <w:pPr>
        <w:pStyle w:val="Sraopastraipa"/>
        <w:keepNext/>
        <w:numPr>
          <w:ilvl w:val="0"/>
          <w:numId w:val="16"/>
        </w:numPr>
        <w:pBdr>
          <w:top w:val="single" w:sz="4" w:space="1" w:color="auto"/>
          <w:left w:val="single" w:sz="4" w:space="4" w:color="auto"/>
          <w:bottom w:val="single" w:sz="4" w:space="1" w:color="auto"/>
          <w:right w:val="single" w:sz="4" w:space="4" w:color="auto"/>
        </w:pBdr>
        <w:spacing w:line="240" w:lineRule="auto"/>
        <w:ind w:hanging="927"/>
        <w:outlineLvl w:val="0"/>
        <w:rPr>
          <w:i/>
        </w:rPr>
      </w:pPr>
      <w:r w:rsidRPr="00D3564A">
        <w:rPr>
          <w:b/>
          <w:lang w:val="lt-LT"/>
        </w:rPr>
        <w:t>UNIKALUS IDENTIFIKATORIUS – ŽMONĖMS SUPRANTAMI DUOMENYS</w:t>
      </w:r>
    </w:p>
    <w:p w14:paraId="276E2DB0" w14:textId="77777777" w:rsidR="00D72C83" w:rsidRPr="00AE56FA" w:rsidRDefault="00D72C83" w:rsidP="00D72C83">
      <w:pPr>
        <w:spacing w:after="0" w:line="240" w:lineRule="auto"/>
        <w:rPr>
          <w:rFonts w:ascii="Times New Roman" w:hAnsi="Times New Roman" w:cs="Times New Roman"/>
        </w:rPr>
      </w:pPr>
    </w:p>
    <w:p w14:paraId="48DB70D5" w14:textId="36F1ECEE"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lastRenderedPageBreak/>
        <w:t>PC {numeris}</w:t>
      </w:r>
    </w:p>
    <w:p w14:paraId="2584888D" w14:textId="7A1B494A"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SN {numeris} </w:t>
      </w:r>
    </w:p>
    <w:p w14:paraId="687755A6" w14:textId="03D78C21"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NN {numeris}</w:t>
      </w:r>
      <w:r w:rsidRPr="002E32EF">
        <w:rPr>
          <w:rFonts w:ascii="Times New Roman" w:hAnsi="Times New Roman" w:cs="Times New Roman"/>
        </w:rPr>
        <w:t xml:space="preserve"> </w:t>
      </w:r>
      <w:r w:rsidRPr="002E32EF">
        <w:rPr>
          <w:rFonts w:ascii="Times New Roman" w:hAnsi="Times New Roman" w:cs="Times New Roman"/>
        </w:rPr>
        <w:br w:type="page"/>
      </w:r>
    </w:p>
    <w:p w14:paraId="451DA5A2" w14:textId="77777777" w:rsidR="00D72C83" w:rsidRPr="00AE56FA" w:rsidRDefault="00D72C83" w:rsidP="00D72C83">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hAnsi="Times New Roman" w:cs="Times New Roman"/>
          <w:b/>
        </w:rPr>
      </w:pPr>
      <w:r w:rsidRPr="00AE56FA">
        <w:rPr>
          <w:rFonts w:ascii="Times New Roman" w:hAnsi="Times New Roman" w:cs="Times New Roman"/>
          <w:b/>
        </w:rPr>
        <w:lastRenderedPageBreak/>
        <w:t>MINIMALI INFORMACIJA ANT LIZDINIŲ PLOKŠTELIŲ ARBA DVISLUOKSNIŲ JUOSTELIŲ</w:t>
      </w:r>
    </w:p>
    <w:p w14:paraId="1D681A03" w14:textId="77777777" w:rsidR="00D72C83" w:rsidRPr="00AE56FA" w:rsidRDefault="00D72C83" w:rsidP="00D72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p>
    <w:p w14:paraId="3DBA969E" w14:textId="77777777" w:rsidR="00D72C83" w:rsidRPr="00AE56FA" w:rsidRDefault="00D72C83" w:rsidP="00D72C8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AE56FA">
        <w:rPr>
          <w:rFonts w:ascii="Times New Roman" w:hAnsi="Times New Roman" w:cs="Times New Roman"/>
          <w:b/>
        </w:rPr>
        <w:t xml:space="preserve">LIZDINĖ PLOKŠTELĖ </w:t>
      </w:r>
    </w:p>
    <w:p w14:paraId="3A3107B6" w14:textId="77777777" w:rsidR="00D72C83" w:rsidRPr="00AE56FA" w:rsidRDefault="00D72C83" w:rsidP="00D72C83">
      <w:pPr>
        <w:spacing w:after="0" w:line="240" w:lineRule="auto"/>
        <w:rPr>
          <w:rFonts w:ascii="Times New Roman" w:hAnsi="Times New Roman" w:cs="Times New Roman"/>
        </w:rPr>
      </w:pPr>
    </w:p>
    <w:p w14:paraId="0601A291" w14:textId="77777777" w:rsidR="00D72C83" w:rsidRPr="002E32EF" w:rsidRDefault="00D72C83" w:rsidP="00D72C83">
      <w:pPr>
        <w:spacing w:after="0" w:line="240" w:lineRule="auto"/>
        <w:rPr>
          <w:rFonts w:ascii="Times New Roman" w:hAnsi="Times New Roman" w:cs="Times New Roman"/>
        </w:rPr>
      </w:pPr>
    </w:p>
    <w:p w14:paraId="07C6592A"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1.</w:t>
      </w:r>
      <w:r w:rsidRPr="002E32EF">
        <w:rPr>
          <w:rFonts w:ascii="Times New Roman" w:hAnsi="Times New Roman" w:cs="Times New Roman"/>
          <w:b/>
          <w:bCs/>
        </w:rPr>
        <w:tab/>
      </w:r>
      <w:r w:rsidRPr="002E32EF">
        <w:rPr>
          <w:rFonts w:ascii="Times New Roman" w:hAnsi="Times New Roman" w:cs="Times New Roman"/>
          <w:b/>
          <w:bCs/>
          <w:caps/>
        </w:rPr>
        <w:t>VAISTINIO</w:t>
      </w:r>
      <w:r w:rsidRPr="002E32EF">
        <w:rPr>
          <w:rFonts w:ascii="Times New Roman" w:hAnsi="Times New Roman" w:cs="Times New Roman"/>
          <w:b/>
          <w:bCs/>
        </w:rPr>
        <w:t xml:space="preserve"> PREPARATO PAVADINIMAS</w:t>
      </w:r>
    </w:p>
    <w:p w14:paraId="5F57547B" w14:textId="77777777" w:rsidR="00D72C83" w:rsidRPr="002E32EF" w:rsidRDefault="00D72C83" w:rsidP="00D72C83">
      <w:pPr>
        <w:spacing w:after="0" w:line="240" w:lineRule="auto"/>
        <w:rPr>
          <w:rFonts w:ascii="Times New Roman" w:hAnsi="Times New Roman" w:cs="Times New Roman"/>
        </w:rPr>
      </w:pPr>
    </w:p>
    <w:p w14:paraId="3450E3AD" w14:textId="77777777" w:rsidR="00D72C83" w:rsidRPr="002E32EF" w:rsidRDefault="00D72C83" w:rsidP="00D72C83">
      <w:pPr>
        <w:spacing w:after="0" w:line="240" w:lineRule="auto"/>
        <w:jc w:val="both"/>
        <w:rPr>
          <w:rFonts w:ascii="Times New Roman" w:hAnsi="Times New Roman" w:cs="Times New Roman"/>
        </w:rPr>
      </w:pPr>
      <w:r w:rsidRPr="002E32EF">
        <w:rPr>
          <w:rFonts w:ascii="Times New Roman" w:hAnsi="Times New Roman" w:cs="Times New Roman"/>
        </w:rPr>
        <w:t>Varlota 50 mg plėvele dengtos tabletės</w:t>
      </w:r>
    </w:p>
    <w:p w14:paraId="1E3B3A64" w14:textId="77777777" w:rsidR="00D72C83" w:rsidRPr="002E32EF" w:rsidRDefault="00D72C83" w:rsidP="00D72C83">
      <w:pPr>
        <w:spacing w:after="0" w:line="240" w:lineRule="auto"/>
        <w:jc w:val="both"/>
        <w:rPr>
          <w:rFonts w:ascii="Times New Roman" w:hAnsi="Times New Roman" w:cs="Times New Roman"/>
          <w:highlight w:val="lightGray"/>
        </w:rPr>
      </w:pPr>
      <w:r w:rsidRPr="002E32EF">
        <w:rPr>
          <w:rFonts w:ascii="Times New Roman" w:hAnsi="Times New Roman" w:cs="Times New Roman"/>
          <w:highlight w:val="lightGray"/>
        </w:rPr>
        <w:t>Varlota 100 mg plėvele dengtos tabletės</w:t>
      </w:r>
    </w:p>
    <w:p w14:paraId="613BE04C" w14:textId="77777777" w:rsidR="00D72C83" w:rsidRPr="002E32EF" w:rsidRDefault="00D72C83" w:rsidP="00D72C83">
      <w:pPr>
        <w:spacing w:after="0" w:line="240" w:lineRule="auto"/>
        <w:jc w:val="both"/>
        <w:rPr>
          <w:rFonts w:ascii="Times New Roman" w:hAnsi="Times New Roman" w:cs="Times New Roman"/>
        </w:rPr>
      </w:pPr>
      <w:r w:rsidRPr="002F6BC3">
        <w:rPr>
          <w:rFonts w:ascii="Times New Roman" w:hAnsi="Times New Roman" w:cs="Times New Roman"/>
          <w:highlight w:val="darkGray"/>
        </w:rPr>
        <w:t>Varlota 150 mg plėvele dengtos tabletės</w:t>
      </w:r>
    </w:p>
    <w:p w14:paraId="041C0E1C" w14:textId="77777777" w:rsidR="003D0740" w:rsidRPr="002E32EF" w:rsidRDefault="003D0740" w:rsidP="003D0740">
      <w:pPr>
        <w:spacing w:after="0" w:line="240" w:lineRule="auto"/>
        <w:jc w:val="both"/>
        <w:rPr>
          <w:rFonts w:ascii="Times New Roman" w:hAnsi="Times New Roman" w:cs="Times New Roman"/>
        </w:rPr>
      </w:pPr>
      <w:r>
        <w:rPr>
          <w:rFonts w:ascii="Times New Roman" w:hAnsi="Times New Roman" w:cs="Times New Roman"/>
        </w:rPr>
        <w:t>e</w:t>
      </w:r>
      <w:r w:rsidRPr="002E32EF">
        <w:rPr>
          <w:rFonts w:ascii="Times New Roman" w:hAnsi="Times New Roman" w:cs="Times New Roman"/>
        </w:rPr>
        <w:t>rlotinib</w:t>
      </w:r>
      <w:r>
        <w:rPr>
          <w:rFonts w:ascii="Times New Roman" w:hAnsi="Times New Roman" w:cs="Times New Roman"/>
        </w:rPr>
        <w:t>as</w:t>
      </w:r>
    </w:p>
    <w:p w14:paraId="3C79271E" w14:textId="77777777" w:rsidR="00D72C83" w:rsidRPr="002E32EF" w:rsidRDefault="00D72C83" w:rsidP="00D72C83">
      <w:pPr>
        <w:spacing w:after="0" w:line="240" w:lineRule="auto"/>
        <w:jc w:val="both"/>
        <w:rPr>
          <w:rFonts w:ascii="Times New Roman" w:hAnsi="Times New Roman" w:cs="Times New Roman"/>
        </w:rPr>
      </w:pPr>
    </w:p>
    <w:p w14:paraId="0EDE7727" w14:textId="77777777" w:rsidR="00D72C83" w:rsidRPr="002E32EF" w:rsidRDefault="00D72C83" w:rsidP="00D72C83">
      <w:pPr>
        <w:spacing w:after="0" w:line="240" w:lineRule="auto"/>
        <w:rPr>
          <w:rFonts w:ascii="Times New Roman" w:hAnsi="Times New Roman" w:cs="Times New Roman"/>
        </w:rPr>
      </w:pPr>
    </w:p>
    <w:p w14:paraId="078DD110"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2.</w:t>
      </w:r>
      <w:r w:rsidRPr="002E32EF">
        <w:rPr>
          <w:rFonts w:ascii="Times New Roman" w:hAnsi="Times New Roman" w:cs="Times New Roman"/>
          <w:b/>
          <w:bCs/>
        </w:rPr>
        <w:tab/>
      </w:r>
      <w:r w:rsidRPr="002E32EF">
        <w:rPr>
          <w:rFonts w:ascii="Times New Roman" w:hAnsi="Times New Roman" w:cs="Times New Roman"/>
          <w:b/>
          <w:caps/>
        </w:rPr>
        <w:t>REGISTRUOTOJO</w:t>
      </w:r>
      <w:r w:rsidRPr="002E32EF" w:rsidDel="002D2BFE">
        <w:rPr>
          <w:rFonts w:ascii="Times New Roman" w:hAnsi="Times New Roman" w:cs="Times New Roman"/>
          <w:b/>
          <w:bCs/>
          <w:caps/>
        </w:rPr>
        <w:t xml:space="preserve"> </w:t>
      </w:r>
      <w:r w:rsidRPr="002E32EF">
        <w:rPr>
          <w:rFonts w:ascii="Times New Roman" w:hAnsi="Times New Roman" w:cs="Times New Roman"/>
          <w:b/>
          <w:bCs/>
          <w:caps/>
        </w:rPr>
        <w:t>pavadinimas</w:t>
      </w:r>
    </w:p>
    <w:p w14:paraId="669A07A3" w14:textId="77777777" w:rsidR="00D72C83" w:rsidRPr="002E32EF" w:rsidRDefault="00D72C83" w:rsidP="00D72C83">
      <w:pPr>
        <w:spacing w:after="0" w:line="240" w:lineRule="auto"/>
        <w:rPr>
          <w:rFonts w:ascii="Times New Roman" w:hAnsi="Times New Roman" w:cs="Times New Roman"/>
        </w:rPr>
      </w:pPr>
    </w:p>
    <w:p w14:paraId="3E23D43A" w14:textId="77777777" w:rsidR="00D72C83" w:rsidRPr="00E35BE6" w:rsidRDefault="00D72C83" w:rsidP="00D3564A">
      <w:pPr>
        <w:pStyle w:val="Pagrindinistekstas"/>
        <w:rPr>
          <w:lang w:val="pt-PT"/>
        </w:rPr>
      </w:pPr>
      <w:r w:rsidRPr="00D3564A">
        <w:rPr>
          <w:i w:val="0"/>
          <w:color w:val="auto"/>
          <w:sz w:val="22"/>
          <w:lang w:val="lt-LT"/>
        </w:rPr>
        <w:t xml:space="preserve">Alvogen {logotipas} </w:t>
      </w:r>
    </w:p>
    <w:p w14:paraId="7F919101" w14:textId="77777777" w:rsidR="00D72C83" w:rsidRPr="002E32EF" w:rsidRDefault="00D72C83" w:rsidP="00D72C83">
      <w:pPr>
        <w:spacing w:after="0" w:line="240" w:lineRule="auto"/>
        <w:rPr>
          <w:rFonts w:ascii="Times New Roman" w:hAnsi="Times New Roman" w:cs="Times New Roman"/>
        </w:rPr>
      </w:pPr>
    </w:p>
    <w:p w14:paraId="0E74CEB3" w14:textId="77777777" w:rsidR="00D72C83" w:rsidRPr="002E32EF" w:rsidRDefault="00D72C83" w:rsidP="00D72C83">
      <w:pPr>
        <w:spacing w:after="0" w:line="240" w:lineRule="auto"/>
        <w:rPr>
          <w:rFonts w:ascii="Times New Roman" w:hAnsi="Times New Roman" w:cs="Times New Roman"/>
        </w:rPr>
      </w:pPr>
    </w:p>
    <w:p w14:paraId="322A5BE8" w14:textId="77777777" w:rsidR="00D72C83" w:rsidRPr="002E32EF" w:rsidRDefault="00D72C83" w:rsidP="00D72C83">
      <w:pPr>
        <w:pBdr>
          <w:top w:val="single" w:sz="4" w:space="1" w:color="auto"/>
          <w:left w:val="single" w:sz="4" w:space="4" w:color="auto"/>
          <w:bottom w:val="single" w:sz="4" w:space="2"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3.</w:t>
      </w:r>
      <w:r w:rsidRPr="002E32EF">
        <w:rPr>
          <w:rFonts w:ascii="Times New Roman" w:hAnsi="Times New Roman" w:cs="Times New Roman"/>
          <w:b/>
          <w:bCs/>
        </w:rPr>
        <w:tab/>
        <w:t>TINKAMUMO LAIKAS</w:t>
      </w:r>
    </w:p>
    <w:p w14:paraId="1E149392" w14:textId="77777777" w:rsidR="00D72C83" w:rsidRPr="002E32EF" w:rsidRDefault="00D72C83" w:rsidP="00D72C83">
      <w:pPr>
        <w:spacing w:after="0" w:line="240" w:lineRule="auto"/>
        <w:rPr>
          <w:rFonts w:ascii="Times New Roman" w:hAnsi="Times New Roman" w:cs="Times New Roman"/>
        </w:rPr>
      </w:pPr>
    </w:p>
    <w:p w14:paraId="166E1C09" w14:textId="77777777"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EXP</w:t>
      </w:r>
      <w:r w:rsidRPr="002E32EF">
        <w:rPr>
          <w:rFonts w:ascii="Times New Roman" w:hAnsi="Times New Roman" w:cs="Times New Roman"/>
        </w:rPr>
        <w:t xml:space="preserve"> {mm</w:t>
      </w:r>
      <w:r>
        <w:rPr>
          <w:rFonts w:ascii="Times New Roman" w:hAnsi="Times New Roman" w:cs="Times New Roman"/>
        </w:rPr>
        <w:t>/</w:t>
      </w:r>
      <w:r w:rsidRPr="002E32EF">
        <w:rPr>
          <w:rFonts w:ascii="Times New Roman" w:hAnsi="Times New Roman" w:cs="Times New Roman"/>
        </w:rPr>
        <w:t>MMMM}</w:t>
      </w:r>
    </w:p>
    <w:p w14:paraId="19365080" w14:textId="77777777" w:rsidR="00D72C83" w:rsidRPr="002E32EF" w:rsidRDefault="00D72C83" w:rsidP="00D72C83">
      <w:pPr>
        <w:spacing w:after="0" w:line="240" w:lineRule="auto"/>
        <w:rPr>
          <w:rFonts w:ascii="Times New Roman" w:hAnsi="Times New Roman" w:cs="Times New Roman"/>
        </w:rPr>
      </w:pPr>
    </w:p>
    <w:p w14:paraId="53BB0010" w14:textId="77777777" w:rsidR="00D72C83" w:rsidRPr="002E32EF" w:rsidRDefault="00D72C83" w:rsidP="00D72C83">
      <w:pPr>
        <w:spacing w:after="0" w:line="240" w:lineRule="auto"/>
        <w:rPr>
          <w:rFonts w:ascii="Times New Roman" w:hAnsi="Times New Roman" w:cs="Times New Roman"/>
        </w:rPr>
      </w:pPr>
    </w:p>
    <w:p w14:paraId="47FE3D2E" w14:textId="77777777" w:rsidR="00D72C83" w:rsidRPr="002E32EF" w:rsidRDefault="00D72C83" w:rsidP="00D72C83">
      <w:pPr>
        <w:suppressLineNumbers/>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4.</w:t>
      </w:r>
      <w:r w:rsidRPr="002E32EF">
        <w:rPr>
          <w:rFonts w:ascii="Times New Roman" w:hAnsi="Times New Roman" w:cs="Times New Roman"/>
          <w:b/>
          <w:bCs/>
        </w:rPr>
        <w:tab/>
        <w:t>SERIJOS NUMERIS</w:t>
      </w:r>
    </w:p>
    <w:p w14:paraId="7F7DDF9B" w14:textId="77777777" w:rsidR="00D72C83" w:rsidRPr="002E32EF" w:rsidRDefault="00D72C83" w:rsidP="00D72C83">
      <w:pPr>
        <w:spacing w:after="0" w:line="240" w:lineRule="auto"/>
        <w:rPr>
          <w:rFonts w:ascii="Times New Roman" w:hAnsi="Times New Roman" w:cs="Times New Roman"/>
        </w:rPr>
      </w:pPr>
    </w:p>
    <w:p w14:paraId="1AF82B9B" w14:textId="77777777" w:rsidR="00D72C83" w:rsidRPr="002E32EF" w:rsidRDefault="00D72C83" w:rsidP="00D72C83">
      <w:pPr>
        <w:spacing w:after="0" w:line="240" w:lineRule="auto"/>
        <w:rPr>
          <w:rFonts w:ascii="Times New Roman" w:hAnsi="Times New Roman" w:cs="Times New Roman"/>
        </w:rPr>
      </w:pPr>
      <w:r w:rsidRPr="002F6BC3">
        <w:rPr>
          <w:rFonts w:ascii="Times New Roman" w:hAnsi="Times New Roman" w:cs="Times New Roman"/>
          <w:highlight w:val="lightGray"/>
        </w:rPr>
        <w:t>Lot</w:t>
      </w:r>
      <w:r w:rsidRPr="002E32EF">
        <w:rPr>
          <w:rFonts w:ascii="Times New Roman" w:hAnsi="Times New Roman" w:cs="Times New Roman"/>
        </w:rPr>
        <w:t xml:space="preserve"> {numeris}</w:t>
      </w:r>
    </w:p>
    <w:p w14:paraId="3DAD9B2C" w14:textId="77777777" w:rsidR="00D72C83" w:rsidRPr="002E32EF" w:rsidRDefault="00D72C83" w:rsidP="00D72C83">
      <w:pPr>
        <w:spacing w:after="0" w:line="240" w:lineRule="auto"/>
        <w:rPr>
          <w:rFonts w:ascii="Times New Roman" w:hAnsi="Times New Roman" w:cs="Times New Roman"/>
        </w:rPr>
      </w:pPr>
    </w:p>
    <w:p w14:paraId="4826B3DC" w14:textId="77777777" w:rsidR="00D72C83" w:rsidRPr="002E32EF" w:rsidRDefault="00D72C83" w:rsidP="00D72C83">
      <w:pPr>
        <w:spacing w:after="0" w:line="240" w:lineRule="auto"/>
        <w:rPr>
          <w:rFonts w:ascii="Times New Roman" w:hAnsi="Times New Roman" w:cs="Times New Roman"/>
        </w:rPr>
      </w:pPr>
    </w:p>
    <w:p w14:paraId="0FCEE6B3" w14:textId="77777777" w:rsidR="00D72C83" w:rsidRPr="002E32EF" w:rsidRDefault="00D72C83" w:rsidP="00D72C8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bCs/>
        </w:rPr>
      </w:pPr>
      <w:r w:rsidRPr="002E32EF">
        <w:rPr>
          <w:rFonts w:ascii="Times New Roman" w:hAnsi="Times New Roman" w:cs="Times New Roman"/>
          <w:b/>
          <w:bCs/>
        </w:rPr>
        <w:t>5.</w:t>
      </w:r>
      <w:r w:rsidRPr="002E32EF">
        <w:rPr>
          <w:rFonts w:ascii="Times New Roman" w:hAnsi="Times New Roman" w:cs="Times New Roman"/>
          <w:b/>
          <w:bCs/>
        </w:rPr>
        <w:tab/>
        <w:t>KITA</w:t>
      </w:r>
    </w:p>
    <w:p w14:paraId="0F752A76" w14:textId="77777777" w:rsidR="00D72C83" w:rsidRPr="002E32EF" w:rsidRDefault="00D72C83" w:rsidP="00D72C83">
      <w:pPr>
        <w:spacing w:after="0" w:line="240" w:lineRule="auto"/>
        <w:rPr>
          <w:rFonts w:ascii="Times New Roman" w:hAnsi="Times New Roman" w:cs="Times New Roman"/>
        </w:rPr>
      </w:pPr>
    </w:p>
    <w:p w14:paraId="1CEAA4A5" w14:textId="77777777" w:rsidR="00D72C83" w:rsidRPr="002E32EF" w:rsidRDefault="00D72C83" w:rsidP="00D72C83">
      <w:pPr>
        <w:spacing w:after="0" w:line="240" w:lineRule="auto"/>
        <w:rPr>
          <w:rFonts w:ascii="Times New Roman" w:hAnsi="Times New Roman" w:cs="Times New Roman"/>
        </w:rPr>
      </w:pPr>
    </w:p>
    <w:p w14:paraId="70BB151F" w14:textId="77777777" w:rsidR="00D72C83" w:rsidRPr="002E32EF" w:rsidRDefault="00D72C83" w:rsidP="00D72C83">
      <w:pPr>
        <w:spacing w:after="0" w:line="240" w:lineRule="auto"/>
        <w:outlineLvl w:val="0"/>
        <w:rPr>
          <w:rFonts w:ascii="Times New Roman" w:hAnsi="Times New Roman" w:cs="Times New Roman"/>
        </w:rPr>
      </w:pPr>
      <w:r w:rsidRPr="002E32EF">
        <w:rPr>
          <w:rFonts w:ascii="Times New Roman" w:hAnsi="Times New Roman" w:cs="Times New Roman"/>
          <w:b/>
          <w:bCs/>
        </w:rPr>
        <w:br w:type="page"/>
      </w:r>
    </w:p>
    <w:p w14:paraId="54263588" w14:textId="77777777" w:rsidR="00D72C83" w:rsidRPr="002E32EF" w:rsidRDefault="00D72C83" w:rsidP="00D72C83">
      <w:pPr>
        <w:spacing w:after="0" w:line="240" w:lineRule="auto"/>
        <w:outlineLvl w:val="0"/>
        <w:rPr>
          <w:rFonts w:ascii="Times New Roman" w:hAnsi="Times New Roman" w:cs="Times New Roman"/>
        </w:rPr>
      </w:pPr>
    </w:p>
    <w:p w14:paraId="58E07234" w14:textId="77777777" w:rsidR="00D72C83" w:rsidRPr="002E32EF" w:rsidRDefault="00D72C83" w:rsidP="00D72C83">
      <w:pPr>
        <w:spacing w:after="0" w:line="240" w:lineRule="auto"/>
        <w:outlineLvl w:val="0"/>
        <w:rPr>
          <w:rFonts w:ascii="Times New Roman" w:hAnsi="Times New Roman" w:cs="Times New Roman"/>
        </w:rPr>
      </w:pPr>
    </w:p>
    <w:p w14:paraId="358A1FE4" w14:textId="77777777" w:rsidR="00D72C83" w:rsidRPr="002E32EF" w:rsidRDefault="00D72C83" w:rsidP="00D72C83">
      <w:pPr>
        <w:spacing w:after="0" w:line="240" w:lineRule="auto"/>
        <w:outlineLvl w:val="0"/>
        <w:rPr>
          <w:rFonts w:ascii="Times New Roman" w:hAnsi="Times New Roman" w:cs="Times New Roman"/>
        </w:rPr>
      </w:pPr>
    </w:p>
    <w:p w14:paraId="0EF62FFE" w14:textId="77777777" w:rsidR="00D72C83" w:rsidRPr="002E32EF" w:rsidRDefault="00D72C83" w:rsidP="00D72C83">
      <w:pPr>
        <w:spacing w:after="0" w:line="240" w:lineRule="auto"/>
        <w:outlineLvl w:val="0"/>
        <w:rPr>
          <w:rFonts w:ascii="Times New Roman" w:hAnsi="Times New Roman" w:cs="Times New Roman"/>
        </w:rPr>
      </w:pPr>
    </w:p>
    <w:p w14:paraId="159BE5AA" w14:textId="77777777" w:rsidR="00D72C83" w:rsidRPr="002E32EF" w:rsidRDefault="00D72C83" w:rsidP="00D72C83">
      <w:pPr>
        <w:spacing w:after="0" w:line="240" w:lineRule="auto"/>
        <w:outlineLvl w:val="0"/>
        <w:rPr>
          <w:rFonts w:ascii="Times New Roman" w:hAnsi="Times New Roman" w:cs="Times New Roman"/>
        </w:rPr>
      </w:pPr>
    </w:p>
    <w:p w14:paraId="18C65BB0" w14:textId="77777777" w:rsidR="00D72C83" w:rsidRPr="002E32EF" w:rsidRDefault="00D72C83" w:rsidP="00D72C83">
      <w:pPr>
        <w:spacing w:after="0" w:line="240" w:lineRule="auto"/>
        <w:outlineLvl w:val="0"/>
        <w:rPr>
          <w:rFonts w:ascii="Times New Roman" w:hAnsi="Times New Roman" w:cs="Times New Roman"/>
        </w:rPr>
      </w:pPr>
    </w:p>
    <w:p w14:paraId="0CB839DF" w14:textId="77777777" w:rsidR="00D72C83" w:rsidRPr="002E32EF" w:rsidRDefault="00D72C83" w:rsidP="00D72C83">
      <w:pPr>
        <w:spacing w:after="0" w:line="240" w:lineRule="auto"/>
        <w:outlineLvl w:val="0"/>
        <w:rPr>
          <w:rFonts w:ascii="Times New Roman" w:hAnsi="Times New Roman" w:cs="Times New Roman"/>
        </w:rPr>
      </w:pPr>
    </w:p>
    <w:p w14:paraId="1290C5B4" w14:textId="77777777" w:rsidR="00D72C83" w:rsidRPr="002E32EF" w:rsidRDefault="00D72C83" w:rsidP="00D72C83">
      <w:pPr>
        <w:spacing w:after="0" w:line="240" w:lineRule="auto"/>
        <w:outlineLvl w:val="0"/>
        <w:rPr>
          <w:rFonts w:ascii="Times New Roman" w:hAnsi="Times New Roman" w:cs="Times New Roman"/>
        </w:rPr>
      </w:pPr>
    </w:p>
    <w:p w14:paraId="56FD4BE0" w14:textId="77777777" w:rsidR="00D72C83" w:rsidRPr="002E32EF" w:rsidRDefault="00D72C83" w:rsidP="00D72C83">
      <w:pPr>
        <w:spacing w:after="0" w:line="240" w:lineRule="auto"/>
        <w:outlineLvl w:val="0"/>
        <w:rPr>
          <w:rFonts w:ascii="Times New Roman" w:hAnsi="Times New Roman" w:cs="Times New Roman"/>
        </w:rPr>
      </w:pPr>
    </w:p>
    <w:p w14:paraId="4E54C723" w14:textId="77777777" w:rsidR="00D72C83" w:rsidRPr="002E32EF" w:rsidRDefault="00D72C83" w:rsidP="00D72C83">
      <w:pPr>
        <w:spacing w:after="0" w:line="240" w:lineRule="auto"/>
        <w:outlineLvl w:val="0"/>
        <w:rPr>
          <w:rFonts w:ascii="Times New Roman" w:hAnsi="Times New Roman" w:cs="Times New Roman"/>
        </w:rPr>
      </w:pPr>
    </w:p>
    <w:p w14:paraId="25685FBC" w14:textId="77777777" w:rsidR="00D72C83" w:rsidRPr="002E32EF" w:rsidRDefault="00D72C83" w:rsidP="00D72C83">
      <w:pPr>
        <w:spacing w:after="0" w:line="240" w:lineRule="auto"/>
        <w:outlineLvl w:val="0"/>
        <w:rPr>
          <w:rFonts w:ascii="Times New Roman" w:hAnsi="Times New Roman" w:cs="Times New Roman"/>
        </w:rPr>
      </w:pPr>
    </w:p>
    <w:p w14:paraId="302D76DB" w14:textId="77777777" w:rsidR="00D72C83" w:rsidRPr="002E32EF" w:rsidRDefault="00D72C83" w:rsidP="00D72C83">
      <w:pPr>
        <w:spacing w:after="0" w:line="240" w:lineRule="auto"/>
        <w:outlineLvl w:val="0"/>
        <w:rPr>
          <w:rFonts w:ascii="Times New Roman" w:hAnsi="Times New Roman" w:cs="Times New Roman"/>
        </w:rPr>
      </w:pPr>
    </w:p>
    <w:p w14:paraId="5B3574F1" w14:textId="77777777" w:rsidR="00D72C83" w:rsidRPr="002E32EF" w:rsidRDefault="00D72C83" w:rsidP="00D72C83">
      <w:pPr>
        <w:spacing w:after="0" w:line="240" w:lineRule="auto"/>
        <w:outlineLvl w:val="0"/>
        <w:rPr>
          <w:rFonts w:ascii="Times New Roman" w:hAnsi="Times New Roman" w:cs="Times New Roman"/>
        </w:rPr>
      </w:pPr>
    </w:p>
    <w:p w14:paraId="2CD42309" w14:textId="77777777" w:rsidR="00D72C83" w:rsidRPr="002E32EF" w:rsidRDefault="00D72C83" w:rsidP="00D72C83">
      <w:pPr>
        <w:spacing w:after="0" w:line="240" w:lineRule="auto"/>
        <w:outlineLvl w:val="0"/>
        <w:rPr>
          <w:rFonts w:ascii="Times New Roman" w:hAnsi="Times New Roman" w:cs="Times New Roman"/>
        </w:rPr>
      </w:pPr>
    </w:p>
    <w:p w14:paraId="6150CFCF" w14:textId="77777777" w:rsidR="00D72C83" w:rsidRPr="002E32EF" w:rsidRDefault="00D72C83" w:rsidP="00D72C83">
      <w:pPr>
        <w:spacing w:after="0" w:line="240" w:lineRule="auto"/>
        <w:outlineLvl w:val="0"/>
        <w:rPr>
          <w:rFonts w:ascii="Times New Roman" w:hAnsi="Times New Roman" w:cs="Times New Roman"/>
        </w:rPr>
      </w:pPr>
    </w:p>
    <w:p w14:paraId="7441133C" w14:textId="77777777" w:rsidR="00D72C83" w:rsidRPr="002E32EF" w:rsidRDefault="00D72C83" w:rsidP="00D72C83">
      <w:pPr>
        <w:spacing w:after="0" w:line="240" w:lineRule="auto"/>
        <w:outlineLvl w:val="0"/>
        <w:rPr>
          <w:rFonts w:ascii="Times New Roman" w:hAnsi="Times New Roman" w:cs="Times New Roman"/>
        </w:rPr>
      </w:pPr>
    </w:p>
    <w:p w14:paraId="7F8BD93B" w14:textId="77777777" w:rsidR="00D72C83" w:rsidRPr="002E32EF" w:rsidRDefault="00D72C83" w:rsidP="00D72C83">
      <w:pPr>
        <w:spacing w:after="0" w:line="240" w:lineRule="auto"/>
        <w:outlineLvl w:val="0"/>
        <w:rPr>
          <w:rFonts w:ascii="Times New Roman" w:hAnsi="Times New Roman" w:cs="Times New Roman"/>
        </w:rPr>
      </w:pPr>
    </w:p>
    <w:p w14:paraId="3319B721" w14:textId="77777777" w:rsidR="00D72C83" w:rsidRPr="002E32EF" w:rsidRDefault="00D72C83" w:rsidP="00D72C83">
      <w:pPr>
        <w:spacing w:after="0" w:line="240" w:lineRule="auto"/>
        <w:outlineLvl w:val="0"/>
        <w:rPr>
          <w:rFonts w:ascii="Times New Roman" w:hAnsi="Times New Roman" w:cs="Times New Roman"/>
        </w:rPr>
      </w:pPr>
    </w:p>
    <w:p w14:paraId="7C9328DA" w14:textId="77777777" w:rsidR="00D72C83" w:rsidRPr="002E32EF" w:rsidRDefault="00D72C83" w:rsidP="00D72C83">
      <w:pPr>
        <w:spacing w:after="0" w:line="240" w:lineRule="auto"/>
        <w:outlineLvl w:val="0"/>
        <w:rPr>
          <w:rFonts w:ascii="Times New Roman" w:hAnsi="Times New Roman" w:cs="Times New Roman"/>
        </w:rPr>
      </w:pPr>
    </w:p>
    <w:p w14:paraId="3493386B" w14:textId="77777777" w:rsidR="00D72C83" w:rsidRPr="002E32EF" w:rsidRDefault="00D72C83" w:rsidP="00D72C83">
      <w:pPr>
        <w:spacing w:after="0" w:line="240" w:lineRule="auto"/>
        <w:outlineLvl w:val="0"/>
        <w:rPr>
          <w:rFonts w:ascii="Times New Roman" w:hAnsi="Times New Roman" w:cs="Times New Roman"/>
        </w:rPr>
      </w:pPr>
    </w:p>
    <w:p w14:paraId="0EE83937" w14:textId="77777777" w:rsidR="00D72C83" w:rsidRPr="002E32EF" w:rsidRDefault="00D72C83" w:rsidP="00D72C83">
      <w:pPr>
        <w:spacing w:after="0" w:line="240" w:lineRule="auto"/>
        <w:outlineLvl w:val="0"/>
        <w:rPr>
          <w:rFonts w:ascii="Times New Roman" w:hAnsi="Times New Roman" w:cs="Times New Roman"/>
        </w:rPr>
      </w:pPr>
    </w:p>
    <w:p w14:paraId="7DE7AC5F" w14:textId="77777777" w:rsidR="00D72C83" w:rsidRPr="002E32EF" w:rsidRDefault="00D72C83" w:rsidP="00D72C83">
      <w:pPr>
        <w:spacing w:after="0" w:line="240" w:lineRule="auto"/>
        <w:outlineLvl w:val="0"/>
        <w:rPr>
          <w:rFonts w:ascii="Times New Roman" w:hAnsi="Times New Roman" w:cs="Times New Roman"/>
        </w:rPr>
      </w:pPr>
    </w:p>
    <w:p w14:paraId="3BCCBDF6" w14:textId="77777777" w:rsidR="00D72C83" w:rsidRPr="002E32EF" w:rsidRDefault="00D72C83" w:rsidP="00D72C83">
      <w:pPr>
        <w:spacing w:after="0" w:line="240" w:lineRule="auto"/>
        <w:outlineLvl w:val="0"/>
        <w:rPr>
          <w:rFonts w:ascii="Times New Roman" w:hAnsi="Times New Roman" w:cs="Times New Roman"/>
        </w:rPr>
      </w:pPr>
    </w:p>
    <w:p w14:paraId="38A04D2D" w14:textId="77777777" w:rsidR="00D72C83" w:rsidRPr="002E32EF" w:rsidRDefault="00D72C83" w:rsidP="00D72C83">
      <w:pPr>
        <w:spacing w:after="0" w:line="240" w:lineRule="auto"/>
        <w:jc w:val="center"/>
        <w:outlineLvl w:val="0"/>
        <w:rPr>
          <w:rFonts w:ascii="Times New Roman" w:hAnsi="Times New Roman" w:cs="Times New Roman"/>
          <w:b/>
          <w:bCs/>
        </w:rPr>
      </w:pPr>
      <w:r w:rsidRPr="002E32EF">
        <w:rPr>
          <w:rFonts w:ascii="Times New Roman" w:hAnsi="Times New Roman" w:cs="Times New Roman"/>
          <w:b/>
          <w:bCs/>
        </w:rPr>
        <w:t>B. PAKUOTĖS LAPELIS</w:t>
      </w:r>
    </w:p>
    <w:p w14:paraId="78BD83C5" w14:textId="77777777" w:rsidR="00D72C83" w:rsidRPr="00E35BE6" w:rsidRDefault="00D72C83" w:rsidP="00D3564A">
      <w:pPr>
        <w:pStyle w:val="Antrat2"/>
        <w:spacing w:before="0" w:after="0" w:line="240" w:lineRule="auto"/>
        <w:jc w:val="center"/>
        <w:rPr>
          <w:rFonts w:ascii="Times New Roman" w:hAnsi="Times New Roman"/>
          <w:b w:val="0"/>
          <w:lang w:val="lt-LT"/>
        </w:rPr>
      </w:pPr>
      <w:r w:rsidRPr="00D3564A">
        <w:rPr>
          <w:rFonts w:ascii="Times New Roman" w:hAnsi="Times New Roman"/>
          <w:i w:val="0"/>
          <w:sz w:val="22"/>
          <w:lang w:val="lt-LT"/>
        </w:rPr>
        <w:br w:type="page"/>
      </w:r>
      <w:r w:rsidRPr="00D3564A">
        <w:rPr>
          <w:rFonts w:ascii="Times New Roman" w:hAnsi="Times New Roman"/>
          <w:i w:val="0"/>
          <w:sz w:val="22"/>
          <w:lang w:val="lt-LT"/>
        </w:rPr>
        <w:lastRenderedPageBreak/>
        <w:t>Pakuotės lapelis: informacija vartotojui</w:t>
      </w:r>
    </w:p>
    <w:p w14:paraId="19752743" w14:textId="77777777" w:rsidR="00D72C83" w:rsidRPr="002E32EF" w:rsidRDefault="00D72C83" w:rsidP="00D72C83">
      <w:pPr>
        <w:numPr>
          <w:ilvl w:val="12"/>
          <w:numId w:val="0"/>
        </w:numPr>
        <w:shd w:val="clear" w:color="auto" w:fill="FFFFFF"/>
        <w:spacing w:after="0" w:line="240" w:lineRule="auto"/>
        <w:jc w:val="center"/>
        <w:rPr>
          <w:rFonts w:ascii="Times New Roman" w:hAnsi="Times New Roman" w:cs="Times New Roman"/>
        </w:rPr>
      </w:pPr>
    </w:p>
    <w:p w14:paraId="3E6FF135" w14:textId="77777777" w:rsidR="00D72C83" w:rsidRPr="002E32EF" w:rsidRDefault="00D72C83" w:rsidP="00D72C83">
      <w:pPr>
        <w:spacing w:after="0" w:line="240" w:lineRule="auto"/>
        <w:jc w:val="center"/>
        <w:rPr>
          <w:rFonts w:ascii="Times New Roman" w:hAnsi="Times New Roman" w:cs="Times New Roman"/>
          <w:b/>
        </w:rPr>
      </w:pPr>
      <w:r w:rsidRPr="002E32EF">
        <w:rPr>
          <w:rFonts w:ascii="Times New Roman" w:hAnsi="Times New Roman" w:cs="Times New Roman"/>
          <w:b/>
        </w:rPr>
        <w:t>Varlota</w:t>
      </w:r>
      <w:r w:rsidRPr="002E32EF">
        <w:rPr>
          <w:rFonts w:ascii="Times New Roman" w:hAnsi="Times New Roman" w:cs="Times New Roman"/>
          <w:b/>
          <w:caps/>
        </w:rPr>
        <w:t xml:space="preserve"> 50 </w:t>
      </w:r>
      <w:r w:rsidRPr="002E32EF">
        <w:rPr>
          <w:rFonts w:ascii="Times New Roman" w:hAnsi="Times New Roman" w:cs="Times New Roman"/>
          <w:b/>
        </w:rPr>
        <w:t>mg plėvele dengtos tabletės</w:t>
      </w:r>
    </w:p>
    <w:p w14:paraId="67855D1C" w14:textId="77777777" w:rsidR="00D72C83" w:rsidRPr="002E32EF" w:rsidRDefault="00D72C83" w:rsidP="00D72C83">
      <w:pPr>
        <w:spacing w:after="0" w:line="240" w:lineRule="auto"/>
        <w:jc w:val="center"/>
        <w:rPr>
          <w:rFonts w:ascii="Times New Roman" w:hAnsi="Times New Roman" w:cs="Times New Roman"/>
          <w:b/>
        </w:rPr>
      </w:pPr>
      <w:r w:rsidRPr="002F6BC3">
        <w:rPr>
          <w:rFonts w:ascii="Times New Roman" w:hAnsi="Times New Roman" w:cs="Times New Roman"/>
          <w:b/>
          <w:highlight w:val="lightGray"/>
        </w:rPr>
        <w:t>Varlota</w:t>
      </w:r>
      <w:r w:rsidRPr="002F6BC3">
        <w:rPr>
          <w:rFonts w:ascii="Times New Roman" w:hAnsi="Times New Roman" w:cs="Times New Roman"/>
          <w:b/>
          <w:caps/>
          <w:highlight w:val="lightGray"/>
        </w:rPr>
        <w:t xml:space="preserve"> 100 </w:t>
      </w:r>
      <w:r w:rsidRPr="002F6BC3">
        <w:rPr>
          <w:rFonts w:ascii="Times New Roman" w:hAnsi="Times New Roman" w:cs="Times New Roman"/>
          <w:b/>
          <w:highlight w:val="lightGray"/>
        </w:rPr>
        <w:t>mg plėvele dengtos tabletės</w:t>
      </w:r>
    </w:p>
    <w:p w14:paraId="0251F9BB" w14:textId="77777777" w:rsidR="00D72C83" w:rsidRPr="002E32EF" w:rsidRDefault="00D72C83" w:rsidP="00D72C83">
      <w:pPr>
        <w:spacing w:after="0" w:line="240" w:lineRule="auto"/>
        <w:jc w:val="center"/>
        <w:rPr>
          <w:rFonts w:ascii="Times New Roman" w:hAnsi="Times New Roman" w:cs="Times New Roman"/>
          <w:b/>
        </w:rPr>
      </w:pPr>
      <w:r w:rsidRPr="002F6BC3">
        <w:rPr>
          <w:rFonts w:ascii="Times New Roman" w:hAnsi="Times New Roman" w:cs="Times New Roman"/>
          <w:b/>
          <w:highlight w:val="darkGray"/>
        </w:rPr>
        <w:t>Varlota</w:t>
      </w:r>
      <w:r w:rsidRPr="002F6BC3">
        <w:rPr>
          <w:rFonts w:ascii="Times New Roman" w:hAnsi="Times New Roman" w:cs="Times New Roman"/>
          <w:b/>
          <w:caps/>
          <w:highlight w:val="darkGray"/>
        </w:rPr>
        <w:t xml:space="preserve"> 150 </w:t>
      </w:r>
      <w:r w:rsidRPr="002F6BC3">
        <w:rPr>
          <w:rFonts w:ascii="Times New Roman" w:hAnsi="Times New Roman" w:cs="Times New Roman"/>
          <w:b/>
          <w:highlight w:val="darkGray"/>
        </w:rPr>
        <w:t>mg plėvele dengtos tabletės</w:t>
      </w:r>
    </w:p>
    <w:p w14:paraId="1DE62665" w14:textId="3F5BEAD2" w:rsidR="00D72C83" w:rsidRPr="006F3114" w:rsidRDefault="00A64E52" w:rsidP="00D3564A">
      <w:pPr>
        <w:pStyle w:val="BTeEMEASMCA"/>
      </w:pPr>
      <w:r>
        <w:rPr>
          <w:u w:val="none"/>
        </w:rPr>
        <w:t>e</w:t>
      </w:r>
      <w:r w:rsidR="00D72C83" w:rsidRPr="00D3564A">
        <w:rPr>
          <w:u w:val="none"/>
        </w:rPr>
        <w:t>rlotinibas</w:t>
      </w:r>
    </w:p>
    <w:p w14:paraId="215BB1A9" w14:textId="77777777" w:rsidR="00D72C83" w:rsidRPr="002E32EF" w:rsidRDefault="00D72C83" w:rsidP="00D72C83">
      <w:pPr>
        <w:spacing w:after="0" w:line="240" w:lineRule="auto"/>
        <w:rPr>
          <w:rFonts w:ascii="Times New Roman" w:hAnsi="Times New Roman" w:cs="Times New Roman"/>
        </w:rPr>
      </w:pPr>
    </w:p>
    <w:p w14:paraId="55BB5704" w14:textId="77777777" w:rsidR="00D72C83" w:rsidRPr="002E32EF" w:rsidRDefault="00D72C83" w:rsidP="00D72C83">
      <w:pPr>
        <w:suppressAutoHyphens/>
        <w:spacing w:after="0" w:line="240" w:lineRule="auto"/>
        <w:rPr>
          <w:rFonts w:ascii="Times New Roman" w:hAnsi="Times New Roman" w:cs="Times New Roman"/>
        </w:rPr>
      </w:pPr>
      <w:r w:rsidRPr="002E32EF">
        <w:rPr>
          <w:rFonts w:ascii="Times New Roman" w:hAnsi="Times New Roman" w:cs="Times New Roman"/>
          <w:b/>
          <w:bCs/>
        </w:rPr>
        <w:t>Atidžiai perskaitykite visą šį lapelį, prieš pradėdami vartoti vaistą, nes jame pateikiama Jums svarbi informacija.</w:t>
      </w:r>
    </w:p>
    <w:p w14:paraId="0F061E41" w14:textId="77777777" w:rsidR="00D72C83" w:rsidRPr="002E32EF" w:rsidRDefault="00D72C83" w:rsidP="00D3564A">
      <w:pPr>
        <w:numPr>
          <w:ilvl w:val="0"/>
          <w:numId w:val="1"/>
        </w:numPr>
        <w:spacing w:after="0" w:line="240" w:lineRule="auto"/>
        <w:ind w:left="0" w:firstLine="0"/>
        <w:rPr>
          <w:rFonts w:ascii="Times New Roman" w:hAnsi="Times New Roman" w:cs="Times New Roman"/>
        </w:rPr>
      </w:pPr>
      <w:r w:rsidRPr="002E32EF">
        <w:rPr>
          <w:rFonts w:ascii="Times New Roman" w:hAnsi="Times New Roman" w:cs="Times New Roman"/>
        </w:rPr>
        <w:t xml:space="preserve">Neišmeskite šio lapelio, nes vėl gali prireikti jį perskaityti. </w:t>
      </w:r>
    </w:p>
    <w:p w14:paraId="78C3695E" w14:textId="77777777" w:rsidR="00D72C83" w:rsidRPr="002E32EF" w:rsidRDefault="00D72C83" w:rsidP="00D3564A">
      <w:pPr>
        <w:numPr>
          <w:ilvl w:val="0"/>
          <w:numId w:val="1"/>
        </w:numPr>
        <w:spacing w:after="0" w:line="240" w:lineRule="auto"/>
        <w:ind w:left="0" w:firstLine="0"/>
        <w:rPr>
          <w:rFonts w:ascii="Times New Roman" w:hAnsi="Times New Roman" w:cs="Times New Roman"/>
        </w:rPr>
      </w:pPr>
      <w:r w:rsidRPr="002E32EF">
        <w:rPr>
          <w:rFonts w:ascii="Times New Roman" w:hAnsi="Times New Roman" w:cs="Times New Roman"/>
        </w:rPr>
        <w:t>Jeigu kiltų daugiau klausimų, kreipkitės į gydytoją arba vaistininką.</w:t>
      </w:r>
    </w:p>
    <w:p w14:paraId="7BAE3F78" w14:textId="77777777" w:rsidR="00D72C83" w:rsidRPr="002E32EF" w:rsidRDefault="00D72C83" w:rsidP="00D72C83">
      <w:pPr>
        <w:spacing w:after="0" w:line="240" w:lineRule="auto"/>
        <w:ind w:left="709" w:hanging="709"/>
        <w:rPr>
          <w:rFonts w:ascii="Times New Roman" w:hAnsi="Times New Roman" w:cs="Times New Roman"/>
        </w:rPr>
      </w:pPr>
      <w:r w:rsidRPr="002E32EF">
        <w:rPr>
          <w:rFonts w:ascii="Times New Roman" w:hAnsi="Times New Roman" w:cs="Times New Roman"/>
        </w:rPr>
        <w:t>-</w:t>
      </w:r>
      <w:r w:rsidRPr="002E32EF">
        <w:rPr>
          <w:rFonts w:ascii="Times New Roman" w:hAnsi="Times New Roman" w:cs="Times New Roman"/>
        </w:rPr>
        <w:tab/>
        <w:t>Šis vaistas skirtas tik Jums, todėl kitiems žmonėms jo duoti negalima. Vaistas gali jiems pakenkti (net tiems, kurių ligos požymiai yra tokie patys kaip Jūsų).</w:t>
      </w:r>
    </w:p>
    <w:p w14:paraId="66C5D667" w14:textId="77777777" w:rsidR="00D72C83" w:rsidRPr="002E32EF" w:rsidRDefault="00D72C83" w:rsidP="00D72C83">
      <w:pPr>
        <w:numPr>
          <w:ilvl w:val="0"/>
          <w:numId w:val="1"/>
        </w:numPr>
        <w:tabs>
          <w:tab w:val="left" w:pos="709"/>
        </w:tabs>
        <w:spacing w:after="0" w:line="240" w:lineRule="auto"/>
        <w:ind w:left="709" w:hanging="709"/>
        <w:rPr>
          <w:rFonts w:ascii="Times New Roman" w:hAnsi="Times New Roman" w:cs="Times New Roman"/>
        </w:rPr>
      </w:pPr>
      <w:r w:rsidRPr="002E32EF">
        <w:rPr>
          <w:rFonts w:ascii="Times New Roman" w:hAnsi="Times New Roman" w:cs="Times New Roman"/>
        </w:rPr>
        <w:t>Jeigu pasireiškė šalutinis poveikis (net jeigu jis šiame lapelyje nenurodytas), kreipkitės į gydytoją arba vaistininką. Žr. 4 skyrių.</w:t>
      </w:r>
    </w:p>
    <w:p w14:paraId="4EBF1857" w14:textId="77777777" w:rsidR="00D72C83" w:rsidRPr="002E32EF" w:rsidRDefault="00D72C83" w:rsidP="00D72C83">
      <w:pPr>
        <w:spacing w:after="0" w:line="240" w:lineRule="auto"/>
        <w:rPr>
          <w:rFonts w:ascii="Times New Roman" w:hAnsi="Times New Roman" w:cs="Times New Roman"/>
        </w:rPr>
      </w:pPr>
    </w:p>
    <w:p w14:paraId="1415A32A" w14:textId="77777777" w:rsidR="00D72C83" w:rsidRPr="00E35BE6" w:rsidRDefault="00D72C83" w:rsidP="00D3564A">
      <w:pPr>
        <w:pStyle w:val="Antrat4"/>
        <w:spacing w:line="240" w:lineRule="auto"/>
        <w:rPr>
          <w:rFonts w:ascii="Times New Roman" w:hAnsi="Times New Roman"/>
          <w:b w:val="0"/>
          <w:lang w:val="lt-LT"/>
        </w:rPr>
      </w:pPr>
      <w:r w:rsidRPr="00D3564A">
        <w:rPr>
          <w:rFonts w:ascii="Times New Roman" w:hAnsi="Times New Roman"/>
          <w:sz w:val="22"/>
          <w:lang w:val="lt-LT"/>
        </w:rPr>
        <w:t>Apie ką rašoma šiame lapelyje?</w:t>
      </w:r>
    </w:p>
    <w:p w14:paraId="1D2148C5" w14:textId="77777777" w:rsidR="00D72C83" w:rsidRPr="002E32EF" w:rsidRDefault="00D72C83" w:rsidP="00D72C83">
      <w:pPr>
        <w:numPr>
          <w:ilvl w:val="12"/>
          <w:numId w:val="0"/>
        </w:numPr>
        <w:spacing w:after="0" w:line="240" w:lineRule="auto"/>
        <w:rPr>
          <w:rFonts w:ascii="Times New Roman" w:hAnsi="Times New Roman" w:cs="Times New Roman"/>
        </w:rPr>
      </w:pPr>
    </w:p>
    <w:p w14:paraId="20F15E1F"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1.</w:t>
      </w:r>
      <w:r w:rsidRPr="002E32EF">
        <w:rPr>
          <w:rFonts w:ascii="Times New Roman" w:hAnsi="Times New Roman" w:cs="Times New Roman"/>
        </w:rPr>
        <w:tab/>
        <w:t xml:space="preserve">Kas yra Varlota ir kam jis vartojamas </w:t>
      </w:r>
    </w:p>
    <w:p w14:paraId="66B499B6"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2.</w:t>
      </w:r>
      <w:r w:rsidRPr="002E32EF">
        <w:rPr>
          <w:rFonts w:ascii="Times New Roman" w:hAnsi="Times New Roman" w:cs="Times New Roman"/>
        </w:rPr>
        <w:tab/>
        <w:t>Kas žinotina prieš vartojant Varlota</w:t>
      </w:r>
    </w:p>
    <w:p w14:paraId="3979BBC7"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3.</w:t>
      </w:r>
      <w:r w:rsidRPr="002E32EF">
        <w:rPr>
          <w:rFonts w:ascii="Times New Roman" w:hAnsi="Times New Roman" w:cs="Times New Roman"/>
        </w:rPr>
        <w:tab/>
        <w:t>Kaip vartoti Varlota</w:t>
      </w:r>
    </w:p>
    <w:p w14:paraId="0E2580E9" w14:textId="77777777" w:rsidR="00D72C83" w:rsidRPr="002E32EF" w:rsidRDefault="00D72C83" w:rsidP="00D72C83">
      <w:pPr>
        <w:numPr>
          <w:ilvl w:val="12"/>
          <w:numId w:val="0"/>
        </w:numPr>
        <w:tabs>
          <w:tab w:val="left" w:pos="900"/>
          <w:tab w:val="left" w:pos="1620"/>
          <w:tab w:val="left" w:pos="1800"/>
          <w:tab w:val="left" w:pos="2592"/>
          <w:tab w:val="left" w:pos="5430"/>
        </w:tabs>
        <w:spacing w:after="0" w:line="240" w:lineRule="auto"/>
        <w:rPr>
          <w:rFonts w:ascii="Times New Roman" w:hAnsi="Times New Roman" w:cs="Times New Roman"/>
        </w:rPr>
      </w:pPr>
      <w:r w:rsidRPr="002E32EF">
        <w:rPr>
          <w:rFonts w:ascii="Times New Roman" w:hAnsi="Times New Roman" w:cs="Times New Roman"/>
        </w:rPr>
        <w:t>4.</w:t>
      </w:r>
      <w:r w:rsidRPr="002E32EF">
        <w:rPr>
          <w:rFonts w:ascii="Times New Roman" w:hAnsi="Times New Roman" w:cs="Times New Roman"/>
        </w:rPr>
        <w:tab/>
        <w:t xml:space="preserve">Galimas šalutinis poveikis </w:t>
      </w:r>
    </w:p>
    <w:p w14:paraId="4FCF2649"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5.</w:t>
      </w:r>
      <w:r w:rsidRPr="002E32EF">
        <w:rPr>
          <w:rFonts w:ascii="Times New Roman" w:hAnsi="Times New Roman" w:cs="Times New Roman"/>
        </w:rPr>
        <w:tab/>
        <w:t>Kaip laikyti Varlota</w:t>
      </w:r>
    </w:p>
    <w:p w14:paraId="58FCAED6" w14:textId="77777777" w:rsidR="00D72C83" w:rsidRPr="002E32EF" w:rsidRDefault="00D72C83" w:rsidP="00D72C83">
      <w:pPr>
        <w:numPr>
          <w:ilvl w:val="12"/>
          <w:numId w:val="0"/>
        </w:numPr>
        <w:tabs>
          <w:tab w:val="left" w:pos="900"/>
        </w:tabs>
        <w:spacing w:after="0" w:line="240" w:lineRule="auto"/>
        <w:rPr>
          <w:rFonts w:ascii="Times New Roman" w:hAnsi="Times New Roman" w:cs="Times New Roman"/>
        </w:rPr>
      </w:pPr>
      <w:r w:rsidRPr="002E32EF">
        <w:rPr>
          <w:rFonts w:ascii="Times New Roman" w:hAnsi="Times New Roman" w:cs="Times New Roman"/>
        </w:rPr>
        <w:t>6.</w:t>
      </w:r>
      <w:r w:rsidRPr="002E32EF">
        <w:rPr>
          <w:rFonts w:ascii="Times New Roman" w:hAnsi="Times New Roman" w:cs="Times New Roman"/>
        </w:rPr>
        <w:tab/>
        <w:t>Pakuotės turinys ir kita informacija</w:t>
      </w:r>
    </w:p>
    <w:p w14:paraId="70CC2C4B" w14:textId="77777777" w:rsidR="00D72C83" w:rsidRPr="002E32EF" w:rsidRDefault="00D72C83" w:rsidP="00D72C83">
      <w:pPr>
        <w:numPr>
          <w:ilvl w:val="12"/>
          <w:numId w:val="0"/>
        </w:numPr>
        <w:spacing w:after="0" w:line="240" w:lineRule="auto"/>
        <w:rPr>
          <w:rFonts w:ascii="Times New Roman" w:hAnsi="Times New Roman" w:cs="Times New Roman"/>
        </w:rPr>
      </w:pPr>
    </w:p>
    <w:p w14:paraId="63CC304E" w14:textId="77777777" w:rsidR="00D72C83" w:rsidRPr="002E32EF" w:rsidRDefault="00D72C83" w:rsidP="00D72C83">
      <w:pPr>
        <w:numPr>
          <w:ilvl w:val="12"/>
          <w:numId w:val="0"/>
        </w:numPr>
        <w:spacing w:after="0" w:line="240" w:lineRule="auto"/>
        <w:rPr>
          <w:rFonts w:ascii="Times New Roman" w:hAnsi="Times New Roman" w:cs="Times New Roman"/>
        </w:rPr>
      </w:pPr>
    </w:p>
    <w:p w14:paraId="2B66124E" w14:textId="77777777" w:rsidR="00D72C83" w:rsidRPr="00E35BE6" w:rsidRDefault="00D72C83" w:rsidP="00D3564A">
      <w:pPr>
        <w:pStyle w:val="Antrat4"/>
        <w:spacing w:line="240" w:lineRule="auto"/>
        <w:jc w:val="left"/>
        <w:rPr>
          <w:rFonts w:ascii="Times New Roman" w:hAnsi="Times New Roman"/>
          <w:b w:val="0"/>
          <w:lang w:val="pt-PT"/>
        </w:rPr>
      </w:pPr>
      <w:r w:rsidRPr="00D3564A">
        <w:rPr>
          <w:rFonts w:ascii="Times New Roman" w:hAnsi="Times New Roman"/>
          <w:sz w:val="22"/>
          <w:lang w:val="lt-LT"/>
        </w:rPr>
        <w:t>1.</w:t>
      </w:r>
      <w:r w:rsidRPr="00D3564A">
        <w:rPr>
          <w:rFonts w:ascii="Times New Roman" w:hAnsi="Times New Roman"/>
          <w:sz w:val="22"/>
          <w:lang w:val="lt-LT"/>
        </w:rPr>
        <w:tab/>
        <w:t>Kas yra Varlota ir kam jis vartojamas</w:t>
      </w:r>
    </w:p>
    <w:p w14:paraId="05D8F861" w14:textId="77777777" w:rsidR="00D72C83" w:rsidRPr="002E32EF" w:rsidRDefault="00D72C83" w:rsidP="00D72C83">
      <w:pPr>
        <w:numPr>
          <w:ilvl w:val="12"/>
          <w:numId w:val="0"/>
        </w:numPr>
        <w:spacing w:after="0" w:line="240" w:lineRule="auto"/>
        <w:rPr>
          <w:rFonts w:ascii="Times New Roman" w:hAnsi="Times New Roman" w:cs="Times New Roman"/>
        </w:rPr>
      </w:pPr>
    </w:p>
    <w:p w14:paraId="6FBD63FF"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Varlota sudėtyje yra veikliosios medžiagos erlotinibo. Varlota yra vaistas, vartojamas vėžiui gydyti. Varlota neleidžia pasireikšti baltymo, vadinamo epidermio augimo faktoriaus receptoriumi (angl. </w:t>
      </w:r>
      <w:r w:rsidRPr="002E32EF">
        <w:rPr>
          <w:rFonts w:ascii="Times New Roman" w:eastAsiaTheme="minorEastAsia" w:hAnsi="Times New Roman" w:cs="Times New Roman"/>
          <w:i/>
        </w:rPr>
        <w:t>Epidermal Growth Factor Receptor</w:t>
      </w:r>
      <w:r w:rsidRPr="002E32EF">
        <w:rPr>
          <w:rFonts w:ascii="Times New Roman" w:eastAsiaTheme="minorEastAsia" w:hAnsi="Times New Roman" w:cs="Times New Roman"/>
        </w:rPr>
        <w:t xml:space="preserve"> – EGFR), veiklai. Kaip žinoma, šis baltymas padeda augti ir plisti vėžio ląstelėms.</w:t>
      </w:r>
    </w:p>
    <w:p w14:paraId="4FB227C5"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00AC8D6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Varlota skiriamas suaugusiesiems. Šis vaistas gali būti paskirtas Jums, jeigu Jūs sergate išplitusiu nesmulkialąsteliniu plaučių vėžiu. Jis gali būti paskirtas kaip pradinis gydymas arba po pradinės chemoterapijos, jeigu Jūsų liga išlieka iš esmės nepakitusi, o Jūsų vėžio ląstelės turi specifinių EGFR mutacijų. Taip pat vaistas gali būti paskirtas, jeigu ankstesnė chemoterapija Jūsų ligos nesustabdė.</w:t>
      </w:r>
    </w:p>
    <w:p w14:paraId="76B9844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6148C2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Šis vaistas taip pat gali būti Jums paskirtas kartu su kitu, vadinamu gemcitabinu, jeigu Jūs sergate metastazavusiu kasos vėžiu.</w:t>
      </w:r>
    </w:p>
    <w:p w14:paraId="1D51C35C" w14:textId="77777777" w:rsidR="00D72C83" w:rsidRPr="002E32EF" w:rsidRDefault="00D72C83" w:rsidP="00D72C83">
      <w:pPr>
        <w:numPr>
          <w:ilvl w:val="12"/>
          <w:numId w:val="0"/>
        </w:numPr>
        <w:spacing w:after="0" w:line="240" w:lineRule="auto"/>
        <w:rPr>
          <w:rFonts w:ascii="Times New Roman" w:hAnsi="Times New Roman" w:cs="Times New Roman"/>
        </w:rPr>
      </w:pPr>
    </w:p>
    <w:p w14:paraId="64C05851" w14:textId="77777777" w:rsidR="00D72C83" w:rsidRPr="002E32EF" w:rsidRDefault="00D72C83" w:rsidP="00D72C83">
      <w:pPr>
        <w:numPr>
          <w:ilvl w:val="12"/>
          <w:numId w:val="0"/>
        </w:numPr>
        <w:spacing w:after="0" w:line="240" w:lineRule="auto"/>
        <w:rPr>
          <w:rFonts w:ascii="Times New Roman" w:hAnsi="Times New Roman" w:cs="Times New Roman"/>
        </w:rPr>
      </w:pPr>
    </w:p>
    <w:p w14:paraId="42090899" w14:textId="77777777" w:rsidR="00D72C83" w:rsidRPr="00271131"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2.</w:t>
      </w:r>
      <w:r w:rsidRPr="00D3564A">
        <w:rPr>
          <w:rFonts w:ascii="Times New Roman" w:hAnsi="Times New Roman"/>
          <w:sz w:val="22"/>
          <w:lang w:val="lt-LT"/>
        </w:rPr>
        <w:tab/>
        <w:t xml:space="preserve">Kas žinotina prieš vartojant Varlota </w:t>
      </w:r>
    </w:p>
    <w:p w14:paraId="6F9BA202" w14:textId="77777777" w:rsidR="00D72C83" w:rsidRPr="002E32EF" w:rsidRDefault="00D72C83" w:rsidP="00D72C83">
      <w:pPr>
        <w:numPr>
          <w:ilvl w:val="12"/>
          <w:numId w:val="0"/>
        </w:numPr>
        <w:spacing w:after="0" w:line="240" w:lineRule="auto"/>
        <w:rPr>
          <w:rFonts w:ascii="Times New Roman" w:hAnsi="Times New Roman" w:cs="Times New Roman"/>
        </w:rPr>
      </w:pPr>
    </w:p>
    <w:p w14:paraId="40A30B0E" w14:textId="2A33FD2E" w:rsidR="00D72C83" w:rsidRPr="00271131"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 xml:space="preserve">Varlota vartoti </w:t>
      </w:r>
      <w:r w:rsidR="00EF0218">
        <w:rPr>
          <w:rFonts w:ascii="Times New Roman" w:hAnsi="Times New Roman"/>
          <w:sz w:val="22"/>
          <w:lang w:val="lt-LT"/>
        </w:rPr>
        <w:t>draudžiama</w:t>
      </w:r>
      <w:r w:rsidRPr="00D3564A">
        <w:rPr>
          <w:rFonts w:ascii="Times New Roman" w:hAnsi="Times New Roman"/>
          <w:sz w:val="22"/>
          <w:lang w:val="lt-LT"/>
        </w:rPr>
        <w:t>:</w:t>
      </w:r>
    </w:p>
    <w:p w14:paraId="49EBFA51" w14:textId="77777777" w:rsidR="00D72C83" w:rsidRPr="00271131" w:rsidRDefault="00D72C83" w:rsidP="00D3564A">
      <w:pPr>
        <w:pStyle w:val="Sraopastraipa"/>
        <w:widowControl w:val="0"/>
        <w:numPr>
          <w:ilvl w:val="0"/>
          <w:numId w:val="27"/>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yra alergija erlotinibui arba bet kuriai pagalbinei šio vaisto medžiagai (jos išvardytos</w:t>
      </w:r>
    </w:p>
    <w:p w14:paraId="7CEED448" w14:textId="77777777" w:rsidR="00D72C83" w:rsidRPr="00271131" w:rsidRDefault="00D72C83" w:rsidP="00D3564A">
      <w:pPr>
        <w:pStyle w:val="Sraopastraipa"/>
        <w:tabs>
          <w:tab w:val="left" w:pos="1296"/>
        </w:tabs>
        <w:spacing w:line="240" w:lineRule="auto"/>
        <w:ind w:left="567"/>
        <w:rPr>
          <w:rFonts w:eastAsiaTheme="minorEastAsia"/>
          <w:lang w:val="lt-LT"/>
        </w:rPr>
      </w:pPr>
      <w:r w:rsidRPr="00D3564A">
        <w:rPr>
          <w:rFonts w:eastAsiaTheme="minorEastAsia"/>
          <w:lang w:val="lt-LT"/>
        </w:rPr>
        <w:t>6 skyriuje).</w:t>
      </w:r>
    </w:p>
    <w:p w14:paraId="7152CCB5" w14:textId="77777777" w:rsidR="00D72C83" w:rsidRPr="002E32EF" w:rsidRDefault="00D72C83" w:rsidP="00D72C83">
      <w:pPr>
        <w:tabs>
          <w:tab w:val="left" w:pos="1296"/>
        </w:tabs>
        <w:spacing w:after="0" w:line="240" w:lineRule="auto"/>
        <w:ind w:firstLine="709"/>
        <w:rPr>
          <w:rFonts w:ascii="Times New Roman" w:hAnsi="Times New Roman" w:cs="Times New Roman"/>
        </w:rPr>
      </w:pPr>
    </w:p>
    <w:p w14:paraId="10843404" w14:textId="77777777" w:rsidR="00D72C83" w:rsidRPr="00271131" w:rsidRDefault="00D72C83" w:rsidP="00D3564A">
      <w:pPr>
        <w:pStyle w:val="Antrat4"/>
        <w:spacing w:line="240" w:lineRule="auto"/>
        <w:rPr>
          <w:rFonts w:ascii="Times New Roman" w:hAnsi="Times New Roman"/>
          <w:b w:val="0"/>
          <w:lang w:val="lt-LT"/>
        </w:rPr>
      </w:pPr>
      <w:r w:rsidRPr="00D3564A">
        <w:rPr>
          <w:rFonts w:ascii="Times New Roman" w:hAnsi="Times New Roman"/>
          <w:sz w:val="22"/>
          <w:lang w:val="lt-LT"/>
        </w:rPr>
        <w:t>Įspėjimai ir atsargumo priemonės</w:t>
      </w:r>
    </w:p>
    <w:p w14:paraId="3ACC4576" w14:textId="77777777" w:rsidR="00D72C83" w:rsidRPr="00271131" w:rsidRDefault="00D72C83" w:rsidP="00D3564A">
      <w:pPr>
        <w:pStyle w:val="Antrat4"/>
        <w:spacing w:line="240" w:lineRule="auto"/>
        <w:rPr>
          <w:rFonts w:ascii="Times New Roman" w:hAnsi="Times New Roman"/>
          <w:b w:val="0"/>
          <w:lang w:val="lt-LT"/>
        </w:rPr>
      </w:pPr>
      <w:r w:rsidRPr="00D3564A">
        <w:rPr>
          <w:rFonts w:ascii="Times New Roman" w:hAnsi="Times New Roman"/>
          <w:b w:val="0"/>
          <w:sz w:val="22"/>
          <w:lang w:val="lt-LT"/>
        </w:rPr>
        <w:t>Pasitarkite su gydytoju arba vaistininku, prieš pradėdami vartoti Varlota:</w:t>
      </w:r>
      <w:r w:rsidRPr="00D3564A">
        <w:rPr>
          <w:rFonts w:ascii="Times New Roman" w:hAnsi="Times New Roman"/>
          <w:sz w:val="22"/>
          <w:lang w:val="lt-LT"/>
        </w:rPr>
        <w:t xml:space="preserve"> </w:t>
      </w:r>
    </w:p>
    <w:p w14:paraId="499188B2" w14:textId="444C413F" w:rsidR="00D72C83" w:rsidRPr="00E35BE6" w:rsidRDefault="00D72C83" w:rsidP="00D3564A">
      <w:pPr>
        <w:pStyle w:val="Sraopastraipa"/>
        <w:widowControl w:val="0"/>
        <w:numPr>
          <w:ilvl w:val="0"/>
          <w:numId w:val="28"/>
        </w:numPr>
        <w:autoSpaceDE w:val="0"/>
        <w:autoSpaceDN w:val="0"/>
        <w:adjustRightInd w:val="0"/>
        <w:spacing w:line="240" w:lineRule="auto"/>
        <w:ind w:left="567" w:hanging="567"/>
        <w:rPr>
          <w:rFonts w:eastAsiaTheme="minorEastAsia"/>
          <w:lang w:val="lt-LT"/>
        </w:rPr>
      </w:pPr>
      <w:r w:rsidRPr="00D3564A">
        <w:rPr>
          <w:rFonts w:eastAsiaTheme="minorEastAsia"/>
          <w:lang w:val="lt-LT"/>
        </w:rPr>
        <w:t>jeigu vartojate kitus vaistus (pvz., vaistus nuo grybelių sukeliamų ligų, panašių į ketokonazolą, proteazių inhibitorius, eritromiciną, klaritromiciną, fenitoiną, karbamazepiną, barbitūratus, rifampiciną, ciprofloksaciną,</w:t>
      </w:r>
      <w:r w:rsidR="004A2B63">
        <w:rPr>
          <w:rFonts w:eastAsiaTheme="minorEastAsia"/>
          <w:lang w:val="lt-LT"/>
        </w:rPr>
        <w:t xml:space="preserve"> fluvoksaminą</w:t>
      </w:r>
      <w:r w:rsidRPr="00D3564A">
        <w:rPr>
          <w:rFonts w:eastAsiaTheme="minorEastAsia"/>
          <w:lang w:val="lt-LT"/>
        </w:rPr>
        <w:t xml:space="preserve"> omeprazolą, ranitidiną, jonažolės preparatą</w:t>
      </w:r>
      <w:r w:rsidR="004A2B63">
        <w:rPr>
          <w:rFonts w:eastAsiaTheme="minorEastAsia"/>
          <w:lang w:val="lt-LT"/>
        </w:rPr>
        <w:t>,</w:t>
      </w:r>
      <w:r w:rsidRPr="00D3564A">
        <w:rPr>
          <w:rFonts w:eastAsiaTheme="minorEastAsia"/>
          <w:lang w:val="lt-LT"/>
        </w:rPr>
        <w:t xml:space="preserve"> proteosomų </w:t>
      </w:r>
      <w:r w:rsidRPr="00D3564A">
        <w:rPr>
          <w:rFonts w:eastAsiaTheme="minorEastAsia"/>
          <w:lang w:val="lt-LT"/>
        </w:rPr>
        <w:lastRenderedPageBreak/>
        <w:t>inhibitorių</w:t>
      </w:r>
      <w:r w:rsidR="004A2B63">
        <w:rPr>
          <w:rFonts w:eastAsiaTheme="minorEastAsia"/>
          <w:lang w:val="lt-LT"/>
        </w:rPr>
        <w:t>, kapecitabiną, ciklosporiną, verapamilį</w:t>
      </w:r>
      <w:r w:rsidRPr="00D3564A">
        <w:rPr>
          <w:rFonts w:eastAsiaTheme="minorEastAsia"/>
          <w:lang w:val="lt-LT"/>
        </w:rPr>
        <w:t>), kurie gali padidinti arba sumažinti erlotinibo kiekį kraujyje arba daryti įtaką jo veikimui, pasitarkite su gydytoju. Kartais šie vaistai gali sumažinti Varlota veiksmingumą arba sustiprinti šalutinį poveikį ir gydytojui gali tekti keisti gydymą. Kol vartojate Varlota, gydytojas galbūt vengs Jus gydyti šiais vaistais;</w:t>
      </w:r>
    </w:p>
    <w:p w14:paraId="6F3603C8" w14:textId="77777777" w:rsidR="00D72C83" w:rsidRPr="00E35BE6" w:rsidRDefault="00D72C83" w:rsidP="00D3564A">
      <w:pPr>
        <w:pStyle w:val="Sraopastraipa"/>
        <w:widowControl w:val="0"/>
        <w:numPr>
          <w:ilvl w:val="0"/>
          <w:numId w:val="29"/>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vartojate antikoaguliantų (vaistų, padedančių apsaugoti nuo trombozės ar kraujo krešulių susidarymo, pvz., varfarino), Varlota gali didinti polinkį kraujuoti. Pasitarkite su gydytoju, kadangi jam teks reguliariai tirti kai kuriuos Jūsų kraujo rodiklius;</w:t>
      </w:r>
    </w:p>
    <w:p w14:paraId="063BF7CF" w14:textId="77777777" w:rsidR="00D72C83" w:rsidRPr="00E35BE6" w:rsidRDefault="00D72C83" w:rsidP="00D3564A">
      <w:pPr>
        <w:pStyle w:val="Sraopastraipa"/>
        <w:widowControl w:val="0"/>
        <w:numPr>
          <w:ilvl w:val="0"/>
          <w:numId w:val="30"/>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vartojate statinų (cholesterolio kiekį Jūsų kraujyje mažinančių vaistų), Varlota gali didinti su statinų vartojimu susijusio raumenų pažeidimo pavojų, kuris retais atvejais gali sukelti sunkų raumenų irimą (rabdomiolizę) ir dėl to pasireiškiantį inkstų pažeidimą; todėl pasitarkite su gydytoju;</w:t>
      </w:r>
    </w:p>
    <w:p w14:paraId="459E8642" w14:textId="77777777" w:rsidR="00D72C83" w:rsidRPr="00E35BE6" w:rsidRDefault="00D72C83" w:rsidP="00D3564A">
      <w:pPr>
        <w:pStyle w:val="Sraopastraipa"/>
        <w:widowControl w:val="0"/>
        <w:numPr>
          <w:ilvl w:val="0"/>
          <w:numId w:val="31"/>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nešiojate kontaktinius lęšius ir (arba) jeigu anksčiau Jums buvo akių sutrikimų, pavyzdžiui, ryški akių sausmė, priekinės akies obuolio dalies (ragenos) uždegimas ar priekinės akies obuolio dalį apimantis išopėjimas; tokiais atvejais pasakykite gydytojui.</w:t>
      </w:r>
    </w:p>
    <w:p w14:paraId="6D916572"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7DEDAD96"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r w:rsidRPr="002E32EF">
        <w:rPr>
          <w:rFonts w:ascii="Times New Roman" w:eastAsiaTheme="minorEastAsia" w:hAnsi="Times New Roman" w:cs="Times New Roman"/>
        </w:rPr>
        <w:t>Paskaitykite taip pat toliau „Kiti vaistai ir Varlota”.</w:t>
      </w:r>
    </w:p>
    <w:p w14:paraId="22295858"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272EDD65"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Pasakykite gydytojui:</w:t>
      </w:r>
    </w:p>
    <w:p w14:paraId="4BF032B9" w14:textId="77777777" w:rsidR="00D72C83" w:rsidRPr="00E35BE6" w:rsidRDefault="00D72C83" w:rsidP="00D3564A">
      <w:pPr>
        <w:pStyle w:val="Sraopastraipa"/>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jeigu </w:t>
      </w:r>
      <w:r w:rsidRPr="00D3564A">
        <w:rPr>
          <w:rFonts w:eastAsiaTheme="minorEastAsia"/>
          <w:u w:val="single"/>
          <w:lang w:val="lt-LT"/>
        </w:rPr>
        <w:t>staiga</w:t>
      </w:r>
      <w:r w:rsidRPr="00D3564A">
        <w:rPr>
          <w:rFonts w:eastAsiaTheme="minorEastAsia"/>
          <w:lang w:val="lt-LT"/>
        </w:rPr>
        <w:t xml:space="preserve"> pasidarė sunku kvėpuoti, kartu atsirado kosulys arba pakilo temperatūra, nes gydytojui galbūt reikės skirti Jums kitų vaistų, o gydymą Varlota nutraukti;</w:t>
      </w:r>
    </w:p>
    <w:p w14:paraId="58D6C48A" w14:textId="77777777" w:rsidR="00D72C83" w:rsidRPr="00E35BE6" w:rsidRDefault="00D72C83" w:rsidP="00D3564A">
      <w:pPr>
        <w:pStyle w:val="Sraopastraipa"/>
        <w:widowControl w:val="0"/>
        <w:numPr>
          <w:ilvl w:val="0"/>
          <w:numId w:val="32"/>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viduriuojate, nes gydytojui gali tekti Jus gydyti vaistais nuo viduriavimo (pavyzdžiui, loperamidu);</w:t>
      </w:r>
    </w:p>
    <w:p w14:paraId="423EBA19" w14:textId="77777777" w:rsidR="00D72C83" w:rsidRPr="00E35BE6" w:rsidRDefault="00D72C83" w:rsidP="00D3564A">
      <w:pPr>
        <w:pStyle w:val="Sraopastraipa"/>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 xml:space="preserve">nedelsdami, jeigu viduriavimas stiprus ar nesiliauja, jeigu Jus pykina, praradote apetitą arba vemiate, nes gydytojui gali tekti nutraukti gydymą Varlota </w:t>
      </w:r>
      <w:r w:rsidRPr="00D3564A">
        <w:rPr>
          <w:rFonts w:eastAsiaTheme="minorEastAsia"/>
          <w:u w:val="single"/>
          <w:lang w:val="lt-LT"/>
        </w:rPr>
        <w:t>ir gydyti Jus ligoninėje</w:t>
      </w:r>
      <w:r w:rsidRPr="00D3564A">
        <w:rPr>
          <w:rFonts w:eastAsiaTheme="minorEastAsia"/>
          <w:lang w:val="lt-LT"/>
        </w:rPr>
        <w:t>;</w:t>
      </w:r>
    </w:p>
    <w:p w14:paraId="7B76345C" w14:textId="77777777" w:rsidR="00D72C83" w:rsidRPr="00E35BE6" w:rsidRDefault="00D72C83" w:rsidP="00D3564A">
      <w:pPr>
        <w:pStyle w:val="Sraopastraipa"/>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atsirado stiprus pilvo skausmas, sunkus pūslinis odos bėrimas arba jos lupimasis. Jūsų gydytojui gali tekti laikinai arba visai gydymą Varlota nutraukti;</w:t>
      </w:r>
    </w:p>
    <w:p w14:paraId="00C3A11E" w14:textId="77777777" w:rsidR="00D72C83" w:rsidRPr="00D3564A" w:rsidRDefault="00D72C83" w:rsidP="00D3564A">
      <w:pPr>
        <w:pStyle w:val="Sraopastraipa"/>
        <w:widowControl w:val="0"/>
        <w:numPr>
          <w:ilvl w:val="0"/>
          <w:numId w:val="33"/>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jeigu Jums atsirado ūminiai ar pablogėjo esami akies paraudimas ir skausmas, padidėjęs ašarojimas, neryškus matymas ir (arba) padidėjęs jautrumas šviesai; šiais atvejais nedelsdami pasakykite gydytojui arba slaugytojai, kadangi Jums gali reikėti skubaus gydymo (žr. Toliau skyrių „Galimas šalutinis poveikis“);</w:t>
      </w:r>
    </w:p>
    <w:p w14:paraId="6C089A64" w14:textId="77777777" w:rsidR="00D72C83" w:rsidRPr="00E35BE6" w:rsidRDefault="00D72C83" w:rsidP="00D3564A">
      <w:pPr>
        <w:pStyle w:val="Sraopastraipa"/>
        <w:widowControl w:val="0"/>
        <w:numPr>
          <w:ilvl w:val="0"/>
          <w:numId w:val="33"/>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jeigu kartu vartojate statinų ir pasireiškia nepaaiškinamas raumenų skausmas, jautrumas, silpnumas ar mėšlungis. Jūsų gydytojui gali tekti laikinai arba visai gydymą Varlota nutraukti.</w:t>
      </w:r>
    </w:p>
    <w:p w14:paraId="2117EBC3"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p>
    <w:p w14:paraId="2DBC5967"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Paskaitykite taip pat 4 skyrių „Galimas šalutinis poveikis”.</w:t>
      </w:r>
    </w:p>
    <w:p w14:paraId="2DBE9BC9"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046B3FE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Kepenų ar inkstų ligos</w:t>
      </w:r>
    </w:p>
    <w:p w14:paraId="217FE24E"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Nežinoma, ar </w:t>
      </w:r>
      <w:r>
        <w:rPr>
          <w:rFonts w:ascii="Times New Roman" w:eastAsiaTheme="minorEastAsia" w:hAnsi="Times New Roman" w:cs="Times New Roman"/>
        </w:rPr>
        <w:t>erlotinibas</w:t>
      </w:r>
      <w:r w:rsidRPr="002E32EF">
        <w:rPr>
          <w:rFonts w:ascii="Times New Roman" w:eastAsiaTheme="minorEastAsia" w:hAnsi="Times New Roman" w:cs="Times New Roman"/>
        </w:rPr>
        <w:t xml:space="preserve"> veikia kitaip, kai kepenų arba inkstų funkcija nenormali. Jeigu kepenų arba inkstų liga sunki, gydyti šiuo vaistu nerekomenduojama.</w:t>
      </w:r>
    </w:p>
    <w:p w14:paraId="42198C33"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69244D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Gliukuronidinimo sutrikimas, pavyzdžiui, Žilberto (</w:t>
      </w:r>
      <w:r w:rsidRPr="002E32EF">
        <w:rPr>
          <w:rFonts w:ascii="Times New Roman" w:eastAsiaTheme="minorEastAsia" w:hAnsi="Times New Roman" w:cs="Times New Roman"/>
          <w:i/>
          <w:u w:val="single"/>
        </w:rPr>
        <w:t>Gilbert</w:t>
      </w:r>
      <w:r w:rsidRPr="002E32EF">
        <w:rPr>
          <w:rFonts w:ascii="Times New Roman" w:eastAsiaTheme="minorEastAsia" w:hAnsi="Times New Roman" w:cs="Times New Roman"/>
          <w:u w:val="single"/>
        </w:rPr>
        <w:t>)</w:t>
      </w:r>
      <w:r w:rsidRPr="002E32EF">
        <w:rPr>
          <w:rFonts w:ascii="Times New Roman" w:eastAsiaTheme="minorEastAsia" w:hAnsi="Times New Roman" w:cs="Times New Roman"/>
          <w:i/>
          <w:u w:val="single"/>
        </w:rPr>
        <w:t xml:space="preserve"> </w:t>
      </w:r>
      <w:r w:rsidRPr="002E32EF">
        <w:rPr>
          <w:rFonts w:ascii="Times New Roman" w:eastAsiaTheme="minorEastAsia" w:hAnsi="Times New Roman" w:cs="Times New Roman"/>
          <w:u w:val="single"/>
        </w:rPr>
        <w:t>liga</w:t>
      </w:r>
    </w:p>
    <w:p w14:paraId="30BA503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Gydytojas Jus gydys atsargiai, jeigu Jūsų organizme sutrikęs gliukuronidinimas, pavyzdžiui, sergate Žilberto (</w:t>
      </w:r>
      <w:r w:rsidRPr="002E32EF">
        <w:rPr>
          <w:rFonts w:ascii="Times New Roman" w:eastAsiaTheme="minorEastAsia" w:hAnsi="Times New Roman" w:cs="Times New Roman"/>
          <w:i/>
        </w:rPr>
        <w:t>Gilbert</w:t>
      </w:r>
      <w:r w:rsidRPr="002E32EF">
        <w:rPr>
          <w:rFonts w:ascii="Times New Roman" w:eastAsiaTheme="minorEastAsia" w:hAnsi="Times New Roman" w:cs="Times New Roman"/>
        </w:rPr>
        <w:t>)</w:t>
      </w:r>
      <w:r w:rsidRPr="002E32EF">
        <w:rPr>
          <w:rFonts w:ascii="Times New Roman" w:eastAsiaTheme="minorEastAsia" w:hAnsi="Times New Roman" w:cs="Times New Roman"/>
          <w:i/>
        </w:rPr>
        <w:t xml:space="preserve"> </w:t>
      </w:r>
      <w:r w:rsidRPr="002E32EF">
        <w:rPr>
          <w:rFonts w:ascii="Times New Roman" w:eastAsiaTheme="minorEastAsia" w:hAnsi="Times New Roman" w:cs="Times New Roman"/>
        </w:rPr>
        <w:t xml:space="preserve"> liga.</w:t>
      </w:r>
    </w:p>
    <w:p w14:paraId="76A35797"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73643C5B"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u w:val="single"/>
        </w:rPr>
      </w:pPr>
      <w:r w:rsidRPr="002E32EF">
        <w:rPr>
          <w:rFonts w:ascii="Times New Roman" w:eastAsiaTheme="minorEastAsia" w:hAnsi="Times New Roman" w:cs="Times New Roman"/>
          <w:u w:val="single"/>
        </w:rPr>
        <w:t>Rūkymas</w:t>
      </w:r>
    </w:p>
    <w:p w14:paraId="676C5CA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vartojate Varlota, patartina mesti rūkyti, nes rūkymas gali sumažinti vaisto koncentraciją kraujyje.</w:t>
      </w:r>
    </w:p>
    <w:p w14:paraId="432C4F29" w14:textId="77777777" w:rsidR="00D72C83" w:rsidRPr="002E32EF" w:rsidRDefault="00D72C83" w:rsidP="00D72C83">
      <w:pPr>
        <w:spacing w:after="0" w:line="240" w:lineRule="auto"/>
        <w:rPr>
          <w:rFonts w:ascii="Times New Roman" w:hAnsi="Times New Roman" w:cs="Times New Roman"/>
        </w:rPr>
      </w:pPr>
    </w:p>
    <w:p w14:paraId="15E5AA78"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Vaikams ir paaugliams</w:t>
      </w:r>
    </w:p>
    <w:p w14:paraId="26C9778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Asmenų iki 18 metų gydymas </w:t>
      </w:r>
      <w:r>
        <w:rPr>
          <w:rFonts w:ascii="Times New Roman" w:eastAsiaTheme="minorEastAsia" w:hAnsi="Times New Roman" w:cs="Times New Roman"/>
        </w:rPr>
        <w:t>erlotinibas</w:t>
      </w:r>
      <w:r w:rsidRPr="002E32EF">
        <w:rPr>
          <w:rFonts w:ascii="Times New Roman" w:eastAsiaTheme="minorEastAsia" w:hAnsi="Times New Roman" w:cs="Times New Roman"/>
        </w:rPr>
        <w:t xml:space="preserve"> netirtas. Vaikų ir paauglių gydyti šiuo vaistu nerekomenduojama.</w:t>
      </w:r>
    </w:p>
    <w:p w14:paraId="19FAC617"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b/>
          <w:bCs/>
        </w:rPr>
      </w:pPr>
    </w:p>
    <w:p w14:paraId="448E309B"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Kiti vaistai ir Varlota</w:t>
      </w:r>
    </w:p>
    <w:p w14:paraId="1DEB7264"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vartojate ar neseniai vartojote kitų vaistų arba dėl to nesate tikri, apie tai pasakykite gydytojui arba vaistininkui.</w:t>
      </w:r>
    </w:p>
    <w:p w14:paraId="6C90362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7379549F" w14:textId="77777777" w:rsidR="00D72C83" w:rsidRPr="00E35BE6" w:rsidRDefault="00D72C83" w:rsidP="00D3564A">
      <w:pPr>
        <w:pStyle w:val="Antrat4"/>
        <w:spacing w:line="240" w:lineRule="auto"/>
        <w:jc w:val="left"/>
        <w:rPr>
          <w:rFonts w:ascii="Times New Roman" w:hAnsi="Times New Roman"/>
          <w:b w:val="0"/>
          <w:lang w:val="pt-PT"/>
        </w:rPr>
      </w:pPr>
      <w:r w:rsidRPr="00D3564A">
        <w:rPr>
          <w:rFonts w:ascii="Times New Roman" w:hAnsi="Times New Roman"/>
          <w:sz w:val="22"/>
          <w:lang w:val="lt-LT"/>
        </w:rPr>
        <w:t>Varlota vartojimas su maistu ir gėrimais</w:t>
      </w:r>
    </w:p>
    <w:p w14:paraId="10B0404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rPr>
      </w:pPr>
      <w:r w:rsidRPr="002E32EF">
        <w:rPr>
          <w:rFonts w:ascii="Times New Roman" w:eastAsiaTheme="minorEastAsia" w:hAnsi="Times New Roman" w:cs="Times New Roman"/>
        </w:rPr>
        <w:t>Nevartokite Varlota valgydami. Taip pat žr. 3 skyrių „Kaip vartoti Varlota“.</w:t>
      </w:r>
    </w:p>
    <w:p w14:paraId="549F1958"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69C233A" w14:textId="77777777" w:rsidR="00D72C83" w:rsidRPr="00E35BE6" w:rsidRDefault="00D72C83" w:rsidP="00D3564A">
      <w:pPr>
        <w:pStyle w:val="Antrat4"/>
        <w:spacing w:line="240" w:lineRule="auto"/>
        <w:rPr>
          <w:rFonts w:ascii="Times New Roman" w:hAnsi="Times New Roman"/>
          <w:b w:val="0"/>
          <w:lang w:val="lt-LT"/>
        </w:rPr>
      </w:pPr>
      <w:r w:rsidRPr="00D3564A">
        <w:rPr>
          <w:rFonts w:ascii="Times New Roman" w:hAnsi="Times New Roman"/>
          <w:sz w:val="22"/>
          <w:lang w:val="lt-LT"/>
        </w:rPr>
        <w:t xml:space="preserve">Nėštumas ir žindymo laikotarpis </w:t>
      </w:r>
    </w:p>
    <w:p w14:paraId="5F00553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Kol vartojate Varlota, venkite nėštumo. Jeigu galite pastoti, imkitės veiksmingų kontracepcijos priemonių visą gydymo laiką ir ne mažiau kaip 2 savaites po paskutinės šio vaisto tabletės.</w:t>
      </w:r>
    </w:p>
    <w:p w14:paraId="2AD2F80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pastosite vartodama Varlota, nedelsdama pasakykite gydytojui, kuris spręs, ar nutraukti gydymą.</w:t>
      </w:r>
    </w:p>
    <w:p w14:paraId="12D91877" w14:textId="2C2DBB57" w:rsidR="004A2B63" w:rsidRPr="004A2B63" w:rsidRDefault="00D72C83" w:rsidP="004A2B6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vartojate Varlota</w:t>
      </w:r>
      <w:r w:rsidR="00A41407" w:rsidRPr="004A2B63">
        <w:rPr>
          <w:rFonts w:ascii="Helvetica" w:eastAsia="Times New Roman" w:hAnsi="Helvetica" w:cs="Helvetica"/>
          <w:color w:val="FFFFFF"/>
          <w:sz w:val="35"/>
          <w:szCs w:val="35"/>
          <w:lang w:eastAsia="lt-LT"/>
        </w:rPr>
        <w:t xml:space="preserve"> </w:t>
      </w:r>
      <w:r w:rsidR="00A41407" w:rsidRPr="004A2B63">
        <w:rPr>
          <w:rFonts w:ascii="Times New Roman" w:eastAsiaTheme="minorEastAsia" w:hAnsi="Times New Roman" w:cs="Times New Roman"/>
        </w:rPr>
        <w:t>ir mažiausiai 2 savaites po paskutinės tabletės išgėrimo</w:t>
      </w:r>
      <w:r w:rsidR="00A41407">
        <w:rPr>
          <w:rFonts w:ascii="Times New Roman" w:eastAsiaTheme="minorEastAsia" w:hAnsi="Times New Roman" w:cs="Times New Roman"/>
        </w:rPr>
        <w:t>,</w:t>
      </w:r>
      <w:r w:rsidRPr="002E32EF">
        <w:rPr>
          <w:rFonts w:ascii="Times New Roman" w:eastAsiaTheme="minorEastAsia" w:hAnsi="Times New Roman" w:cs="Times New Roman"/>
        </w:rPr>
        <w:t xml:space="preserve"> nežindykite kūdikio</w:t>
      </w:r>
      <w:r w:rsidR="00A41407">
        <w:rPr>
          <w:rFonts w:ascii="Times New Roman" w:eastAsiaTheme="minorEastAsia" w:hAnsi="Times New Roman" w:cs="Times New Roman"/>
        </w:rPr>
        <w:t>.</w:t>
      </w:r>
    </w:p>
    <w:p w14:paraId="64E6CB5A"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5143A67"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esate nėščia, žindote kūdikį, manote, kad galbūt esate nėščia arba planuojate pastoti, tai prieš vartodama šį vaistą pasitarkite su gydytoju arba vaistininku.</w:t>
      </w:r>
    </w:p>
    <w:p w14:paraId="74113ACF" w14:textId="77777777" w:rsidR="00D72C83" w:rsidRPr="002E32EF" w:rsidRDefault="00D72C83" w:rsidP="00D72C83">
      <w:pPr>
        <w:spacing w:after="0" w:line="240" w:lineRule="auto"/>
        <w:rPr>
          <w:rFonts w:ascii="Times New Roman" w:hAnsi="Times New Roman" w:cs="Times New Roman"/>
        </w:rPr>
      </w:pPr>
    </w:p>
    <w:p w14:paraId="540A1CA5" w14:textId="77777777" w:rsidR="00D72C83" w:rsidRPr="00E35BE6" w:rsidRDefault="00D72C83" w:rsidP="00D3564A">
      <w:pPr>
        <w:pStyle w:val="Antrat4"/>
        <w:spacing w:line="240" w:lineRule="auto"/>
        <w:rPr>
          <w:rFonts w:ascii="Times New Roman" w:hAnsi="Times New Roman"/>
          <w:b w:val="0"/>
          <w:lang w:val="lt-LT"/>
        </w:rPr>
      </w:pPr>
      <w:r w:rsidRPr="00D3564A">
        <w:rPr>
          <w:rFonts w:ascii="Times New Roman" w:hAnsi="Times New Roman"/>
          <w:sz w:val="22"/>
          <w:lang w:val="lt-LT"/>
        </w:rPr>
        <w:t>Vairavimas ir mechanizmų valdymas</w:t>
      </w:r>
    </w:p>
    <w:p w14:paraId="22F9D31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Galimas </w:t>
      </w:r>
      <w:r>
        <w:rPr>
          <w:rFonts w:ascii="Times New Roman" w:eastAsiaTheme="minorEastAsia" w:hAnsi="Times New Roman" w:cs="Times New Roman"/>
        </w:rPr>
        <w:t>erlotinibo</w:t>
      </w:r>
      <w:r w:rsidRPr="002E32EF">
        <w:rPr>
          <w:rFonts w:ascii="Times New Roman" w:eastAsiaTheme="minorEastAsia" w:hAnsi="Times New Roman" w:cs="Times New Roman"/>
        </w:rPr>
        <w:t xml:space="preserve"> poveikis gebėjimui vairuoti ir valdyti mechanizmus netirtas, tačiau labai neįtikėtina, kad gydymas trikdytų šį gebėjimą.</w:t>
      </w:r>
    </w:p>
    <w:p w14:paraId="6524CBF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FB180B2" w14:textId="77777777" w:rsidR="00D72C83" w:rsidRPr="000E0028" w:rsidRDefault="00D72C83" w:rsidP="00D72C83">
      <w:pPr>
        <w:widowControl w:val="0"/>
        <w:autoSpaceDE w:val="0"/>
        <w:autoSpaceDN w:val="0"/>
        <w:adjustRightInd w:val="0"/>
        <w:spacing w:after="0" w:line="240" w:lineRule="auto"/>
        <w:rPr>
          <w:rFonts w:ascii="Times New Roman" w:eastAsiaTheme="minorEastAsia" w:hAnsi="Times New Roman" w:cs="Times New Roman"/>
          <w:b/>
        </w:rPr>
      </w:pPr>
      <w:r w:rsidRPr="000E0028">
        <w:rPr>
          <w:rFonts w:ascii="Times New Roman" w:eastAsiaTheme="minorEastAsia" w:hAnsi="Times New Roman" w:cs="Times New Roman"/>
          <w:b/>
        </w:rPr>
        <w:t>Varlota sudėtyje yra cukraus, vadinamo laktozės monohidratu</w:t>
      </w:r>
    </w:p>
    <w:p w14:paraId="67A30ED1"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gydytojas Jums yra sakęs, kad netoleruojate kokių nors angliavandenių, kreipkitės į jį prieš pradėdami vartoti šį vaistą.</w:t>
      </w:r>
    </w:p>
    <w:p w14:paraId="757C662D"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4068CF06" w14:textId="77777777" w:rsidR="00D72C83" w:rsidRPr="000E0028" w:rsidRDefault="00D72C83" w:rsidP="00D72C83">
      <w:pPr>
        <w:widowControl w:val="0"/>
        <w:autoSpaceDE w:val="0"/>
        <w:autoSpaceDN w:val="0"/>
        <w:adjustRightInd w:val="0"/>
        <w:spacing w:after="0" w:line="240" w:lineRule="auto"/>
        <w:rPr>
          <w:rFonts w:ascii="Times New Roman" w:hAnsi="Times New Roman" w:cs="Times New Roman"/>
          <w:b/>
        </w:rPr>
      </w:pPr>
      <w:r>
        <w:rPr>
          <w:rFonts w:ascii="Times New Roman" w:eastAsiaTheme="minorEastAsia" w:hAnsi="Times New Roman" w:cs="Times New Roman"/>
          <w:b/>
        </w:rPr>
        <w:t>Varlota sudėtyje yra natrio</w:t>
      </w:r>
    </w:p>
    <w:p w14:paraId="0FDAEAA1" w14:textId="2E39C2C6" w:rsidR="00D72C83" w:rsidRPr="00986910"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Pr>
          <w:rFonts w:ascii="Times New Roman" w:eastAsiaTheme="minorEastAsia" w:hAnsi="Times New Roman" w:cs="Times New Roman"/>
        </w:rPr>
        <w:t xml:space="preserve">Šio vaisto </w:t>
      </w:r>
      <w:r w:rsidR="00295E4E">
        <w:rPr>
          <w:rFonts w:ascii="Times New Roman" w:eastAsiaTheme="minorEastAsia" w:hAnsi="Times New Roman" w:cs="Times New Roman"/>
        </w:rPr>
        <w:t xml:space="preserve">plėvele dengtoje </w:t>
      </w:r>
      <w:r>
        <w:rPr>
          <w:rFonts w:ascii="Times New Roman" w:eastAsiaTheme="minorEastAsia" w:hAnsi="Times New Roman" w:cs="Times New Roman"/>
        </w:rPr>
        <w:t xml:space="preserve">tabletėje yra mažiau kaip </w:t>
      </w:r>
      <w:r w:rsidRPr="008C725B">
        <w:rPr>
          <w:rFonts w:ascii="Times New Roman" w:eastAsiaTheme="minorEastAsia" w:hAnsi="Times New Roman" w:cs="Times New Roman"/>
        </w:rPr>
        <w:t>1</w:t>
      </w:r>
      <w:r>
        <w:rPr>
          <w:rFonts w:ascii="Times New Roman" w:eastAsiaTheme="minorEastAsia" w:hAnsi="Times New Roman" w:cs="Times New Roman"/>
        </w:rPr>
        <w:t xml:space="preserve"> mmol </w:t>
      </w:r>
      <w:r w:rsidRPr="008C725B">
        <w:rPr>
          <w:rFonts w:ascii="Times New Roman" w:eastAsiaTheme="minorEastAsia" w:hAnsi="Times New Roman" w:cs="Times New Roman"/>
        </w:rPr>
        <w:t xml:space="preserve">(23 mg) </w:t>
      </w:r>
      <w:r>
        <w:rPr>
          <w:rFonts w:ascii="Times New Roman" w:eastAsiaTheme="minorEastAsia" w:hAnsi="Times New Roman" w:cs="Times New Roman"/>
        </w:rPr>
        <w:t>natrio, t.</w:t>
      </w:r>
      <w:r w:rsidR="00B55C19">
        <w:rPr>
          <w:rFonts w:ascii="Times New Roman" w:eastAsiaTheme="minorEastAsia" w:hAnsi="Times New Roman" w:cs="Times New Roman"/>
        </w:rPr>
        <w:t xml:space="preserve"> </w:t>
      </w:r>
      <w:r>
        <w:rPr>
          <w:rFonts w:ascii="Times New Roman" w:eastAsiaTheme="minorEastAsia" w:hAnsi="Times New Roman" w:cs="Times New Roman"/>
        </w:rPr>
        <w:t>y. jis beveik neturi reikšmės.</w:t>
      </w:r>
    </w:p>
    <w:p w14:paraId="5C67E6F9" w14:textId="77777777" w:rsidR="00D72C83" w:rsidRPr="002E32EF" w:rsidRDefault="00D72C83" w:rsidP="00D72C83">
      <w:pPr>
        <w:numPr>
          <w:ilvl w:val="12"/>
          <w:numId w:val="0"/>
        </w:numPr>
        <w:spacing w:after="0" w:line="240" w:lineRule="auto"/>
        <w:rPr>
          <w:rFonts w:ascii="Times New Roman" w:hAnsi="Times New Roman" w:cs="Times New Roman"/>
        </w:rPr>
      </w:pPr>
    </w:p>
    <w:p w14:paraId="1914B90C" w14:textId="77777777" w:rsidR="00D72C83" w:rsidRPr="002E32EF" w:rsidRDefault="00D72C83" w:rsidP="00D72C83">
      <w:pPr>
        <w:numPr>
          <w:ilvl w:val="12"/>
          <w:numId w:val="0"/>
        </w:numPr>
        <w:spacing w:after="0" w:line="240" w:lineRule="auto"/>
        <w:rPr>
          <w:rFonts w:ascii="Times New Roman" w:hAnsi="Times New Roman" w:cs="Times New Roman"/>
        </w:rPr>
      </w:pPr>
    </w:p>
    <w:p w14:paraId="4B0BCBFD"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3.</w:t>
      </w:r>
      <w:r w:rsidRPr="00D3564A">
        <w:rPr>
          <w:rFonts w:ascii="Times New Roman" w:hAnsi="Times New Roman"/>
          <w:sz w:val="22"/>
          <w:lang w:val="lt-LT"/>
        </w:rPr>
        <w:tab/>
        <w:t>Kaip vartoti Varlota</w:t>
      </w:r>
    </w:p>
    <w:p w14:paraId="1E9D7F74" w14:textId="77777777" w:rsidR="00D72C83" w:rsidRPr="002E32EF" w:rsidRDefault="00D72C83" w:rsidP="00D72C83">
      <w:pPr>
        <w:numPr>
          <w:ilvl w:val="12"/>
          <w:numId w:val="0"/>
        </w:numPr>
        <w:spacing w:after="0" w:line="240" w:lineRule="auto"/>
        <w:rPr>
          <w:rFonts w:ascii="Times New Roman" w:hAnsi="Times New Roman" w:cs="Times New Roman"/>
        </w:rPr>
      </w:pPr>
    </w:p>
    <w:p w14:paraId="1B2F571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Visada vartokite šį vaistą tiksliai kaip nurodė gydytojas. Jeigu abejojate, kreipkitės į gydytoją arba vaistininką.</w:t>
      </w:r>
    </w:p>
    <w:p w14:paraId="022DC27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3089006E" w14:textId="77777777" w:rsidR="00D72C83" w:rsidRPr="002E32EF" w:rsidRDefault="00D72C83" w:rsidP="00D72C83">
      <w:pPr>
        <w:widowControl w:val="0"/>
        <w:autoSpaceDE w:val="0"/>
        <w:autoSpaceDN w:val="0"/>
        <w:adjustRightInd w:val="0"/>
        <w:spacing w:after="0" w:line="240" w:lineRule="auto"/>
        <w:jc w:val="both"/>
        <w:rPr>
          <w:rFonts w:ascii="Times New Roman" w:eastAsiaTheme="minorEastAsia" w:hAnsi="Times New Roman" w:cs="Times New Roman"/>
        </w:rPr>
      </w:pPr>
      <w:r w:rsidRPr="002E32EF">
        <w:rPr>
          <w:rFonts w:ascii="Times New Roman" w:eastAsiaTheme="minorEastAsia" w:hAnsi="Times New Roman" w:cs="Times New Roman"/>
        </w:rPr>
        <w:t>Tabletes reikia gerti bent valandą prieš valgį arba dvi valandas po valgio.</w:t>
      </w:r>
    </w:p>
    <w:p w14:paraId="12E24938"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spacing w:val="-1"/>
          <w:highlight w:val="yellow"/>
        </w:rPr>
      </w:pPr>
    </w:p>
    <w:p w14:paraId="0E1F97E1"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sergate nesmulkialąsteliniu plaučių vėžiu, įprasta dozė yra viena Varlota 150 mg tabletė per parą.</w:t>
      </w:r>
    </w:p>
    <w:p w14:paraId="6D123E7E"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spacing w:val="-1"/>
          <w:highlight w:val="yellow"/>
        </w:rPr>
      </w:pPr>
    </w:p>
    <w:p w14:paraId="6FF46AF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sergate metastazavusiu kasos vėžiu, įprasta dozė yra viena Varlota 100 mg tabletė per parą. Varlota vartojamas kartu su gemcitabinu.</w:t>
      </w:r>
    </w:p>
    <w:p w14:paraId="0EB8AE66"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E072DBC" w14:textId="77777777" w:rsidR="00D72C83"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 xml:space="preserve">Gydytojas gali keisti dozę po 50 mg. </w:t>
      </w:r>
    </w:p>
    <w:p w14:paraId="5472655B" w14:textId="278490C6" w:rsidR="00D72C83" w:rsidRDefault="00D72C83" w:rsidP="00D72C83">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Varlota 25 mg tabletės netiekiamos. Jeigu reikalinga ši vaisto dozė,</w:t>
      </w:r>
      <w:r w:rsidRPr="00CF5364">
        <w:rPr>
          <w:rFonts w:ascii="Times New Roman" w:hAnsi="Times New Roman" w:cs="Times New Roman"/>
        </w:rPr>
        <w:t xml:space="preserve"> </w:t>
      </w:r>
      <w:r>
        <w:rPr>
          <w:rFonts w:ascii="Times New Roman" w:hAnsi="Times New Roman" w:cs="Times New Roman"/>
        </w:rPr>
        <w:t>Jums reikia vartoti</w:t>
      </w:r>
      <w:r w:rsidRPr="00CF5364">
        <w:rPr>
          <w:rFonts w:ascii="Times New Roman" w:hAnsi="Times New Roman" w:cs="Times New Roman"/>
        </w:rPr>
        <w:t xml:space="preserve"> kitus rinkoje esančius vaist</w:t>
      </w:r>
      <w:r w:rsidR="00EF0218">
        <w:rPr>
          <w:rFonts w:ascii="Times New Roman" w:hAnsi="Times New Roman" w:cs="Times New Roman"/>
        </w:rPr>
        <w:t>us</w:t>
      </w:r>
      <w:r w:rsidRPr="00CF5364">
        <w:rPr>
          <w:rFonts w:ascii="Times New Roman" w:hAnsi="Times New Roman" w:cs="Times New Roman"/>
        </w:rPr>
        <w:t>.</w:t>
      </w:r>
      <w:r>
        <w:rPr>
          <w:rFonts w:ascii="Times New Roman" w:hAnsi="Times New Roman" w:cs="Times New Roman"/>
        </w:rPr>
        <w:t xml:space="preserve"> Pasitarkite su gydytoju arba vaistininku.</w:t>
      </w:r>
    </w:p>
    <w:p w14:paraId="43A728A7"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ECF6B47" w14:textId="23B2C536"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Ką daryti pavartojus per didelę Varlota dozę</w:t>
      </w:r>
      <w:r w:rsidR="00C033E9">
        <w:rPr>
          <w:rFonts w:ascii="Times New Roman" w:hAnsi="Times New Roman"/>
          <w:sz w:val="22"/>
          <w:lang w:val="lt-LT"/>
        </w:rPr>
        <w:t>-</w:t>
      </w:r>
    </w:p>
    <w:p w14:paraId="7653701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Nedelsdami kreipkitės į gydytoją arba vaistininką.</w:t>
      </w:r>
    </w:p>
    <w:p w14:paraId="7A00E2F8" w14:textId="77777777" w:rsidR="00D72C83" w:rsidRPr="002E32EF" w:rsidRDefault="00D72C83" w:rsidP="00D72C83">
      <w:pPr>
        <w:numPr>
          <w:ilvl w:val="12"/>
          <w:numId w:val="0"/>
        </w:numPr>
        <w:tabs>
          <w:tab w:val="left" w:pos="1296"/>
        </w:tabs>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Gali padidėti šalutinis poveikis, todėl gydytojas gali nutraukti gydymą.</w:t>
      </w:r>
    </w:p>
    <w:p w14:paraId="0F104D97"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F7D5951"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Pamiršus pavartoti Varlota</w:t>
      </w:r>
    </w:p>
    <w:p w14:paraId="06D872DD"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Jeigu praleidote vieną ar daugiau Varlota dozių, kuo greičiau kreipkitės į gydytoją arba vaistininką. Negalima vartoti dvigubos dozės norint kompensuoti praleistą dozę.</w:t>
      </w:r>
    </w:p>
    <w:p w14:paraId="38BB3445"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00D10673" w14:textId="77777777" w:rsidR="00D72C83" w:rsidRPr="00E35BE6" w:rsidRDefault="00D72C83" w:rsidP="00D3564A">
      <w:pPr>
        <w:pStyle w:val="Antrat4"/>
        <w:spacing w:line="240" w:lineRule="auto"/>
        <w:jc w:val="left"/>
        <w:rPr>
          <w:rFonts w:ascii="Times New Roman" w:hAnsi="Times New Roman"/>
          <w:b w:val="0"/>
          <w:lang w:val="lt-LT"/>
        </w:rPr>
      </w:pPr>
      <w:r w:rsidRPr="00D3564A">
        <w:rPr>
          <w:rFonts w:ascii="Times New Roman" w:hAnsi="Times New Roman"/>
          <w:sz w:val="22"/>
          <w:lang w:val="lt-LT"/>
        </w:rPr>
        <w:t>Nustojus vartoti Varlota</w:t>
      </w:r>
    </w:p>
    <w:p w14:paraId="6DF112E9"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Svarbu vartoti Varlota kiekvieną dieną tiek laiko, kiek gydytojas nurodė.</w:t>
      </w:r>
    </w:p>
    <w:p w14:paraId="546F6A22"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51477889" w14:textId="77777777" w:rsidR="00D72C83" w:rsidRPr="002E32EF" w:rsidRDefault="00D72C83" w:rsidP="00D72C83">
      <w:pPr>
        <w:spacing w:after="0" w:line="240" w:lineRule="auto"/>
        <w:rPr>
          <w:rFonts w:ascii="Times New Roman" w:hAnsi="Times New Roman" w:cs="Times New Roman"/>
        </w:rPr>
      </w:pPr>
      <w:r w:rsidRPr="002E32EF">
        <w:rPr>
          <w:rFonts w:ascii="Times New Roman" w:eastAsiaTheme="minorEastAsia" w:hAnsi="Times New Roman" w:cs="Times New Roman"/>
        </w:rPr>
        <w:lastRenderedPageBreak/>
        <w:t>Jeigu kiltų daugiau klausimų dėl šio vaisto vartojimo, kreipkitės į gydytoją arba vaistininką.</w:t>
      </w:r>
    </w:p>
    <w:p w14:paraId="3DE805F9" w14:textId="77777777" w:rsidR="00D72C83" w:rsidRPr="002E32EF" w:rsidRDefault="00D72C83" w:rsidP="00D72C83">
      <w:pPr>
        <w:spacing w:after="0" w:line="240" w:lineRule="auto"/>
        <w:rPr>
          <w:rFonts w:ascii="Times New Roman" w:hAnsi="Times New Roman" w:cs="Times New Roman"/>
        </w:rPr>
      </w:pPr>
    </w:p>
    <w:p w14:paraId="0939F202" w14:textId="77777777" w:rsidR="00D72C83" w:rsidRPr="002E32EF" w:rsidRDefault="00D72C83" w:rsidP="00D72C83">
      <w:pPr>
        <w:spacing w:after="0" w:line="240" w:lineRule="auto"/>
        <w:rPr>
          <w:rFonts w:ascii="Times New Roman" w:hAnsi="Times New Roman" w:cs="Times New Roman"/>
        </w:rPr>
      </w:pPr>
    </w:p>
    <w:p w14:paraId="0F05F452"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4.</w:t>
      </w:r>
      <w:r w:rsidRPr="00D3564A">
        <w:rPr>
          <w:rFonts w:ascii="Times New Roman" w:hAnsi="Times New Roman"/>
          <w:sz w:val="22"/>
          <w:lang w:val="lt-LT"/>
        </w:rPr>
        <w:tab/>
        <w:t>Galimas šalutinis poveikis</w:t>
      </w:r>
    </w:p>
    <w:p w14:paraId="727AAD1A" w14:textId="77777777" w:rsidR="00D72C83" w:rsidRPr="002E32EF" w:rsidRDefault="00D72C83" w:rsidP="00D72C83">
      <w:pPr>
        <w:numPr>
          <w:ilvl w:val="12"/>
          <w:numId w:val="0"/>
        </w:numPr>
        <w:spacing w:after="0" w:line="240" w:lineRule="auto"/>
        <w:rPr>
          <w:rFonts w:ascii="Times New Roman" w:hAnsi="Times New Roman" w:cs="Times New Roman"/>
        </w:rPr>
      </w:pPr>
    </w:p>
    <w:p w14:paraId="674FAAF0"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Šis vaistas, kaip ir visi kiti, gali sukelti šalutinį poveikį, nors jis pasireiškia ne visiems žmonėms.</w:t>
      </w:r>
    </w:p>
    <w:p w14:paraId="765DB9FC"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p>
    <w:p w14:paraId="04B501F8" w14:textId="77777777" w:rsidR="00D72C83" w:rsidRPr="002E32EF" w:rsidRDefault="00D72C83" w:rsidP="00D72C83">
      <w:pPr>
        <w:widowControl w:val="0"/>
        <w:autoSpaceDE w:val="0"/>
        <w:autoSpaceDN w:val="0"/>
        <w:adjustRightInd w:val="0"/>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Pasireiškus bet kuriam toliau paminėtam šalutiniam poveikiui, kuo greičiau kreipkitės į gydytoją. Kartais gydytojui gali tekti sumažinti Varlota dozę arba laikinai nutraukti gydymą.</w:t>
      </w:r>
    </w:p>
    <w:p w14:paraId="2F193FAA"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highlight w:val="yellow"/>
        </w:rPr>
      </w:pPr>
    </w:p>
    <w:p w14:paraId="76AC3BEA" w14:textId="09426BB7" w:rsidR="00D72C83" w:rsidRPr="00E35BE6" w:rsidRDefault="00D72C83" w:rsidP="00D3564A">
      <w:pPr>
        <w:pStyle w:val="Sraopastraipa"/>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viduriavimas ir vėmimas (labai dažni</w:t>
      </w:r>
      <w:r w:rsidR="00C033E9">
        <w:rPr>
          <w:rFonts w:eastAsiaTheme="minorEastAsia"/>
          <w:lang w:val="lt-LT"/>
        </w:rPr>
        <w:t xml:space="preserve"> šalutinio poveikio reiškiniai</w:t>
      </w:r>
      <w:r w:rsidRPr="00D3564A">
        <w:rPr>
          <w:rFonts w:eastAsiaTheme="minorEastAsia"/>
          <w:lang w:val="lt-LT"/>
        </w:rPr>
        <w:t xml:space="preserve">: </w:t>
      </w:r>
      <w:r w:rsidR="00745868" w:rsidRPr="00271131">
        <w:rPr>
          <w:rFonts w:eastAsiaTheme="minorEastAsia"/>
          <w:bCs/>
        </w:rPr>
        <w:t>gali pasireikšti ne rečiau kaip 1 iš 10 asmenų</w:t>
      </w:r>
      <w:r w:rsidRPr="00D3564A">
        <w:rPr>
          <w:rFonts w:eastAsiaTheme="minorEastAsia"/>
          <w:lang w:val="lt-LT"/>
        </w:rPr>
        <w:t xml:space="preserve">). Nuo nepaliaujamo ir stipraus viduriavimo gali sumažėti kalio kiekis kraujyje ir sutrikti inkstų veikla, ypač jeigu tuo pat metu gydoma kitais chemoterapiniais vaistais. Jeigu stipriau ar nepaliaujamai viduriuojate, </w:t>
      </w:r>
      <w:r w:rsidRPr="00D3564A">
        <w:rPr>
          <w:rFonts w:eastAsiaTheme="minorEastAsia"/>
          <w:b/>
          <w:lang w:val="lt-LT"/>
        </w:rPr>
        <w:t>nedelsdami kreipkitės į gydytoją</w:t>
      </w:r>
      <w:r w:rsidRPr="00D3564A">
        <w:rPr>
          <w:rFonts w:eastAsiaTheme="minorEastAsia"/>
          <w:lang w:val="lt-LT"/>
        </w:rPr>
        <w:t>, nes gydytojui gali tekti Jus gydyti ligoninėje.</w:t>
      </w:r>
    </w:p>
    <w:p w14:paraId="48837412" w14:textId="77777777" w:rsidR="00D72C83" w:rsidRPr="00E35BE6" w:rsidRDefault="00D72C83" w:rsidP="00D3564A">
      <w:pPr>
        <w:pStyle w:val="Sraopastraipa"/>
        <w:widowControl w:val="0"/>
        <w:tabs>
          <w:tab w:val="clear" w:pos="567"/>
        </w:tabs>
        <w:autoSpaceDE w:val="0"/>
        <w:autoSpaceDN w:val="0"/>
        <w:adjustRightInd w:val="0"/>
        <w:spacing w:line="240" w:lineRule="auto"/>
        <w:ind w:left="567" w:hanging="567"/>
        <w:rPr>
          <w:rFonts w:eastAsiaTheme="minorEastAsia"/>
          <w:lang w:val="lt-LT"/>
        </w:rPr>
      </w:pPr>
    </w:p>
    <w:p w14:paraId="7608BE50" w14:textId="542B13A3" w:rsidR="00D72C83" w:rsidRPr="00E35BE6" w:rsidRDefault="00D72C83" w:rsidP="00D3564A">
      <w:pPr>
        <w:pStyle w:val="Sraopastraipa"/>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akių dirginimas dėl konjunktyvito ar keratokonjunktyvito (labai dažni: gali pasireikšti daugiau negu 1 iš 10 pacientų) ir ragenos uždegimo (</w:t>
      </w:r>
      <w:r w:rsidR="00C033E9" w:rsidRPr="00D3564A">
        <w:rPr>
          <w:rFonts w:eastAsiaTheme="minorEastAsia"/>
          <w:lang w:val="lt-LT"/>
        </w:rPr>
        <w:t>dažni</w:t>
      </w:r>
      <w:r w:rsidR="00C033E9">
        <w:rPr>
          <w:rFonts w:eastAsiaTheme="minorEastAsia"/>
          <w:lang w:val="lt-LT"/>
        </w:rPr>
        <w:t xml:space="preserve"> šalutinio poveikio reiškiniai</w:t>
      </w:r>
      <w:r w:rsidR="00C033E9" w:rsidRPr="00D3564A">
        <w:rPr>
          <w:rFonts w:eastAsiaTheme="minorEastAsia"/>
          <w:lang w:val="lt-LT"/>
        </w:rPr>
        <w:t xml:space="preserve">: </w:t>
      </w:r>
      <w:r w:rsidR="00C033E9" w:rsidRPr="00402799">
        <w:rPr>
          <w:rFonts w:eastAsiaTheme="minorEastAsia"/>
          <w:bCs/>
        </w:rPr>
        <w:t>gali pasireikšti rečiau kaip 1 iš 10 asmenų</w:t>
      </w:r>
      <w:r w:rsidRPr="00D3564A">
        <w:rPr>
          <w:rFonts w:eastAsiaTheme="minorEastAsia"/>
          <w:lang w:val="lt-LT"/>
        </w:rPr>
        <w:t>).</w:t>
      </w:r>
    </w:p>
    <w:p w14:paraId="4879F2DB" w14:textId="77777777" w:rsidR="00D72C83" w:rsidRPr="002E32EF"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rPr>
      </w:pPr>
    </w:p>
    <w:p w14:paraId="096695B3" w14:textId="1A8B3990" w:rsidR="00D72C83" w:rsidRPr="00D3564A" w:rsidRDefault="00D72C83" w:rsidP="00D3564A">
      <w:pPr>
        <w:pStyle w:val="Sraopastraipa"/>
        <w:widowControl w:val="0"/>
        <w:numPr>
          <w:ilvl w:val="0"/>
          <w:numId w:val="34"/>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 xml:space="preserve">reta plaučių dirginimo forma, vadinama intersticine plaučių liga (iš Europos kilusiems pacientams pasireiškia nedažnai, o iš Japonijos kilusiems pacientams pasireiškia dažnai: Europoje gali pasireikšti </w:t>
      </w:r>
      <w:r w:rsidR="00C033E9">
        <w:rPr>
          <w:rFonts w:eastAsiaTheme="minorEastAsia"/>
          <w:lang w:val="lt-LT"/>
        </w:rPr>
        <w:t>rečiau kaip</w:t>
      </w:r>
      <w:r w:rsidRPr="00D3564A">
        <w:rPr>
          <w:rFonts w:eastAsiaTheme="minorEastAsia"/>
          <w:lang w:val="lt-LT"/>
        </w:rPr>
        <w:t xml:space="preserve"> 1 iš 100 </w:t>
      </w:r>
      <w:r w:rsidR="00C033E9">
        <w:rPr>
          <w:rFonts w:eastAsiaTheme="minorEastAsia"/>
          <w:lang w:val="lt-LT"/>
        </w:rPr>
        <w:t>asmenų</w:t>
      </w:r>
      <w:r w:rsidRPr="00D3564A">
        <w:rPr>
          <w:rFonts w:eastAsiaTheme="minorEastAsia"/>
          <w:lang w:val="lt-LT"/>
        </w:rPr>
        <w:t xml:space="preserve">, o Japonijoje - </w:t>
      </w:r>
      <w:r w:rsidR="00C033E9">
        <w:rPr>
          <w:rFonts w:eastAsiaTheme="minorEastAsia"/>
          <w:lang w:val="lt-LT"/>
        </w:rPr>
        <w:t>rečiau kaip</w:t>
      </w:r>
      <w:r w:rsidRPr="00D3564A">
        <w:rPr>
          <w:rFonts w:eastAsiaTheme="minorEastAsia"/>
          <w:lang w:val="lt-LT"/>
        </w:rPr>
        <w:t xml:space="preserve"> 1 iš 10 </w:t>
      </w:r>
      <w:r w:rsidR="00C033E9">
        <w:rPr>
          <w:rFonts w:eastAsiaTheme="minorEastAsia"/>
          <w:lang w:val="lt-LT"/>
        </w:rPr>
        <w:t>asmenų</w:t>
      </w:r>
      <w:r w:rsidRPr="00D3564A">
        <w:rPr>
          <w:rFonts w:eastAsiaTheme="minorEastAsia"/>
          <w:lang w:val="lt-LT"/>
        </w:rPr>
        <w:t>). Ši liga taip pat gali būti susijusi su natūraliu pagrindinės ligos progresavimu ir kartais gali lemti mirtį. Jeigu staiga pasunkėja kvėpavimas, susijęs su kosuliu arba karščiavimu, nedelsdami kreipkitės į gydytoją, nes tai gali būti šios ligos simptomai. Galbūt gydytojas nuspręs visiškai nutraukti gydymą Varlota.</w:t>
      </w:r>
    </w:p>
    <w:p w14:paraId="3F89BB36"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21DFCF86" w14:textId="77777777" w:rsidR="00D72C83" w:rsidRPr="00E35BE6" w:rsidRDefault="00D72C83" w:rsidP="00D3564A">
      <w:pPr>
        <w:pStyle w:val="Sraopastraipa"/>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buvo nustatytas virškinimo trakto prakiurimas (nedažnas: gali pasireikšti mažiau negu 1 iš 100 pacientų). Pasakykite savo gydytojui, jeigu atsirado stiprus pilvo skausmas. Taip pat pasakykite gydytojui, jeigu ankščiau turėjote pepsinių opų arba sirgote divertikulo liga, nes tai gali didinti šią riziką.</w:t>
      </w:r>
    </w:p>
    <w:p w14:paraId="22291768"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1D73AE73" w14:textId="77777777" w:rsidR="00D72C83" w:rsidRPr="00E35BE6" w:rsidRDefault="00D72C83" w:rsidP="00D3564A">
      <w:pPr>
        <w:pStyle w:val="Sraopastraipa"/>
        <w:widowControl w:val="0"/>
        <w:numPr>
          <w:ilvl w:val="0"/>
          <w:numId w:val="34"/>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retais atvejais sutriko kepenų veikla (reta: gali pasireikšti mažiau negu 1 iš 1000 pacientų). Jeigu Jūsų kraujo tyrimas rodo sunkų kepenų veiklos sutrikimą, gydytojas gali nutraukti gydymą.</w:t>
      </w:r>
    </w:p>
    <w:p w14:paraId="79F8380F" w14:textId="77777777" w:rsidR="00D72C83" w:rsidRPr="002E32EF" w:rsidRDefault="00D72C83" w:rsidP="00D72C83">
      <w:pPr>
        <w:tabs>
          <w:tab w:val="left" w:pos="1296"/>
        </w:tabs>
        <w:spacing w:after="0" w:line="240" w:lineRule="auto"/>
        <w:ind w:left="567" w:hanging="567"/>
        <w:rPr>
          <w:rFonts w:ascii="Times New Roman" w:hAnsi="Times New Roman" w:cs="Times New Roman"/>
          <w:i/>
          <w:iCs/>
        </w:rPr>
      </w:pPr>
    </w:p>
    <w:p w14:paraId="428B7FD3" w14:textId="7A1C6204" w:rsidR="00D72C83" w:rsidRPr="00EF0218"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EF0218">
        <w:rPr>
          <w:rFonts w:ascii="Times New Roman" w:eastAsiaTheme="minorEastAsia" w:hAnsi="Times New Roman" w:cs="Times New Roman"/>
          <w:b/>
        </w:rPr>
        <w:t>Labai dažn</w:t>
      </w:r>
      <w:r w:rsidR="00EF0218" w:rsidRPr="00EF0218">
        <w:rPr>
          <w:rFonts w:ascii="Times New Roman" w:eastAsiaTheme="minorEastAsia" w:hAnsi="Times New Roman" w:cs="Times New Roman"/>
          <w:b/>
        </w:rPr>
        <w:t>i</w:t>
      </w:r>
      <w:r w:rsidRPr="00EF0218">
        <w:rPr>
          <w:rFonts w:ascii="Times New Roman" w:eastAsiaTheme="minorEastAsia" w:hAnsi="Times New Roman" w:cs="Times New Roman"/>
          <w:b/>
        </w:rPr>
        <w:t xml:space="preserve"> šalutini</w:t>
      </w:r>
      <w:r w:rsidR="00EF0218" w:rsidRPr="00EF0218">
        <w:rPr>
          <w:rFonts w:ascii="Times New Roman" w:eastAsiaTheme="minorEastAsia" w:hAnsi="Times New Roman" w:cs="Times New Roman"/>
          <w:b/>
        </w:rPr>
        <w:t>o</w:t>
      </w:r>
      <w:r w:rsidRPr="00EF0218">
        <w:rPr>
          <w:rFonts w:ascii="Times New Roman" w:eastAsiaTheme="minorEastAsia" w:hAnsi="Times New Roman" w:cs="Times New Roman"/>
          <w:b/>
        </w:rPr>
        <w:t xml:space="preserve"> poveiki</w:t>
      </w:r>
      <w:r w:rsidR="00EF0218" w:rsidRPr="00EF0218">
        <w:rPr>
          <w:rFonts w:ascii="Times New Roman" w:eastAsiaTheme="minorEastAsia" w:hAnsi="Times New Roman" w:cs="Times New Roman"/>
          <w:b/>
        </w:rPr>
        <w:t>o reiškiniai</w:t>
      </w:r>
      <w:r w:rsidRPr="00EF0218">
        <w:rPr>
          <w:rFonts w:ascii="Times New Roman" w:eastAsiaTheme="minorEastAsia" w:hAnsi="Times New Roman" w:cs="Times New Roman"/>
          <w:b/>
        </w:rPr>
        <w:t xml:space="preserve"> </w:t>
      </w:r>
      <w:r w:rsidRPr="00271131">
        <w:rPr>
          <w:rFonts w:ascii="Times New Roman" w:eastAsiaTheme="minorEastAsia" w:hAnsi="Times New Roman" w:cs="Times New Roman"/>
          <w:b/>
        </w:rPr>
        <w:t xml:space="preserve">(gali pasireikšti </w:t>
      </w:r>
      <w:r w:rsidR="00EF0218" w:rsidRPr="00271131">
        <w:rPr>
          <w:rFonts w:ascii="Times New Roman" w:eastAsiaTheme="minorEastAsia" w:hAnsi="Times New Roman" w:cs="Times New Roman"/>
          <w:b/>
        </w:rPr>
        <w:t>ne rečiau kaip</w:t>
      </w:r>
      <w:r w:rsidRPr="00271131">
        <w:rPr>
          <w:rFonts w:ascii="Times New Roman" w:eastAsiaTheme="minorEastAsia" w:hAnsi="Times New Roman" w:cs="Times New Roman"/>
          <w:b/>
        </w:rPr>
        <w:t xml:space="preserve"> 1 iš 10 </w:t>
      </w:r>
      <w:r w:rsidR="00EF021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7CB39C89" w14:textId="718F3F6E" w:rsidR="00D72C83" w:rsidRPr="00E35BE6"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bėrimas, kuris gali atsirasti arba pablogėti saulės apšviestose odos srityse. Jeigu būnate saulėje, patartina dėvėti drabužius ir (arba) naudoti nuo saulės poveikio saugančias (pvz., mineralų turinčias) priemones</w:t>
      </w:r>
    </w:p>
    <w:p w14:paraId="118940A3" w14:textId="2909A1C1" w:rsidR="00D72C83" w:rsidRPr="00D3564A"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infekcija</w:t>
      </w:r>
    </w:p>
    <w:p w14:paraId="59817346" w14:textId="77777777" w:rsidR="00D72C83" w:rsidRPr="00D3564A"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apetito praradimas, svorio mažėjimas</w:t>
      </w:r>
    </w:p>
    <w:p w14:paraId="563017E6" w14:textId="77777777" w:rsidR="00D72C83" w:rsidRPr="00D3564A"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depresija</w:t>
      </w:r>
    </w:p>
    <w:p w14:paraId="0E11B9BC" w14:textId="77777777" w:rsidR="00D72C83" w:rsidRPr="00D3564A"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galvos skausmas, pakitęs odos jautrumas arba galūnių tirpimas</w:t>
      </w:r>
    </w:p>
    <w:p w14:paraId="590F1958" w14:textId="77777777" w:rsidR="00D72C83" w:rsidRPr="00D3564A"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pasunkėjęs kvėpavimas, kosulys</w:t>
      </w:r>
    </w:p>
    <w:p w14:paraId="334C19B7" w14:textId="77777777" w:rsidR="00D72C83" w:rsidRPr="00D3564A"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šleikštulys</w:t>
      </w:r>
    </w:p>
    <w:p w14:paraId="098345AB" w14:textId="77777777" w:rsidR="00D72C83" w:rsidRPr="00D3564A"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burnos dirginimas</w:t>
      </w:r>
    </w:p>
    <w:p w14:paraId="0C146FD7" w14:textId="77777777" w:rsidR="00D72C83" w:rsidRPr="00E35BE6"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t>skrandžio skausmas, blogas virškinimas ir pilvo pūtimas</w:t>
      </w:r>
    </w:p>
    <w:p w14:paraId="07133FDC" w14:textId="77777777" w:rsidR="00D72C83" w:rsidRPr="00E35BE6"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t>nenormalūs kepenų funkciją rodantys kraujo tyrimo rezultatai</w:t>
      </w:r>
    </w:p>
    <w:p w14:paraId="0885899B" w14:textId="77777777" w:rsidR="00D72C83" w:rsidRPr="00E35BE6" w:rsidRDefault="00D72C83" w:rsidP="00D3564A">
      <w:pPr>
        <w:pStyle w:val="Sraopastraipa"/>
        <w:widowControl w:val="0"/>
        <w:numPr>
          <w:ilvl w:val="0"/>
          <w:numId w:val="35"/>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t>niežulys, odos sausumas ir plaukų slinkimas</w:t>
      </w:r>
    </w:p>
    <w:p w14:paraId="05FCB902" w14:textId="77777777" w:rsidR="00D72C83" w:rsidRPr="00D3564A" w:rsidRDefault="00D72C83" w:rsidP="00D3564A">
      <w:pPr>
        <w:pStyle w:val="Sraopastraipa"/>
        <w:widowControl w:val="0"/>
        <w:numPr>
          <w:ilvl w:val="0"/>
          <w:numId w:val="35"/>
        </w:numPr>
        <w:tabs>
          <w:tab w:val="clear" w:pos="567"/>
          <w:tab w:val="left" w:pos="709"/>
        </w:tabs>
        <w:autoSpaceDE w:val="0"/>
        <w:autoSpaceDN w:val="0"/>
        <w:adjustRightInd w:val="0"/>
        <w:spacing w:line="240" w:lineRule="auto"/>
        <w:ind w:left="567" w:hanging="567"/>
        <w:jc w:val="both"/>
        <w:rPr>
          <w:color w:val="000000"/>
        </w:rPr>
      </w:pPr>
      <w:r w:rsidRPr="00D3564A">
        <w:rPr>
          <w:rFonts w:eastAsiaTheme="minorEastAsia"/>
          <w:lang w:val="lt-LT"/>
        </w:rPr>
        <w:t>nuovargis, karščiavimas ir sustingimas</w:t>
      </w:r>
    </w:p>
    <w:p w14:paraId="4B522FF5"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2B06A69E" w14:textId="3D494C03"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755698">
        <w:rPr>
          <w:rFonts w:ascii="Times New Roman" w:eastAsiaTheme="minorEastAsia" w:hAnsi="Times New Roman" w:cs="Times New Roman"/>
          <w:b/>
        </w:rPr>
        <w:t>Dažn</w:t>
      </w:r>
      <w:r w:rsidR="00EF021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EF021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 xml:space="preserve">1 iš 10 </w:t>
      </w:r>
      <w:r w:rsidR="0075569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3932C25B" w14:textId="77777777" w:rsidR="00D72C83" w:rsidRPr="00D3564A"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kraujavimas iš nosies</w:t>
      </w:r>
    </w:p>
    <w:p w14:paraId="6B56F76B" w14:textId="77777777" w:rsidR="00D72C83" w:rsidRPr="00D3564A"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lastRenderedPageBreak/>
        <w:t>kraujavimas iš skrandžio ar žarnyno</w:t>
      </w:r>
    </w:p>
    <w:p w14:paraId="025EC653" w14:textId="77777777" w:rsidR="00D72C83" w:rsidRPr="00D3564A"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uždegimo reakcija aplink nagus</w:t>
      </w:r>
    </w:p>
    <w:p w14:paraId="08EB1AC6" w14:textId="77777777" w:rsidR="00D72C83" w:rsidRPr="00D3564A"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plaukų folikulų uždegimas</w:t>
      </w:r>
    </w:p>
    <w:p w14:paraId="3E6ECF63" w14:textId="77777777" w:rsidR="00D72C83" w:rsidRPr="00D3564A" w:rsidRDefault="00D72C83" w:rsidP="00D3564A">
      <w:pPr>
        <w:pStyle w:val="Sraopastraipa"/>
        <w:widowControl w:val="0"/>
        <w:numPr>
          <w:ilvl w:val="0"/>
          <w:numId w:val="36"/>
        </w:numPr>
        <w:tabs>
          <w:tab w:val="clear" w:pos="567"/>
          <w:tab w:val="left" w:pos="709"/>
        </w:tabs>
        <w:autoSpaceDE w:val="0"/>
        <w:autoSpaceDN w:val="0"/>
        <w:adjustRightInd w:val="0"/>
        <w:spacing w:line="240" w:lineRule="auto"/>
        <w:ind w:left="567" w:hanging="567"/>
        <w:jc w:val="both"/>
        <w:rPr>
          <w:rFonts w:eastAsiaTheme="minorEastAsia"/>
        </w:rPr>
      </w:pPr>
      <w:r w:rsidRPr="00D3564A">
        <w:rPr>
          <w:rFonts w:eastAsiaTheme="minorEastAsia"/>
          <w:lang w:val="lt-LT"/>
        </w:rPr>
        <w:t>spuogai (aknė)</w:t>
      </w:r>
    </w:p>
    <w:p w14:paraId="3C16CEF0" w14:textId="77777777" w:rsidR="00D72C83" w:rsidRPr="00D3564A"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suskilusi oda (odos įtrūkimai)</w:t>
      </w:r>
    </w:p>
    <w:p w14:paraId="520DB0C4" w14:textId="77777777" w:rsidR="00D72C83" w:rsidRPr="00D3564A"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inkstų veiklos susilpnėjimas (kai skiriama ne pagal patvirtintas indikacijas kartu su chemoterapija)</w:t>
      </w:r>
    </w:p>
    <w:p w14:paraId="72433866" w14:textId="77777777" w:rsidR="00D72C83" w:rsidRPr="002E32EF" w:rsidRDefault="00D72C83" w:rsidP="00D72C83">
      <w:pPr>
        <w:widowControl w:val="0"/>
        <w:autoSpaceDE w:val="0"/>
        <w:autoSpaceDN w:val="0"/>
        <w:adjustRightInd w:val="0"/>
        <w:spacing w:after="0" w:line="240" w:lineRule="auto"/>
        <w:ind w:left="567" w:hanging="567"/>
        <w:jc w:val="both"/>
        <w:rPr>
          <w:rFonts w:ascii="Times New Roman" w:hAnsi="Times New Roman" w:cs="Times New Roman"/>
          <w:color w:val="000000"/>
          <w:highlight w:val="yellow"/>
        </w:rPr>
      </w:pPr>
    </w:p>
    <w:p w14:paraId="17D7A229" w14:textId="0BF4A2EF"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755698">
        <w:rPr>
          <w:rFonts w:ascii="Times New Roman" w:eastAsiaTheme="minorEastAsia" w:hAnsi="Times New Roman" w:cs="Times New Roman"/>
          <w:b/>
        </w:rPr>
        <w:t>Nedažn</w:t>
      </w:r>
      <w:r w:rsidR="0075569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75569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 xml:space="preserve">1 iš 100 </w:t>
      </w:r>
      <w:r w:rsidR="0075569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4674B12C" w14:textId="77777777" w:rsidR="00D72C83" w:rsidRPr="00D3564A"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blakstienų pokyčiai</w:t>
      </w:r>
    </w:p>
    <w:p w14:paraId="05BDBA42" w14:textId="77777777" w:rsidR="00D72C83" w:rsidRPr="00E35BE6"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lang w:val="pt-PT"/>
        </w:rPr>
      </w:pPr>
      <w:r w:rsidRPr="00D3564A">
        <w:rPr>
          <w:rFonts w:eastAsiaTheme="minorEastAsia"/>
          <w:lang w:val="lt-LT"/>
        </w:rPr>
        <w:t>padidėjęs vyriško tipo kūno ir veido plaukuotumas</w:t>
      </w:r>
    </w:p>
    <w:p w14:paraId="5A9F1E36" w14:textId="77777777" w:rsidR="00D72C83" w:rsidRPr="00D3564A"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antakių pokyčiai</w:t>
      </w:r>
    </w:p>
    <w:p w14:paraId="2556EC37" w14:textId="569D9A9D" w:rsidR="00D72C83" w:rsidRPr="00E35BE6"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nagų trapumas ir netvirtumas</w:t>
      </w:r>
    </w:p>
    <w:p w14:paraId="774161B5" w14:textId="2F7D4B28" w:rsidR="00A41407" w:rsidRPr="00E35BE6" w:rsidRDefault="00A41407"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odos hiperpigmentacija</w:t>
      </w:r>
    </w:p>
    <w:p w14:paraId="74B8FC6E" w14:textId="3FD5E3B4" w:rsidR="00A41407" w:rsidRPr="00D3564A" w:rsidRDefault="00A41407"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Pr>
          <w:rFonts w:eastAsiaTheme="minorEastAsia"/>
          <w:lang w:val="lt-LT"/>
        </w:rPr>
        <w:t>inkstų uždegimas, baltymai šlapime</w:t>
      </w:r>
    </w:p>
    <w:p w14:paraId="12B0B15B" w14:textId="77777777" w:rsidR="00D72C83" w:rsidRPr="00D3564A" w:rsidRDefault="00D72C83" w:rsidP="00D3564A">
      <w:pPr>
        <w:pStyle w:val="Sraopastraipa"/>
        <w:widowControl w:val="0"/>
        <w:tabs>
          <w:tab w:val="clear" w:pos="567"/>
        </w:tabs>
        <w:autoSpaceDE w:val="0"/>
        <w:autoSpaceDN w:val="0"/>
        <w:adjustRightInd w:val="0"/>
        <w:spacing w:line="240" w:lineRule="auto"/>
        <w:ind w:left="567" w:hanging="567"/>
        <w:rPr>
          <w:rFonts w:eastAsiaTheme="minorEastAsia"/>
        </w:rPr>
      </w:pPr>
    </w:p>
    <w:p w14:paraId="1F90AC74" w14:textId="7C6DE217"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rPr>
      </w:pPr>
      <w:r w:rsidRPr="00755698">
        <w:rPr>
          <w:rFonts w:ascii="Times New Roman" w:eastAsiaTheme="minorEastAsia" w:hAnsi="Times New Roman" w:cs="Times New Roman"/>
          <w:b/>
        </w:rPr>
        <w:t>Ret</w:t>
      </w:r>
      <w:r w:rsidR="0075569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75569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1 iš 1</w:t>
      </w:r>
      <w:r w:rsidR="00755698" w:rsidRPr="00271131">
        <w:rPr>
          <w:rFonts w:ascii="Times New Roman" w:eastAsiaTheme="minorEastAsia" w:hAnsi="Times New Roman" w:cs="Times New Roman"/>
          <w:b/>
        </w:rPr>
        <w:t> </w:t>
      </w:r>
      <w:r w:rsidRPr="00271131">
        <w:rPr>
          <w:rFonts w:ascii="Times New Roman" w:eastAsiaTheme="minorEastAsia" w:hAnsi="Times New Roman" w:cs="Times New Roman"/>
          <w:b/>
        </w:rPr>
        <w:t xml:space="preserve">000 </w:t>
      </w:r>
      <w:r w:rsidR="00755698" w:rsidRPr="00271131">
        <w:rPr>
          <w:rFonts w:ascii="Times New Roman" w:eastAsiaTheme="minorEastAsia" w:hAnsi="Times New Roman" w:cs="Times New Roman"/>
          <w:b/>
        </w:rPr>
        <w:t>asmenų</w:t>
      </w:r>
      <w:r w:rsidRPr="00271131">
        <w:rPr>
          <w:rFonts w:ascii="Times New Roman" w:eastAsiaTheme="minorEastAsia" w:hAnsi="Times New Roman" w:cs="Times New Roman"/>
          <w:b/>
        </w:rPr>
        <w:t>):</w:t>
      </w:r>
    </w:p>
    <w:p w14:paraId="0C34A10E" w14:textId="77777777" w:rsidR="00D72C83" w:rsidRPr="00E35BE6"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lang w:val="lt-LT"/>
        </w:rPr>
      </w:pPr>
      <w:r w:rsidRPr="00D3564A">
        <w:rPr>
          <w:rFonts w:eastAsiaTheme="minorEastAsia"/>
          <w:lang w:val="lt-LT"/>
        </w:rPr>
        <w:t>paraudę ir skausmingi delnai arba padai (delnų ir padų eritrodizestezijos sindromas)</w:t>
      </w:r>
    </w:p>
    <w:p w14:paraId="5A13516E" w14:textId="77777777" w:rsidR="00D72C83" w:rsidRPr="002E32EF"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rPr>
      </w:pPr>
    </w:p>
    <w:p w14:paraId="3227BD68" w14:textId="2E16883E" w:rsidR="00D72C83" w:rsidRPr="00271131" w:rsidRDefault="00D72C83" w:rsidP="00D72C83">
      <w:pPr>
        <w:widowControl w:val="0"/>
        <w:autoSpaceDE w:val="0"/>
        <w:autoSpaceDN w:val="0"/>
        <w:adjustRightInd w:val="0"/>
        <w:spacing w:after="0" w:line="240" w:lineRule="auto"/>
        <w:ind w:left="567" w:hanging="567"/>
        <w:rPr>
          <w:rFonts w:ascii="Times New Roman" w:eastAsiaTheme="minorEastAsia" w:hAnsi="Times New Roman" w:cs="Times New Roman"/>
          <w:b/>
          <w:bCs/>
        </w:rPr>
      </w:pPr>
      <w:r w:rsidRPr="00755698">
        <w:rPr>
          <w:rFonts w:ascii="Times New Roman" w:eastAsiaTheme="minorEastAsia" w:hAnsi="Times New Roman" w:cs="Times New Roman"/>
          <w:b/>
        </w:rPr>
        <w:t>Labai ret</w:t>
      </w:r>
      <w:r w:rsidR="00755698" w:rsidRPr="00755698">
        <w:rPr>
          <w:rFonts w:ascii="Times New Roman" w:eastAsiaTheme="minorEastAsia" w:hAnsi="Times New Roman" w:cs="Times New Roman"/>
          <w:b/>
        </w:rPr>
        <w:t>i</w:t>
      </w:r>
      <w:r w:rsidRPr="00755698">
        <w:rPr>
          <w:rFonts w:ascii="Times New Roman" w:eastAsiaTheme="minorEastAsia" w:hAnsi="Times New Roman" w:cs="Times New Roman"/>
          <w:b/>
        </w:rPr>
        <w:t xml:space="preserve"> šalutini</w:t>
      </w:r>
      <w:r w:rsidR="00755698" w:rsidRPr="00755698">
        <w:rPr>
          <w:rFonts w:ascii="Times New Roman" w:eastAsiaTheme="minorEastAsia" w:hAnsi="Times New Roman" w:cs="Times New Roman"/>
          <w:b/>
        </w:rPr>
        <w:t>o</w:t>
      </w:r>
      <w:r w:rsidRPr="00755698">
        <w:rPr>
          <w:rFonts w:ascii="Times New Roman" w:eastAsiaTheme="minorEastAsia" w:hAnsi="Times New Roman" w:cs="Times New Roman"/>
          <w:b/>
        </w:rPr>
        <w:t xml:space="preserve"> poveiki</w:t>
      </w:r>
      <w:r w:rsidR="00755698" w:rsidRPr="00755698">
        <w:rPr>
          <w:rFonts w:ascii="Times New Roman" w:eastAsiaTheme="minorEastAsia" w:hAnsi="Times New Roman" w:cs="Times New Roman"/>
          <w:b/>
        </w:rPr>
        <w:t>o reiškiniai</w:t>
      </w:r>
      <w:r w:rsidRPr="00271131">
        <w:rPr>
          <w:rFonts w:ascii="Times New Roman" w:eastAsiaTheme="minorEastAsia" w:hAnsi="Times New Roman" w:cs="Times New Roman"/>
          <w:b/>
        </w:rPr>
        <w:t xml:space="preserve"> (gali pasireikšti </w:t>
      </w:r>
      <w:r w:rsidR="00295E4E" w:rsidRPr="00271131">
        <w:rPr>
          <w:rFonts w:ascii="Times New Roman" w:eastAsiaTheme="minorEastAsia" w:hAnsi="Times New Roman" w:cs="Times New Roman"/>
          <w:b/>
        </w:rPr>
        <w:t xml:space="preserve">rečiau </w:t>
      </w:r>
      <w:r w:rsidR="00755698" w:rsidRPr="00271131">
        <w:rPr>
          <w:rFonts w:ascii="Times New Roman" w:eastAsiaTheme="minorEastAsia" w:hAnsi="Times New Roman" w:cs="Times New Roman"/>
          <w:b/>
        </w:rPr>
        <w:t xml:space="preserve">kaip </w:t>
      </w:r>
      <w:r w:rsidRPr="00271131">
        <w:rPr>
          <w:rFonts w:ascii="Times New Roman" w:eastAsiaTheme="minorEastAsia" w:hAnsi="Times New Roman" w:cs="Times New Roman"/>
          <w:b/>
        </w:rPr>
        <w:t>1 iš 10</w:t>
      </w:r>
      <w:r w:rsidR="00755698" w:rsidRPr="00271131">
        <w:rPr>
          <w:rFonts w:ascii="Times New Roman" w:eastAsiaTheme="minorEastAsia" w:hAnsi="Times New Roman" w:cs="Times New Roman"/>
          <w:b/>
        </w:rPr>
        <w:t> </w:t>
      </w:r>
      <w:r w:rsidRPr="00271131">
        <w:rPr>
          <w:rFonts w:ascii="Times New Roman" w:eastAsiaTheme="minorEastAsia" w:hAnsi="Times New Roman" w:cs="Times New Roman"/>
          <w:b/>
        </w:rPr>
        <w:t>000</w:t>
      </w:r>
      <w:r w:rsidRPr="002E32EF">
        <w:rPr>
          <w:rFonts w:ascii="Times New Roman" w:eastAsiaTheme="minorEastAsia" w:hAnsi="Times New Roman" w:cs="Times New Roman"/>
        </w:rPr>
        <w:t xml:space="preserve"> </w:t>
      </w:r>
      <w:r w:rsidR="00755698" w:rsidRPr="00271131">
        <w:rPr>
          <w:rFonts w:ascii="Times New Roman" w:eastAsiaTheme="minorEastAsia" w:hAnsi="Times New Roman" w:cs="Times New Roman"/>
          <w:b/>
          <w:bCs/>
        </w:rPr>
        <w:t>asmenų</w:t>
      </w:r>
      <w:r w:rsidRPr="00271131">
        <w:rPr>
          <w:rFonts w:ascii="Times New Roman" w:eastAsiaTheme="minorEastAsia" w:hAnsi="Times New Roman" w:cs="Times New Roman"/>
          <w:b/>
          <w:bCs/>
        </w:rPr>
        <w:t>):</w:t>
      </w:r>
    </w:p>
    <w:p w14:paraId="399A0D75" w14:textId="77777777" w:rsidR="00D72C83" w:rsidRPr="00D3564A"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ragenos opėjimas arba prakiurimas</w:t>
      </w:r>
    </w:p>
    <w:p w14:paraId="660310B3" w14:textId="14B380DD" w:rsidR="00D72C83" w:rsidRPr="00D3564A" w:rsidRDefault="00D72C83" w:rsidP="00D3564A">
      <w:pPr>
        <w:pStyle w:val="Sraopastraipa"/>
        <w:widowControl w:val="0"/>
        <w:numPr>
          <w:ilvl w:val="0"/>
          <w:numId w:val="36"/>
        </w:numPr>
        <w:tabs>
          <w:tab w:val="clear" w:pos="567"/>
        </w:tabs>
        <w:autoSpaceDE w:val="0"/>
        <w:autoSpaceDN w:val="0"/>
        <w:adjustRightInd w:val="0"/>
        <w:spacing w:line="240" w:lineRule="auto"/>
        <w:ind w:left="567" w:hanging="567"/>
        <w:rPr>
          <w:rFonts w:eastAsiaTheme="minorEastAsia"/>
        </w:rPr>
      </w:pPr>
      <w:r w:rsidRPr="00D3564A">
        <w:rPr>
          <w:rFonts w:eastAsiaTheme="minorEastAsia"/>
          <w:lang w:val="lt-LT"/>
        </w:rPr>
        <w:t>sunkus odos bėrimas pūslėmis arba odos lupimasis (verčiantis galvoti apie Stivenso-Džonsono (</w:t>
      </w:r>
      <w:r w:rsidRPr="00E35BE6">
        <w:rPr>
          <w:rFonts w:eastAsiaTheme="minorEastAsia"/>
          <w:iCs/>
          <w:lang w:val="lt-LT"/>
        </w:rPr>
        <w:t>Stevens-Johnson</w:t>
      </w:r>
      <w:r w:rsidRPr="00D3564A">
        <w:rPr>
          <w:rFonts w:eastAsiaTheme="minorEastAsia"/>
          <w:lang w:val="lt-LT"/>
        </w:rPr>
        <w:t>) sindromą</w:t>
      </w:r>
      <w:r w:rsidR="00A41407">
        <w:rPr>
          <w:rFonts w:eastAsiaTheme="minorEastAsia"/>
          <w:lang w:val="lt-LT"/>
        </w:rPr>
        <w:t xml:space="preserve"> arba toksinę epidermio nekrozę</w:t>
      </w:r>
      <w:r w:rsidRPr="00D3564A">
        <w:rPr>
          <w:rFonts w:eastAsiaTheme="minorEastAsia"/>
          <w:lang w:val="lt-LT"/>
        </w:rPr>
        <w:t>)</w:t>
      </w:r>
    </w:p>
    <w:p w14:paraId="1EA4A302" w14:textId="77777777" w:rsidR="00D72C83" w:rsidRPr="00D3564A" w:rsidRDefault="00D72C83" w:rsidP="00D3564A">
      <w:pPr>
        <w:pStyle w:val="Sraopastraipa"/>
        <w:widowControl w:val="0"/>
        <w:numPr>
          <w:ilvl w:val="0"/>
          <w:numId w:val="36"/>
        </w:numPr>
        <w:tabs>
          <w:tab w:val="clear" w:pos="567"/>
          <w:tab w:val="left" w:pos="709"/>
        </w:tabs>
        <w:autoSpaceDE w:val="0"/>
        <w:autoSpaceDN w:val="0"/>
        <w:adjustRightInd w:val="0"/>
        <w:spacing w:line="240" w:lineRule="auto"/>
        <w:ind w:left="567" w:hanging="567"/>
        <w:jc w:val="both"/>
        <w:rPr>
          <w:color w:val="000000"/>
        </w:rPr>
      </w:pPr>
      <w:r w:rsidRPr="00D3564A">
        <w:rPr>
          <w:rFonts w:eastAsiaTheme="minorEastAsia"/>
          <w:lang w:val="lt-LT"/>
        </w:rPr>
        <w:t>spalvotosios akies dalies uždegimas</w:t>
      </w:r>
    </w:p>
    <w:p w14:paraId="2D0E407F"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rPr>
      </w:pPr>
    </w:p>
    <w:p w14:paraId="16CD0787" w14:textId="77777777" w:rsidR="00D72C83" w:rsidRPr="002E32EF" w:rsidRDefault="00D72C83" w:rsidP="00D72C83">
      <w:pPr>
        <w:spacing w:after="0" w:line="240" w:lineRule="auto"/>
        <w:rPr>
          <w:rFonts w:ascii="Times New Roman" w:hAnsi="Times New Roman" w:cs="Times New Roman"/>
          <w:b/>
          <w:bCs/>
        </w:rPr>
      </w:pPr>
      <w:r w:rsidRPr="002E32EF">
        <w:rPr>
          <w:rFonts w:ascii="Times New Roman" w:hAnsi="Times New Roman" w:cs="Times New Roman"/>
          <w:b/>
          <w:bCs/>
        </w:rPr>
        <w:t>Pranešimas apie šalutinį poveikį</w:t>
      </w:r>
    </w:p>
    <w:p w14:paraId="52A69325" w14:textId="37E64214" w:rsidR="00D72C83" w:rsidRPr="00874D95" w:rsidRDefault="00D72C83" w:rsidP="00D72C83">
      <w:pPr>
        <w:spacing w:after="0" w:line="240" w:lineRule="auto"/>
        <w:rPr>
          <w:rFonts w:ascii="Times New Roman" w:hAnsi="Times New Roman" w:cs="Times New Roman"/>
        </w:rPr>
      </w:pPr>
      <w:r w:rsidRPr="002E32EF">
        <w:rPr>
          <w:rFonts w:ascii="Times New Roman" w:hAnsi="Times New Roman" w:cs="Times New Roman"/>
        </w:rPr>
        <w:t xml:space="preserve">Jeigu pasireiškė šalutinis poveikis, įskaitant šiame lapelyje nenurodytą, pasakykite gydytojui arba vaistininkui. </w:t>
      </w:r>
      <w:r w:rsidR="00755698" w:rsidRPr="00271131">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755698" w:rsidRPr="00271131">
        <w:rPr>
          <w:rFonts w:ascii="Times New Roman" w:hAnsi="Times New Roman" w:cs="Times New Roman"/>
          <w:color w:val="0000FF"/>
          <w:u w:val="single"/>
        </w:rPr>
        <w:t>https://vapris.vvkt.lt/vvkt-web/public/nrv</w:t>
      </w:r>
      <w:r w:rsidR="00755698" w:rsidRPr="00271131">
        <w:rPr>
          <w:rFonts w:ascii="Times New Roman" w:hAnsi="Times New Roman" w:cs="Times New Roman"/>
        </w:rPr>
        <w:t xml:space="preserve"> arba užpildant Paciento pranešimo apie įtariamą nepageidaujamą reakciją (ĮNR) formą, kuri skelbiama </w:t>
      </w:r>
      <w:r w:rsidR="00755698" w:rsidRPr="00271131">
        <w:rPr>
          <w:rFonts w:ascii="Times New Roman" w:hAnsi="Times New Roman" w:cs="Times New Roman"/>
          <w:color w:val="0000FF"/>
          <w:u w:val="single"/>
        </w:rPr>
        <w:t>https://www.vvkt.lt/index.php?4004286486</w:t>
      </w:r>
      <w:r w:rsidR="00755698" w:rsidRPr="00271131">
        <w:rPr>
          <w:rFonts w:ascii="Times New Roman" w:hAnsi="Times New Roman" w:cs="Times New Roman"/>
        </w:rPr>
        <w:t xml:space="preserve">, ir atsiunčiant elektroniniu paštu (adresu </w:t>
      </w:r>
      <w:r w:rsidR="00755698" w:rsidRPr="00271131">
        <w:rPr>
          <w:rFonts w:ascii="Times New Roman" w:hAnsi="Times New Roman" w:cs="Times New Roman"/>
          <w:color w:val="0000FF"/>
          <w:u w:val="single"/>
        </w:rPr>
        <w:t>NepageidaujamaR@vvkt.lt</w:t>
      </w:r>
      <w:r w:rsidR="00755698" w:rsidRPr="00271131">
        <w:rPr>
          <w:rFonts w:ascii="Times New Roman" w:hAnsi="Times New Roman" w:cs="Times New Roman"/>
        </w:rPr>
        <w:t>) arba nemokamu telefonu 8 800 73 568.</w:t>
      </w:r>
      <w:r w:rsidRPr="00755698">
        <w:rPr>
          <w:rFonts w:ascii="Times New Roman" w:hAnsi="Times New Roman" w:cs="Times New Roman"/>
        </w:rPr>
        <w:t xml:space="preserve"> </w:t>
      </w:r>
      <w:r w:rsidRPr="002E32EF">
        <w:rPr>
          <w:rFonts w:ascii="Times New Roman" w:hAnsi="Times New Roman" w:cs="Times New Roman"/>
        </w:rPr>
        <w:t>Pranešd</w:t>
      </w:r>
      <w:r w:rsidRPr="00874D95">
        <w:rPr>
          <w:rFonts w:ascii="Times New Roman" w:hAnsi="Times New Roman" w:cs="Times New Roman"/>
        </w:rPr>
        <w:t>ami apie šalutinį poveikį galite mums padėti gauti daugiau informacijos apie šio vaisto saugumą.</w:t>
      </w:r>
    </w:p>
    <w:p w14:paraId="5B67C8C2" w14:textId="77777777" w:rsidR="00D72C83" w:rsidRPr="00874D95" w:rsidRDefault="00D72C83" w:rsidP="00D72C83">
      <w:pPr>
        <w:spacing w:after="0" w:line="240" w:lineRule="auto"/>
        <w:rPr>
          <w:rFonts w:ascii="Times New Roman" w:hAnsi="Times New Roman" w:cs="Times New Roman"/>
        </w:rPr>
      </w:pPr>
    </w:p>
    <w:p w14:paraId="378D9DE8" w14:textId="77777777" w:rsidR="00D72C83" w:rsidRPr="002E32EF" w:rsidRDefault="00D72C83" w:rsidP="00D72C83">
      <w:pPr>
        <w:spacing w:after="0" w:line="240" w:lineRule="auto"/>
        <w:rPr>
          <w:rFonts w:ascii="Times New Roman" w:hAnsi="Times New Roman" w:cs="Times New Roman"/>
        </w:rPr>
      </w:pPr>
    </w:p>
    <w:p w14:paraId="4EEFA88B" w14:textId="77777777" w:rsidR="00D72C83" w:rsidRPr="00E35BE6" w:rsidRDefault="00D72C83" w:rsidP="00D3564A">
      <w:pPr>
        <w:pStyle w:val="Antrat3"/>
        <w:spacing w:before="0" w:after="0" w:line="240" w:lineRule="auto"/>
        <w:rPr>
          <w:rFonts w:ascii="Times New Roman" w:hAnsi="Times New Roman"/>
          <w:b w:val="0"/>
          <w:lang w:val="lt-LT"/>
        </w:rPr>
      </w:pPr>
      <w:r w:rsidRPr="00D3564A">
        <w:rPr>
          <w:rFonts w:ascii="Times New Roman" w:hAnsi="Times New Roman"/>
          <w:sz w:val="22"/>
          <w:lang w:val="lt-LT"/>
        </w:rPr>
        <w:t>5.</w:t>
      </w:r>
      <w:r w:rsidRPr="00D3564A">
        <w:rPr>
          <w:rFonts w:ascii="Times New Roman" w:hAnsi="Times New Roman"/>
          <w:sz w:val="22"/>
          <w:lang w:val="lt-LT"/>
        </w:rPr>
        <w:tab/>
        <w:t>Kaip laikyti Varlota</w:t>
      </w:r>
    </w:p>
    <w:p w14:paraId="5B21BF7A" w14:textId="77777777" w:rsidR="00D72C83" w:rsidRPr="002E32EF" w:rsidRDefault="00D72C83" w:rsidP="00D72C83">
      <w:pPr>
        <w:numPr>
          <w:ilvl w:val="12"/>
          <w:numId w:val="0"/>
        </w:numPr>
        <w:spacing w:after="0" w:line="240" w:lineRule="auto"/>
        <w:rPr>
          <w:rFonts w:ascii="Times New Roman" w:hAnsi="Times New Roman" w:cs="Times New Roman"/>
        </w:rPr>
      </w:pPr>
    </w:p>
    <w:p w14:paraId="38BB8323"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r w:rsidRPr="002E32EF">
        <w:rPr>
          <w:rFonts w:ascii="Times New Roman" w:hAnsi="Times New Roman" w:cs="Times New Roman"/>
        </w:rPr>
        <w:t>Šį vaistą laikykite vaikams nepastebimoje ir nepasiekiamoje vietoje.</w:t>
      </w:r>
    </w:p>
    <w:p w14:paraId="0CA2AB10"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57893404"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r w:rsidRPr="002E32EF">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459D67ED" w14:textId="77777777" w:rsidR="00D72C83" w:rsidRPr="002E32EF" w:rsidRDefault="00D72C83" w:rsidP="00D72C83">
      <w:pPr>
        <w:spacing w:after="0" w:line="240" w:lineRule="auto"/>
        <w:jc w:val="both"/>
        <w:rPr>
          <w:rFonts w:ascii="Times New Roman" w:hAnsi="Times New Roman" w:cs="Times New Roman"/>
        </w:rPr>
      </w:pPr>
    </w:p>
    <w:p w14:paraId="42A8CD35" w14:textId="77777777" w:rsidR="00D72C83" w:rsidRPr="002E32EF" w:rsidRDefault="00D72C83" w:rsidP="00D72C83">
      <w:pPr>
        <w:numPr>
          <w:ilvl w:val="12"/>
          <w:numId w:val="0"/>
        </w:numPr>
        <w:tabs>
          <w:tab w:val="left" w:pos="1296"/>
        </w:tabs>
        <w:spacing w:after="0" w:line="240" w:lineRule="auto"/>
        <w:rPr>
          <w:rFonts w:ascii="Times New Roman" w:eastAsiaTheme="minorEastAsia" w:hAnsi="Times New Roman" w:cs="Times New Roman"/>
        </w:rPr>
      </w:pPr>
      <w:r w:rsidRPr="002E32EF">
        <w:rPr>
          <w:rFonts w:ascii="Times New Roman" w:eastAsiaTheme="minorEastAsia" w:hAnsi="Times New Roman" w:cs="Times New Roman"/>
        </w:rPr>
        <w:t>Šiam vaistui specialių laikymo sąlygų nereikia.</w:t>
      </w:r>
    </w:p>
    <w:p w14:paraId="60D5497C"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rPr>
      </w:pPr>
    </w:p>
    <w:p w14:paraId="71711514" w14:textId="77777777" w:rsidR="00D72C83" w:rsidRPr="002E32EF" w:rsidRDefault="00D72C83" w:rsidP="00D72C83">
      <w:pPr>
        <w:numPr>
          <w:ilvl w:val="12"/>
          <w:numId w:val="0"/>
        </w:numPr>
        <w:tabs>
          <w:tab w:val="left" w:pos="1296"/>
        </w:tabs>
        <w:spacing w:after="0" w:line="240" w:lineRule="auto"/>
        <w:rPr>
          <w:rFonts w:ascii="Times New Roman" w:hAnsi="Times New Roman" w:cs="Times New Roman"/>
          <w:i/>
          <w:iCs/>
        </w:rPr>
      </w:pPr>
      <w:r w:rsidRPr="002E32EF">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A4283D9" w14:textId="77777777" w:rsidR="00D72C83" w:rsidRPr="002E32EF" w:rsidRDefault="00D72C83" w:rsidP="00D72C83">
      <w:pPr>
        <w:numPr>
          <w:ilvl w:val="12"/>
          <w:numId w:val="0"/>
        </w:numPr>
        <w:spacing w:after="0" w:line="240" w:lineRule="auto"/>
        <w:rPr>
          <w:rFonts w:ascii="Times New Roman" w:hAnsi="Times New Roman" w:cs="Times New Roman"/>
        </w:rPr>
      </w:pPr>
    </w:p>
    <w:p w14:paraId="04C8DEBF" w14:textId="77777777" w:rsidR="00D72C83" w:rsidRPr="002E32EF" w:rsidRDefault="00D72C83" w:rsidP="00D72C83">
      <w:pPr>
        <w:numPr>
          <w:ilvl w:val="12"/>
          <w:numId w:val="0"/>
        </w:numPr>
        <w:spacing w:after="0" w:line="240" w:lineRule="auto"/>
        <w:rPr>
          <w:rFonts w:ascii="Times New Roman" w:hAnsi="Times New Roman" w:cs="Times New Roman"/>
        </w:rPr>
      </w:pPr>
    </w:p>
    <w:p w14:paraId="291600BB" w14:textId="77777777" w:rsidR="00D72C83" w:rsidRPr="00E35BE6" w:rsidRDefault="00D72C83" w:rsidP="00D3564A">
      <w:pPr>
        <w:pStyle w:val="Antrat3"/>
        <w:spacing w:before="0" w:after="0" w:line="240" w:lineRule="auto"/>
        <w:rPr>
          <w:rFonts w:ascii="Times New Roman" w:hAnsi="Times New Roman"/>
          <w:b w:val="0"/>
          <w:lang w:val="pt-PT"/>
        </w:rPr>
      </w:pPr>
      <w:r w:rsidRPr="00D3564A">
        <w:rPr>
          <w:rFonts w:ascii="Times New Roman" w:hAnsi="Times New Roman"/>
          <w:sz w:val="22"/>
          <w:lang w:val="lt-LT"/>
        </w:rPr>
        <w:t>6.</w:t>
      </w:r>
      <w:r w:rsidRPr="00D3564A">
        <w:rPr>
          <w:rFonts w:ascii="Times New Roman" w:hAnsi="Times New Roman"/>
          <w:b w:val="0"/>
          <w:sz w:val="22"/>
          <w:lang w:val="lt-LT"/>
        </w:rPr>
        <w:tab/>
      </w:r>
      <w:r w:rsidRPr="00D3564A">
        <w:rPr>
          <w:rFonts w:ascii="Times New Roman" w:hAnsi="Times New Roman"/>
          <w:sz w:val="22"/>
          <w:lang w:val="lt-LT"/>
        </w:rPr>
        <w:t>Pakuotės turinys ir kita informacija</w:t>
      </w:r>
    </w:p>
    <w:p w14:paraId="4C26DA61" w14:textId="77777777" w:rsidR="00D72C83" w:rsidRPr="002E32EF" w:rsidRDefault="00D72C83" w:rsidP="00D72C83">
      <w:pPr>
        <w:numPr>
          <w:ilvl w:val="12"/>
          <w:numId w:val="0"/>
        </w:numPr>
        <w:spacing w:after="0" w:line="240" w:lineRule="auto"/>
        <w:rPr>
          <w:rFonts w:ascii="Times New Roman" w:hAnsi="Times New Roman" w:cs="Times New Roman"/>
        </w:rPr>
      </w:pPr>
    </w:p>
    <w:p w14:paraId="099489EB" w14:textId="77777777" w:rsidR="00D72C83" w:rsidRPr="00E35BE6" w:rsidRDefault="00D72C83" w:rsidP="00D3564A">
      <w:pPr>
        <w:pStyle w:val="Antrat4"/>
        <w:spacing w:line="240" w:lineRule="auto"/>
        <w:rPr>
          <w:rFonts w:ascii="Times New Roman" w:hAnsi="Times New Roman"/>
          <w:b w:val="0"/>
          <w:lang w:val="pt-PT"/>
        </w:rPr>
      </w:pPr>
      <w:r w:rsidRPr="00D3564A">
        <w:rPr>
          <w:rFonts w:ascii="Times New Roman" w:hAnsi="Times New Roman"/>
          <w:sz w:val="22"/>
          <w:lang w:val="lt-LT"/>
        </w:rPr>
        <w:t xml:space="preserve">Varlota sudėtis </w:t>
      </w:r>
    </w:p>
    <w:p w14:paraId="227BA536" w14:textId="77777777" w:rsidR="00D72C83" w:rsidRPr="00E35BE6" w:rsidRDefault="00D72C83" w:rsidP="00D3564A">
      <w:pPr>
        <w:pStyle w:val="Sraopastraipa"/>
        <w:widowControl w:val="0"/>
        <w:numPr>
          <w:ilvl w:val="0"/>
          <w:numId w:val="1"/>
        </w:numPr>
        <w:tabs>
          <w:tab w:val="clear" w:pos="567"/>
        </w:tabs>
        <w:autoSpaceDE w:val="0"/>
        <w:autoSpaceDN w:val="0"/>
        <w:adjustRightInd w:val="0"/>
        <w:spacing w:line="240" w:lineRule="auto"/>
        <w:ind w:left="567" w:hanging="567"/>
        <w:rPr>
          <w:color w:val="000000"/>
          <w:lang w:val="pt-PT"/>
        </w:rPr>
      </w:pPr>
      <w:r w:rsidRPr="00D3564A">
        <w:rPr>
          <w:lang w:val="lt-LT"/>
        </w:rPr>
        <w:t xml:space="preserve">Veiklioji medžiaga yra erlotinibas. Kiekvienoje plėvele dengtoje tabletėje yra 50 mg, </w:t>
      </w:r>
      <w:r w:rsidRPr="00D3564A">
        <w:rPr>
          <w:highlight w:val="lightGray"/>
          <w:lang w:val="lt-LT"/>
        </w:rPr>
        <w:t>100 mg</w:t>
      </w:r>
      <w:r w:rsidRPr="00D3564A">
        <w:rPr>
          <w:lang w:val="lt-LT"/>
        </w:rPr>
        <w:t xml:space="preserve"> </w:t>
      </w:r>
      <w:r w:rsidRPr="00D3564A">
        <w:rPr>
          <w:highlight w:val="darkGray"/>
          <w:lang w:val="lt-LT"/>
        </w:rPr>
        <w:t>arba 150 mg</w:t>
      </w:r>
      <w:r w:rsidRPr="00D3564A">
        <w:rPr>
          <w:lang w:val="lt-LT"/>
        </w:rPr>
        <w:t xml:space="preserve"> erlotinibo (erlotinibo hidrochlorido pavidalu).</w:t>
      </w:r>
    </w:p>
    <w:p w14:paraId="7C7DBBDD" w14:textId="77777777" w:rsidR="00D72C83" w:rsidRPr="002E32EF" w:rsidRDefault="00D72C83" w:rsidP="00D72C83">
      <w:pPr>
        <w:numPr>
          <w:ilvl w:val="0"/>
          <w:numId w:val="1"/>
        </w:numPr>
        <w:tabs>
          <w:tab w:val="left" w:pos="540"/>
          <w:tab w:val="num" w:pos="720"/>
          <w:tab w:val="left" w:pos="1296"/>
        </w:tabs>
        <w:spacing w:after="0" w:line="240" w:lineRule="auto"/>
        <w:ind w:left="567" w:hanging="567"/>
        <w:rPr>
          <w:rFonts w:ascii="Times New Roman" w:hAnsi="Times New Roman" w:cs="Times New Roman"/>
        </w:rPr>
      </w:pPr>
      <w:r w:rsidRPr="002E32EF">
        <w:rPr>
          <w:rFonts w:ascii="Times New Roman" w:hAnsi="Times New Roman" w:cs="Times New Roman"/>
        </w:rPr>
        <w:lastRenderedPageBreak/>
        <w:t>Pagalbinės medžiagos yra:</w:t>
      </w:r>
    </w:p>
    <w:p w14:paraId="7E9D16C6" w14:textId="77777777" w:rsidR="00D72C83" w:rsidRPr="002E32EF" w:rsidRDefault="00D72C83" w:rsidP="00D72C83">
      <w:pPr>
        <w:widowControl w:val="0"/>
        <w:autoSpaceDE w:val="0"/>
        <w:autoSpaceDN w:val="0"/>
        <w:adjustRightInd w:val="0"/>
        <w:spacing w:after="0" w:line="240" w:lineRule="auto"/>
        <w:ind w:left="567"/>
        <w:rPr>
          <w:rFonts w:ascii="Times New Roman" w:eastAsiaTheme="minorEastAsia" w:hAnsi="Times New Roman" w:cs="Times New Roman"/>
        </w:rPr>
      </w:pPr>
      <w:r w:rsidRPr="002E32EF">
        <w:rPr>
          <w:rFonts w:ascii="Times New Roman" w:hAnsi="Times New Roman" w:cs="Times New Roman"/>
          <w:i/>
          <w:color w:val="000000"/>
        </w:rPr>
        <w:t>Tablečių branduolio:</w:t>
      </w:r>
      <w:r w:rsidRPr="002E32EF">
        <w:rPr>
          <w:rFonts w:ascii="Times New Roman" w:hAnsi="Times New Roman" w:cs="Times New Roman"/>
          <w:color w:val="000000"/>
        </w:rPr>
        <w:t xml:space="preserve"> </w:t>
      </w:r>
      <w:r w:rsidRPr="002E32EF">
        <w:rPr>
          <w:rFonts w:ascii="Times New Roman" w:eastAsiaTheme="minorEastAsia" w:hAnsi="Times New Roman" w:cs="Times New Roman"/>
        </w:rPr>
        <w:t>laktozė monohidratas, mikrokristalinė celiuliozė (E460), karboksimetilkrakmolo A natrio druska, magnio stearatas (E470b).</w:t>
      </w:r>
    </w:p>
    <w:p w14:paraId="6B7FB61E" w14:textId="77777777" w:rsidR="00D72C83" w:rsidRPr="002E32EF" w:rsidRDefault="00D72C83" w:rsidP="00D72C83">
      <w:pPr>
        <w:tabs>
          <w:tab w:val="left" w:pos="658"/>
        </w:tabs>
        <w:spacing w:after="0" w:line="240" w:lineRule="auto"/>
        <w:ind w:left="567"/>
        <w:jc w:val="both"/>
        <w:rPr>
          <w:rFonts w:ascii="Times New Roman" w:hAnsi="Times New Roman" w:cs="Times New Roman"/>
          <w:color w:val="000000"/>
        </w:rPr>
      </w:pPr>
      <w:r w:rsidRPr="002E32EF">
        <w:rPr>
          <w:rFonts w:ascii="Times New Roman" w:hAnsi="Times New Roman" w:cs="Times New Roman"/>
          <w:i/>
          <w:color w:val="000000"/>
        </w:rPr>
        <w:t>Tablečių plėvelės:</w:t>
      </w:r>
      <w:r w:rsidRPr="002E32EF">
        <w:rPr>
          <w:rFonts w:ascii="Times New Roman" w:hAnsi="Times New Roman" w:cs="Times New Roman"/>
          <w:color w:val="000000"/>
        </w:rPr>
        <w:t xml:space="preserve"> polivinilo alkoholis (E1203), titano dioksidas (E171), makrogolis 3350 (E1521), talkas (E553b), metakrilo rūgšties ir etilakrilato 1:1 kopolimeras A, natrio-vandenilio karbonatas.</w:t>
      </w:r>
    </w:p>
    <w:p w14:paraId="1D7A9769" w14:textId="77777777" w:rsidR="00D72C83" w:rsidRPr="002E32EF" w:rsidRDefault="00D72C83" w:rsidP="00D72C83">
      <w:pPr>
        <w:tabs>
          <w:tab w:val="left" w:pos="1296"/>
        </w:tabs>
        <w:spacing w:after="0" w:line="240" w:lineRule="auto"/>
        <w:rPr>
          <w:rFonts w:ascii="Times New Roman" w:hAnsi="Times New Roman" w:cs="Times New Roman"/>
        </w:rPr>
      </w:pPr>
    </w:p>
    <w:p w14:paraId="030F4A06" w14:textId="77777777" w:rsidR="00D72C83" w:rsidRPr="00E35BE6" w:rsidRDefault="00D72C83" w:rsidP="00D3564A">
      <w:pPr>
        <w:pStyle w:val="Antrat4"/>
        <w:spacing w:line="240" w:lineRule="auto"/>
        <w:rPr>
          <w:rFonts w:ascii="Times New Roman" w:hAnsi="Times New Roman"/>
          <w:b w:val="0"/>
          <w:lang w:val="lt-LT"/>
        </w:rPr>
      </w:pPr>
      <w:r w:rsidRPr="00D3564A">
        <w:rPr>
          <w:rFonts w:ascii="Times New Roman" w:hAnsi="Times New Roman"/>
          <w:sz w:val="22"/>
          <w:lang w:val="lt-LT"/>
        </w:rPr>
        <w:t>Varlota išvaizda ir kiekis pakuotėje</w:t>
      </w:r>
    </w:p>
    <w:p w14:paraId="7C978877" w14:textId="77777777" w:rsidR="00D72C83" w:rsidRPr="002E32EF" w:rsidRDefault="00D72C83" w:rsidP="00D72C83">
      <w:pPr>
        <w:spacing w:after="0" w:line="240" w:lineRule="auto"/>
        <w:rPr>
          <w:rFonts w:ascii="Times New Roman" w:eastAsia="SimSun" w:hAnsi="Times New Roman" w:cs="Times New Roman"/>
          <w:lang w:eastAsia="lt-LT"/>
        </w:rPr>
      </w:pPr>
      <w:r w:rsidRPr="002E32EF">
        <w:rPr>
          <w:rFonts w:ascii="Times New Roman" w:eastAsia="SimSun" w:hAnsi="Times New Roman" w:cs="Times New Roman"/>
          <w:lang w:eastAsia="lt-LT"/>
        </w:rPr>
        <w:t xml:space="preserve">Baltos ar gelsvos spalvos, apvalios, abipus išgaubtos plėvele dengtos tabletės, kurių vienoje pusėje išraižyta “50”. Tabletės diametras yra 7,6 mm </w:t>
      </w:r>
      <w:r w:rsidRPr="002E32EF">
        <w:rPr>
          <w:rFonts w:ascii="Times New Roman" w:hAnsi="Times New Roman" w:cs="Times New Roman"/>
        </w:rPr>
        <w:t>± 5 %.</w:t>
      </w:r>
    </w:p>
    <w:p w14:paraId="5C5B3797" w14:textId="77777777" w:rsidR="00D72C83" w:rsidRPr="002E32EF" w:rsidRDefault="00D72C83" w:rsidP="00D72C83">
      <w:pPr>
        <w:spacing w:after="0" w:line="240" w:lineRule="auto"/>
        <w:rPr>
          <w:rFonts w:ascii="Times New Roman" w:eastAsia="SimSun" w:hAnsi="Times New Roman" w:cs="Times New Roman"/>
          <w:lang w:eastAsia="lt-LT"/>
        </w:rPr>
      </w:pPr>
      <w:r w:rsidRPr="002F6BC3">
        <w:rPr>
          <w:rFonts w:ascii="Times New Roman" w:eastAsia="SimSun" w:hAnsi="Times New Roman" w:cs="Times New Roman"/>
          <w:highlight w:val="lightGray"/>
          <w:lang w:eastAsia="lt-LT"/>
        </w:rPr>
        <w:t xml:space="preserve">Baltos ar gelsvos spalvos, apvalios, abipus išgaubtos plėvele dengtos tabletės, kurių vienoje pusėje išraižyta “100”.Tabletės diametras yra 8,9 mm </w:t>
      </w:r>
      <w:r w:rsidRPr="002F6BC3">
        <w:rPr>
          <w:rFonts w:ascii="Times New Roman" w:hAnsi="Times New Roman" w:cs="Times New Roman"/>
          <w:highlight w:val="lightGray"/>
        </w:rPr>
        <w:t>± 5 %.</w:t>
      </w:r>
    </w:p>
    <w:p w14:paraId="32707E16" w14:textId="77777777" w:rsidR="00D72C83" w:rsidRPr="00E35BE6" w:rsidRDefault="00D72C83" w:rsidP="00D3564A">
      <w:pPr>
        <w:pStyle w:val="Pagrindinistekstas"/>
        <w:rPr>
          <w:color w:val="000000" w:themeColor="text1"/>
          <w:lang w:val="lt-LT"/>
        </w:rPr>
      </w:pPr>
      <w:r w:rsidRPr="00D3564A">
        <w:rPr>
          <w:i w:val="0"/>
          <w:color w:val="000000" w:themeColor="text1"/>
          <w:sz w:val="22"/>
          <w:highlight w:val="darkGray"/>
          <w:lang w:val="lt-LT"/>
        </w:rPr>
        <w:t>Baltos ar gelsvos spalvos, apvalios, abipus išgaubtos plėvele dengtos tabletės, kurių vienoje pusėje išraižyta “150”.Tabletės diametras yra 10,5 mm ± 5 %.</w:t>
      </w:r>
    </w:p>
    <w:p w14:paraId="20A1F0DB" w14:textId="77777777" w:rsidR="00D72C83" w:rsidRPr="002E32EF" w:rsidRDefault="00D72C83" w:rsidP="00D72C83">
      <w:pPr>
        <w:widowControl w:val="0"/>
        <w:autoSpaceDE w:val="0"/>
        <w:autoSpaceDN w:val="0"/>
        <w:adjustRightInd w:val="0"/>
        <w:spacing w:after="0" w:line="240" w:lineRule="auto"/>
        <w:jc w:val="both"/>
        <w:rPr>
          <w:rFonts w:ascii="Times New Roman" w:hAnsi="Times New Roman" w:cs="Times New Roman"/>
          <w:color w:val="000000"/>
        </w:rPr>
      </w:pPr>
    </w:p>
    <w:p w14:paraId="7FA1B362" w14:textId="77777777" w:rsidR="00D72C83" w:rsidRPr="002E32EF" w:rsidRDefault="00D72C83" w:rsidP="00D72C83">
      <w:pPr>
        <w:numPr>
          <w:ilvl w:val="12"/>
          <w:numId w:val="0"/>
        </w:numPr>
        <w:spacing w:after="0" w:line="240" w:lineRule="auto"/>
        <w:rPr>
          <w:rFonts w:ascii="Times New Roman" w:hAnsi="Times New Roman" w:cs="Times New Roman"/>
        </w:rPr>
      </w:pPr>
      <w:r w:rsidRPr="002E32EF">
        <w:rPr>
          <w:rFonts w:ascii="Times New Roman" w:hAnsi="Times New Roman" w:cs="Times New Roman"/>
        </w:rPr>
        <w:t>Tabletės yra tiekiamos aliuminio-OPA/aliuminio/PVC perforuotose lizdinėse plokštelėse, supakuotose į kartono dėžutes po 30 tablečių.</w:t>
      </w:r>
    </w:p>
    <w:p w14:paraId="796BAEC9" w14:textId="77777777" w:rsidR="00D72C83" w:rsidRPr="00E35BE6" w:rsidRDefault="00D72C83" w:rsidP="00D3564A">
      <w:pPr>
        <w:pStyle w:val="Antrat4"/>
        <w:spacing w:line="240" w:lineRule="auto"/>
        <w:rPr>
          <w:rFonts w:ascii="Times New Roman" w:hAnsi="Times New Roman"/>
          <w:b w:val="0"/>
          <w:lang w:val="lt-LT"/>
        </w:rPr>
      </w:pPr>
    </w:p>
    <w:p w14:paraId="331D3C59" w14:textId="77777777" w:rsidR="00D72C83" w:rsidRPr="00E35BE6" w:rsidRDefault="00D72C83" w:rsidP="00D3564A">
      <w:pPr>
        <w:pStyle w:val="Antrat4"/>
        <w:spacing w:line="240" w:lineRule="auto"/>
        <w:rPr>
          <w:rFonts w:ascii="Times New Roman" w:hAnsi="Times New Roman"/>
          <w:b w:val="0"/>
          <w:lang w:val="pt-PT"/>
        </w:rPr>
      </w:pPr>
      <w:r w:rsidRPr="00D3564A">
        <w:rPr>
          <w:rFonts w:ascii="Times New Roman" w:hAnsi="Times New Roman"/>
          <w:sz w:val="22"/>
          <w:lang w:val="lt-LT"/>
        </w:rPr>
        <w:t>Registruotojas ir gamintojas</w:t>
      </w:r>
    </w:p>
    <w:p w14:paraId="03A0E865" w14:textId="77777777" w:rsidR="00D72C83" w:rsidRPr="002E32EF" w:rsidRDefault="00D72C83" w:rsidP="00D72C83">
      <w:pPr>
        <w:spacing w:after="0" w:line="240" w:lineRule="auto"/>
        <w:rPr>
          <w:rFonts w:ascii="Times New Roman" w:hAnsi="Times New Roman" w:cs="Times New Roman"/>
        </w:rPr>
      </w:pPr>
    </w:p>
    <w:p w14:paraId="4F0017CC" w14:textId="77777777" w:rsidR="00D72C83" w:rsidRPr="002E32EF" w:rsidRDefault="00D72C83" w:rsidP="00D72C83">
      <w:pPr>
        <w:spacing w:after="0" w:line="240" w:lineRule="auto"/>
        <w:rPr>
          <w:rFonts w:ascii="Times New Roman" w:hAnsi="Times New Roman" w:cs="Times New Roman"/>
          <w:i/>
        </w:rPr>
      </w:pPr>
      <w:r w:rsidRPr="002E32EF">
        <w:rPr>
          <w:rFonts w:ascii="Times New Roman" w:hAnsi="Times New Roman" w:cs="Times New Roman"/>
          <w:i/>
        </w:rPr>
        <w:t>Registruotojas</w:t>
      </w:r>
    </w:p>
    <w:p w14:paraId="0CC1284B" w14:textId="77777777" w:rsidR="00160EA3" w:rsidRDefault="00160EA3" w:rsidP="00160EA3">
      <w:pPr>
        <w:spacing w:after="0"/>
        <w:rPr>
          <w:rFonts w:ascii="Times New Roman" w:hAnsi="Times New Roman" w:cs="Times New Roman"/>
        </w:rPr>
      </w:pPr>
      <w:r w:rsidRPr="00160EA3">
        <w:rPr>
          <w:rFonts w:ascii="Times New Roman" w:hAnsi="Times New Roman" w:cs="Times New Roman"/>
        </w:rPr>
        <w:t xml:space="preserve">Alvogen Pharma Trading Europe EOOD </w:t>
      </w:r>
    </w:p>
    <w:p w14:paraId="6933823C" w14:textId="77777777" w:rsidR="00160EA3" w:rsidRDefault="00160EA3" w:rsidP="00160EA3">
      <w:pPr>
        <w:spacing w:after="0"/>
        <w:rPr>
          <w:rFonts w:ascii="Times New Roman" w:hAnsi="Times New Roman" w:cs="Times New Roman"/>
        </w:rPr>
      </w:pPr>
      <w:r w:rsidRPr="00160EA3">
        <w:rPr>
          <w:rFonts w:ascii="Times New Roman" w:hAnsi="Times New Roman" w:cs="Times New Roman"/>
        </w:rPr>
        <w:t xml:space="preserve">86, Bulgaria blvd. </w:t>
      </w:r>
    </w:p>
    <w:p w14:paraId="78183274" w14:textId="77777777" w:rsidR="00160EA3" w:rsidRPr="00160EA3" w:rsidRDefault="00160EA3" w:rsidP="00160EA3">
      <w:pPr>
        <w:spacing w:after="0"/>
        <w:rPr>
          <w:rFonts w:ascii="Times New Roman" w:hAnsi="Times New Roman" w:cs="Times New Roman"/>
        </w:rPr>
      </w:pPr>
      <w:r w:rsidRPr="00160EA3">
        <w:rPr>
          <w:rFonts w:ascii="Times New Roman" w:hAnsi="Times New Roman" w:cs="Times New Roman"/>
        </w:rPr>
        <w:t>1680 Sofia</w:t>
      </w:r>
    </w:p>
    <w:p w14:paraId="5354733E" w14:textId="77777777" w:rsidR="00160EA3" w:rsidRPr="00160EA3" w:rsidRDefault="00160EA3" w:rsidP="00160EA3">
      <w:pPr>
        <w:spacing w:after="0" w:line="240" w:lineRule="auto"/>
        <w:rPr>
          <w:rFonts w:ascii="Times New Roman" w:hAnsi="Times New Roman" w:cs="Times New Roman"/>
        </w:rPr>
      </w:pPr>
      <w:r w:rsidRPr="00160EA3">
        <w:rPr>
          <w:rFonts w:ascii="Times New Roman" w:hAnsi="Times New Roman" w:cs="Times New Roman"/>
        </w:rPr>
        <w:t>Bulgarija</w:t>
      </w:r>
    </w:p>
    <w:p w14:paraId="0DCC1D52" w14:textId="77777777" w:rsidR="00D72C83" w:rsidRPr="002E32EF" w:rsidRDefault="00D72C83" w:rsidP="00D72C83">
      <w:pPr>
        <w:spacing w:after="0" w:line="240" w:lineRule="auto"/>
        <w:rPr>
          <w:rFonts w:ascii="Times New Roman" w:hAnsi="Times New Roman" w:cs="Times New Roman"/>
        </w:rPr>
      </w:pPr>
    </w:p>
    <w:p w14:paraId="6A8D8178" w14:textId="77777777" w:rsidR="00D72C83" w:rsidRPr="00874D95" w:rsidRDefault="00D72C83" w:rsidP="00D72C83">
      <w:pPr>
        <w:spacing w:after="0" w:line="240" w:lineRule="auto"/>
        <w:rPr>
          <w:rFonts w:ascii="Times New Roman" w:hAnsi="Times New Roman" w:cs="Times New Roman"/>
          <w:i/>
        </w:rPr>
      </w:pPr>
      <w:r w:rsidRPr="00874D95">
        <w:rPr>
          <w:rFonts w:ascii="Times New Roman" w:hAnsi="Times New Roman" w:cs="Times New Roman"/>
          <w:i/>
        </w:rPr>
        <w:t>Gamintojas</w:t>
      </w:r>
    </w:p>
    <w:p w14:paraId="51ACB8A7" w14:textId="77777777" w:rsidR="00D72C83" w:rsidRPr="00874D95" w:rsidRDefault="00D72C83" w:rsidP="00D72C83">
      <w:pPr>
        <w:spacing w:after="0" w:line="240" w:lineRule="auto"/>
        <w:rPr>
          <w:rFonts w:ascii="Times New Roman" w:hAnsi="Times New Roman" w:cs="Times New Roman"/>
        </w:rPr>
      </w:pPr>
      <w:r w:rsidRPr="00874D95">
        <w:rPr>
          <w:rFonts w:ascii="Times New Roman" w:hAnsi="Times New Roman" w:cs="Times New Roman"/>
        </w:rPr>
        <w:t>Remedica Ltd.</w:t>
      </w:r>
    </w:p>
    <w:p w14:paraId="6A34B342"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Aharnon Street, Limassol Industrial Estate</w:t>
      </w:r>
    </w:p>
    <w:p w14:paraId="02CDEDF5"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Limassol, 3056</w:t>
      </w:r>
    </w:p>
    <w:p w14:paraId="312E7099" w14:textId="77777777" w:rsidR="00D72C83" w:rsidRPr="002E32EF" w:rsidRDefault="00D72C83" w:rsidP="00D72C83">
      <w:pPr>
        <w:spacing w:after="0" w:line="240" w:lineRule="auto"/>
        <w:rPr>
          <w:rFonts w:ascii="Times New Roman" w:hAnsi="Times New Roman" w:cs="Times New Roman"/>
        </w:rPr>
      </w:pPr>
      <w:r w:rsidRPr="002E32EF">
        <w:rPr>
          <w:rFonts w:ascii="Times New Roman" w:hAnsi="Times New Roman" w:cs="Times New Roman"/>
        </w:rPr>
        <w:t>Kipras</w:t>
      </w:r>
    </w:p>
    <w:p w14:paraId="5DA277F2" w14:textId="77777777" w:rsidR="00D72C83" w:rsidRPr="00215D8B" w:rsidRDefault="00D72C83" w:rsidP="00D72C83">
      <w:pPr>
        <w:numPr>
          <w:ilvl w:val="12"/>
          <w:numId w:val="0"/>
        </w:numPr>
        <w:spacing w:after="0" w:line="240" w:lineRule="auto"/>
        <w:rPr>
          <w:rFonts w:ascii="Times New Roman" w:hAnsi="Times New Roman" w:cs="Times New Roman"/>
        </w:rPr>
      </w:pPr>
    </w:p>
    <w:p w14:paraId="5509C70A" w14:textId="1781CB04" w:rsidR="00D72C83" w:rsidRDefault="00D72C83" w:rsidP="00D72C83">
      <w:pPr>
        <w:spacing w:after="0" w:line="240" w:lineRule="auto"/>
        <w:rPr>
          <w:rFonts w:ascii="Times New Roman" w:hAnsi="Times New Roman" w:cs="Times New Roman"/>
          <w:b/>
        </w:rPr>
      </w:pPr>
      <w:r w:rsidRPr="00215D8B">
        <w:rPr>
          <w:rFonts w:ascii="Times New Roman" w:hAnsi="Times New Roman" w:cs="Times New Roman"/>
          <w:b/>
        </w:rPr>
        <w:t>Šis vaistas E</w:t>
      </w:r>
      <w:r w:rsidR="00755698">
        <w:rPr>
          <w:rFonts w:ascii="Times New Roman" w:hAnsi="Times New Roman" w:cs="Times New Roman"/>
          <w:b/>
        </w:rPr>
        <w:t>uropos ekonominės erdvės</w:t>
      </w:r>
      <w:r w:rsidRPr="00215D8B">
        <w:rPr>
          <w:rFonts w:ascii="Times New Roman" w:hAnsi="Times New Roman" w:cs="Times New Roman"/>
          <w:b/>
        </w:rPr>
        <w:t xml:space="preserve"> valstybėse narėse registruotas tokiais pavadinimais:</w:t>
      </w:r>
    </w:p>
    <w:p w14:paraId="3E711A86" w14:textId="2EDB1557" w:rsidR="004A2B63" w:rsidRPr="00E35BE6" w:rsidRDefault="004A2B63" w:rsidP="00D72C83">
      <w:pPr>
        <w:spacing w:after="0" w:line="240" w:lineRule="auto"/>
        <w:rPr>
          <w:rFonts w:ascii="Times New Roman" w:hAnsi="Times New Roman" w:cs="Times New Roman"/>
          <w:bCs/>
        </w:rPr>
      </w:pPr>
      <w:r w:rsidRPr="00E35BE6">
        <w:rPr>
          <w:rFonts w:ascii="Times New Roman" w:hAnsi="Times New Roman" w:cs="Times New Roman"/>
          <w:bCs/>
        </w:rPr>
        <w:t>Islandija</w:t>
      </w:r>
      <w:r w:rsidR="00A41407" w:rsidRPr="00E35BE6">
        <w:rPr>
          <w:rFonts w:ascii="Times New Roman" w:hAnsi="Times New Roman" w:cs="Times New Roman"/>
          <w:bCs/>
        </w:rPr>
        <w:t>,</w:t>
      </w:r>
      <w:r w:rsidRPr="00FA6410">
        <w:rPr>
          <w:rFonts w:ascii="Times New Roman" w:hAnsi="Times New Roman" w:cs="Times New Roman"/>
          <w:bCs/>
        </w:rPr>
        <w:t xml:space="preserve"> </w:t>
      </w:r>
      <w:r w:rsidRPr="00E35BE6">
        <w:rPr>
          <w:rFonts w:ascii="Times New Roman" w:hAnsi="Times New Roman" w:cs="Times New Roman"/>
          <w:bCs/>
        </w:rPr>
        <w:t>Kroatija</w:t>
      </w:r>
      <w:r w:rsidR="00A41407" w:rsidRPr="00E35BE6">
        <w:rPr>
          <w:rFonts w:ascii="Times New Roman" w:hAnsi="Times New Roman" w:cs="Times New Roman"/>
          <w:bCs/>
        </w:rPr>
        <w:t>,</w:t>
      </w:r>
      <w:r w:rsidRPr="00FA6410">
        <w:rPr>
          <w:rFonts w:ascii="Times New Roman" w:hAnsi="Times New Roman" w:cs="Times New Roman"/>
          <w:bCs/>
        </w:rPr>
        <w:t xml:space="preserve"> </w:t>
      </w:r>
      <w:r w:rsidRPr="00E35BE6">
        <w:rPr>
          <w:rFonts w:ascii="Times New Roman" w:hAnsi="Times New Roman" w:cs="Times New Roman"/>
          <w:bCs/>
        </w:rPr>
        <w:t>L</w:t>
      </w:r>
      <w:r w:rsidR="00A41407" w:rsidRPr="00E35BE6">
        <w:rPr>
          <w:rFonts w:ascii="Times New Roman" w:hAnsi="Times New Roman" w:cs="Times New Roman"/>
          <w:bCs/>
        </w:rPr>
        <w:t>ietuva, Vengrija: Varlota.</w:t>
      </w:r>
    </w:p>
    <w:p w14:paraId="7325B208" w14:textId="77777777" w:rsidR="00D72C83" w:rsidRDefault="00D72C83" w:rsidP="00D72C83">
      <w:pPr>
        <w:spacing w:after="0" w:line="240" w:lineRule="auto"/>
        <w:rPr>
          <w:rFonts w:ascii="Times New Roman" w:hAnsi="Times New Roman" w:cs="Times New Roman"/>
          <w:b/>
        </w:rPr>
      </w:pPr>
    </w:p>
    <w:p w14:paraId="6979EF8A" w14:textId="69561272" w:rsidR="00D72C83" w:rsidRPr="002E32EF" w:rsidRDefault="00D72C83" w:rsidP="00D72C83">
      <w:pPr>
        <w:numPr>
          <w:ilvl w:val="12"/>
          <w:numId w:val="0"/>
        </w:numPr>
        <w:spacing w:after="0" w:line="240" w:lineRule="auto"/>
        <w:rPr>
          <w:rFonts w:ascii="Times New Roman" w:hAnsi="Times New Roman" w:cs="Times New Roman"/>
          <w:b/>
          <w:bCs/>
        </w:rPr>
      </w:pPr>
      <w:r w:rsidRPr="002E32EF">
        <w:rPr>
          <w:rFonts w:ascii="Times New Roman" w:hAnsi="Times New Roman" w:cs="Times New Roman"/>
          <w:b/>
          <w:bCs/>
        </w:rPr>
        <w:t>Šis pakuotės lapelis paskutinį kartą peržiūrėtas</w:t>
      </w:r>
      <w:r>
        <w:rPr>
          <w:rFonts w:ascii="Times New Roman" w:hAnsi="Times New Roman" w:cs="Times New Roman"/>
          <w:b/>
          <w:bCs/>
        </w:rPr>
        <w:t xml:space="preserve"> </w:t>
      </w:r>
      <w:r w:rsidR="00CC5F84">
        <w:rPr>
          <w:rFonts w:ascii="Times New Roman" w:hAnsi="Times New Roman" w:cs="Times New Roman"/>
          <w:b/>
          <w:bCs/>
        </w:rPr>
        <w:t>2021-</w:t>
      </w:r>
      <w:r w:rsidR="00AE56C0">
        <w:rPr>
          <w:rFonts w:ascii="Times New Roman" w:hAnsi="Times New Roman" w:cs="Times New Roman"/>
          <w:b/>
          <w:bCs/>
        </w:rPr>
        <w:t>12-23</w:t>
      </w:r>
      <w:r>
        <w:rPr>
          <w:rFonts w:ascii="Times New Roman" w:hAnsi="Times New Roman" w:cs="Times New Roman"/>
          <w:b/>
          <w:bCs/>
        </w:rPr>
        <w:t>.</w:t>
      </w:r>
    </w:p>
    <w:p w14:paraId="05E776D9" w14:textId="77777777" w:rsidR="00D72C83" w:rsidRPr="00D3564A" w:rsidRDefault="00D72C83" w:rsidP="00D72C83">
      <w:pPr>
        <w:numPr>
          <w:ilvl w:val="12"/>
          <w:numId w:val="0"/>
        </w:numPr>
        <w:spacing w:after="0" w:line="240" w:lineRule="auto"/>
        <w:rPr>
          <w:rFonts w:ascii="Times New Roman" w:hAnsi="Times New Roman"/>
        </w:rPr>
      </w:pPr>
    </w:p>
    <w:p w14:paraId="4061298B" w14:textId="77777777" w:rsidR="00866ABB" w:rsidRDefault="00D72C83" w:rsidP="00160EA3">
      <w:pPr>
        <w:numPr>
          <w:ilvl w:val="12"/>
          <w:numId w:val="0"/>
        </w:numPr>
        <w:spacing w:after="0" w:line="240" w:lineRule="auto"/>
        <w:rPr>
          <w:rFonts w:ascii="Times New Roman" w:hAnsi="Times New Roman" w:cs="Times New Roman"/>
        </w:rPr>
      </w:pPr>
      <w:r w:rsidRPr="002E32EF">
        <w:rPr>
          <w:rFonts w:ascii="Times New Roman" w:hAnsi="Times New Roman" w:cs="Times New Roman"/>
        </w:rPr>
        <w:t>Išsami informacija apie šį vaistą pateikiama Valstybinės vaistų kontrolės tarnybos prie Lietuvos Respublikos sveikatos apsaugos ministerijos tinklalapyje</w:t>
      </w:r>
      <w:r w:rsidRPr="002E32EF">
        <w:rPr>
          <w:rFonts w:ascii="Times New Roman" w:hAnsi="Times New Roman" w:cs="Times New Roman"/>
          <w:i/>
          <w:iCs/>
        </w:rPr>
        <w:t xml:space="preserve"> </w:t>
      </w:r>
      <w:hyperlink r:id="rId13" w:history="1">
        <w:r w:rsidRPr="00D3564A">
          <w:rPr>
            <w:rStyle w:val="Hipersaitas"/>
          </w:rPr>
          <w:t>http://www.vvkt.lt/</w:t>
        </w:r>
      </w:hyperlink>
      <w:r w:rsidRPr="002E32EF">
        <w:rPr>
          <w:rFonts w:ascii="Times New Roman" w:hAnsi="Times New Roman" w:cs="Times New Roman"/>
        </w:rPr>
        <w:t>.</w:t>
      </w:r>
      <w:r w:rsidR="00160EA3">
        <w:rPr>
          <w:rFonts w:ascii="Times New Roman" w:hAnsi="Times New Roman" w:cs="Times New Roman"/>
        </w:rPr>
        <w:t xml:space="preserve">     </w:t>
      </w:r>
    </w:p>
    <w:p w14:paraId="34AFACAA" w14:textId="77777777" w:rsidR="00866ABB" w:rsidRDefault="00866ABB" w:rsidP="00160EA3">
      <w:pPr>
        <w:numPr>
          <w:ilvl w:val="12"/>
          <w:numId w:val="0"/>
        </w:numPr>
        <w:spacing w:after="0" w:line="240" w:lineRule="auto"/>
        <w:rPr>
          <w:rFonts w:ascii="Times New Roman" w:hAnsi="Times New Roman" w:cs="Times New Roman"/>
        </w:rPr>
      </w:pPr>
    </w:p>
    <w:p w14:paraId="24E415E5" w14:textId="1DA3EC5F" w:rsidR="00AF774E" w:rsidRDefault="00160EA3" w:rsidP="00160EA3">
      <w:pPr>
        <w:numPr>
          <w:ilvl w:val="12"/>
          <w:numId w:val="0"/>
        </w:numPr>
        <w:spacing w:after="0" w:line="240" w:lineRule="auto"/>
      </w:pPr>
      <w:r>
        <w:rPr>
          <w:rFonts w:ascii="Times New Roman" w:hAnsi="Times New Roman" w:cs="Times New Roman"/>
        </w:rPr>
        <w:t xml:space="preserve">   </w:t>
      </w:r>
    </w:p>
    <w:sectPr w:rsidR="00AF774E" w:rsidSect="00E23115">
      <w:headerReference w:type="even" r:id="rId14"/>
      <w:headerReference w:type="default" r:id="rId15"/>
      <w:footerReference w:type="even" r:id="rId16"/>
      <w:footerReference w:type="default" r:id="rId17"/>
      <w:headerReference w:type="first" r:id="rId18"/>
      <w:footerReference w:type="first" r:id="rId1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490CE" w14:textId="77777777" w:rsidR="0031046B" w:rsidRDefault="0031046B">
      <w:pPr>
        <w:spacing w:after="0" w:line="240" w:lineRule="auto"/>
      </w:pPr>
      <w:r>
        <w:separator/>
      </w:r>
    </w:p>
  </w:endnote>
  <w:endnote w:type="continuationSeparator" w:id="0">
    <w:p w14:paraId="41E3CBEF" w14:textId="77777777" w:rsidR="0031046B" w:rsidRDefault="0031046B">
      <w:pPr>
        <w:spacing w:after="0" w:line="240" w:lineRule="auto"/>
      </w:pPr>
      <w:r>
        <w:continuationSeparator/>
      </w:r>
    </w:p>
  </w:endnote>
  <w:endnote w:type="continuationNotice" w:id="1">
    <w:p w14:paraId="14A97AD6" w14:textId="77777777" w:rsidR="0031046B" w:rsidRDefault="00310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Grande">
    <w:altName w:val="Segoe UI"/>
    <w:charset w:val="00"/>
    <w:family w:val="swiss"/>
    <w:pitch w:val="variable"/>
    <w:sig w:usb0="E1000AEF" w:usb1="5000A1FF" w:usb2="00000000" w:usb3="00000000" w:csb0="000001BF" w:csb1="00000000"/>
  </w:font>
  <w:font w:name="TimesNewRomanPSMT">
    <w:altName w:val="Microsoft JhengHei"/>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E0DF6" w14:textId="77777777" w:rsidR="001F6F54" w:rsidRDefault="001F6F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708292"/>
      <w:docPartObj>
        <w:docPartGallery w:val="Page Numbers (Bottom of Page)"/>
        <w:docPartUnique/>
      </w:docPartObj>
    </w:sdtPr>
    <w:sdtEndPr>
      <w:rPr>
        <w:rFonts w:ascii="Times New Roman" w:hAnsi="Times New Roman" w:cs="Times New Roman"/>
      </w:rPr>
    </w:sdtEndPr>
    <w:sdtContent>
      <w:p w14:paraId="5D28B83F" w14:textId="51597FD7" w:rsidR="00537A9B" w:rsidRPr="00133207" w:rsidRDefault="00537A9B">
        <w:pPr>
          <w:pStyle w:val="Porat"/>
          <w:jc w:val="center"/>
          <w:rPr>
            <w:rFonts w:ascii="Times New Roman" w:hAnsi="Times New Roman" w:cs="Times New Roman"/>
          </w:rPr>
        </w:pPr>
        <w:r w:rsidRPr="00133207">
          <w:rPr>
            <w:rFonts w:ascii="Times New Roman" w:hAnsi="Times New Roman" w:cs="Times New Roman"/>
          </w:rPr>
          <w:fldChar w:fldCharType="begin"/>
        </w:r>
        <w:r w:rsidRPr="00133207">
          <w:rPr>
            <w:rFonts w:ascii="Times New Roman" w:hAnsi="Times New Roman" w:cs="Times New Roman"/>
          </w:rPr>
          <w:instrText>PAGE   \* MERGEFORMAT</w:instrText>
        </w:r>
        <w:r w:rsidRPr="00133207">
          <w:rPr>
            <w:rFonts w:ascii="Times New Roman" w:hAnsi="Times New Roman" w:cs="Times New Roman"/>
          </w:rPr>
          <w:fldChar w:fldCharType="separate"/>
        </w:r>
        <w:r w:rsidR="00584AE0">
          <w:rPr>
            <w:rFonts w:ascii="Times New Roman" w:hAnsi="Times New Roman" w:cs="Times New Roman"/>
            <w:noProof/>
          </w:rPr>
          <w:t>2</w:t>
        </w:r>
        <w:r w:rsidRPr="00133207">
          <w:rPr>
            <w:rFonts w:ascii="Times New Roman" w:hAnsi="Times New Roman" w:cs="Times New Roman"/>
          </w:rPr>
          <w:fldChar w:fldCharType="end"/>
        </w:r>
      </w:p>
    </w:sdtContent>
  </w:sdt>
  <w:p w14:paraId="7E3142B7" w14:textId="77777777" w:rsidR="00537A9B" w:rsidRDefault="00537A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2BF95" w14:textId="77777777" w:rsidR="001F6F54" w:rsidRDefault="001F6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9FA59" w14:textId="77777777" w:rsidR="0031046B" w:rsidRDefault="0031046B">
      <w:pPr>
        <w:spacing w:after="0" w:line="240" w:lineRule="auto"/>
      </w:pPr>
      <w:r>
        <w:separator/>
      </w:r>
    </w:p>
  </w:footnote>
  <w:footnote w:type="continuationSeparator" w:id="0">
    <w:p w14:paraId="214B5457" w14:textId="77777777" w:rsidR="0031046B" w:rsidRDefault="0031046B">
      <w:pPr>
        <w:spacing w:after="0" w:line="240" w:lineRule="auto"/>
      </w:pPr>
      <w:r>
        <w:continuationSeparator/>
      </w:r>
    </w:p>
  </w:footnote>
  <w:footnote w:type="continuationNotice" w:id="1">
    <w:p w14:paraId="377D3C4E" w14:textId="77777777" w:rsidR="0031046B" w:rsidRDefault="00310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3DB3A" w14:textId="77777777" w:rsidR="001F6F54" w:rsidRDefault="001F6F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C8EE" w14:textId="2700466E" w:rsidR="001F6F54" w:rsidRDefault="001F6F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ABF2" w14:textId="77777777" w:rsidR="001F6F54" w:rsidRDefault="001F6F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2" w15:restartNumberingAfterBreak="0">
    <w:nsid w:val="00317503"/>
    <w:multiLevelType w:val="hybridMultilevel"/>
    <w:tmpl w:val="80F223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47008"/>
    <w:multiLevelType w:val="hybridMultilevel"/>
    <w:tmpl w:val="5D5AD8C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54B6"/>
    <w:multiLevelType w:val="hybridMultilevel"/>
    <w:tmpl w:val="08BC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907441"/>
    <w:multiLevelType w:val="hybridMultilevel"/>
    <w:tmpl w:val="4E8CAD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7472550"/>
    <w:multiLevelType w:val="hybridMultilevel"/>
    <w:tmpl w:val="2910A3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46581"/>
    <w:multiLevelType w:val="hybridMultilevel"/>
    <w:tmpl w:val="8E4A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549134B"/>
    <w:multiLevelType w:val="hybridMultilevel"/>
    <w:tmpl w:val="1F2A0A5C"/>
    <w:lvl w:ilvl="0" w:tplc="77823B0E">
      <w:numFmt w:val="bullet"/>
      <w:lvlText w:val="-"/>
      <w:lvlJc w:val="left"/>
      <w:pPr>
        <w:ind w:left="720" w:hanging="360"/>
      </w:pPr>
      <w:rPr>
        <w:rFonts w:ascii="Times New Roman" w:eastAsia="Times New Roman" w:hAnsi="Times New Roman" w:hint="default"/>
        <w:w w:val="99"/>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B6530"/>
    <w:multiLevelType w:val="hybridMultilevel"/>
    <w:tmpl w:val="4A145E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83E"/>
    <w:multiLevelType w:val="hybridMultilevel"/>
    <w:tmpl w:val="0D8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404EF"/>
    <w:multiLevelType w:val="hybridMultilevel"/>
    <w:tmpl w:val="28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148A9"/>
    <w:multiLevelType w:val="hybridMultilevel"/>
    <w:tmpl w:val="6758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cs="Symbol" w:hint="default"/>
        <w:color w:val="auto"/>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Wingdings" w:hint="default"/>
      </w:rPr>
    </w:lvl>
    <w:lvl w:ilvl="3" w:tplc="04270001">
      <w:start w:val="1"/>
      <w:numFmt w:val="bullet"/>
      <w:lvlText w:val=""/>
      <w:lvlJc w:val="left"/>
      <w:pPr>
        <w:tabs>
          <w:tab w:val="num" w:pos="3240"/>
        </w:tabs>
        <w:ind w:left="3240" w:hanging="360"/>
      </w:pPr>
      <w:rPr>
        <w:rFonts w:ascii="Symbol" w:hAnsi="Symbol" w:cs="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Wingdings" w:hint="default"/>
      </w:rPr>
    </w:lvl>
    <w:lvl w:ilvl="6" w:tplc="04270001">
      <w:start w:val="1"/>
      <w:numFmt w:val="bullet"/>
      <w:lvlText w:val=""/>
      <w:lvlJc w:val="left"/>
      <w:pPr>
        <w:tabs>
          <w:tab w:val="num" w:pos="5400"/>
        </w:tabs>
        <w:ind w:left="5400" w:hanging="360"/>
      </w:pPr>
      <w:rPr>
        <w:rFonts w:ascii="Symbol" w:hAnsi="Symbol" w:cs="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47135C1D"/>
    <w:multiLevelType w:val="hybridMultilevel"/>
    <w:tmpl w:val="158AAAD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F48AD"/>
    <w:multiLevelType w:val="hybridMultilevel"/>
    <w:tmpl w:val="D50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FBC7FD4"/>
    <w:multiLevelType w:val="hybridMultilevel"/>
    <w:tmpl w:val="A7C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02E7A"/>
    <w:multiLevelType w:val="hybridMultilevel"/>
    <w:tmpl w:val="93CC9A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804BD"/>
    <w:multiLevelType w:val="hybridMultilevel"/>
    <w:tmpl w:val="E81E7EB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35D74"/>
    <w:multiLevelType w:val="hybridMultilevel"/>
    <w:tmpl w:val="DD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00515"/>
    <w:multiLevelType w:val="hybridMultilevel"/>
    <w:tmpl w:val="62CA4C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2056A"/>
    <w:multiLevelType w:val="hybridMultilevel"/>
    <w:tmpl w:val="BC26AF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F16B3"/>
    <w:multiLevelType w:val="hybridMultilevel"/>
    <w:tmpl w:val="F10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0"/>
  </w:num>
  <w:num w:numId="5">
    <w:abstractNumId w:val="24"/>
  </w:num>
  <w:num w:numId="6">
    <w:abstractNumId w:val="23"/>
  </w:num>
  <w:num w:numId="7">
    <w:abstractNumId w:val="8"/>
  </w:num>
  <w:num w:numId="8">
    <w:abstractNumId w:val="5"/>
  </w:num>
  <w:num w:numId="9">
    <w:abstractNumId w:val="9"/>
  </w:num>
  <w:num w:numId="10">
    <w:abstractNumId w:val="30"/>
  </w:num>
  <w:num w:numId="11">
    <w:abstractNumId w:val="14"/>
  </w:num>
  <w:num w:numId="12">
    <w:abstractNumId w:val="15"/>
  </w:num>
  <w:num w:numId="13">
    <w:abstractNumId w:val="12"/>
  </w:num>
  <w:num w:numId="14">
    <w:abstractNumId w:val="25"/>
  </w:num>
  <w:num w:numId="15">
    <w:abstractNumId w:val="34"/>
  </w:num>
  <w:num w:numId="16">
    <w:abstractNumId w:val="6"/>
  </w:num>
  <w:num w:numId="17">
    <w:abstractNumId w:val="33"/>
  </w:num>
  <w:num w:numId="18">
    <w:abstractNumId w:val="17"/>
  </w:num>
  <w:num w:numId="19">
    <w:abstractNumId w:val="22"/>
  </w:num>
  <w:num w:numId="20">
    <w:abstractNumId w:val="29"/>
  </w:num>
  <w:num w:numId="21">
    <w:abstractNumId w:val="4"/>
  </w:num>
  <w:num w:numId="22">
    <w:abstractNumId w:val="19"/>
  </w:num>
  <w:num w:numId="23">
    <w:abstractNumId w:val="26"/>
  </w:num>
  <w:num w:numId="24">
    <w:abstractNumId w:val="11"/>
  </w:num>
  <w:num w:numId="25">
    <w:abstractNumId w:val="18"/>
  </w:num>
  <w:num w:numId="26">
    <w:abstractNumId w:val="13"/>
  </w:num>
  <w:num w:numId="27">
    <w:abstractNumId w:val="31"/>
  </w:num>
  <w:num w:numId="28">
    <w:abstractNumId w:val="2"/>
  </w:num>
  <w:num w:numId="29">
    <w:abstractNumId w:val="21"/>
  </w:num>
  <w:num w:numId="30">
    <w:abstractNumId w:val="27"/>
  </w:num>
  <w:num w:numId="31">
    <w:abstractNumId w:val="10"/>
  </w:num>
  <w:num w:numId="32">
    <w:abstractNumId w:val="16"/>
  </w:num>
  <w:num w:numId="33">
    <w:abstractNumId w:val="28"/>
  </w:num>
  <w:num w:numId="34">
    <w:abstractNumId w:val="32"/>
  </w:num>
  <w:num w:numId="35">
    <w:abstractNumId w:val="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83"/>
    <w:rsid w:val="00010AC5"/>
    <w:rsid w:val="000A59A5"/>
    <w:rsid w:val="000B4BD7"/>
    <w:rsid w:val="000C70FB"/>
    <w:rsid w:val="00160EA3"/>
    <w:rsid w:val="00174AE1"/>
    <w:rsid w:val="00181E50"/>
    <w:rsid w:val="001F6F54"/>
    <w:rsid w:val="002709B6"/>
    <w:rsid w:val="00271131"/>
    <w:rsid w:val="00295E4E"/>
    <w:rsid w:val="002C5ECD"/>
    <w:rsid w:val="002F1981"/>
    <w:rsid w:val="0031046B"/>
    <w:rsid w:val="00330410"/>
    <w:rsid w:val="0035242E"/>
    <w:rsid w:val="00376AF1"/>
    <w:rsid w:val="0039347C"/>
    <w:rsid w:val="003A5C39"/>
    <w:rsid w:val="003D0740"/>
    <w:rsid w:val="00494F7C"/>
    <w:rsid w:val="004A2B63"/>
    <w:rsid w:val="004B3586"/>
    <w:rsid w:val="004F204D"/>
    <w:rsid w:val="004F3A89"/>
    <w:rsid w:val="00537A9B"/>
    <w:rsid w:val="00584AE0"/>
    <w:rsid w:val="005E0208"/>
    <w:rsid w:val="006F3114"/>
    <w:rsid w:val="00745868"/>
    <w:rsid w:val="007502A6"/>
    <w:rsid w:val="00755698"/>
    <w:rsid w:val="00783479"/>
    <w:rsid w:val="007870A6"/>
    <w:rsid w:val="0079258D"/>
    <w:rsid w:val="00835A08"/>
    <w:rsid w:val="00860895"/>
    <w:rsid w:val="00866ABB"/>
    <w:rsid w:val="00902EE4"/>
    <w:rsid w:val="00944865"/>
    <w:rsid w:val="00993910"/>
    <w:rsid w:val="009A57FD"/>
    <w:rsid w:val="00A05594"/>
    <w:rsid w:val="00A41407"/>
    <w:rsid w:val="00A55855"/>
    <w:rsid w:val="00A64E52"/>
    <w:rsid w:val="00AE56C0"/>
    <w:rsid w:val="00AF774E"/>
    <w:rsid w:val="00B55C19"/>
    <w:rsid w:val="00B94B19"/>
    <w:rsid w:val="00BB50E6"/>
    <w:rsid w:val="00C033E9"/>
    <w:rsid w:val="00CC5F84"/>
    <w:rsid w:val="00D3564A"/>
    <w:rsid w:val="00D72C83"/>
    <w:rsid w:val="00E23115"/>
    <w:rsid w:val="00E35BE6"/>
    <w:rsid w:val="00E72EEB"/>
    <w:rsid w:val="00E967D2"/>
    <w:rsid w:val="00EA52CA"/>
    <w:rsid w:val="00EF0218"/>
    <w:rsid w:val="00FA6410"/>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184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3114"/>
    <w:pPr>
      <w:spacing w:after="160" w:line="259" w:lineRule="auto"/>
    </w:pPr>
    <w:rPr>
      <w:sz w:val="22"/>
      <w:szCs w:val="22"/>
      <w:lang w:val="lt-LT"/>
    </w:rPr>
  </w:style>
  <w:style w:type="paragraph" w:styleId="Antrat2">
    <w:name w:val="heading 2"/>
    <w:basedOn w:val="prastasis"/>
    <w:next w:val="prastasis"/>
    <w:link w:val="Antrat2Diagrama"/>
    <w:uiPriority w:val="99"/>
    <w:qFormat/>
    <w:rsid w:val="00D72C83"/>
    <w:pPr>
      <w:keepNext/>
      <w:tabs>
        <w:tab w:val="left" w:pos="567"/>
      </w:tabs>
      <w:spacing w:before="240" w:after="60" w:line="260" w:lineRule="exact"/>
      <w:outlineLvl w:val="1"/>
    </w:pPr>
    <w:rPr>
      <w:rFonts w:ascii="Cambria" w:eastAsia="Calibri" w:hAnsi="Cambria" w:cs="Cambria"/>
      <w:b/>
      <w:bCs/>
      <w:i/>
      <w:iCs/>
      <w:sz w:val="28"/>
      <w:szCs w:val="28"/>
      <w:lang w:val="en-GB" w:eastAsia="lt-LT"/>
    </w:rPr>
  </w:style>
  <w:style w:type="paragraph" w:styleId="Antrat3">
    <w:name w:val="heading 3"/>
    <w:basedOn w:val="prastasis"/>
    <w:next w:val="prastasis"/>
    <w:link w:val="Antrat3Diagrama"/>
    <w:uiPriority w:val="99"/>
    <w:qFormat/>
    <w:rsid w:val="00D72C83"/>
    <w:pPr>
      <w:keepNext/>
      <w:keepLines/>
      <w:tabs>
        <w:tab w:val="left" w:pos="567"/>
      </w:tabs>
      <w:spacing w:before="120" w:after="80" w:line="260" w:lineRule="exact"/>
      <w:outlineLvl w:val="2"/>
    </w:pPr>
    <w:rPr>
      <w:rFonts w:ascii="Cambria" w:eastAsia="Calibri" w:hAnsi="Cambria" w:cs="Cambria"/>
      <w:b/>
      <w:bCs/>
      <w:sz w:val="26"/>
      <w:szCs w:val="26"/>
      <w:lang w:val="en-GB" w:eastAsia="lt-LT"/>
    </w:rPr>
  </w:style>
  <w:style w:type="paragraph" w:styleId="Antrat4">
    <w:name w:val="heading 4"/>
    <w:basedOn w:val="prastasis"/>
    <w:next w:val="prastasis"/>
    <w:link w:val="Antrat4Diagrama"/>
    <w:uiPriority w:val="99"/>
    <w:qFormat/>
    <w:rsid w:val="00D72C83"/>
    <w:pPr>
      <w:keepNext/>
      <w:tabs>
        <w:tab w:val="left" w:pos="567"/>
      </w:tabs>
      <w:spacing w:after="0" w:line="260" w:lineRule="exact"/>
      <w:jc w:val="both"/>
      <w:outlineLvl w:val="3"/>
    </w:pPr>
    <w:rPr>
      <w:rFonts w:ascii="Calibri" w:eastAsia="Calibri" w:hAnsi="Calibri" w:cs="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D72C83"/>
    <w:rPr>
      <w:rFonts w:ascii="Cambria" w:eastAsia="Calibri" w:hAnsi="Cambria" w:cs="Cambria"/>
      <w:b/>
      <w:bCs/>
      <w:i/>
      <w:iCs/>
      <w:sz w:val="28"/>
      <w:szCs w:val="28"/>
      <w:lang w:val="en-GB" w:eastAsia="lt-LT"/>
    </w:rPr>
  </w:style>
  <w:style w:type="character" w:customStyle="1" w:styleId="Antrat3Diagrama">
    <w:name w:val="Antraštė 3 Diagrama"/>
    <w:basedOn w:val="Numatytasispastraiposriftas"/>
    <w:link w:val="Antrat3"/>
    <w:uiPriority w:val="99"/>
    <w:rsid w:val="00D72C83"/>
    <w:rPr>
      <w:rFonts w:ascii="Cambria" w:eastAsia="Calibri" w:hAnsi="Cambria" w:cs="Cambria"/>
      <w:b/>
      <w:bCs/>
      <w:sz w:val="26"/>
      <w:szCs w:val="26"/>
      <w:lang w:val="en-GB" w:eastAsia="lt-LT"/>
    </w:rPr>
  </w:style>
  <w:style w:type="character" w:customStyle="1" w:styleId="Antrat4Diagrama">
    <w:name w:val="Antraštė 4 Diagrama"/>
    <w:basedOn w:val="Numatytasispastraiposriftas"/>
    <w:link w:val="Antrat4"/>
    <w:uiPriority w:val="99"/>
    <w:rsid w:val="00D72C83"/>
    <w:rPr>
      <w:rFonts w:ascii="Calibri" w:eastAsia="Calibri" w:hAnsi="Calibri" w:cs="Calibri"/>
      <w:b/>
      <w:bCs/>
      <w:sz w:val="28"/>
      <w:szCs w:val="28"/>
      <w:lang w:val="en-GB" w:eastAsia="lt-LT"/>
    </w:rPr>
  </w:style>
  <w:style w:type="paragraph" w:styleId="Antrats">
    <w:name w:val="header"/>
    <w:basedOn w:val="prastasis"/>
    <w:link w:val="AntratsDiagrama"/>
    <w:uiPriority w:val="99"/>
    <w:unhideWhenUsed/>
    <w:rsid w:val="00D72C8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72C83"/>
    <w:rPr>
      <w:sz w:val="22"/>
      <w:szCs w:val="22"/>
      <w:lang w:val="lt-LT"/>
    </w:rPr>
  </w:style>
  <w:style w:type="paragraph" w:styleId="Porat">
    <w:name w:val="footer"/>
    <w:basedOn w:val="prastasis"/>
    <w:link w:val="PoratDiagrama"/>
    <w:uiPriority w:val="99"/>
    <w:unhideWhenUsed/>
    <w:rsid w:val="00D72C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72C83"/>
    <w:rPr>
      <w:sz w:val="22"/>
      <w:szCs w:val="22"/>
      <w:lang w:val="lt-LT"/>
    </w:rPr>
  </w:style>
  <w:style w:type="character" w:styleId="Hipersaitas">
    <w:name w:val="Hyperlink"/>
    <w:uiPriority w:val="99"/>
    <w:rsid w:val="00D72C83"/>
    <w:rPr>
      <w:color w:val="0000FF"/>
      <w:u w:val="single"/>
    </w:rPr>
  </w:style>
  <w:style w:type="paragraph" w:styleId="Pagrindinistekstas">
    <w:name w:val="Body Text"/>
    <w:basedOn w:val="prastasis"/>
    <w:link w:val="PagrindinistekstasDiagrama"/>
    <w:uiPriority w:val="99"/>
    <w:rsid w:val="00D72C83"/>
    <w:pPr>
      <w:spacing w:after="0" w:line="240" w:lineRule="auto"/>
    </w:pPr>
    <w:rPr>
      <w:rFonts w:ascii="Times New Roman" w:eastAsia="SimSu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D72C83"/>
    <w:rPr>
      <w:rFonts w:ascii="Times New Roman" w:eastAsia="SimSun" w:hAnsi="Times New Roman" w:cs="Times New Roman"/>
      <w:i/>
      <w:iCs/>
      <w:color w:val="008000"/>
      <w:sz w:val="20"/>
      <w:szCs w:val="20"/>
      <w:lang w:val="en-GB" w:eastAsia="lt-LT"/>
    </w:rPr>
  </w:style>
  <w:style w:type="paragraph" w:styleId="Paprastasistekstas">
    <w:name w:val="Plain Text"/>
    <w:basedOn w:val="prastasis"/>
    <w:link w:val="PaprastasistekstasDiagrama"/>
    <w:uiPriority w:val="99"/>
    <w:rsid w:val="00D72C83"/>
    <w:pPr>
      <w:spacing w:after="0" w:line="240" w:lineRule="auto"/>
    </w:pPr>
    <w:rPr>
      <w:rFonts w:ascii="Courier New" w:eastAsia="SimSun"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72C83"/>
    <w:rPr>
      <w:rFonts w:ascii="Courier New" w:eastAsia="SimSun" w:hAnsi="Courier New" w:cs="Courier New"/>
      <w:sz w:val="20"/>
      <w:szCs w:val="20"/>
      <w:lang w:eastAsia="lt-LT"/>
    </w:rPr>
  </w:style>
  <w:style w:type="paragraph" w:styleId="Pavadinimas">
    <w:name w:val="Title"/>
    <w:basedOn w:val="prastasis"/>
    <w:link w:val="PavadinimasDiagrama"/>
    <w:uiPriority w:val="99"/>
    <w:qFormat/>
    <w:rsid w:val="00D72C83"/>
    <w:pPr>
      <w:spacing w:after="0" w:line="240" w:lineRule="auto"/>
      <w:jc w:val="center"/>
    </w:pPr>
    <w:rPr>
      <w:rFonts w:ascii="Times New Roman" w:eastAsia="SimSu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D72C83"/>
    <w:rPr>
      <w:rFonts w:ascii="Times New Roman" w:eastAsia="SimSun" w:hAnsi="Times New Roman" w:cs="Times New Roman"/>
      <w:b/>
      <w:bCs/>
      <w:sz w:val="20"/>
      <w:szCs w:val="20"/>
      <w:lang w:val="en-GB" w:eastAsia="lt-LT"/>
    </w:rPr>
  </w:style>
  <w:style w:type="paragraph" w:customStyle="1" w:styleId="BTEMEASMCA">
    <w:name w:val="BT EMEA_SMCA"/>
    <w:basedOn w:val="prastasis"/>
    <w:link w:val="BTEMEASMCAChar"/>
    <w:autoRedefine/>
    <w:uiPriority w:val="99"/>
    <w:rsid w:val="00D72C83"/>
    <w:pPr>
      <w:spacing w:after="0" w:line="240" w:lineRule="auto"/>
    </w:pPr>
    <w:rPr>
      <w:rFonts w:ascii="Times New Roman" w:eastAsia="SimSun" w:hAnsi="Times New Roman" w:cs="Times New Roman"/>
      <w:noProof/>
      <w:u w:val="single"/>
      <w:lang w:val="en-GB"/>
    </w:rPr>
  </w:style>
  <w:style w:type="character" w:customStyle="1" w:styleId="BTEMEASMCAChar">
    <w:name w:val="BT EMEA_SMCA Char"/>
    <w:link w:val="BTEMEASMCA"/>
    <w:uiPriority w:val="99"/>
    <w:locked/>
    <w:rsid w:val="00D72C83"/>
    <w:rPr>
      <w:rFonts w:ascii="Times New Roman" w:eastAsia="SimSun" w:hAnsi="Times New Roman" w:cs="Times New Roman"/>
      <w:noProof/>
      <w:sz w:val="22"/>
      <w:szCs w:val="22"/>
      <w:u w:val="single"/>
      <w:lang w:val="en-GB"/>
    </w:rPr>
  </w:style>
  <w:style w:type="paragraph" w:customStyle="1" w:styleId="BT-EMEASMCA">
    <w:name w:val="BT- EMEA_SMCA"/>
    <w:basedOn w:val="BTEMEASMCA"/>
    <w:uiPriority w:val="99"/>
    <w:rsid w:val="006F3114"/>
    <w:pPr>
      <w:numPr>
        <w:numId w:val="3"/>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D72C83"/>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D72C83"/>
    <w:pPr>
      <w:suppressAutoHyphens/>
      <w:jc w:val="center"/>
    </w:pPr>
    <w:rPr>
      <w:rFonts w:eastAsia="Times New Roman"/>
      <w:noProof w:val="0"/>
      <w:lang w:val="lt-LT" w:eastAsia="ar-SA"/>
    </w:rPr>
  </w:style>
  <w:style w:type="character" w:customStyle="1" w:styleId="apple-converted-space">
    <w:name w:val="apple-converted-space"/>
    <w:uiPriority w:val="99"/>
    <w:rsid w:val="00D72C83"/>
  </w:style>
  <w:style w:type="character" w:styleId="Emfaz">
    <w:name w:val="Emphasis"/>
    <w:uiPriority w:val="20"/>
    <w:qFormat/>
    <w:rsid w:val="00D72C83"/>
    <w:rPr>
      <w:i/>
      <w:iCs/>
    </w:rPr>
  </w:style>
  <w:style w:type="paragraph" w:customStyle="1" w:styleId="Normal11pt">
    <w:name w:val="Normal + 11 pt"/>
    <w:basedOn w:val="Pagrindinistekstas"/>
    <w:uiPriority w:val="99"/>
    <w:rsid w:val="00D72C83"/>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Debesliotekstas">
    <w:name w:val="Balloon Text"/>
    <w:basedOn w:val="prastasis"/>
    <w:link w:val="DebesliotekstasDiagrama"/>
    <w:uiPriority w:val="99"/>
    <w:semiHidden/>
    <w:unhideWhenUsed/>
    <w:rsid w:val="00D72C83"/>
    <w:pPr>
      <w:tabs>
        <w:tab w:val="left" w:pos="567"/>
      </w:tabs>
      <w:spacing w:after="0" w:line="240" w:lineRule="auto"/>
    </w:pPr>
    <w:rPr>
      <w:rFonts w:ascii="Lucida Grande" w:eastAsia="Times New Roman" w:hAnsi="Lucida Grande" w:cs="Lucida Grande"/>
      <w:sz w:val="18"/>
      <w:szCs w:val="18"/>
      <w:lang w:val="en-GB"/>
    </w:rPr>
  </w:style>
  <w:style w:type="character" w:customStyle="1" w:styleId="DebesliotekstasDiagrama">
    <w:name w:val="Debesėlio tekstas Diagrama"/>
    <w:basedOn w:val="Numatytasispastraiposriftas"/>
    <w:link w:val="Debesliotekstas"/>
    <w:uiPriority w:val="99"/>
    <w:semiHidden/>
    <w:rsid w:val="00D72C83"/>
    <w:rPr>
      <w:rFonts w:ascii="Lucida Grande" w:eastAsia="Times New Roman" w:hAnsi="Lucida Grande" w:cs="Lucida Grande"/>
      <w:sz w:val="18"/>
      <w:szCs w:val="18"/>
      <w:lang w:val="en-GB"/>
    </w:rPr>
  </w:style>
  <w:style w:type="paragraph" w:styleId="Sraopastraipa">
    <w:name w:val="List Paragraph"/>
    <w:basedOn w:val="prastasis"/>
    <w:uiPriority w:val="34"/>
    <w:qFormat/>
    <w:rsid w:val="00D72C83"/>
    <w:pPr>
      <w:tabs>
        <w:tab w:val="left" w:pos="567"/>
      </w:tabs>
      <w:spacing w:after="0" w:line="260" w:lineRule="exact"/>
      <w:ind w:left="720"/>
      <w:contextualSpacing/>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D72C83"/>
    <w:rPr>
      <w:sz w:val="16"/>
      <w:szCs w:val="16"/>
    </w:rPr>
  </w:style>
  <w:style w:type="paragraph" w:styleId="Komentarotekstas">
    <w:name w:val="annotation text"/>
    <w:basedOn w:val="prastasis"/>
    <w:link w:val="KomentarotekstasDiagrama"/>
    <w:uiPriority w:val="99"/>
    <w:semiHidden/>
    <w:unhideWhenUsed/>
    <w:rsid w:val="00D72C83"/>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D72C8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72C83"/>
    <w:rPr>
      <w:b/>
      <w:bCs/>
    </w:rPr>
  </w:style>
  <w:style w:type="character" w:customStyle="1" w:styleId="KomentarotemaDiagrama">
    <w:name w:val="Komentaro tema Diagrama"/>
    <w:basedOn w:val="KomentarotekstasDiagrama"/>
    <w:link w:val="Komentarotema"/>
    <w:uiPriority w:val="99"/>
    <w:semiHidden/>
    <w:rsid w:val="00D72C83"/>
    <w:rPr>
      <w:rFonts w:ascii="Times New Roman" w:eastAsia="Times New Roman" w:hAnsi="Times New Roman" w:cs="Times New Roman"/>
      <w:b/>
      <w:bCs/>
      <w:sz w:val="20"/>
      <w:szCs w:val="20"/>
      <w:lang w:val="en-GB"/>
    </w:rPr>
  </w:style>
  <w:style w:type="paragraph" w:customStyle="1" w:styleId="TableParagraph">
    <w:name w:val="Table Paragraph"/>
    <w:basedOn w:val="prastasis"/>
    <w:uiPriority w:val="1"/>
    <w:qFormat/>
    <w:rsid w:val="00D72C83"/>
    <w:pPr>
      <w:widowControl w:val="0"/>
      <w:spacing w:after="0" w:line="240" w:lineRule="auto"/>
    </w:pPr>
    <w:rPr>
      <w:rFonts w:ascii="Calibri" w:eastAsia="Calibri" w:hAnsi="Calibri" w:cs="Times New Roman"/>
      <w:lang w:val="en-US"/>
    </w:rPr>
  </w:style>
  <w:style w:type="character" w:customStyle="1" w:styleId="st">
    <w:name w:val="st"/>
    <w:basedOn w:val="Numatytasispastraiposriftas"/>
    <w:rsid w:val="00D72C83"/>
  </w:style>
  <w:style w:type="table" w:styleId="Lentelstinklelis">
    <w:name w:val="Table Grid"/>
    <w:basedOn w:val="prastojilentel"/>
    <w:uiPriority w:val="59"/>
    <w:rsid w:val="00D72C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F3114"/>
    <w:rPr>
      <w:sz w:val="22"/>
      <w:szCs w:val="22"/>
      <w:lang w:val="lt-LT"/>
    </w:rPr>
  </w:style>
  <w:style w:type="character" w:customStyle="1" w:styleId="UnresolvedMention">
    <w:name w:val="Unresolved Mention"/>
    <w:basedOn w:val="Numatytasispastraiposriftas"/>
    <w:uiPriority w:val="99"/>
    <w:semiHidden/>
    <w:unhideWhenUsed/>
    <w:rsid w:val="0053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772842">
      <w:bodyDiv w:val="1"/>
      <w:marLeft w:val="0"/>
      <w:marRight w:val="0"/>
      <w:marTop w:val="0"/>
      <w:marBottom w:val="0"/>
      <w:divBdr>
        <w:top w:val="none" w:sz="0" w:space="0" w:color="auto"/>
        <w:left w:val="none" w:sz="0" w:space="0" w:color="auto"/>
        <w:bottom w:val="none" w:sz="0" w:space="0" w:color="auto"/>
        <w:right w:val="none" w:sz="0" w:space="0" w:color="auto"/>
      </w:divBdr>
      <w:divsChild>
        <w:div w:id="1614285967">
          <w:marLeft w:val="0"/>
          <w:marRight w:val="0"/>
          <w:marTop w:val="0"/>
          <w:marBottom w:val="0"/>
          <w:divBdr>
            <w:top w:val="none" w:sz="0" w:space="0" w:color="auto"/>
            <w:left w:val="none" w:sz="0" w:space="0" w:color="auto"/>
            <w:bottom w:val="none" w:sz="0" w:space="0" w:color="auto"/>
            <w:right w:val="none" w:sz="0" w:space="0" w:color="auto"/>
          </w:divBdr>
          <w:divsChild>
            <w:div w:id="1627396597">
              <w:marLeft w:val="0"/>
              <w:marRight w:val="0"/>
              <w:marTop w:val="0"/>
              <w:marBottom w:val="0"/>
              <w:divBdr>
                <w:top w:val="none" w:sz="0" w:space="0" w:color="auto"/>
                <w:left w:val="none" w:sz="0" w:space="0" w:color="auto"/>
                <w:bottom w:val="none" w:sz="0" w:space="0" w:color="auto"/>
                <w:right w:val="none" w:sz="0" w:space="0" w:color="auto"/>
              </w:divBdr>
              <w:divsChild>
                <w:div w:id="1704669250">
                  <w:marLeft w:val="0"/>
                  <w:marRight w:val="0"/>
                  <w:marTop w:val="0"/>
                  <w:marBottom w:val="0"/>
                  <w:divBdr>
                    <w:top w:val="none" w:sz="0" w:space="0" w:color="auto"/>
                    <w:left w:val="none" w:sz="0" w:space="0" w:color="auto"/>
                    <w:bottom w:val="none" w:sz="0" w:space="0" w:color="auto"/>
                    <w:right w:val="none" w:sz="0" w:space="0" w:color="auto"/>
                  </w:divBdr>
                  <w:divsChild>
                    <w:div w:id="2086103750">
                      <w:marLeft w:val="0"/>
                      <w:marRight w:val="0"/>
                      <w:marTop w:val="0"/>
                      <w:marBottom w:val="0"/>
                      <w:divBdr>
                        <w:top w:val="none" w:sz="0" w:space="0" w:color="auto"/>
                        <w:left w:val="none" w:sz="0" w:space="0" w:color="auto"/>
                        <w:bottom w:val="none" w:sz="0" w:space="0" w:color="auto"/>
                        <w:right w:val="none" w:sz="0" w:space="0" w:color="auto"/>
                      </w:divBdr>
                      <w:divsChild>
                        <w:div w:id="1361008476">
                          <w:marLeft w:val="0"/>
                          <w:marRight w:val="0"/>
                          <w:marTop w:val="0"/>
                          <w:marBottom w:val="0"/>
                          <w:divBdr>
                            <w:top w:val="none" w:sz="0" w:space="0" w:color="auto"/>
                            <w:left w:val="none" w:sz="0" w:space="0" w:color="auto"/>
                            <w:bottom w:val="none" w:sz="0" w:space="0" w:color="auto"/>
                            <w:right w:val="none" w:sz="0" w:space="0" w:color="auto"/>
                          </w:divBdr>
                          <w:divsChild>
                            <w:div w:id="637341629">
                              <w:marLeft w:val="0"/>
                              <w:marRight w:val="0"/>
                              <w:marTop w:val="0"/>
                              <w:marBottom w:val="0"/>
                              <w:divBdr>
                                <w:top w:val="none" w:sz="0" w:space="0" w:color="auto"/>
                                <w:left w:val="none" w:sz="0" w:space="0" w:color="auto"/>
                                <w:bottom w:val="none" w:sz="0" w:space="0" w:color="auto"/>
                                <w:right w:val="none" w:sz="0" w:space="0" w:color="auto"/>
                              </w:divBdr>
                              <w:divsChild>
                                <w:div w:id="956834165">
                                  <w:marLeft w:val="0"/>
                                  <w:marRight w:val="0"/>
                                  <w:marTop w:val="0"/>
                                  <w:marBottom w:val="0"/>
                                  <w:divBdr>
                                    <w:top w:val="none" w:sz="0" w:space="0" w:color="auto"/>
                                    <w:left w:val="none" w:sz="0" w:space="0" w:color="auto"/>
                                    <w:bottom w:val="none" w:sz="0" w:space="0" w:color="auto"/>
                                    <w:right w:val="none" w:sz="0" w:space="0" w:color="auto"/>
                                  </w:divBdr>
                                  <w:divsChild>
                                    <w:div w:id="955451674">
                                      <w:marLeft w:val="0"/>
                                      <w:marRight w:val="0"/>
                                      <w:marTop w:val="0"/>
                                      <w:marBottom w:val="0"/>
                                      <w:divBdr>
                                        <w:top w:val="none" w:sz="0" w:space="0" w:color="auto"/>
                                        <w:left w:val="none" w:sz="0" w:space="0" w:color="auto"/>
                                        <w:bottom w:val="none" w:sz="0" w:space="0" w:color="auto"/>
                                        <w:right w:val="none" w:sz="0" w:space="0" w:color="auto"/>
                                      </w:divBdr>
                                      <w:divsChild>
                                        <w:div w:id="1342392617">
                                          <w:marLeft w:val="0"/>
                                          <w:marRight w:val="0"/>
                                          <w:marTop w:val="0"/>
                                          <w:marBottom w:val="0"/>
                                          <w:divBdr>
                                            <w:top w:val="none" w:sz="0" w:space="0" w:color="auto"/>
                                            <w:left w:val="none" w:sz="0" w:space="0" w:color="auto"/>
                                            <w:bottom w:val="none" w:sz="0" w:space="0" w:color="auto"/>
                                            <w:right w:val="none" w:sz="0" w:space="0" w:color="auto"/>
                                          </w:divBdr>
                                          <w:divsChild>
                                            <w:div w:id="735710331">
                                              <w:marLeft w:val="0"/>
                                              <w:marRight w:val="0"/>
                                              <w:marTop w:val="0"/>
                                              <w:marBottom w:val="0"/>
                                              <w:divBdr>
                                                <w:top w:val="none" w:sz="0" w:space="0" w:color="auto"/>
                                                <w:left w:val="none" w:sz="0" w:space="0" w:color="auto"/>
                                                <w:bottom w:val="none" w:sz="0" w:space="0" w:color="auto"/>
                                                <w:right w:val="none" w:sz="0" w:space="0" w:color="auto"/>
                                              </w:divBdr>
                                              <w:divsChild>
                                                <w:div w:id="1724216029">
                                                  <w:marLeft w:val="0"/>
                                                  <w:marRight w:val="0"/>
                                                  <w:marTop w:val="0"/>
                                                  <w:marBottom w:val="0"/>
                                                  <w:divBdr>
                                                    <w:top w:val="none" w:sz="0" w:space="0" w:color="auto"/>
                                                    <w:left w:val="none" w:sz="0" w:space="0" w:color="auto"/>
                                                    <w:bottom w:val="single" w:sz="6" w:space="0" w:color="DADCE0"/>
                                                    <w:right w:val="none" w:sz="0" w:space="0" w:color="auto"/>
                                                  </w:divBdr>
                                                  <w:divsChild>
                                                    <w:div w:id="866141655">
                                                      <w:marLeft w:val="0"/>
                                                      <w:marRight w:val="0"/>
                                                      <w:marTop w:val="0"/>
                                                      <w:marBottom w:val="0"/>
                                                      <w:divBdr>
                                                        <w:top w:val="none" w:sz="0" w:space="0" w:color="auto"/>
                                                        <w:left w:val="none" w:sz="0" w:space="0" w:color="auto"/>
                                                        <w:bottom w:val="none" w:sz="0" w:space="0" w:color="auto"/>
                                                        <w:right w:val="none" w:sz="0" w:space="0" w:color="auto"/>
                                                      </w:divBdr>
                                                      <w:divsChild>
                                                        <w:div w:id="1955021558">
                                                          <w:marLeft w:val="0"/>
                                                          <w:marRight w:val="0"/>
                                                          <w:marTop w:val="0"/>
                                                          <w:marBottom w:val="0"/>
                                                          <w:divBdr>
                                                            <w:top w:val="none" w:sz="0" w:space="0" w:color="auto"/>
                                                            <w:left w:val="none" w:sz="0" w:space="0" w:color="auto"/>
                                                            <w:bottom w:val="none" w:sz="0" w:space="0" w:color="auto"/>
                                                            <w:right w:val="none" w:sz="0" w:space="0" w:color="auto"/>
                                                          </w:divBdr>
                                                        </w:div>
                                                        <w:div w:id="346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6761">
                                                  <w:marLeft w:val="0"/>
                                                  <w:marRight w:val="0"/>
                                                  <w:marTop w:val="0"/>
                                                  <w:marBottom w:val="0"/>
                                                  <w:divBdr>
                                                    <w:top w:val="none" w:sz="0" w:space="0" w:color="auto"/>
                                                    <w:left w:val="none" w:sz="0" w:space="0" w:color="auto"/>
                                                    <w:bottom w:val="single" w:sz="6" w:space="0" w:color="DADCE0"/>
                                                    <w:right w:val="none" w:sz="0" w:space="0" w:color="auto"/>
                                                  </w:divBdr>
                                                  <w:divsChild>
                                                    <w:div w:id="1367295659">
                                                      <w:marLeft w:val="0"/>
                                                      <w:marRight w:val="0"/>
                                                      <w:marTop w:val="0"/>
                                                      <w:marBottom w:val="0"/>
                                                      <w:divBdr>
                                                        <w:top w:val="none" w:sz="0" w:space="0" w:color="auto"/>
                                                        <w:left w:val="none" w:sz="0" w:space="0" w:color="auto"/>
                                                        <w:bottom w:val="none" w:sz="0" w:space="0" w:color="auto"/>
                                                        <w:right w:val="none" w:sz="0" w:space="0" w:color="auto"/>
                                                      </w:divBdr>
                                                      <w:divsChild>
                                                        <w:div w:id="738598435">
                                                          <w:marLeft w:val="0"/>
                                                          <w:marRight w:val="0"/>
                                                          <w:marTop w:val="0"/>
                                                          <w:marBottom w:val="0"/>
                                                          <w:divBdr>
                                                            <w:top w:val="none" w:sz="0" w:space="0" w:color="auto"/>
                                                            <w:left w:val="none" w:sz="0" w:space="0" w:color="auto"/>
                                                            <w:bottom w:val="none" w:sz="0" w:space="0" w:color="auto"/>
                                                            <w:right w:val="none" w:sz="0" w:space="0" w:color="auto"/>
                                                          </w:divBdr>
                                                        </w:div>
                                                        <w:div w:id="840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5501">
                                                  <w:marLeft w:val="0"/>
                                                  <w:marRight w:val="0"/>
                                                  <w:marTop w:val="0"/>
                                                  <w:marBottom w:val="0"/>
                                                  <w:divBdr>
                                                    <w:top w:val="none" w:sz="0" w:space="0" w:color="auto"/>
                                                    <w:left w:val="none" w:sz="0" w:space="0" w:color="auto"/>
                                                    <w:bottom w:val="none" w:sz="0" w:space="0" w:color="auto"/>
                                                    <w:right w:val="none" w:sz="0" w:space="0" w:color="auto"/>
                                                  </w:divBdr>
                                                  <w:divsChild>
                                                    <w:div w:id="1350176169">
                                                      <w:marLeft w:val="0"/>
                                                      <w:marRight w:val="0"/>
                                                      <w:marTop w:val="0"/>
                                                      <w:marBottom w:val="0"/>
                                                      <w:divBdr>
                                                        <w:top w:val="none" w:sz="0" w:space="0" w:color="auto"/>
                                                        <w:left w:val="none" w:sz="0" w:space="0" w:color="auto"/>
                                                        <w:bottom w:val="none" w:sz="0" w:space="0" w:color="auto"/>
                                                        <w:right w:val="none" w:sz="0" w:space="0" w:color="auto"/>
                                                      </w:divBdr>
                                                      <w:divsChild>
                                                        <w:div w:id="1803646829">
                                                          <w:marLeft w:val="0"/>
                                                          <w:marRight w:val="0"/>
                                                          <w:marTop w:val="0"/>
                                                          <w:marBottom w:val="0"/>
                                                          <w:divBdr>
                                                            <w:top w:val="none" w:sz="0" w:space="0" w:color="auto"/>
                                                            <w:left w:val="none" w:sz="0" w:space="0" w:color="auto"/>
                                                            <w:bottom w:val="none" w:sz="0" w:space="0" w:color="auto"/>
                                                            <w:right w:val="none" w:sz="0" w:space="0" w:color="auto"/>
                                                          </w:divBdr>
                                                        </w:div>
                                                        <w:div w:id="11271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66990">
                                                  <w:marLeft w:val="0"/>
                                                  <w:marRight w:val="0"/>
                                                  <w:marTop w:val="0"/>
                                                  <w:marBottom w:val="0"/>
                                                  <w:divBdr>
                                                    <w:top w:val="none" w:sz="0" w:space="0" w:color="auto"/>
                                                    <w:left w:val="none" w:sz="0" w:space="0" w:color="auto"/>
                                                    <w:bottom w:val="none" w:sz="0" w:space="0" w:color="auto"/>
                                                    <w:right w:val="none" w:sz="0" w:space="0" w:color="auto"/>
                                                  </w:divBdr>
                                                  <w:divsChild>
                                                    <w:div w:id="1941521766">
                                                      <w:marLeft w:val="0"/>
                                                      <w:marRight w:val="0"/>
                                                      <w:marTop w:val="0"/>
                                                      <w:marBottom w:val="0"/>
                                                      <w:divBdr>
                                                        <w:top w:val="none" w:sz="0" w:space="0" w:color="auto"/>
                                                        <w:left w:val="none" w:sz="0" w:space="0" w:color="auto"/>
                                                        <w:bottom w:val="none" w:sz="0" w:space="0" w:color="auto"/>
                                                        <w:right w:val="none" w:sz="0" w:space="0" w:color="auto"/>
                                                      </w:divBdr>
                                                      <w:divsChild>
                                                        <w:div w:id="812256533">
                                                          <w:marLeft w:val="0"/>
                                                          <w:marRight w:val="0"/>
                                                          <w:marTop w:val="0"/>
                                                          <w:marBottom w:val="0"/>
                                                          <w:divBdr>
                                                            <w:top w:val="none" w:sz="0" w:space="0" w:color="auto"/>
                                                            <w:left w:val="none" w:sz="0" w:space="0" w:color="auto"/>
                                                            <w:bottom w:val="none" w:sz="0" w:space="0" w:color="auto"/>
                                                            <w:right w:val="none" w:sz="0" w:space="0" w:color="auto"/>
                                                          </w:divBdr>
                                                          <w:divsChild>
                                                            <w:div w:id="16620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50970</Words>
  <Characters>29053</Characters>
  <Application>Microsoft Office Word</Application>
  <DocSecurity>4</DocSecurity>
  <Lines>242</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2022-01-18T11:08:00Z</dcterms:created>
  <dcterms:modified xsi:type="dcterms:W3CDTF">2022-01-18T11:08:00Z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2022-01-03T12:26:27Z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2dc0f89b-4da4-404c-8725-0110dea15694</vt:lpwstr>
  </property>
  <property fmtid="{D5CDD505-2E9C-101B-9397-08002B2CF9AE}" pid="8" name="MSIP_Label_c63a0701-319b-41bf-8431-58956e491e60_ContentBits">
    <vt:lpwstr>0</vt:lpwstr>
  </property>
</Properties>
</file>