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0072" w14:textId="77777777" w:rsidR="00E021D7" w:rsidRDefault="00E021D7">
      <w:pPr>
        <w:widowControl w:val="0"/>
        <w:tabs>
          <w:tab w:val="left" w:pos="567"/>
        </w:tabs>
        <w:spacing w:after="0" w:line="240" w:lineRule="auto"/>
        <w:rPr>
          <w:rFonts w:ascii="Times New Roman" w:eastAsia="Calibri" w:hAnsi="Times New Roman" w:cs="Times New Roman"/>
        </w:rPr>
      </w:pPr>
      <w:bookmarkStart w:id="0" w:name="Tab"/>
      <w:bookmarkEnd w:id="0"/>
    </w:p>
    <w:p w14:paraId="5E64CE48"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5C4A9B30"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35306405"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1C79D6A8"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092C9F69"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0FEC315A"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732DF1A1"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449BA693"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22521D43"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43394E3C"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087B24CC"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773F6725"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5664E9C1"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78687FEE"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5C00C01A"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23D67BFD"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765F6AE1"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45942F00"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60DBF72D"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71A673ED"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19BA5199"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1BD90FDC"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71422404" w14:textId="77777777" w:rsidR="00E021D7" w:rsidRDefault="009C1A2C">
      <w:pPr>
        <w:widowControl w:val="0"/>
        <w:tabs>
          <w:tab w:val="left" w:pos="567"/>
        </w:tabs>
        <w:spacing w:after="0" w:line="240" w:lineRule="auto"/>
        <w:ind w:left="567" w:hanging="567"/>
        <w:jc w:val="center"/>
        <w:rPr>
          <w:rFonts w:ascii="Times New Roman" w:eastAsia="Calibri" w:hAnsi="Times New Roman" w:cs="Times New Roman"/>
        </w:rPr>
      </w:pPr>
      <w:r>
        <w:rPr>
          <w:rFonts w:ascii="Times New Roman" w:eastAsia="Calibri" w:hAnsi="Times New Roman" w:cs="Times New Roman"/>
          <w:b/>
        </w:rPr>
        <w:t>I PRIEDAS</w:t>
      </w:r>
    </w:p>
    <w:p w14:paraId="116C9708" w14:textId="77777777" w:rsidR="00E021D7" w:rsidRDefault="00E021D7">
      <w:pPr>
        <w:widowControl w:val="0"/>
        <w:tabs>
          <w:tab w:val="left" w:pos="567"/>
        </w:tabs>
        <w:spacing w:after="0" w:line="240" w:lineRule="auto"/>
        <w:ind w:left="567" w:hanging="567"/>
        <w:jc w:val="center"/>
        <w:rPr>
          <w:rFonts w:ascii="Times New Roman" w:eastAsia="Calibri" w:hAnsi="Times New Roman" w:cs="Times New Roman"/>
          <w:b/>
        </w:rPr>
      </w:pPr>
    </w:p>
    <w:p w14:paraId="0DEABED6" w14:textId="77777777" w:rsidR="00E021D7" w:rsidRDefault="009C1A2C">
      <w:pPr>
        <w:widowControl w:val="0"/>
        <w:tabs>
          <w:tab w:val="left" w:pos="567"/>
        </w:tabs>
        <w:spacing w:after="0" w:line="240" w:lineRule="auto"/>
        <w:ind w:left="567" w:hanging="567"/>
        <w:jc w:val="center"/>
        <w:rPr>
          <w:rFonts w:ascii="Times New Roman" w:eastAsia="Calibri" w:hAnsi="Times New Roman" w:cs="Times New Roman"/>
          <w:b/>
        </w:rPr>
      </w:pPr>
      <w:r>
        <w:rPr>
          <w:rFonts w:ascii="Times New Roman" w:eastAsia="Calibri" w:hAnsi="Times New Roman" w:cs="Times New Roman"/>
          <w:b/>
        </w:rPr>
        <w:t>PREPARATO CHARAKTERISTIKŲ SANTRAUKA</w:t>
      </w:r>
    </w:p>
    <w:p w14:paraId="01A7E2AD" w14:textId="77777777" w:rsidR="00E021D7" w:rsidRDefault="00E021D7">
      <w:pPr>
        <w:widowControl w:val="0"/>
        <w:tabs>
          <w:tab w:val="left" w:pos="567"/>
        </w:tabs>
        <w:spacing w:after="0" w:line="240" w:lineRule="auto"/>
        <w:ind w:left="567" w:hanging="567"/>
        <w:jc w:val="center"/>
        <w:rPr>
          <w:rFonts w:ascii="Times New Roman" w:eastAsia="Calibri" w:hAnsi="Times New Roman" w:cs="Times New Roman"/>
          <w:b/>
        </w:rPr>
      </w:pPr>
    </w:p>
    <w:p w14:paraId="20AFAC8A" w14:textId="77777777" w:rsidR="00E021D7" w:rsidRDefault="00E021D7">
      <w:pPr>
        <w:widowControl w:val="0"/>
        <w:tabs>
          <w:tab w:val="left" w:pos="567"/>
        </w:tabs>
        <w:spacing w:after="0" w:line="240" w:lineRule="auto"/>
        <w:ind w:left="567" w:hanging="567"/>
        <w:rPr>
          <w:rFonts w:ascii="Times New Roman" w:eastAsia="Calibri" w:hAnsi="Times New Roman" w:cs="Times New Roman"/>
          <w:b/>
        </w:rPr>
      </w:pPr>
    </w:p>
    <w:p w14:paraId="0E7AEBA0"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p>
    <w:p w14:paraId="1CAE0EAA" w14:textId="77777777" w:rsidR="00E021D7" w:rsidRDefault="00E021D7">
      <w:pPr>
        <w:widowControl w:val="0"/>
        <w:tabs>
          <w:tab w:val="left" w:pos="567"/>
        </w:tabs>
        <w:spacing w:after="0" w:line="240" w:lineRule="auto"/>
        <w:jc w:val="both"/>
        <w:rPr>
          <w:rFonts w:ascii="Times New Roman" w:eastAsia="Calibri" w:hAnsi="Times New Roman" w:cs="Times New Roman"/>
        </w:rPr>
      </w:pPr>
    </w:p>
    <w:p w14:paraId="5C754E0F"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30 mg plėvele dengtos tabletės</w:t>
      </w:r>
    </w:p>
    <w:p w14:paraId="1B4083C9" w14:textId="77777777" w:rsidR="00E021D7" w:rsidRDefault="009C1A2C">
      <w:pPr>
        <w:widowControl w:val="0"/>
        <w:tabs>
          <w:tab w:val="left" w:pos="567"/>
        </w:tabs>
        <w:spacing w:after="0" w:line="240" w:lineRule="auto"/>
        <w:jc w:val="both"/>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60 mg plėvele dengtos tabletės</w:t>
      </w:r>
    </w:p>
    <w:p w14:paraId="150C6839" w14:textId="77777777" w:rsidR="00E021D7" w:rsidRDefault="009C1A2C">
      <w:pPr>
        <w:widowControl w:val="0"/>
        <w:tabs>
          <w:tab w:val="left" w:pos="567"/>
        </w:tabs>
        <w:spacing w:after="0" w:line="240" w:lineRule="auto"/>
        <w:jc w:val="both"/>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90 mg plėvele dengtos tabletės</w:t>
      </w:r>
    </w:p>
    <w:p w14:paraId="18072103"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120 mg plėvele dengtos tabletės</w:t>
      </w:r>
    </w:p>
    <w:p w14:paraId="648A1C72" w14:textId="77777777" w:rsidR="00E021D7" w:rsidRDefault="00E021D7">
      <w:pPr>
        <w:widowControl w:val="0"/>
        <w:tabs>
          <w:tab w:val="left" w:pos="567"/>
        </w:tabs>
        <w:spacing w:after="0" w:line="240" w:lineRule="auto"/>
        <w:rPr>
          <w:rFonts w:ascii="Times New Roman" w:eastAsia="Calibri" w:hAnsi="Times New Roman" w:cs="Times New Roman"/>
        </w:rPr>
      </w:pPr>
    </w:p>
    <w:p w14:paraId="21722FA3" w14:textId="77777777" w:rsidR="00E021D7" w:rsidRDefault="00E021D7">
      <w:pPr>
        <w:widowControl w:val="0"/>
        <w:tabs>
          <w:tab w:val="left" w:pos="567"/>
        </w:tabs>
        <w:spacing w:after="0" w:line="240" w:lineRule="auto"/>
        <w:rPr>
          <w:rFonts w:ascii="Times New Roman" w:eastAsia="Calibri" w:hAnsi="Times New Roman" w:cs="Times New Roman"/>
        </w:rPr>
      </w:pPr>
    </w:p>
    <w:p w14:paraId="349A3B1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KOKYBINĖ IR KIEKYBINĖ SUDĖTIS</w:t>
      </w:r>
    </w:p>
    <w:p w14:paraId="1BDA722C" w14:textId="77777777" w:rsidR="00E021D7" w:rsidRDefault="00E021D7">
      <w:pPr>
        <w:widowControl w:val="0"/>
        <w:tabs>
          <w:tab w:val="left" w:pos="567"/>
        </w:tabs>
        <w:spacing w:after="0" w:line="240" w:lineRule="auto"/>
        <w:rPr>
          <w:rFonts w:ascii="Times New Roman" w:eastAsia="Calibri" w:hAnsi="Times New Roman" w:cs="Times New Roman"/>
        </w:rPr>
      </w:pPr>
    </w:p>
    <w:p w14:paraId="265AC30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Kiekvienoje plėvele dengtoje tabletėje yra 30 mg, </w:t>
      </w:r>
      <w:r>
        <w:rPr>
          <w:rFonts w:ascii="Times New Roman" w:eastAsia="Calibri" w:hAnsi="Times New Roman" w:cs="Times New Roman"/>
          <w:highlight w:val="lightGray"/>
        </w:rPr>
        <w:t>60 mg, 90 mg arba 120 mg</w:t>
      </w:r>
      <w:r>
        <w:rPr>
          <w:rFonts w:ascii="Times New Roman" w:eastAsia="Calibri" w:hAnsi="Times New Roman" w:cs="Times New Roman"/>
        </w:rPr>
        <w:t xml:space="preserv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w:t>
      </w:r>
    </w:p>
    <w:p w14:paraId="02F88A23" w14:textId="77777777" w:rsidR="00E021D7" w:rsidRDefault="00E021D7">
      <w:pPr>
        <w:widowControl w:val="0"/>
        <w:tabs>
          <w:tab w:val="left" w:pos="567"/>
        </w:tabs>
        <w:spacing w:after="0" w:line="240" w:lineRule="auto"/>
        <w:rPr>
          <w:rFonts w:ascii="Times New Roman" w:eastAsia="Calibri" w:hAnsi="Times New Roman" w:cs="Times New Roman"/>
        </w:rPr>
      </w:pPr>
    </w:p>
    <w:p w14:paraId="13D802B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60EDAB9B" w14:textId="77777777" w:rsidR="00E021D7" w:rsidRDefault="00E021D7">
      <w:pPr>
        <w:widowControl w:val="0"/>
        <w:tabs>
          <w:tab w:val="left" w:pos="567"/>
        </w:tabs>
        <w:spacing w:after="0" w:line="240" w:lineRule="auto"/>
        <w:rPr>
          <w:rFonts w:ascii="Times New Roman" w:eastAsia="Calibri" w:hAnsi="Times New Roman" w:cs="Times New Roman"/>
        </w:rPr>
      </w:pPr>
    </w:p>
    <w:p w14:paraId="18DD4AD4" w14:textId="77777777" w:rsidR="00E021D7" w:rsidRDefault="00E021D7">
      <w:pPr>
        <w:widowControl w:val="0"/>
        <w:tabs>
          <w:tab w:val="left" w:pos="567"/>
        </w:tabs>
        <w:spacing w:after="0" w:line="240" w:lineRule="auto"/>
        <w:rPr>
          <w:rFonts w:ascii="Times New Roman" w:eastAsia="Calibri" w:hAnsi="Times New Roman" w:cs="Times New Roman"/>
        </w:rPr>
      </w:pPr>
    </w:p>
    <w:p w14:paraId="7C8C619B"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FARMACINĖ FORMA</w:t>
      </w:r>
    </w:p>
    <w:p w14:paraId="30897929" w14:textId="77777777" w:rsidR="00E021D7" w:rsidRDefault="00E021D7">
      <w:pPr>
        <w:widowControl w:val="0"/>
        <w:tabs>
          <w:tab w:val="left" w:pos="567"/>
        </w:tabs>
        <w:spacing w:after="0" w:line="240" w:lineRule="auto"/>
        <w:jc w:val="both"/>
        <w:rPr>
          <w:rFonts w:ascii="Times New Roman" w:eastAsia="Calibri" w:hAnsi="Times New Roman" w:cs="Times New Roman"/>
        </w:rPr>
      </w:pPr>
    </w:p>
    <w:p w14:paraId="24F9EB7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Plėvele dengta tabletė (tabletė)</w:t>
      </w:r>
    </w:p>
    <w:p w14:paraId="22CC1332" w14:textId="77777777" w:rsidR="00E021D7" w:rsidRDefault="00E021D7">
      <w:pPr>
        <w:widowControl w:val="0"/>
        <w:tabs>
          <w:tab w:val="left" w:pos="567"/>
        </w:tabs>
        <w:spacing w:after="0" w:line="240" w:lineRule="auto"/>
        <w:rPr>
          <w:rFonts w:ascii="Times New Roman" w:eastAsia="Calibri" w:hAnsi="Times New Roman" w:cs="Times New Roman"/>
        </w:rPr>
      </w:pPr>
    </w:p>
    <w:p w14:paraId="0A093784"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30 mg plėvele dengtos tabletės: baltos arba beveik baltos, apvalios (skersmuo 6 mm), šiek tiek abipus išgaubtos plėvele dengtos tabletės nuožulniais kraštais.</w:t>
      </w:r>
    </w:p>
    <w:p w14:paraId="1EA367F8" w14:textId="77777777" w:rsidR="00E021D7" w:rsidRDefault="009C1A2C">
      <w:pPr>
        <w:widowControl w:val="0"/>
        <w:tabs>
          <w:tab w:val="left" w:pos="567"/>
        </w:tabs>
        <w:spacing w:after="0" w:line="240" w:lineRule="auto"/>
        <w:jc w:val="both"/>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60 mg plėvele dengtos tabletės: šiek tiek rusvai geltonos, apvalios (skersmuo 8 mm), abipus išgaubtos plėvele dengtos tabletės nuožulniais kraštais, vienoje tabletės pusėje įspausta „60“.</w:t>
      </w:r>
    </w:p>
    <w:p w14:paraId="7DD86497" w14:textId="77777777" w:rsidR="00E021D7" w:rsidRDefault="009C1A2C">
      <w:pPr>
        <w:widowControl w:val="0"/>
        <w:tabs>
          <w:tab w:val="left" w:pos="567"/>
        </w:tabs>
        <w:spacing w:after="0" w:line="240" w:lineRule="auto"/>
        <w:jc w:val="both"/>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90 mg plėvele dengtos tabletės: rausvos, apvalios (skersmuo 9 mm), abipus išgaubtos plėvele dengtos tabletės nuožulniais kraštais, vienoje tabletės pusėje įspausta „90“.</w:t>
      </w:r>
    </w:p>
    <w:p w14:paraId="7197EA57"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120 mg plėvele dengtos tabletės: rusvai raudonos, apvalios (skersmuo 10 mm), šiek tiek abipus išgaubtos plėvele dengtos tabletės su vagele vienoje pusėje. Vagelė nėra skirta tabletei perlaužti</w:t>
      </w:r>
      <w:r>
        <w:rPr>
          <w:rFonts w:ascii="Times New Roman" w:eastAsia="Calibri" w:hAnsi="Times New Roman" w:cs="Times New Roman"/>
        </w:rPr>
        <w:t>.</w:t>
      </w:r>
    </w:p>
    <w:p w14:paraId="6C06049D" w14:textId="77777777" w:rsidR="00E021D7" w:rsidRDefault="00E021D7">
      <w:pPr>
        <w:widowControl w:val="0"/>
        <w:tabs>
          <w:tab w:val="left" w:pos="567"/>
        </w:tabs>
        <w:spacing w:after="0" w:line="240" w:lineRule="auto"/>
        <w:rPr>
          <w:rFonts w:ascii="Times New Roman" w:eastAsia="Calibri" w:hAnsi="Times New Roman" w:cs="Times New Roman"/>
        </w:rPr>
      </w:pPr>
    </w:p>
    <w:p w14:paraId="3DEBE25D" w14:textId="77777777" w:rsidR="00E021D7" w:rsidRDefault="00E021D7">
      <w:pPr>
        <w:widowControl w:val="0"/>
        <w:tabs>
          <w:tab w:val="left" w:pos="567"/>
        </w:tabs>
        <w:spacing w:after="0" w:line="240" w:lineRule="auto"/>
        <w:rPr>
          <w:rFonts w:ascii="Times New Roman" w:eastAsia="Calibri" w:hAnsi="Times New Roman" w:cs="Times New Roman"/>
        </w:rPr>
      </w:pPr>
    </w:p>
    <w:p w14:paraId="1D57CFD8"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KLINIKINĖ INFORMACIJA</w:t>
      </w:r>
    </w:p>
    <w:p w14:paraId="4CCD64F0" w14:textId="77777777" w:rsidR="00E021D7" w:rsidRDefault="00E021D7">
      <w:pPr>
        <w:widowControl w:val="0"/>
        <w:tabs>
          <w:tab w:val="left" w:pos="567"/>
        </w:tabs>
        <w:spacing w:after="0" w:line="240" w:lineRule="auto"/>
        <w:rPr>
          <w:rFonts w:ascii="Times New Roman" w:eastAsia="Calibri" w:hAnsi="Times New Roman" w:cs="Times New Roman"/>
        </w:rPr>
      </w:pPr>
    </w:p>
    <w:p w14:paraId="7EA6325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4.1</w:t>
      </w:r>
      <w:r>
        <w:rPr>
          <w:rFonts w:ascii="Times New Roman" w:eastAsia="Calibri" w:hAnsi="Times New Roman" w:cs="Times New Roman"/>
          <w:b/>
        </w:rPr>
        <w:tab/>
        <w:t>Terapinės indikacijos</w:t>
      </w:r>
    </w:p>
    <w:p w14:paraId="48E6F832" w14:textId="77777777" w:rsidR="00E021D7" w:rsidRDefault="00E021D7">
      <w:pPr>
        <w:widowControl w:val="0"/>
        <w:tabs>
          <w:tab w:val="left" w:pos="567"/>
        </w:tabs>
        <w:spacing w:after="0" w:line="240" w:lineRule="auto"/>
        <w:rPr>
          <w:rFonts w:ascii="Times New Roman" w:eastAsia="Calibri" w:hAnsi="Times New Roman" w:cs="Times New Roman"/>
        </w:rPr>
      </w:pPr>
    </w:p>
    <w:p w14:paraId="5FCC6AE8"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yra skirtas suaugusiesiems ir 16 metų bei vyresniems paaugliams </w:t>
      </w:r>
      <w:proofErr w:type="spellStart"/>
      <w:r>
        <w:rPr>
          <w:rFonts w:ascii="Times New Roman" w:eastAsia="Calibri" w:hAnsi="Times New Roman" w:cs="Times New Roman"/>
        </w:rPr>
        <w:t>osteoartrito</w:t>
      </w:r>
      <w:proofErr w:type="spellEnd"/>
      <w:r>
        <w:rPr>
          <w:rFonts w:ascii="Times New Roman" w:eastAsia="Calibri" w:hAnsi="Times New Roman" w:cs="Times New Roman"/>
        </w:rPr>
        <w:t xml:space="preserve"> (OA), reumatoidinio artrito (RA), </w:t>
      </w:r>
      <w:proofErr w:type="spellStart"/>
      <w:r>
        <w:rPr>
          <w:rFonts w:ascii="Times New Roman" w:eastAsia="Calibri" w:hAnsi="Times New Roman" w:cs="Times New Roman"/>
        </w:rPr>
        <w:t>ankilozinio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spondilito</w:t>
      </w:r>
      <w:proofErr w:type="spellEnd"/>
      <w:r>
        <w:rPr>
          <w:rFonts w:ascii="Times New Roman" w:eastAsia="Calibri" w:hAnsi="Times New Roman" w:cs="Times New Roman"/>
        </w:rPr>
        <w:t xml:space="preserve"> simptominiam gydymui bei ūminio podagrinio artrito sukelto skausmo ir uždegimo požymių lengvinimui.</w:t>
      </w:r>
    </w:p>
    <w:p w14:paraId="402E30D4" w14:textId="77777777" w:rsidR="00E021D7" w:rsidRDefault="00E021D7">
      <w:pPr>
        <w:widowControl w:val="0"/>
        <w:tabs>
          <w:tab w:val="left" w:pos="567"/>
        </w:tabs>
        <w:spacing w:after="0" w:line="240" w:lineRule="auto"/>
        <w:rPr>
          <w:rFonts w:ascii="Times New Roman" w:eastAsia="Calibri" w:hAnsi="Times New Roman" w:cs="Times New Roman"/>
        </w:rPr>
      </w:pPr>
    </w:p>
    <w:p w14:paraId="47141A18"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yra skirtas suaugusiesiems ir 16 metų bei vyresniems paaugliams odontologinės operacijos sukelto vidutinio stiprumo skausmo trumpalaikiam malšinimui.</w:t>
      </w:r>
    </w:p>
    <w:p w14:paraId="6939E5D4" w14:textId="77777777" w:rsidR="00E021D7" w:rsidRDefault="00E021D7">
      <w:pPr>
        <w:widowControl w:val="0"/>
        <w:tabs>
          <w:tab w:val="left" w:pos="567"/>
        </w:tabs>
        <w:spacing w:after="0" w:line="240" w:lineRule="auto"/>
        <w:rPr>
          <w:rFonts w:ascii="Times New Roman" w:eastAsia="Calibri" w:hAnsi="Times New Roman" w:cs="Times New Roman"/>
        </w:rPr>
      </w:pPr>
    </w:p>
    <w:p w14:paraId="6D32F16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Sprendimas skirti vartoti selektyvų COX</w:t>
      </w:r>
      <w:r>
        <w:rPr>
          <w:rFonts w:ascii="Times New Roman" w:eastAsia="Calibri" w:hAnsi="Times New Roman" w:cs="Times New Roman"/>
        </w:rPr>
        <w:noBreakHyphen/>
        <w:t>2 inhibitorių turi būti paremtas konkretaus paciento bendrosios rizikos įvertinimu (žr. 4.3 ir 4.4 skyrius).</w:t>
      </w:r>
    </w:p>
    <w:p w14:paraId="56649C4B" w14:textId="77777777" w:rsidR="00E021D7" w:rsidRDefault="00E021D7">
      <w:pPr>
        <w:widowControl w:val="0"/>
        <w:tabs>
          <w:tab w:val="left" w:pos="567"/>
        </w:tabs>
        <w:spacing w:after="0" w:line="240" w:lineRule="auto"/>
        <w:rPr>
          <w:rFonts w:ascii="Times New Roman" w:eastAsia="Calibri" w:hAnsi="Times New Roman" w:cs="Times New Roman"/>
        </w:rPr>
      </w:pPr>
    </w:p>
    <w:p w14:paraId="6CCCBDFD"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4.2</w:t>
      </w:r>
      <w:r>
        <w:rPr>
          <w:rFonts w:ascii="Times New Roman" w:eastAsia="Calibri" w:hAnsi="Times New Roman" w:cs="Times New Roman"/>
          <w:b/>
        </w:rPr>
        <w:tab/>
        <w:t>Dozavimas ir vartojimo metodas</w:t>
      </w:r>
    </w:p>
    <w:p w14:paraId="05A17D76" w14:textId="77777777" w:rsidR="00E021D7" w:rsidRDefault="00E021D7">
      <w:pPr>
        <w:widowControl w:val="0"/>
        <w:tabs>
          <w:tab w:val="left" w:pos="567"/>
        </w:tabs>
        <w:spacing w:after="0" w:line="240" w:lineRule="auto"/>
        <w:rPr>
          <w:rFonts w:ascii="Times New Roman" w:eastAsia="Calibri" w:hAnsi="Times New Roman" w:cs="Times New Roman"/>
        </w:rPr>
      </w:pPr>
    </w:p>
    <w:p w14:paraId="1F56D6BC"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Dozavimas</w:t>
      </w:r>
    </w:p>
    <w:p w14:paraId="6178ACFB" w14:textId="77777777" w:rsidR="00E021D7" w:rsidRDefault="00E021D7">
      <w:pPr>
        <w:widowControl w:val="0"/>
        <w:tabs>
          <w:tab w:val="left" w:pos="567"/>
        </w:tabs>
        <w:spacing w:after="0" w:line="240" w:lineRule="auto"/>
        <w:rPr>
          <w:rFonts w:ascii="Times New Roman" w:eastAsia="Calibri" w:hAnsi="Times New Roman" w:cs="Times New Roman"/>
        </w:rPr>
      </w:pPr>
    </w:p>
    <w:p w14:paraId="6D910C5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Kadangi didėjant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dozei ir ilgėjant ekspozicijai gali didėti širdies ir kraujagyslių sistemos sutrikimų rizika, šio vaistinio preparato reikia vartoti įmanomai trumpiausią laiką ir mažiausią veiksmingą paros dozę. Būtina reguliariai įvertinti paciento, ypač sergančio </w:t>
      </w:r>
      <w:proofErr w:type="spellStart"/>
      <w:r>
        <w:rPr>
          <w:rFonts w:ascii="Times New Roman" w:eastAsia="Calibri" w:hAnsi="Times New Roman" w:cs="Times New Roman"/>
        </w:rPr>
        <w:t>osteoartritu</w:t>
      </w:r>
      <w:proofErr w:type="spellEnd"/>
      <w:r>
        <w:rPr>
          <w:rFonts w:ascii="Times New Roman" w:eastAsia="Calibri" w:hAnsi="Times New Roman" w:cs="Times New Roman"/>
        </w:rPr>
        <w:t>, poreikį simptomų lengvinimui ir organizmo atsaką į gydymą (žr. 4.3, 4.4, 4.8 ir 5.1 skyrius).</w:t>
      </w:r>
    </w:p>
    <w:p w14:paraId="70939323" w14:textId="77777777" w:rsidR="00E021D7" w:rsidRDefault="00E021D7">
      <w:pPr>
        <w:widowControl w:val="0"/>
        <w:tabs>
          <w:tab w:val="left" w:pos="567"/>
        </w:tabs>
        <w:spacing w:after="0" w:line="240" w:lineRule="auto"/>
        <w:rPr>
          <w:rFonts w:ascii="Times New Roman" w:eastAsia="Calibri" w:hAnsi="Times New Roman" w:cs="Times New Roman"/>
        </w:rPr>
      </w:pPr>
    </w:p>
    <w:p w14:paraId="688099A0"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Osteoartritas</w:t>
      </w:r>
      <w:proofErr w:type="spellEnd"/>
    </w:p>
    <w:p w14:paraId="28928F5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Rekomenduojama dozė yra 30 mg kartą per parą. Kai kuriems pacientams, kuriems simptomai lengvėja nepakankamai, dozės padidinimas iki 60 mg kartą per parą gali padidinti veiksmingumą. Jeigu gydomasis poveikis nesustiprėja, reikia apsvarstyti kitas gydymo galimybes.</w:t>
      </w:r>
    </w:p>
    <w:p w14:paraId="19915B31" w14:textId="77777777" w:rsidR="00E021D7" w:rsidRDefault="00E021D7">
      <w:pPr>
        <w:widowControl w:val="0"/>
        <w:tabs>
          <w:tab w:val="left" w:pos="567"/>
        </w:tabs>
        <w:spacing w:after="0" w:line="240" w:lineRule="auto"/>
        <w:rPr>
          <w:rFonts w:ascii="Times New Roman" w:eastAsia="Calibri" w:hAnsi="Times New Roman" w:cs="Times New Roman"/>
        </w:rPr>
      </w:pPr>
    </w:p>
    <w:p w14:paraId="786419D3" w14:textId="77777777" w:rsidR="00E021D7" w:rsidRDefault="009C1A2C">
      <w:pPr>
        <w:widowControl w:val="0"/>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i/>
        </w:rPr>
        <w:lastRenderedPageBreak/>
        <w:t>Reumatoidinis artritas</w:t>
      </w:r>
    </w:p>
    <w:p w14:paraId="333FA83E" w14:textId="77777777" w:rsidR="00E021D7" w:rsidRDefault="009C1A2C">
      <w:pPr>
        <w:widowControl w:val="0"/>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Rekomenduojama dozė yra 60 mg kartą per parą. Kai kuriems pacientams, kuriems simptomai lengvėja nepakankamai, dozės padidinimas iki 90 mg kartą per parą gali padidinti veiksmingumą. Kai paciento klinikinė būklė stabilizuojama, dozę gali būti naudinga sumažinti iki 60 mg kartą per parą. Jeigu gydomasis poveikis nesustiprėja, reikia apsvarstyti kitas gydymo galimybes.</w:t>
      </w:r>
    </w:p>
    <w:p w14:paraId="2C261E47" w14:textId="77777777" w:rsidR="00E021D7" w:rsidRDefault="00E021D7">
      <w:pPr>
        <w:widowControl w:val="0"/>
        <w:tabs>
          <w:tab w:val="left" w:pos="567"/>
        </w:tabs>
        <w:spacing w:after="0" w:line="240" w:lineRule="auto"/>
        <w:jc w:val="both"/>
        <w:rPr>
          <w:rFonts w:ascii="Times New Roman" w:eastAsia="Calibri" w:hAnsi="Times New Roman" w:cs="Times New Roman"/>
        </w:rPr>
      </w:pPr>
    </w:p>
    <w:p w14:paraId="4D6455C5"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Ankilozinis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spondilitas</w:t>
      </w:r>
      <w:proofErr w:type="spellEnd"/>
    </w:p>
    <w:p w14:paraId="1D3B4773" w14:textId="77777777" w:rsidR="00E021D7" w:rsidRDefault="009C1A2C">
      <w:pPr>
        <w:widowControl w:val="0"/>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Rekomenduojama dozė yra 60 mg kartą per parą. Kai kuriems pacientams, kuriems simptomai lengvėja nepakankamai, dozės padidinimas iki 90 mg kartą per parą gali padidinti veiksmingumą. Kai paciento klinikinė būklė stabilizuojama, dozę gali būti naudinga sumažinti iki 60 mg kartą per parą. Jeigu gydomasis poveikis nesustiprėja, reikia apsvarstyti kitas gydymo galimybes.</w:t>
      </w:r>
    </w:p>
    <w:p w14:paraId="0630DB4D" w14:textId="77777777" w:rsidR="00E021D7" w:rsidRDefault="00E021D7">
      <w:pPr>
        <w:widowControl w:val="0"/>
        <w:tabs>
          <w:tab w:val="left" w:pos="567"/>
        </w:tabs>
        <w:spacing w:after="0" w:line="240" w:lineRule="auto"/>
        <w:rPr>
          <w:rFonts w:ascii="Times New Roman" w:eastAsia="Calibri" w:hAnsi="Times New Roman" w:cs="Times New Roman"/>
        </w:rPr>
      </w:pPr>
    </w:p>
    <w:p w14:paraId="1B59C841"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Ūminio skausmo malšinimas</w:t>
      </w:r>
    </w:p>
    <w:p w14:paraId="5E6430B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Esant ūminiam skausmui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turi būti vartojama tik ūminių simptomų laikotarpiu.</w:t>
      </w:r>
    </w:p>
    <w:p w14:paraId="44ACD04A" w14:textId="77777777" w:rsidR="00E021D7" w:rsidRDefault="00E021D7">
      <w:pPr>
        <w:widowControl w:val="0"/>
        <w:tabs>
          <w:tab w:val="left" w:pos="567"/>
        </w:tabs>
        <w:spacing w:after="0" w:line="240" w:lineRule="auto"/>
        <w:rPr>
          <w:rFonts w:ascii="Times New Roman" w:eastAsia="Calibri" w:hAnsi="Times New Roman" w:cs="Times New Roman"/>
          <w:i/>
        </w:rPr>
      </w:pPr>
    </w:p>
    <w:p w14:paraId="34BF867E" w14:textId="77777777" w:rsidR="00E021D7" w:rsidRDefault="009C1A2C">
      <w:pPr>
        <w:widowControl w:val="0"/>
        <w:numPr>
          <w:ilvl w:val="0"/>
          <w:numId w:val="1"/>
        </w:numPr>
        <w:spacing w:after="0" w:line="240" w:lineRule="auto"/>
        <w:ind w:left="567" w:hanging="567"/>
        <w:rPr>
          <w:rFonts w:ascii="Times New Roman" w:eastAsia="Calibri" w:hAnsi="Times New Roman" w:cs="Times New Roman"/>
        </w:rPr>
      </w:pPr>
      <w:r>
        <w:rPr>
          <w:rFonts w:ascii="Times New Roman" w:eastAsia="Calibri" w:hAnsi="Times New Roman" w:cs="Times New Roman"/>
          <w:i/>
        </w:rPr>
        <w:t>Ūminis podagrinis artritas</w:t>
      </w:r>
    </w:p>
    <w:p w14:paraId="329760EC" w14:textId="77777777" w:rsidR="00E021D7" w:rsidRDefault="009C1A2C">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 xml:space="preserve">Rekomenduojama dozė yra 120 mg kartą per parą. Ūminio podagrinio artrito klinikinių tyrimų metu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buvo vartojama 8 dienas.</w:t>
      </w:r>
    </w:p>
    <w:p w14:paraId="746E0CB5" w14:textId="77777777" w:rsidR="00E021D7" w:rsidRDefault="00E021D7">
      <w:pPr>
        <w:widowControl w:val="0"/>
        <w:spacing w:after="0" w:line="240" w:lineRule="auto"/>
        <w:ind w:left="567" w:hanging="567"/>
        <w:rPr>
          <w:rFonts w:ascii="Times New Roman" w:eastAsia="Calibri" w:hAnsi="Times New Roman" w:cs="Times New Roman"/>
        </w:rPr>
      </w:pPr>
    </w:p>
    <w:p w14:paraId="3CEA66D4" w14:textId="77777777" w:rsidR="00E021D7" w:rsidRDefault="009C1A2C">
      <w:pPr>
        <w:widowControl w:val="0"/>
        <w:numPr>
          <w:ilvl w:val="0"/>
          <w:numId w:val="1"/>
        </w:numPr>
        <w:spacing w:after="0" w:line="240" w:lineRule="auto"/>
        <w:ind w:left="567" w:hanging="567"/>
        <w:rPr>
          <w:rFonts w:ascii="Times New Roman" w:eastAsia="Calibri" w:hAnsi="Times New Roman" w:cs="Times New Roman"/>
          <w:i/>
        </w:rPr>
      </w:pPr>
      <w:r>
        <w:rPr>
          <w:rFonts w:ascii="Times New Roman" w:eastAsia="Calibri" w:hAnsi="Times New Roman" w:cs="Times New Roman"/>
          <w:i/>
        </w:rPr>
        <w:t>Skausmas po odontologinės operacijos</w:t>
      </w:r>
    </w:p>
    <w:p w14:paraId="07779C39" w14:textId="77777777" w:rsidR="00E021D7" w:rsidRDefault="009C1A2C">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 xml:space="preserve">Rekomenduojama dozė yra 90 mg kartą per parą, ji vartojama ne ilgiau kaip 3 dienas. Šias tris paras vartojant </w:t>
      </w:r>
      <w:proofErr w:type="spellStart"/>
      <w:r>
        <w:rPr>
          <w:rFonts w:ascii="Times New Roman" w:eastAsia="Calibri" w:hAnsi="Times New Roman" w:cs="Times New Roman"/>
        </w:rPr>
        <w:t>Bericox</w:t>
      </w:r>
      <w:proofErr w:type="spellEnd"/>
      <w:r>
        <w:rPr>
          <w:rFonts w:ascii="Times New Roman" w:eastAsia="Calibri" w:hAnsi="Times New Roman" w:cs="Times New Roman"/>
        </w:rPr>
        <w:t>, kai kuriems pacientams po operacijos gali prireikti papildomo nuskausminimo.</w:t>
      </w:r>
    </w:p>
    <w:p w14:paraId="12B0FBF2" w14:textId="77777777" w:rsidR="00E021D7" w:rsidRDefault="00E021D7">
      <w:pPr>
        <w:widowControl w:val="0"/>
        <w:tabs>
          <w:tab w:val="left" w:pos="567"/>
        </w:tabs>
        <w:spacing w:after="0" w:line="240" w:lineRule="auto"/>
        <w:rPr>
          <w:rFonts w:ascii="Times New Roman" w:eastAsia="Calibri" w:hAnsi="Times New Roman" w:cs="Times New Roman"/>
        </w:rPr>
      </w:pPr>
    </w:p>
    <w:p w14:paraId="2ABE201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Didesnės negu rekomenduojamosios kiekvienai indikacijai dozės arba neparodė papildomo veiksmingumo, arba nebuvo tirtos. Todėl:</w:t>
      </w:r>
    </w:p>
    <w:p w14:paraId="5AE226D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 OA negali viršyti 60 mg dozės per parą.</w:t>
      </w:r>
    </w:p>
    <w:p w14:paraId="30F9C69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Dozė RA ir </w:t>
      </w:r>
      <w:proofErr w:type="spellStart"/>
      <w:r>
        <w:rPr>
          <w:rFonts w:ascii="Times New Roman" w:eastAsia="Calibri" w:hAnsi="Times New Roman" w:cs="Times New Roman"/>
        </w:rPr>
        <w:t>ankiloziniam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spondilitui</w:t>
      </w:r>
      <w:proofErr w:type="spellEnd"/>
      <w:r>
        <w:rPr>
          <w:rFonts w:ascii="Times New Roman" w:eastAsia="Calibri" w:hAnsi="Times New Roman" w:cs="Times New Roman"/>
        </w:rPr>
        <w:t xml:space="preserve"> negali viršyti 90 mg per parą.</w:t>
      </w:r>
    </w:p>
    <w:p w14:paraId="7943CA8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 ūminei podagrai negali viršyti 120 mg per parą ir turi būti vartojama ne ilgiau kaip 8 dienas.</w:t>
      </w:r>
    </w:p>
    <w:p w14:paraId="38BD375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 ūminiam skausmui po odontologinės operacijos malšinti negali viršyti 90 mg per parą ir turi būti vartojama ne ilgiau kaip 3 dienas.</w:t>
      </w:r>
    </w:p>
    <w:p w14:paraId="4E00FB84" w14:textId="77777777" w:rsidR="00E021D7" w:rsidRDefault="00E021D7">
      <w:pPr>
        <w:widowControl w:val="0"/>
        <w:tabs>
          <w:tab w:val="left" w:pos="567"/>
        </w:tabs>
        <w:spacing w:after="0" w:line="240" w:lineRule="auto"/>
        <w:rPr>
          <w:rFonts w:ascii="Times New Roman" w:eastAsia="Calibri" w:hAnsi="Times New Roman" w:cs="Times New Roman"/>
        </w:rPr>
      </w:pPr>
    </w:p>
    <w:p w14:paraId="16BDDAE9"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Ypatingos populiacijos</w:t>
      </w:r>
    </w:p>
    <w:p w14:paraId="0C83DBF6" w14:textId="77777777" w:rsidR="00E021D7" w:rsidRDefault="00E021D7">
      <w:pPr>
        <w:widowControl w:val="0"/>
        <w:tabs>
          <w:tab w:val="left" w:pos="567"/>
        </w:tabs>
        <w:spacing w:after="0" w:line="240" w:lineRule="auto"/>
        <w:rPr>
          <w:rFonts w:ascii="Times New Roman" w:eastAsia="Calibri" w:hAnsi="Times New Roman" w:cs="Times New Roman"/>
        </w:rPr>
      </w:pPr>
    </w:p>
    <w:p w14:paraId="399A3280"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Senyviems pacientams</w:t>
      </w:r>
    </w:p>
    <w:p w14:paraId="6B9032F0"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rPr>
        <w:t>Senyviems pacientams dozės koreguoti nereikia. Kaip ir vartojant kitokių vaistinių preparatų, gydant senyvus pacientus reikia imtis atsargumo priemonių (žr. 4.4 skyrių).</w:t>
      </w:r>
    </w:p>
    <w:p w14:paraId="15FF043F" w14:textId="77777777" w:rsidR="00E021D7" w:rsidRDefault="00E021D7">
      <w:pPr>
        <w:widowControl w:val="0"/>
        <w:tabs>
          <w:tab w:val="left" w:pos="567"/>
        </w:tabs>
        <w:spacing w:after="0" w:line="240" w:lineRule="auto"/>
        <w:rPr>
          <w:rFonts w:ascii="Times New Roman" w:eastAsia="Calibri" w:hAnsi="Times New Roman" w:cs="Times New Roman"/>
        </w:rPr>
      </w:pPr>
    </w:p>
    <w:p w14:paraId="73529D7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Pacientams, kurių kepenų funkcija sutrikusi</w:t>
      </w:r>
    </w:p>
    <w:p w14:paraId="436F70A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Pacientams, kuriems yra lengvas kepenų funkcijos sutrikimas (5</w:t>
      </w:r>
      <w:r>
        <w:rPr>
          <w:rFonts w:ascii="Times New Roman" w:eastAsia="Calibri" w:hAnsi="Times New Roman" w:cs="Times New Roman"/>
        </w:rPr>
        <w:noBreakHyphen/>
        <w:t xml:space="preserve">6 balai pagal </w:t>
      </w:r>
      <w:proofErr w:type="spellStart"/>
      <w:r>
        <w:rPr>
          <w:rFonts w:ascii="Times New Roman" w:eastAsia="Calibri" w:hAnsi="Times New Roman" w:cs="Times New Roman"/>
          <w:i/>
        </w:rPr>
        <w:t>Child-Pugh</w:t>
      </w:r>
      <w:proofErr w:type="spellEnd"/>
      <w:r>
        <w:rPr>
          <w:rFonts w:ascii="Times New Roman" w:eastAsia="Calibri" w:hAnsi="Times New Roman" w:cs="Times New Roman"/>
        </w:rPr>
        <w:t>), nepaisant indikacijos, negalima vartoti daugiau negu 60 mg kartą per parą. Pacientams, kuriems yra vidutinio sunkumo kepenų funkcijos sutrikimas (7</w:t>
      </w:r>
      <w:r>
        <w:rPr>
          <w:rFonts w:ascii="Times New Roman" w:eastAsia="Calibri" w:hAnsi="Times New Roman" w:cs="Times New Roman"/>
        </w:rPr>
        <w:noBreakHyphen/>
        <w:t xml:space="preserve">9 balai pagal </w:t>
      </w:r>
      <w:proofErr w:type="spellStart"/>
      <w:r>
        <w:rPr>
          <w:rFonts w:ascii="Times New Roman" w:eastAsia="Calibri" w:hAnsi="Times New Roman" w:cs="Times New Roman"/>
          <w:i/>
        </w:rPr>
        <w:t>Child</w:t>
      </w:r>
      <w:r>
        <w:rPr>
          <w:rFonts w:ascii="Times New Roman" w:eastAsia="Calibri" w:hAnsi="Times New Roman" w:cs="Times New Roman"/>
          <w:i/>
        </w:rPr>
        <w:noBreakHyphen/>
        <w:t>Pugh</w:t>
      </w:r>
      <w:proofErr w:type="spellEnd"/>
      <w:r>
        <w:rPr>
          <w:rFonts w:ascii="Times New Roman" w:eastAsia="Calibri" w:hAnsi="Times New Roman" w:cs="Times New Roman"/>
        </w:rPr>
        <w:t>), nepaisant indikacijos, negalima vartoti daugiau negu 30 mg kartą per parą.</w:t>
      </w:r>
    </w:p>
    <w:p w14:paraId="2541F79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Klinikinės patirties gydant pacientus, kuriems yra vidutinio sunkumo kepenų funkcijos sutrikimas, yra nedaug, todėl patariama būti atsargiems. Klinikinės patirties gydant pacientus, kuriems yra sunkus kepenų funkcijos sutrikimas (≥ 10 balų pagal </w:t>
      </w:r>
      <w:proofErr w:type="spellStart"/>
      <w:r>
        <w:rPr>
          <w:rFonts w:ascii="Times New Roman" w:eastAsia="Calibri" w:hAnsi="Times New Roman" w:cs="Times New Roman"/>
          <w:i/>
        </w:rPr>
        <w:t>Child</w:t>
      </w:r>
      <w:r>
        <w:rPr>
          <w:rFonts w:ascii="Times New Roman" w:eastAsia="Calibri" w:hAnsi="Times New Roman" w:cs="Times New Roman"/>
          <w:i/>
        </w:rPr>
        <w:noBreakHyphen/>
        <w:t>Pugh</w:t>
      </w:r>
      <w:proofErr w:type="spellEnd"/>
      <w:r>
        <w:rPr>
          <w:rFonts w:ascii="Times New Roman" w:eastAsia="Calibri" w:hAnsi="Times New Roman" w:cs="Times New Roman"/>
        </w:rPr>
        <w:t xml:space="preserve">), nėra, todėl tokiems pacientams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vartoti negalima (žr. 4.3, 4.4 ir 5.2 skyrius).</w:t>
      </w:r>
    </w:p>
    <w:p w14:paraId="6EC4EAF2" w14:textId="77777777" w:rsidR="00E021D7" w:rsidRDefault="00E021D7">
      <w:pPr>
        <w:widowControl w:val="0"/>
        <w:tabs>
          <w:tab w:val="left" w:pos="567"/>
        </w:tabs>
        <w:spacing w:after="0" w:line="240" w:lineRule="auto"/>
        <w:rPr>
          <w:rFonts w:ascii="Times New Roman" w:eastAsia="Calibri" w:hAnsi="Times New Roman" w:cs="Times New Roman"/>
        </w:rPr>
      </w:pPr>
    </w:p>
    <w:p w14:paraId="1376268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Pacientams, kurių inkstų funkcija sutrikusi</w:t>
      </w:r>
    </w:p>
    <w:p w14:paraId="36AFB53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Pacientams, kurių kreatinino klirensas </w:t>
      </w:r>
      <w:r>
        <w:rPr>
          <w:rFonts w:ascii="Times New Roman" w:eastAsia="Calibri" w:hAnsi="Times New Roman" w:cs="Times New Roman"/>
        </w:rPr>
        <w:sym w:font="Symbol" w:char="F0B3"/>
      </w:r>
      <w:r>
        <w:rPr>
          <w:rFonts w:ascii="Times New Roman" w:eastAsia="Calibri" w:hAnsi="Times New Roman" w:cs="Times New Roman"/>
        </w:rPr>
        <w:t xml:space="preserve"> 30 ml/min, dozės koreguoti nereikia (žr. 5.2 skyrių). Pacientams, kurių kreatinino klirensas &lt; 30 ml/min,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vartoti negalima (žr. 4.3 ir 4.4 skyrius).</w:t>
      </w:r>
    </w:p>
    <w:p w14:paraId="0DC81271" w14:textId="77777777" w:rsidR="00E021D7" w:rsidRDefault="00E021D7">
      <w:pPr>
        <w:widowControl w:val="0"/>
        <w:tabs>
          <w:tab w:val="left" w:pos="567"/>
        </w:tabs>
        <w:spacing w:after="0" w:line="240" w:lineRule="auto"/>
        <w:rPr>
          <w:rFonts w:ascii="Times New Roman" w:eastAsia="Calibri" w:hAnsi="Times New Roman" w:cs="Times New Roman"/>
        </w:rPr>
      </w:pPr>
    </w:p>
    <w:p w14:paraId="4F783E8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Vaikų populiacija</w:t>
      </w:r>
    </w:p>
    <w:p w14:paraId="5302E9AD"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negalima vartoti vaikams ir jaunesniems nei 16 metų paaugliams (žr. 4.3 skyrių).</w:t>
      </w:r>
    </w:p>
    <w:p w14:paraId="31CB73A1" w14:textId="77777777" w:rsidR="00E021D7" w:rsidRDefault="00E021D7">
      <w:pPr>
        <w:widowControl w:val="0"/>
        <w:tabs>
          <w:tab w:val="left" w:pos="567"/>
        </w:tabs>
        <w:spacing w:after="0" w:line="240" w:lineRule="auto"/>
        <w:rPr>
          <w:rFonts w:ascii="Times New Roman" w:eastAsia="Calibri" w:hAnsi="Times New Roman" w:cs="Times New Roman"/>
        </w:rPr>
      </w:pPr>
    </w:p>
    <w:p w14:paraId="651FC2E6"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0E84E27A"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lastRenderedPageBreak/>
        <w:t>Bericox</w:t>
      </w:r>
      <w:proofErr w:type="spellEnd"/>
      <w:r>
        <w:rPr>
          <w:rFonts w:ascii="Times New Roman" w:eastAsia="Calibri" w:hAnsi="Times New Roman" w:cs="Times New Roman"/>
        </w:rPr>
        <w:t xml:space="preserve"> yra skirtas vartoti per burną, jį galima vartoti valgio metu arba nevalgius.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vartojant nevalgius, vaistinio preparato veikimas gali prasidėti greičiau. Į tai reikia atsižvelgti, kai reikalingas greitas simptomų palengvinimas.</w:t>
      </w:r>
    </w:p>
    <w:p w14:paraId="1AF10B89" w14:textId="77777777" w:rsidR="00E021D7" w:rsidRDefault="00E021D7">
      <w:pPr>
        <w:widowControl w:val="0"/>
        <w:tabs>
          <w:tab w:val="left" w:pos="567"/>
        </w:tabs>
        <w:spacing w:after="0" w:line="240" w:lineRule="auto"/>
        <w:rPr>
          <w:rFonts w:ascii="Times New Roman" w:eastAsia="Calibri" w:hAnsi="Times New Roman" w:cs="Times New Roman"/>
        </w:rPr>
      </w:pPr>
    </w:p>
    <w:p w14:paraId="2C543680"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4.3</w:t>
      </w:r>
      <w:r>
        <w:rPr>
          <w:rFonts w:ascii="Times New Roman" w:eastAsia="Calibri" w:hAnsi="Times New Roman" w:cs="Times New Roman"/>
          <w:b/>
        </w:rPr>
        <w:tab/>
        <w:t>Kontraindikacijos</w:t>
      </w:r>
    </w:p>
    <w:p w14:paraId="35BB9B07" w14:textId="77777777" w:rsidR="00E021D7" w:rsidRDefault="00E021D7">
      <w:pPr>
        <w:widowControl w:val="0"/>
        <w:tabs>
          <w:tab w:val="left" w:pos="567"/>
        </w:tabs>
        <w:spacing w:after="0" w:line="240" w:lineRule="auto"/>
        <w:rPr>
          <w:rFonts w:ascii="Times New Roman" w:eastAsia="Calibri" w:hAnsi="Times New Roman" w:cs="Times New Roman"/>
        </w:rPr>
      </w:pPr>
    </w:p>
    <w:p w14:paraId="79371CCD"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jautrumas veikliajai arba bet kuriai 6.1 skyriuje nurodytai pagalbinei medžiagai.</w:t>
      </w:r>
    </w:p>
    <w:p w14:paraId="5258ECB1"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Aktyvi </w:t>
      </w:r>
      <w:proofErr w:type="spellStart"/>
      <w:r>
        <w:rPr>
          <w:rFonts w:ascii="Times New Roman" w:eastAsia="Calibri" w:hAnsi="Times New Roman" w:cs="Times New Roman"/>
        </w:rPr>
        <w:t>pepsinė</w:t>
      </w:r>
      <w:proofErr w:type="spellEnd"/>
      <w:r>
        <w:rPr>
          <w:rFonts w:ascii="Times New Roman" w:eastAsia="Calibri" w:hAnsi="Times New Roman" w:cs="Times New Roman"/>
        </w:rPr>
        <w:t xml:space="preserve"> opa arba aktyvus kraujavimas iš virškinimo trakto (VT).</w:t>
      </w:r>
    </w:p>
    <w:p w14:paraId="387D24D5"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Pacientai, kuriems buvo bronchų spazmas, ūminis rinitas, nosies polipų,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dilgėlinė arba alerginio tipo reakcijų, pasireiškusių pavartojus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arba NVNU, įskaitant ir COX-2 (ciklooksigenazės-2) inhibitorius.</w:t>
      </w:r>
    </w:p>
    <w:p w14:paraId="33FAD3C0"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Nėštumo ir žindymo laikotarpis (žr. 4.6 ir 5.3 skyrius).</w:t>
      </w:r>
    </w:p>
    <w:p w14:paraId="389A3475"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Sunkus kepenų funkcijos sutrikimas (</w:t>
      </w:r>
      <w:proofErr w:type="spellStart"/>
      <w:r>
        <w:rPr>
          <w:rFonts w:ascii="Times New Roman" w:eastAsia="Calibri" w:hAnsi="Times New Roman" w:cs="Times New Roman"/>
        </w:rPr>
        <w:t>albumino</w:t>
      </w:r>
      <w:proofErr w:type="spellEnd"/>
      <w:r>
        <w:rPr>
          <w:rFonts w:ascii="Times New Roman" w:eastAsia="Calibri" w:hAnsi="Times New Roman" w:cs="Times New Roman"/>
        </w:rPr>
        <w:t xml:space="preserve"> koncentracija serume &lt; 25 g/l arba ≥ 10 balų pagal </w:t>
      </w:r>
      <w:proofErr w:type="spellStart"/>
      <w:r>
        <w:rPr>
          <w:rFonts w:ascii="Times New Roman" w:eastAsia="Calibri" w:hAnsi="Times New Roman" w:cs="Times New Roman"/>
          <w:i/>
        </w:rPr>
        <w:t>Child-Pugh</w:t>
      </w:r>
      <w:proofErr w:type="spellEnd"/>
      <w:r>
        <w:rPr>
          <w:rFonts w:ascii="Times New Roman" w:eastAsia="Calibri" w:hAnsi="Times New Roman" w:cs="Times New Roman"/>
        </w:rPr>
        <w:t>).</w:t>
      </w:r>
    </w:p>
    <w:p w14:paraId="0EDB3FD4"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Apskaičiuotasis inkstų kreatinino klirensas &lt; 30 ml/min.</w:t>
      </w:r>
    </w:p>
    <w:p w14:paraId="0C2C5AE5"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Vaikai ir paaugliai iki 16 metų.</w:t>
      </w:r>
    </w:p>
    <w:p w14:paraId="1CA7C37B"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Uždegiminė žarnų liga.</w:t>
      </w:r>
    </w:p>
    <w:p w14:paraId="6B0319AD"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Stazinis</w:t>
      </w:r>
      <w:proofErr w:type="spellEnd"/>
      <w:r>
        <w:rPr>
          <w:rFonts w:ascii="Times New Roman" w:eastAsia="Calibri" w:hAnsi="Times New Roman" w:cs="Times New Roman"/>
        </w:rPr>
        <w:t xml:space="preserve"> širdies nepakankamumas (II-IV klasės pagal NYHA).</w:t>
      </w:r>
    </w:p>
    <w:p w14:paraId="70FCF370"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Arterine hipertenzija sergantys pacientai, kuriems kraujospūdis yra nuolat didesnis negu 140/90 mm </w:t>
      </w:r>
      <w:proofErr w:type="spellStart"/>
      <w:r>
        <w:rPr>
          <w:rFonts w:ascii="Times New Roman" w:eastAsia="Calibri" w:hAnsi="Times New Roman" w:cs="Times New Roman"/>
        </w:rPr>
        <w:t>Hg</w:t>
      </w:r>
      <w:proofErr w:type="spellEnd"/>
      <w:r>
        <w:rPr>
          <w:rFonts w:ascii="Times New Roman" w:eastAsia="Calibri" w:hAnsi="Times New Roman" w:cs="Times New Roman"/>
        </w:rPr>
        <w:t xml:space="preserve"> ir nėra pakankamai kontroliuojamas.</w:t>
      </w:r>
    </w:p>
    <w:p w14:paraId="3313F79D" w14:textId="77777777" w:rsidR="00E021D7" w:rsidRDefault="009C1A2C">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Nustatyta išeminė širdies liga, periferinių arterijų liga ir (arba) smegenų kraujagyslių liga.</w:t>
      </w:r>
    </w:p>
    <w:p w14:paraId="200F197B" w14:textId="77777777" w:rsidR="00E021D7" w:rsidRDefault="00E021D7">
      <w:pPr>
        <w:widowControl w:val="0"/>
        <w:tabs>
          <w:tab w:val="left" w:pos="567"/>
        </w:tabs>
        <w:spacing w:after="0" w:line="240" w:lineRule="auto"/>
        <w:rPr>
          <w:rFonts w:ascii="Times New Roman" w:eastAsia="Calibri" w:hAnsi="Times New Roman" w:cs="Times New Roman"/>
        </w:rPr>
      </w:pPr>
    </w:p>
    <w:p w14:paraId="7E51362F"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4.4</w:t>
      </w:r>
      <w:r>
        <w:rPr>
          <w:rFonts w:ascii="Times New Roman" w:eastAsia="Calibri" w:hAnsi="Times New Roman" w:cs="Times New Roman"/>
          <w:b/>
        </w:rPr>
        <w:tab/>
        <w:t>Specialūs įspėjimai ir atsargumo priemonės</w:t>
      </w:r>
    </w:p>
    <w:p w14:paraId="0C989340" w14:textId="77777777" w:rsidR="00E021D7" w:rsidRDefault="00E021D7">
      <w:pPr>
        <w:widowControl w:val="0"/>
        <w:tabs>
          <w:tab w:val="left" w:pos="567"/>
        </w:tabs>
        <w:spacing w:after="0" w:line="240" w:lineRule="auto"/>
        <w:rPr>
          <w:rFonts w:ascii="Times New Roman" w:eastAsia="Calibri" w:hAnsi="Times New Roman" w:cs="Times New Roman"/>
        </w:rPr>
      </w:pPr>
    </w:p>
    <w:p w14:paraId="5455C090" w14:textId="77777777" w:rsidR="00E021D7" w:rsidRDefault="009C1A2C">
      <w:pPr>
        <w:widowControl w:val="0"/>
        <w:tabs>
          <w:tab w:val="left" w:pos="567"/>
        </w:tabs>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t>Poveikis virškinimo traktui</w:t>
      </w:r>
    </w:p>
    <w:p w14:paraId="78C924A2" w14:textId="77777777" w:rsidR="00E021D7" w:rsidRDefault="00E021D7">
      <w:pPr>
        <w:widowControl w:val="0"/>
        <w:tabs>
          <w:tab w:val="left" w:pos="567"/>
        </w:tabs>
        <w:spacing w:after="0" w:line="240" w:lineRule="auto"/>
        <w:outlineLvl w:val="0"/>
        <w:rPr>
          <w:rFonts w:ascii="Times New Roman" w:eastAsia="Calibri" w:hAnsi="Times New Roman" w:cs="Times New Roman"/>
          <w:u w:val="single"/>
        </w:rPr>
      </w:pPr>
    </w:p>
    <w:p w14:paraId="578F5043"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gydytiems pacientams pasireiškė viršutinio virškinimo trakto komplikacijų (perforacijų, opų arba kraujavimų (POK)), kai kurios iš jų baigėsi mirtimi.</w:t>
      </w:r>
    </w:p>
    <w:p w14:paraId="30070C75" w14:textId="77777777" w:rsidR="00E021D7" w:rsidRDefault="00E021D7">
      <w:pPr>
        <w:widowControl w:val="0"/>
        <w:tabs>
          <w:tab w:val="left" w:pos="567"/>
        </w:tabs>
        <w:spacing w:after="0" w:line="240" w:lineRule="auto"/>
        <w:rPr>
          <w:rFonts w:ascii="Times New Roman" w:eastAsia="Calibri" w:hAnsi="Times New Roman" w:cs="Times New Roman"/>
        </w:rPr>
      </w:pPr>
    </w:p>
    <w:p w14:paraId="1975B07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Atsargumas patartinas gydant pacientus, kuriems yra didžiausia su NVNU vartojimu susijusių virškinimo trakto komplikacijų rizika, t. y. senyvus žmones, pacientus, kurie kartu vartoja bet kokio kito NVNU arba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arba pacientus, kuriems yra buvusi virškinimo trakto liga, tokia, kaip išopėjimas arba VT kraujavimas.</w:t>
      </w:r>
    </w:p>
    <w:p w14:paraId="53003F91" w14:textId="77777777" w:rsidR="00E021D7" w:rsidRDefault="00E021D7">
      <w:pPr>
        <w:widowControl w:val="0"/>
        <w:tabs>
          <w:tab w:val="left" w:pos="567"/>
        </w:tabs>
        <w:spacing w:after="0" w:line="240" w:lineRule="auto"/>
        <w:rPr>
          <w:rFonts w:ascii="Times New Roman" w:eastAsia="Calibri" w:hAnsi="Times New Roman" w:cs="Times New Roman"/>
        </w:rPr>
      </w:pPr>
    </w:p>
    <w:p w14:paraId="4B937232"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 kartu su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rūgštimi (net mažomis dozėmis), nepageidaujamo poveikio virškinimo traktui (virškinimo trakto opų arba kitokių virškinimo trakto komplikacijų) rizika dar labiau padidėja. Saugumas VT reikšmingai nesiskyrė, kai ilgalaikiuose klinikiniuose tyrimuose buvo vartojama selektyvių COX-2 inhibitorių kartu su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rūgštimi, palyginus su NVNU vartojimu kartu su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rūgštimi (žr. 5.1 skyrių).</w:t>
      </w:r>
    </w:p>
    <w:p w14:paraId="7290BDCE" w14:textId="77777777" w:rsidR="00E021D7" w:rsidRDefault="00E021D7">
      <w:pPr>
        <w:widowControl w:val="0"/>
        <w:tabs>
          <w:tab w:val="left" w:pos="567"/>
        </w:tabs>
        <w:spacing w:after="0" w:line="240" w:lineRule="auto"/>
        <w:rPr>
          <w:rFonts w:ascii="Times New Roman" w:eastAsia="Calibri" w:hAnsi="Times New Roman" w:cs="Times New Roman"/>
        </w:rPr>
      </w:pPr>
    </w:p>
    <w:p w14:paraId="35CE7947" w14:textId="77777777" w:rsidR="00E021D7" w:rsidRDefault="009C1A2C">
      <w:pPr>
        <w:widowControl w:val="0"/>
        <w:tabs>
          <w:tab w:val="left" w:pos="567"/>
        </w:tabs>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t>Poveikis širdies ir kraujagyslių sistemai</w:t>
      </w:r>
    </w:p>
    <w:p w14:paraId="4D0F72EE" w14:textId="77777777" w:rsidR="00E021D7" w:rsidRDefault="00E021D7">
      <w:pPr>
        <w:widowControl w:val="0"/>
        <w:tabs>
          <w:tab w:val="left" w:pos="567"/>
        </w:tabs>
        <w:spacing w:after="0" w:line="240" w:lineRule="auto"/>
        <w:outlineLvl w:val="0"/>
        <w:rPr>
          <w:rFonts w:ascii="Times New Roman" w:eastAsia="Calibri" w:hAnsi="Times New Roman" w:cs="Times New Roman"/>
          <w:u w:val="single"/>
        </w:rPr>
      </w:pPr>
    </w:p>
    <w:p w14:paraId="64B9020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Klinikiniai tyrimai rodo, kad selektyvių COX-2 inhibitorių klasė gali būti susijusi su </w:t>
      </w:r>
      <w:proofErr w:type="spellStart"/>
      <w:r>
        <w:rPr>
          <w:rFonts w:ascii="Times New Roman" w:eastAsia="Calibri" w:hAnsi="Times New Roman" w:cs="Times New Roman"/>
        </w:rPr>
        <w:t>trombozinių</w:t>
      </w:r>
      <w:proofErr w:type="spellEnd"/>
      <w:r>
        <w:rPr>
          <w:rFonts w:ascii="Times New Roman" w:eastAsia="Calibri" w:hAnsi="Times New Roman" w:cs="Times New Roman"/>
        </w:rPr>
        <w:t xml:space="preserve"> reiškinių (ypač miokardo infarkto (MI) ir insulto) rizika, palyginti su placebu ir kai kuriais NVNU. Kadangi didinant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 ir ekspozicijos trukmę gali padidėti širdies ir kraujagyslių sutrikimų rizika, gydymas turi būti kiek įmanoma trumpesnis ir turi būti vartojama mažiausia veiksminga paros dozė. Būtina reguliariai įvertinti paciento, ypač sergančio </w:t>
      </w:r>
      <w:proofErr w:type="spellStart"/>
      <w:r>
        <w:rPr>
          <w:rFonts w:ascii="Times New Roman" w:eastAsia="Calibri" w:hAnsi="Times New Roman" w:cs="Times New Roman"/>
        </w:rPr>
        <w:t>osteoartritu</w:t>
      </w:r>
      <w:proofErr w:type="spellEnd"/>
      <w:r>
        <w:rPr>
          <w:rFonts w:ascii="Times New Roman" w:eastAsia="Calibri" w:hAnsi="Times New Roman" w:cs="Times New Roman"/>
        </w:rPr>
        <w:t>, poreikį simptomų lengvinimui ir organizmo reakciją į gydymą (žr. 4.2, 4.3, 4.8 ir 5.1 skyrius).</w:t>
      </w:r>
    </w:p>
    <w:p w14:paraId="288ECFA2" w14:textId="77777777" w:rsidR="00E021D7" w:rsidRDefault="00E021D7">
      <w:pPr>
        <w:widowControl w:val="0"/>
        <w:tabs>
          <w:tab w:val="left" w:pos="567"/>
        </w:tabs>
        <w:spacing w:after="0" w:line="240" w:lineRule="auto"/>
        <w:rPr>
          <w:rFonts w:ascii="Times New Roman" w:eastAsia="Calibri" w:hAnsi="Times New Roman" w:cs="Times New Roman"/>
        </w:rPr>
      </w:pPr>
    </w:p>
    <w:p w14:paraId="09C0499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Pacientus, kuriems yra reikšmingų širdies ir kraujagyslių sistemos sutrikimų rizikos veiksnių (pvz., hipertenzija, </w:t>
      </w:r>
      <w:proofErr w:type="spellStart"/>
      <w:r>
        <w:rPr>
          <w:rFonts w:ascii="Times New Roman" w:eastAsia="Calibri" w:hAnsi="Times New Roman" w:cs="Times New Roman"/>
        </w:rPr>
        <w:t>hiperlipidemija</w:t>
      </w:r>
      <w:proofErr w:type="spellEnd"/>
      <w:r>
        <w:rPr>
          <w:rFonts w:ascii="Times New Roman" w:eastAsia="Calibri" w:hAnsi="Times New Roman" w:cs="Times New Roman"/>
        </w:rPr>
        <w:t xml:space="preserve">, cukrinis diabetas, rūkymas), gydyti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galima tik atidžiai tai apsvarsčius (žr. 5.1 skyrių).</w:t>
      </w:r>
    </w:p>
    <w:p w14:paraId="30D3706F" w14:textId="77777777" w:rsidR="00E021D7" w:rsidRDefault="00E021D7">
      <w:pPr>
        <w:widowControl w:val="0"/>
        <w:tabs>
          <w:tab w:val="left" w:pos="567"/>
        </w:tabs>
        <w:spacing w:after="0" w:line="240" w:lineRule="auto"/>
        <w:rPr>
          <w:rFonts w:ascii="Times New Roman" w:eastAsia="Calibri" w:hAnsi="Times New Roman" w:cs="Times New Roman"/>
          <w:u w:val="double"/>
        </w:rPr>
      </w:pPr>
    </w:p>
    <w:p w14:paraId="3A8D189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Selektyvūs COX</w:t>
      </w:r>
      <w:r>
        <w:rPr>
          <w:rFonts w:ascii="Times New Roman" w:eastAsia="Calibri" w:hAnsi="Times New Roman" w:cs="Times New Roman"/>
        </w:rPr>
        <w:noBreakHyphen/>
        <w:t xml:space="preserve">2 inhibitoriai netinka vartoti vietoj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širdies ir kraujagyslių </w:t>
      </w:r>
      <w:proofErr w:type="spellStart"/>
      <w:r>
        <w:rPr>
          <w:rFonts w:ascii="Times New Roman" w:eastAsia="Calibri" w:hAnsi="Times New Roman" w:cs="Times New Roman"/>
        </w:rPr>
        <w:t>tromboembolinių</w:t>
      </w:r>
      <w:proofErr w:type="spellEnd"/>
      <w:r>
        <w:rPr>
          <w:rFonts w:ascii="Times New Roman" w:eastAsia="Calibri" w:hAnsi="Times New Roman" w:cs="Times New Roman"/>
        </w:rPr>
        <w:t xml:space="preserve"> ligų profilaktikai, nes jie nesukelia </w:t>
      </w:r>
      <w:proofErr w:type="spellStart"/>
      <w:r>
        <w:rPr>
          <w:rFonts w:ascii="Times New Roman" w:eastAsia="Calibri" w:hAnsi="Times New Roman" w:cs="Times New Roman"/>
        </w:rPr>
        <w:t>antitrombocitinio</w:t>
      </w:r>
      <w:proofErr w:type="spellEnd"/>
      <w:r>
        <w:rPr>
          <w:rFonts w:ascii="Times New Roman" w:eastAsia="Calibri" w:hAnsi="Times New Roman" w:cs="Times New Roman"/>
        </w:rPr>
        <w:t xml:space="preserve"> poveikio. Dėl to </w:t>
      </w:r>
      <w:proofErr w:type="spellStart"/>
      <w:r>
        <w:rPr>
          <w:rFonts w:ascii="Times New Roman" w:eastAsia="Calibri" w:hAnsi="Times New Roman" w:cs="Times New Roman"/>
        </w:rPr>
        <w:t>antitrombocitinio</w:t>
      </w:r>
      <w:proofErr w:type="spellEnd"/>
      <w:r>
        <w:rPr>
          <w:rFonts w:ascii="Times New Roman" w:eastAsia="Calibri" w:hAnsi="Times New Roman" w:cs="Times New Roman"/>
        </w:rPr>
        <w:t xml:space="preserve"> gydymo nutraukti negalima (žr. 4.5 ir 5.1 skyrius).</w:t>
      </w:r>
    </w:p>
    <w:p w14:paraId="51F5DAAF" w14:textId="77777777" w:rsidR="00E021D7" w:rsidRDefault="00E021D7">
      <w:pPr>
        <w:widowControl w:val="0"/>
        <w:tabs>
          <w:tab w:val="left" w:pos="567"/>
        </w:tabs>
        <w:spacing w:after="0" w:line="240" w:lineRule="auto"/>
        <w:rPr>
          <w:rFonts w:ascii="Times New Roman" w:eastAsia="Calibri" w:hAnsi="Times New Roman" w:cs="Times New Roman"/>
        </w:rPr>
      </w:pPr>
    </w:p>
    <w:p w14:paraId="5FD34663" w14:textId="77777777" w:rsidR="00E021D7" w:rsidRDefault="009C1A2C">
      <w:pPr>
        <w:widowControl w:val="0"/>
        <w:tabs>
          <w:tab w:val="left" w:pos="567"/>
        </w:tabs>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lastRenderedPageBreak/>
        <w:t>Poveikis inkstams</w:t>
      </w:r>
    </w:p>
    <w:p w14:paraId="47402380" w14:textId="77777777" w:rsidR="00E021D7" w:rsidRDefault="00E021D7">
      <w:pPr>
        <w:widowControl w:val="0"/>
        <w:tabs>
          <w:tab w:val="left" w:pos="567"/>
        </w:tabs>
        <w:spacing w:after="0" w:line="240" w:lineRule="auto"/>
        <w:rPr>
          <w:rFonts w:ascii="Times New Roman" w:eastAsia="Calibri" w:hAnsi="Times New Roman" w:cs="Times New Roman"/>
        </w:rPr>
      </w:pPr>
    </w:p>
    <w:p w14:paraId="029EAFA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Inkstų prostaglandinai gali sukelti kompensacinį poveikį palaikant inkstų </w:t>
      </w:r>
      <w:proofErr w:type="spellStart"/>
      <w:r>
        <w:rPr>
          <w:rFonts w:ascii="Times New Roman" w:eastAsia="Calibri" w:hAnsi="Times New Roman" w:cs="Times New Roman"/>
        </w:rPr>
        <w:t>perfuziją</w:t>
      </w:r>
      <w:proofErr w:type="spellEnd"/>
      <w:r>
        <w:rPr>
          <w:rFonts w:ascii="Times New Roman" w:eastAsia="Calibri" w:hAnsi="Times New Roman" w:cs="Times New Roman"/>
        </w:rPr>
        <w:t xml:space="preserve">. Taigi, vartojant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kai inkstų </w:t>
      </w:r>
      <w:proofErr w:type="spellStart"/>
      <w:r>
        <w:rPr>
          <w:rFonts w:ascii="Times New Roman" w:eastAsia="Calibri" w:hAnsi="Times New Roman" w:cs="Times New Roman"/>
        </w:rPr>
        <w:t>perfuzija</w:t>
      </w:r>
      <w:proofErr w:type="spellEnd"/>
      <w:r>
        <w:rPr>
          <w:rFonts w:ascii="Times New Roman" w:eastAsia="Calibri" w:hAnsi="Times New Roman" w:cs="Times New Roman"/>
        </w:rPr>
        <w:t xml:space="preserve"> pablogėjusi, gali susidaryti mažiau prostaglandinų, dėl to dar labiau sumažėti inkstų kraujotaka, taigi ir sutrikti inkstų funkcija. Didžiausia tokios organizmo reakcijos rizika yra pacientams, kuriems jau yra reikšmingas inkstų funkcijos sutrikimas, nekompensuotas širdies nepakankamumas arba cirozė. Turi būti apsvarstyta tokių pacientų inkstų funkcijos stebėsena.</w:t>
      </w:r>
    </w:p>
    <w:p w14:paraId="1CC6794F" w14:textId="77777777" w:rsidR="00E021D7" w:rsidRDefault="00E021D7">
      <w:pPr>
        <w:widowControl w:val="0"/>
        <w:tabs>
          <w:tab w:val="left" w:pos="567"/>
        </w:tabs>
        <w:spacing w:after="0" w:line="240" w:lineRule="auto"/>
        <w:rPr>
          <w:rFonts w:ascii="Times New Roman" w:eastAsia="Calibri" w:hAnsi="Times New Roman" w:cs="Times New Roman"/>
        </w:rPr>
      </w:pPr>
    </w:p>
    <w:p w14:paraId="0528900A" w14:textId="77777777" w:rsidR="00E021D7" w:rsidRDefault="009C1A2C">
      <w:pPr>
        <w:widowControl w:val="0"/>
        <w:tabs>
          <w:tab w:val="left" w:pos="567"/>
        </w:tabs>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t>Skysčių susilaikymas, edema ir hipertenzija</w:t>
      </w:r>
    </w:p>
    <w:p w14:paraId="002A8CEE" w14:textId="77777777" w:rsidR="00E021D7" w:rsidRDefault="00E021D7">
      <w:pPr>
        <w:widowControl w:val="0"/>
        <w:tabs>
          <w:tab w:val="left" w:pos="567"/>
        </w:tabs>
        <w:spacing w:after="0" w:line="240" w:lineRule="auto"/>
        <w:rPr>
          <w:rFonts w:ascii="Times New Roman" w:eastAsia="Calibri" w:hAnsi="Times New Roman" w:cs="Times New Roman"/>
        </w:rPr>
      </w:pPr>
    </w:p>
    <w:p w14:paraId="7B6D29E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Pacientams, vartojantiems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kaip ir kitų žinomų prostaglandinų sintezę slopinančių vaistinių preparatų, buvo nustatytas skysčio susilaikymas, edema ir hipertenzija. Visi nesteroidiniai vaistiniai preparatai nuo uždegimo (NVNU), įskaitant </w:t>
      </w:r>
      <w:proofErr w:type="spellStart"/>
      <w:r>
        <w:rPr>
          <w:rFonts w:ascii="Times New Roman" w:eastAsia="Calibri" w:hAnsi="Times New Roman" w:cs="Times New Roman"/>
        </w:rPr>
        <w:t>etorikoksibą</w:t>
      </w:r>
      <w:proofErr w:type="spellEnd"/>
      <w:r>
        <w:rPr>
          <w:rFonts w:ascii="Times New Roman" w:eastAsia="Calibri" w:hAnsi="Times New Roman" w:cs="Times New Roman"/>
        </w:rPr>
        <w:t xml:space="preserve">, gali būti susiję su </w:t>
      </w:r>
      <w:proofErr w:type="spellStart"/>
      <w:r>
        <w:rPr>
          <w:rFonts w:ascii="Times New Roman" w:eastAsia="Calibri" w:hAnsi="Times New Roman" w:cs="Times New Roman"/>
        </w:rPr>
        <w:t>stazinio</w:t>
      </w:r>
      <w:proofErr w:type="spellEnd"/>
      <w:r>
        <w:rPr>
          <w:rFonts w:ascii="Times New Roman" w:eastAsia="Calibri" w:hAnsi="Times New Roman" w:cs="Times New Roman"/>
        </w:rPr>
        <w:t xml:space="preserve"> širdies nepakankamumo simptomų atsiradimu arba pasikartojimu. Informacija apie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dozės ir atsako ryšį pateikiama 5.1 skyriuje. Atsargumo priemonių reikia laikytis pacientams, kuriems yra buvęs širdies nepakankamumas, kairiojo skilvelio funkcijos sutrikimas arba hipertenzija, ir pacientams, kuriems jau yra edema dėl kokios nors kitos priežasties. Jeigu šių pacientų klinikinė būklė akivaizdžiai blogėja, reikia imtis tinkamų priemonių, įskaitant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vartojimo nutraukimą.</w:t>
      </w:r>
    </w:p>
    <w:p w14:paraId="25ED598A" w14:textId="77777777" w:rsidR="00E021D7" w:rsidRDefault="00E021D7">
      <w:pPr>
        <w:widowControl w:val="0"/>
        <w:tabs>
          <w:tab w:val="left" w:pos="567"/>
        </w:tabs>
        <w:spacing w:after="0" w:line="240" w:lineRule="auto"/>
        <w:rPr>
          <w:rFonts w:ascii="Times New Roman" w:eastAsia="Calibri" w:hAnsi="Times New Roman" w:cs="Times New Roman"/>
        </w:rPr>
      </w:pPr>
    </w:p>
    <w:p w14:paraId="1D90C419"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ypač vartojamas didelėmis dozėmis, gali būti susijęs su dažnesne ir sunkesne hipertenzija, negu kai kurie kiti NVNU ir selektyvūs COX-2 inhibitoriai. Todėl, prieš pradedant gydyti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reikia sukontroliuoti hipertenziją (žr. 4.3 skyrių) ir kraujospūdžio stebėjimui skirti ypatingą dėmesį gydymo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metu. Kraujospūdį reikia stebėti dvi savaites nuo gydymo pradžios ir reguliariai vėliau. Jeigu būna reikšmingų kraujospūdžio padidėjimų, turi būti apgalvotas alternatyvus gydymas.</w:t>
      </w:r>
    </w:p>
    <w:p w14:paraId="55BFB910" w14:textId="77777777" w:rsidR="00E021D7" w:rsidRDefault="00E021D7">
      <w:pPr>
        <w:widowControl w:val="0"/>
        <w:tabs>
          <w:tab w:val="left" w:pos="567"/>
        </w:tabs>
        <w:spacing w:after="0" w:line="240" w:lineRule="auto"/>
        <w:rPr>
          <w:rFonts w:ascii="Times New Roman" w:eastAsia="Calibri" w:hAnsi="Times New Roman" w:cs="Times New Roman"/>
        </w:rPr>
      </w:pPr>
    </w:p>
    <w:p w14:paraId="372B8DAE" w14:textId="77777777" w:rsidR="00E021D7" w:rsidRDefault="009C1A2C">
      <w:pPr>
        <w:widowControl w:val="0"/>
        <w:tabs>
          <w:tab w:val="left" w:pos="567"/>
        </w:tabs>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t>Poveikis kepenims</w:t>
      </w:r>
    </w:p>
    <w:p w14:paraId="1CE71126" w14:textId="77777777" w:rsidR="00E021D7" w:rsidRDefault="00E021D7">
      <w:pPr>
        <w:widowControl w:val="0"/>
        <w:tabs>
          <w:tab w:val="left" w:pos="567"/>
          <w:tab w:val="left" w:pos="5954"/>
        </w:tabs>
        <w:spacing w:after="0" w:line="240" w:lineRule="auto"/>
        <w:rPr>
          <w:rFonts w:ascii="Times New Roman" w:eastAsia="Calibri" w:hAnsi="Times New Roman" w:cs="Times New Roman"/>
        </w:rPr>
      </w:pPr>
    </w:p>
    <w:p w14:paraId="67899679" w14:textId="77777777" w:rsidR="00E021D7" w:rsidRDefault="009C1A2C">
      <w:pPr>
        <w:widowControl w:val="0"/>
        <w:tabs>
          <w:tab w:val="left" w:pos="567"/>
          <w:tab w:val="left" w:pos="5954"/>
        </w:tabs>
        <w:spacing w:after="0" w:line="240" w:lineRule="auto"/>
        <w:rPr>
          <w:rFonts w:ascii="Times New Roman" w:eastAsia="Calibri" w:hAnsi="Times New Roman" w:cs="Times New Roman"/>
        </w:rPr>
      </w:pPr>
      <w:r>
        <w:rPr>
          <w:rFonts w:ascii="Times New Roman" w:eastAsia="Calibri" w:hAnsi="Times New Roman" w:cs="Times New Roman"/>
        </w:rPr>
        <w:t xml:space="preserve">Gauta pranešimų, kad klinikinių tyrimų metu maždaug 1 % pacientų, kurie iki vienerių metų vartojo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po 30 mg, 60 mg ir 90 mg kartą per parą, pasireiškė </w:t>
      </w:r>
      <w:proofErr w:type="spellStart"/>
      <w:r>
        <w:rPr>
          <w:rFonts w:ascii="Times New Roman" w:eastAsia="Calibri" w:hAnsi="Times New Roman" w:cs="Times New Roman"/>
        </w:rPr>
        <w:t>alanino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aminotransferazės</w:t>
      </w:r>
      <w:proofErr w:type="spellEnd"/>
      <w:r>
        <w:rPr>
          <w:rFonts w:ascii="Times New Roman" w:eastAsia="Calibri" w:hAnsi="Times New Roman" w:cs="Times New Roman"/>
        </w:rPr>
        <w:t xml:space="preserve"> (ALT) ir (arba) </w:t>
      </w:r>
      <w:proofErr w:type="spellStart"/>
      <w:r>
        <w:rPr>
          <w:rFonts w:ascii="Times New Roman" w:eastAsia="Calibri" w:hAnsi="Times New Roman" w:cs="Times New Roman"/>
        </w:rPr>
        <w:t>aspartato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aminotransferazės</w:t>
      </w:r>
      <w:proofErr w:type="spellEnd"/>
      <w:r>
        <w:rPr>
          <w:rFonts w:ascii="Times New Roman" w:eastAsia="Calibri" w:hAnsi="Times New Roman" w:cs="Times New Roman"/>
        </w:rPr>
        <w:t xml:space="preserve"> (AST) aktyvumo padidėjimas (maždaug tris ir daugiau kartų viršijantis viršutinę normos ribą).</w:t>
      </w:r>
    </w:p>
    <w:p w14:paraId="245E9E96" w14:textId="77777777" w:rsidR="00E021D7" w:rsidRDefault="00E021D7">
      <w:pPr>
        <w:widowControl w:val="0"/>
        <w:tabs>
          <w:tab w:val="left" w:pos="567"/>
          <w:tab w:val="left" w:pos="5954"/>
        </w:tabs>
        <w:spacing w:after="0" w:line="240" w:lineRule="auto"/>
        <w:rPr>
          <w:rFonts w:ascii="Times New Roman" w:eastAsia="Calibri" w:hAnsi="Times New Roman" w:cs="Times New Roman"/>
        </w:rPr>
      </w:pPr>
    </w:p>
    <w:p w14:paraId="5CF6B94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Reikia stebėti pacientus, kuriems yra sutrikusią kepenų funkciją rodančių simptomų ir (arba) požymių arba kurių kepenų funkcijos tyrimų rodmenys yra nenormalūs. Jeigu pasireiškia kepenų nepakankamumo požymiai arba jeigu yra tyrimais nustatyta nuolatinių kepenų funkcijos pokyčių (tris kartus viršijančių viršutinę normos ribą),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vartojimą reikia nutraukti.</w:t>
      </w:r>
    </w:p>
    <w:p w14:paraId="002EE25E" w14:textId="77777777" w:rsidR="00E021D7" w:rsidRDefault="00E021D7">
      <w:pPr>
        <w:widowControl w:val="0"/>
        <w:tabs>
          <w:tab w:val="left" w:pos="567"/>
        </w:tabs>
        <w:spacing w:after="0" w:line="240" w:lineRule="auto"/>
        <w:rPr>
          <w:rFonts w:ascii="Times New Roman" w:eastAsia="Calibri" w:hAnsi="Times New Roman" w:cs="Times New Roman"/>
        </w:rPr>
      </w:pPr>
    </w:p>
    <w:p w14:paraId="21AED025" w14:textId="77777777" w:rsidR="00E021D7" w:rsidRDefault="009C1A2C">
      <w:pPr>
        <w:widowControl w:val="0"/>
        <w:tabs>
          <w:tab w:val="left" w:pos="567"/>
        </w:tabs>
        <w:spacing w:after="0" w:line="240" w:lineRule="auto"/>
        <w:outlineLvl w:val="0"/>
        <w:rPr>
          <w:rFonts w:ascii="Times New Roman" w:eastAsia="Calibri" w:hAnsi="Times New Roman" w:cs="Times New Roman"/>
          <w:u w:val="single"/>
        </w:rPr>
      </w:pPr>
      <w:r>
        <w:rPr>
          <w:rFonts w:ascii="Times New Roman" w:eastAsia="Calibri" w:hAnsi="Times New Roman" w:cs="Times New Roman"/>
          <w:u w:val="single"/>
        </w:rPr>
        <w:t>Bendroji informacija</w:t>
      </w:r>
    </w:p>
    <w:p w14:paraId="4A73E46C" w14:textId="77777777" w:rsidR="00E021D7" w:rsidRDefault="00E021D7">
      <w:pPr>
        <w:widowControl w:val="0"/>
        <w:tabs>
          <w:tab w:val="left" w:pos="567"/>
        </w:tabs>
        <w:spacing w:after="0" w:line="240" w:lineRule="auto"/>
        <w:outlineLvl w:val="0"/>
        <w:rPr>
          <w:rFonts w:ascii="Times New Roman" w:eastAsia="Calibri" w:hAnsi="Times New Roman" w:cs="Times New Roman"/>
          <w:u w:val="single"/>
        </w:rPr>
      </w:pPr>
    </w:p>
    <w:p w14:paraId="5B0EE85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Jeigu gydymo metu sutrinka kurios nors anksčiau minėtos paciento organų sistemos funkcija, reikia imtis atitinkamų priemonių ir apsvarstyti, ar nereikia nutraukti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vartojimo. Turi būti palaikoma tinkama medicininė priežiūra, jeigu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 senyvi pacientai arba pacientai, kuriems yra sutrikusi inkstų, kepenų ar širdies funkcija.</w:t>
      </w:r>
    </w:p>
    <w:p w14:paraId="65F3202C" w14:textId="77777777" w:rsidR="00E021D7" w:rsidRDefault="00E021D7">
      <w:pPr>
        <w:widowControl w:val="0"/>
        <w:tabs>
          <w:tab w:val="left" w:pos="567"/>
        </w:tabs>
        <w:spacing w:after="0" w:line="240" w:lineRule="auto"/>
        <w:rPr>
          <w:rFonts w:ascii="Times New Roman" w:eastAsia="Calibri" w:hAnsi="Times New Roman" w:cs="Times New Roman"/>
        </w:rPr>
      </w:pPr>
    </w:p>
    <w:p w14:paraId="3B26336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Reikia laikytis atsargumo pradedant gydyti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pacientus, kuriems yra </w:t>
      </w:r>
      <w:proofErr w:type="spellStart"/>
      <w:r>
        <w:rPr>
          <w:rFonts w:ascii="Times New Roman" w:eastAsia="Calibri" w:hAnsi="Times New Roman" w:cs="Times New Roman"/>
        </w:rPr>
        <w:t>dehidracija</w:t>
      </w:r>
      <w:proofErr w:type="spellEnd"/>
      <w:r>
        <w:rPr>
          <w:rFonts w:ascii="Times New Roman" w:eastAsia="Calibri" w:hAnsi="Times New Roman" w:cs="Times New Roman"/>
        </w:rPr>
        <w:t xml:space="preserve">. Prieš pradedant gydyti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patartina pacientams normalizuoti skysčio kiekį.</w:t>
      </w:r>
    </w:p>
    <w:p w14:paraId="438E6363" w14:textId="77777777" w:rsidR="00E021D7" w:rsidRDefault="00E021D7">
      <w:pPr>
        <w:widowControl w:val="0"/>
        <w:tabs>
          <w:tab w:val="left" w:pos="567"/>
        </w:tabs>
        <w:spacing w:after="0" w:line="240" w:lineRule="auto"/>
        <w:rPr>
          <w:rFonts w:ascii="Times New Roman" w:eastAsia="Calibri" w:hAnsi="Times New Roman" w:cs="Times New Roman"/>
        </w:rPr>
      </w:pPr>
    </w:p>
    <w:p w14:paraId="4887A18F" w14:textId="77777777" w:rsidR="00E021D7" w:rsidRDefault="009C1A2C">
      <w:pPr>
        <w:widowControl w:val="0"/>
        <w:tabs>
          <w:tab w:val="left" w:pos="567"/>
        </w:tabs>
        <w:spacing w:after="0" w:line="240" w:lineRule="auto"/>
        <w:rPr>
          <w:rFonts w:ascii="Times New Roman" w:eastAsia="Calibri" w:hAnsi="Times New Roman" w:cs="Times New Roman"/>
          <w:u w:val="double"/>
        </w:rPr>
      </w:pPr>
      <w:r>
        <w:rPr>
          <w:rFonts w:ascii="Times New Roman" w:eastAsia="Calibri" w:hAnsi="Times New Roman" w:cs="Times New Roman"/>
        </w:rPr>
        <w:t xml:space="preserve">Po vaistinio preparato pateikimo į rinką gauta labai retų pranešimų apie su NVNU ir kai kurių selektyvių COX-2 inhibitorių vartojimu susijusių sunkių (kartais mirtinų) odos reakcijų, įskaitant </w:t>
      </w:r>
      <w:proofErr w:type="spellStart"/>
      <w:r>
        <w:rPr>
          <w:rFonts w:ascii="Times New Roman" w:eastAsia="Calibri" w:hAnsi="Times New Roman" w:cs="Times New Roman"/>
        </w:rPr>
        <w:t>eksfoliacinį</w:t>
      </w:r>
      <w:proofErr w:type="spellEnd"/>
      <w:r>
        <w:rPr>
          <w:rFonts w:ascii="Times New Roman" w:eastAsia="Calibri" w:hAnsi="Times New Roman" w:cs="Times New Roman"/>
        </w:rPr>
        <w:t xml:space="preserve"> dermatitą, </w:t>
      </w:r>
      <w:proofErr w:type="spellStart"/>
      <w:r>
        <w:rPr>
          <w:rFonts w:ascii="Times New Roman" w:eastAsia="Calibri" w:hAnsi="Times New Roman" w:cs="Times New Roman"/>
        </w:rPr>
        <w:t>Stivenso</w:t>
      </w:r>
      <w:proofErr w:type="spellEnd"/>
      <w:r>
        <w:rPr>
          <w:rFonts w:ascii="Times New Roman" w:eastAsia="Calibri" w:hAnsi="Times New Roman" w:cs="Times New Roman"/>
        </w:rPr>
        <w:t>-Džonsono (</w:t>
      </w:r>
      <w:proofErr w:type="spellStart"/>
      <w:r>
        <w:rPr>
          <w:rFonts w:ascii="Times New Roman" w:eastAsia="Calibri" w:hAnsi="Times New Roman" w:cs="Times New Roman"/>
          <w:i/>
          <w:color w:val="000000"/>
        </w:rPr>
        <w:t>Stevens-Johnson</w:t>
      </w:r>
      <w:proofErr w:type="spellEnd"/>
      <w:r>
        <w:rPr>
          <w:rFonts w:ascii="Times New Roman" w:eastAsia="Calibri" w:hAnsi="Times New Roman" w:cs="Times New Roman"/>
          <w:i/>
          <w:color w:val="000000"/>
        </w:rPr>
        <w:t>)</w:t>
      </w:r>
      <w:r>
        <w:rPr>
          <w:rFonts w:ascii="Times New Roman" w:eastAsia="Calibri" w:hAnsi="Times New Roman" w:cs="Times New Roman"/>
          <w:color w:val="000000"/>
        </w:rPr>
        <w:t xml:space="preserve"> </w:t>
      </w:r>
      <w:r>
        <w:rPr>
          <w:rFonts w:ascii="Times New Roman" w:eastAsia="Calibri" w:hAnsi="Times New Roman" w:cs="Times New Roman"/>
        </w:rPr>
        <w:t xml:space="preserve">sindromą ir toksinę epidermio </w:t>
      </w:r>
      <w:proofErr w:type="spellStart"/>
      <w:r>
        <w:rPr>
          <w:rFonts w:ascii="Times New Roman" w:eastAsia="Calibri" w:hAnsi="Times New Roman" w:cs="Times New Roman"/>
        </w:rPr>
        <w:t>nekrolizę</w:t>
      </w:r>
      <w:proofErr w:type="spellEnd"/>
      <w:r>
        <w:rPr>
          <w:rFonts w:ascii="Times New Roman" w:eastAsia="Calibri" w:hAnsi="Times New Roman" w:cs="Times New Roman"/>
        </w:rPr>
        <w:t xml:space="preserve">, atvejus (žr. 4.8 skyrių). Gydymo pradžioje tokių reakcijų tikimybė pacientui yra didžiausia; daugeliu atvejų reakcijos prasideda per pirmąjį gydymo mėnesį. Gauta pranešimų apie sunkias padidėjusio jautrumo reakcijas, tokias, kaip </w:t>
      </w:r>
      <w:proofErr w:type="spellStart"/>
      <w:r>
        <w:rPr>
          <w:rFonts w:ascii="Times New Roman" w:eastAsia="Calibri" w:hAnsi="Times New Roman" w:cs="Times New Roman"/>
        </w:rPr>
        <w:t>anafilaksija</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vartojusiems pacientams (žr. 4.8 skyrių). Kai kurie selektyvūs COX-2 inhibitoriai buvo susiję su didesne odos reakcijų rizika pacientams, kuriems anksčiau buvo alergija bet kuriam vaistiniam preparatui. Pasireiškus pirmiesiems odos išbėrimo, gleivinės pažeidimo arba kitiems padidėjusio jautrumo </w:t>
      </w:r>
      <w:r>
        <w:rPr>
          <w:rFonts w:ascii="Times New Roman" w:eastAsia="Calibri" w:hAnsi="Times New Roman" w:cs="Times New Roman"/>
        </w:rPr>
        <w:lastRenderedPageBreak/>
        <w:t xml:space="preserve">požymiams,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vartojimą reikia nutraukti.</w:t>
      </w:r>
    </w:p>
    <w:p w14:paraId="164DC790" w14:textId="77777777" w:rsidR="00E021D7" w:rsidRDefault="00E021D7">
      <w:pPr>
        <w:widowControl w:val="0"/>
        <w:tabs>
          <w:tab w:val="left" w:pos="567"/>
        </w:tabs>
        <w:spacing w:after="0" w:line="240" w:lineRule="auto"/>
        <w:rPr>
          <w:rFonts w:ascii="Times New Roman" w:eastAsia="Calibri" w:hAnsi="Times New Roman" w:cs="Times New Roman"/>
        </w:rPr>
      </w:pPr>
    </w:p>
    <w:p w14:paraId="40EDA645"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gali maskuoti karščiavimą ir kitus uždegimo požymius.</w:t>
      </w:r>
    </w:p>
    <w:p w14:paraId="78107F6D" w14:textId="77777777" w:rsidR="00E021D7" w:rsidRDefault="00E021D7">
      <w:pPr>
        <w:widowControl w:val="0"/>
        <w:tabs>
          <w:tab w:val="left" w:pos="567"/>
        </w:tabs>
        <w:spacing w:after="0" w:line="240" w:lineRule="auto"/>
        <w:rPr>
          <w:rFonts w:ascii="Times New Roman" w:eastAsia="Calibri" w:hAnsi="Times New Roman" w:cs="Times New Roman"/>
        </w:rPr>
      </w:pPr>
    </w:p>
    <w:p w14:paraId="2BF57B0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Reikia laikytis atsargumo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 kartu su varfarinu arba kitais geriamaisiais antikoaguliantais (žr. 4.5 skyrių).</w:t>
      </w:r>
    </w:p>
    <w:p w14:paraId="037E5E58" w14:textId="77777777" w:rsidR="00E021D7" w:rsidRDefault="00E021D7">
      <w:pPr>
        <w:widowControl w:val="0"/>
        <w:tabs>
          <w:tab w:val="left" w:pos="567"/>
        </w:tabs>
        <w:spacing w:after="0" w:line="240" w:lineRule="auto"/>
        <w:rPr>
          <w:rFonts w:ascii="Times New Roman" w:eastAsia="Calibri" w:hAnsi="Times New Roman" w:cs="Times New Roman"/>
        </w:rPr>
      </w:pPr>
    </w:p>
    <w:p w14:paraId="21F6076C"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kaip ir bet kokio </w:t>
      </w:r>
      <w:proofErr w:type="spellStart"/>
      <w:r>
        <w:rPr>
          <w:rFonts w:ascii="Times New Roman" w:eastAsia="Calibri" w:hAnsi="Times New Roman" w:cs="Times New Roman"/>
        </w:rPr>
        <w:t>ciklooksigenazę</w:t>
      </w:r>
      <w:proofErr w:type="spellEnd"/>
      <w:r>
        <w:rPr>
          <w:rFonts w:ascii="Times New Roman" w:eastAsia="Calibri" w:hAnsi="Times New Roman" w:cs="Times New Roman"/>
        </w:rPr>
        <w:t xml:space="preserve"> (prostaglandinų sintezę) slopinančio vaistinio preparato, pastoti mėginančioms moterims vartoti nerekomenduojama (žr. 4.6, 5.1 ir 5.3 skyrius).</w:t>
      </w:r>
    </w:p>
    <w:p w14:paraId="76878F93" w14:textId="77777777" w:rsidR="00E021D7" w:rsidRDefault="00E021D7">
      <w:pPr>
        <w:widowControl w:val="0"/>
        <w:tabs>
          <w:tab w:val="left" w:pos="567"/>
        </w:tabs>
        <w:spacing w:after="0" w:line="240" w:lineRule="auto"/>
        <w:rPr>
          <w:rFonts w:ascii="Times New Roman" w:eastAsia="Calibri" w:hAnsi="Times New Roman" w:cs="Times New Roman"/>
        </w:rPr>
      </w:pPr>
    </w:p>
    <w:p w14:paraId="499BF655"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Natris</w:t>
      </w:r>
    </w:p>
    <w:p w14:paraId="7F46058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vaistinio preparato tabletėje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14:paraId="3C4DEB8C" w14:textId="77777777" w:rsidR="00E021D7" w:rsidRDefault="00E021D7">
      <w:pPr>
        <w:widowControl w:val="0"/>
        <w:tabs>
          <w:tab w:val="left" w:pos="567"/>
        </w:tabs>
        <w:spacing w:after="0" w:line="240" w:lineRule="auto"/>
        <w:rPr>
          <w:rFonts w:ascii="Times New Roman" w:eastAsia="Calibri" w:hAnsi="Times New Roman" w:cs="Times New Roman"/>
        </w:rPr>
      </w:pPr>
    </w:p>
    <w:p w14:paraId="14523101" w14:textId="77777777" w:rsidR="00E021D7" w:rsidRDefault="00E021D7">
      <w:pPr>
        <w:widowControl w:val="0"/>
        <w:tabs>
          <w:tab w:val="left" w:pos="567"/>
        </w:tabs>
        <w:spacing w:after="0" w:line="240" w:lineRule="auto"/>
        <w:rPr>
          <w:rFonts w:ascii="Times New Roman" w:eastAsia="Calibri" w:hAnsi="Times New Roman" w:cs="Times New Roman"/>
        </w:rPr>
      </w:pPr>
    </w:p>
    <w:p w14:paraId="302EB05B"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4.5</w:t>
      </w:r>
      <w:r>
        <w:rPr>
          <w:rFonts w:ascii="Times New Roman" w:eastAsia="Calibri" w:hAnsi="Times New Roman" w:cs="Times New Roman"/>
          <w:b/>
        </w:rPr>
        <w:tab/>
        <w:t>Sąveika su kitais vaistiniais preparatais ir kitokia sąveika</w:t>
      </w:r>
    </w:p>
    <w:p w14:paraId="0A30675B" w14:textId="77777777" w:rsidR="00E021D7" w:rsidRDefault="00E021D7">
      <w:pPr>
        <w:widowControl w:val="0"/>
        <w:tabs>
          <w:tab w:val="left" w:pos="567"/>
        </w:tabs>
        <w:spacing w:after="0" w:line="240" w:lineRule="auto"/>
        <w:rPr>
          <w:rFonts w:ascii="Times New Roman" w:eastAsia="Calibri" w:hAnsi="Times New Roman" w:cs="Times New Roman"/>
        </w:rPr>
      </w:pPr>
    </w:p>
    <w:p w14:paraId="7DF9CECB" w14:textId="77777777" w:rsidR="00E021D7" w:rsidRDefault="009C1A2C">
      <w:pPr>
        <w:widowControl w:val="0"/>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Farmakodinaminė</w:t>
      </w:r>
      <w:proofErr w:type="spellEnd"/>
      <w:r>
        <w:rPr>
          <w:rFonts w:ascii="Times New Roman" w:eastAsia="Calibri" w:hAnsi="Times New Roman" w:cs="Times New Roman"/>
          <w:u w:val="single"/>
        </w:rPr>
        <w:t xml:space="preserve"> sąveika</w:t>
      </w:r>
    </w:p>
    <w:p w14:paraId="737F3F8C" w14:textId="77777777" w:rsidR="00E021D7" w:rsidRDefault="00E021D7">
      <w:pPr>
        <w:widowControl w:val="0"/>
        <w:tabs>
          <w:tab w:val="left" w:pos="567"/>
        </w:tabs>
        <w:spacing w:after="0" w:line="240" w:lineRule="auto"/>
        <w:rPr>
          <w:rFonts w:ascii="Times New Roman" w:eastAsia="Calibri" w:hAnsi="Times New Roman" w:cs="Times New Roman"/>
          <w:i/>
        </w:rPr>
      </w:pPr>
    </w:p>
    <w:p w14:paraId="73B5DD2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 xml:space="preserve">Geriamieji antikoaguliantai. </w:t>
      </w:r>
      <w:r>
        <w:rPr>
          <w:rFonts w:ascii="Times New Roman" w:eastAsia="Calibri" w:hAnsi="Times New Roman" w:cs="Times New Roman"/>
        </w:rPr>
        <w:t xml:space="preserve">Nuolat varfarinu gydytiems asmenims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120 mg kartą per parą vartojimas buvo susijęs su maždaug 13 % padidėjusiu </w:t>
      </w:r>
      <w:proofErr w:type="spellStart"/>
      <w:r>
        <w:rPr>
          <w:rFonts w:ascii="Times New Roman" w:eastAsia="Calibri" w:hAnsi="Times New Roman" w:cs="Times New Roman"/>
        </w:rPr>
        <w:t>protrombino</w:t>
      </w:r>
      <w:proofErr w:type="spellEnd"/>
      <w:r>
        <w:rPr>
          <w:rFonts w:ascii="Times New Roman" w:eastAsia="Calibri" w:hAnsi="Times New Roman" w:cs="Times New Roman"/>
        </w:rPr>
        <w:t xml:space="preserve"> laiku, apibūdinamu tarptautiniu normalizuotu santykiu (</w:t>
      </w:r>
      <w:proofErr w:type="spellStart"/>
      <w:r>
        <w:rPr>
          <w:rFonts w:ascii="Times New Roman" w:eastAsia="Calibri" w:hAnsi="Times New Roman" w:cs="Times New Roman"/>
        </w:rPr>
        <w:t>ang</w:t>
      </w:r>
      <w:proofErr w:type="spellEnd"/>
      <w:r>
        <w:rPr>
          <w:rFonts w:ascii="Times New Roman" w:eastAsia="Calibri" w:hAnsi="Times New Roman" w:cs="Times New Roman"/>
        </w:rPr>
        <w:t xml:space="preserve">. </w:t>
      </w:r>
      <w:r>
        <w:rPr>
          <w:rFonts w:ascii="Times New Roman" w:eastAsia="Calibri" w:hAnsi="Times New Roman" w:cs="Times New Roman"/>
          <w:i/>
        </w:rPr>
        <w:t xml:space="preserve">International </w:t>
      </w:r>
      <w:proofErr w:type="spellStart"/>
      <w:r>
        <w:rPr>
          <w:rFonts w:ascii="Times New Roman" w:eastAsia="Calibri" w:hAnsi="Times New Roman" w:cs="Times New Roman"/>
          <w:i/>
        </w:rPr>
        <w:t>Normalised</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Ratio</w:t>
      </w:r>
      <w:proofErr w:type="spellEnd"/>
      <w:r>
        <w:rPr>
          <w:rFonts w:ascii="Times New Roman" w:eastAsia="Calibri" w:hAnsi="Times New Roman" w:cs="Times New Roman"/>
        </w:rPr>
        <w:t xml:space="preserve">, INR). Dėl to geriamųjų antikoaguliantų vartojantiems pacientams reikia atidžiai sekti jų </w:t>
      </w:r>
      <w:proofErr w:type="spellStart"/>
      <w:r>
        <w:rPr>
          <w:rFonts w:ascii="Times New Roman" w:eastAsia="Calibri" w:hAnsi="Times New Roman" w:cs="Times New Roman"/>
        </w:rPr>
        <w:t>protrombino</w:t>
      </w:r>
      <w:proofErr w:type="spellEnd"/>
      <w:r>
        <w:rPr>
          <w:rFonts w:ascii="Times New Roman" w:eastAsia="Calibri" w:hAnsi="Times New Roman" w:cs="Times New Roman"/>
        </w:rPr>
        <w:t xml:space="preserve"> laiką, apibūdinamą INR, ypač per pirmąsias kelias dienas, pradėjus gydymą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arba pakeitus jo dozę (žr. 4.4 skyrių).</w:t>
      </w:r>
    </w:p>
    <w:p w14:paraId="22F25F1D" w14:textId="77777777" w:rsidR="00E021D7" w:rsidRDefault="00E021D7">
      <w:pPr>
        <w:widowControl w:val="0"/>
        <w:tabs>
          <w:tab w:val="left" w:pos="567"/>
        </w:tabs>
        <w:spacing w:after="0" w:line="240" w:lineRule="auto"/>
        <w:rPr>
          <w:rFonts w:ascii="Times New Roman" w:eastAsia="Calibri" w:hAnsi="Times New Roman" w:cs="Times New Roman"/>
        </w:rPr>
      </w:pPr>
    </w:p>
    <w:p w14:paraId="4737A0B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 xml:space="preserve">Diuretikai, AKF inhibitoriai ir </w:t>
      </w:r>
      <w:proofErr w:type="spellStart"/>
      <w:r>
        <w:rPr>
          <w:rFonts w:ascii="Times New Roman" w:eastAsia="Calibri" w:hAnsi="Times New Roman" w:cs="Times New Roman"/>
          <w:i/>
        </w:rPr>
        <w:t>angiotenzino</w:t>
      </w:r>
      <w:proofErr w:type="spellEnd"/>
      <w:r>
        <w:rPr>
          <w:rFonts w:ascii="Times New Roman" w:eastAsia="Calibri" w:hAnsi="Times New Roman" w:cs="Times New Roman"/>
          <w:i/>
        </w:rPr>
        <w:t xml:space="preserve"> II antagonistai. </w:t>
      </w:r>
      <w:r>
        <w:rPr>
          <w:rFonts w:ascii="Times New Roman" w:eastAsia="Calibri" w:hAnsi="Times New Roman" w:cs="Times New Roman"/>
        </w:rPr>
        <w:t xml:space="preserve">NVNU gali mažinti diuretikų ir kitų </w:t>
      </w:r>
      <w:proofErr w:type="spellStart"/>
      <w:r>
        <w:rPr>
          <w:rFonts w:ascii="Times New Roman" w:eastAsia="Calibri" w:hAnsi="Times New Roman" w:cs="Times New Roman"/>
        </w:rPr>
        <w:t>antihipertenzinių</w:t>
      </w:r>
      <w:proofErr w:type="spellEnd"/>
      <w:r>
        <w:rPr>
          <w:rFonts w:ascii="Times New Roman" w:eastAsia="Calibri" w:hAnsi="Times New Roman" w:cs="Times New Roman"/>
        </w:rPr>
        <w:t xml:space="preserve"> vaistinių preparatų veiksmingumą. Kai kuriems pacientams, kurių inkstų veikla sutrikusi (pvz., pacientams, kuriems yra </w:t>
      </w:r>
      <w:proofErr w:type="spellStart"/>
      <w:r>
        <w:rPr>
          <w:rFonts w:ascii="Times New Roman" w:eastAsia="Calibri" w:hAnsi="Times New Roman" w:cs="Times New Roman"/>
        </w:rPr>
        <w:t>dehidracija</w:t>
      </w:r>
      <w:proofErr w:type="spellEnd"/>
      <w:r>
        <w:rPr>
          <w:rFonts w:ascii="Times New Roman" w:eastAsia="Calibri" w:hAnsi="Times New Roman" w:cs="Times New Roman"/>
        </w:rPr>
        <w:t xml:space="preserve">, arba senyviems pacientams, kurių inkstų funkcija sutrikusi), AKF inhibitoriaus arba </w:t>
      </w:r>
      <w:proofErr w:type="spellStart"/>
      <w:r>
        <w:rPr>
          <w:rFonts w:ascii="Times New Roman" w:eastAsia="Calibri" w:hAnsi="Times New Roman" w:cs="Times New Roman"/>
        </w:rPr>
        <w:t>angiotenzino</w:t>
      </w:r>
      <w:proofErr w:type="spellEnd"/>
      <w:r>
        <w:rPr>
          <w:rFonts w:ascii="Times New Roman" w:eastAsia="Calibri" w:hAnsi="Times New Roman" w:cs="Times New Roman"/>
        </w:rPr>
        <w:t xml:space="preserve"> II antagonisto vartojimas kartu su </w:t>
      </w:r>
      <w:proofErr w:type="spellStart"/>
      <w:r>
        <w:rPr>
          <w:rFonts w:ascii="Times New Roman" w:eastAsia="Calibri" w:hAnsi="Times New Roman" w:cs="Times New Roman"/>
        </w:rPr>
        <w:t>ciklooksigenazę</w:t>
      </w:r>
      <w:proofErr w:type="spellEnd"/>
      <w:r>
        <w:rPr>
          <w:rFonts w:ascii="Times New Roman" w:eastAsia="Calibri" w:hAnsi="Times New Roman" w:cs="Times New Roman"/>
        </w:rPr>
        <w:t xml:space="preserve"> slopinančia medžiaga gali sukelti tolesnį inkstų funkcijos blogėjimą, įskaitant galimą ūminį inkstų nepakankamumą, kuris paprastai yra laikinas. Šią sąveiką reikia turėti omenyje pacientams,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vartojantiems kartu su AKF inhibitoriais arba </w:t>
      </w:r>
      <w:proofErr w:type="spellStart"/>
      <w:r>
        <w:rPr>
          <w:rFonts w:ascii="Times New Roman" w:eastAsia="Calibri" w:hAnsi="Times New Roman" w:cs="Times New Roman"/>
        </w:rPr>
        <w:t>angiotenzino</w:t>
      </w:r>
      <w:proofErr w:type="spellEnd"/>
      <w:r>
        <w:rPr>
          <w:rFonts w:ascii="Times New Roman" w:eastAsia="Calibri" w:hAnsi="Times New Roman" w:cs="Times New Roman"/>
        </w:rPr>
        <w:t xml:space="preserve"> II antagonistais. Taigi, tokį derinį reikia skirti atsargiai, ypač senyviems pacientams. Pacientas organizme turi būti pakankamai skysčių ir turi būti apgalvotas inkstų funkcijos stebėjimas po kombinuotojo gydymo pradžios ir periodiškai po to.</w:t>
      </w:r>
    </w:p>
    <w:p w14:paraId="3C1C993E" w14:textId="77777777" w:rsidR="00E021D7" w:rsidRDefault="00E021D7">
      <w:pPr>
        <w:widowControl w:val="0"/>
        <w:tabs>
          <w:tab w:val="left" w:pos="567"/>
        </w:tabs>
        <w:spacing w:after="0" w:line="240" w:lineRule="auto"/>
        <w:rPr>
          <w:rFonts w:ascii="Times New Roman" w:eastAsia="Calibri" w:hAnsi="Times New Roman" w:cs="Times New Roman"/>
          <w:u w:val="double"/>
        </w:rPr>
      </w:pPr>
    </w:p>
    <w:p w14:paraId="302FAB6D"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Acetilsalicilo</w:t>
      </w:r>
      <w:proofErr w:type="spellEnd"/>
      <w:r>
        <w:rPr>
          <w:rFonts w:ascii="Times New Roman" w:eastAsia="Calibri" w:hAnsi="Times New Roman" w:cs="Times New Roman"/>
          <w:i/>
        </w:rPr>
        <w:t xml:space="preserve"> rūgštis. </w:t>
      </w:r>
      <w:r>
        <w:rPr>
          <w:rFonts w:ascii="Times New Roman" w:eastAsia="Calibri" w:hAnsi="Times New Roman" w:cs="Times New Roman"/>
        </w:rPr>
        <w:t xml:space="preserve">Tyrimo su sveikais žmonėmis metu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vartojamas po 120 mg kartą per parą, nusistovėjus </w:t>
      </w:r>
      <w:proofErr w:type="spellStart"/>
      <w:r>
        <w:rPr>
          <w:rFonts w:ascii="Times New Roman" w:eastAsia="Calibri" w:hAnsi="Times New Roman" w:cs="Times New Roman"/>
        </w:rPr>
        <w:t>pusiausvyrinei</w:t>
      </w:r>
      <w:proofErr w:type="spellEnd"/>
      <w:r>
        <w:rPr>
          <w:rFonts w:ascii="Times New Roman" w:eastAsia="Calibri" w:hAnsi="Times New Roman" w:cs="Times New Roman"/>
        </w:rPr>
        <w:t xml:space="preserve"> apykaitai, nedarė įtakos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(po 81 mg kartą per parą) </w:t>
      </w:r>
      <w:proofErr w:type="spellStart"/>
      <w:r>
        <w:rPr>
          <w:rFonts w:ascii="Times New Roman" w:eastAsia="Calibri" w:hAnsi="Times New Roman" w:cs="Times New Roman"/>
        </w:rPr>
        <w:t>antitrombocitiniam</w:t>
      </w:r>
      <w:proofErr w:type="spellEnd"/>
      <w:r>
        <w:rPr>
          <w:rFonts w:ascii="Times New Roman" w:eastAsia="Calibri" w:hAnsi="Times New Roman" w:cs="Times New Roman"/>
        </w:rPr>
        <w:t xml:space="preserve"> aktyvumui.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galima vartoti kartu su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dozėmis, skiriamomis širdies ir kraujagyslių sistemos sutrikimų profilaktikai (mažomis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dozėmis). Vis dėlto, kai maža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dozė vartojama kartu su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gali padažnėti VT opų arba kitų komplikacijų, palyginti su vien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vartojimu.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nerekomenduojama vartoti kartu su didesnėmis negu širdies ir kraujagyslių sistemos sutrikimų profilaktikai vartojamomis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dozėmis arba kitais NVNU (žr. 5.1 ir 4.4 skyrius).</w:t>
      </w:r>
    </w:p>
    <w:p w14:paraId="2FD04E83" w14:textId="77777777" w:rsidR="00E021D7" w:rsidRDefault="00E021D7">
      <w:pPr>
        <w:widowControl w:val="0"/>
        <w:tabs>
          <w:tab w:val="left" w:pos="567"/>
        </w:tabs>
        <w:spacing w:after="0" w:line="240" w:lineRule="auto"/>
        <w:rPr>
          <w:rFonts w:ascii="Times New Roman" w:eastAsia="Calibri" w:hAnsi="Times New Roman" w:cs="Times New Roman"/>
        </w:rPr>
      </w:pPr>
    </w:p>
    <w:p w14:paraId="6560D03A"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Ciklosporinas</w:t>
      </w:r>
      <w:proofErr w:type="spellEnd"/>
      <w:r>
        <w:rPr>
          <w:rFonts w:ascii="Times New Roman" w:eastAsia="Calibri" w:hAnsi="Times New Roman" w:cs="Times New Roman"/>
          <w:i/>
        </w:rPr>
        <w:t xml:space="preserve"> ir </w:t>
      </w:r>
      <w:proofErr w:type="spellStart"/>
      <w:r>
        <w:rPr>
          <w:rFonts w:ascii="Times New Roman" w:eastAsia="Calibri" w:hAnsi="Times New Roman" w:cs="Times New Roman"/>
          <w:i/>
        </w:rPr>
        <w:t>takrolimuzas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Nors šių vaistinių preparatų sąveika su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netirta, jų vartojimas kartu su bet kuriuo NVNU gali didinti </w:t>
      </w:r>
      <w:proofErr w:type="spellStart"/>
      <w:r>
        <w:rPr>
          <w:rFonts w:ascii="Times New Roman" w:eastAsia="Calibri" w:hAnsi="Times New Roman" w:cs="Times New Roman"/>
        </w:rPr>
        <w:t>ciklosporino</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takrolimuzo</w:t>
      </w:r>
      <w:proofErr w:type="spellEnd"/>
      <w:r>
        <w:rPr>
          <w:rFonts w:ascii="Times New Roman" w:eastAsia="Calibri" w:hAnsi="Times New Roman" w:cs="Times New Roman"/>
        </w:rPr>
        <w:t xml:space="preserve"> toksinį poveikį inkstams.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 kartu su bet kuriuo minėtu vaistiniu preparatu reikia stebėti inkstų funkciją.</w:t>
      </w:r>
    </w:p>
    <w:p w14:paraId="4E213CB4" w14:textId="77777777" w:rsidR="00E021D7" w:rsidRDefault="00E021D7">
      <w:pPr>
        <w:widowControl w:val="0"/>
        <w:tabs>
          <w:tab w:val="left" w:pos="567"/>
        </w:tabs>
        <w:spacing w:after="0" w:line="240" w:lineRule="auto"/>
        <w:rPr>
          <w:rFonts w:ascii="Times New Roman" w:eastAsia="Calibri" w:hAnsi="Times New Roman" w:cs="Times New Roman"/>
        </w:rPr>
      </w:pPr>
    </w:p>
    <w:p w14:paraId="6C2293FD" w14:textId="77777777" w:rsidR="00E021D7" w:rsidRDefault="009C1A2C">
      <w:pPr>
        <w:widowControl w:val="0"/>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Farmakokinetinė</w:t>
      </w:r>
      <w:proofErr w:type="spellEnd"/>
      <w:r>
        <w:rPr>
          <w:rFonts w:ascii="Times New Roman" w:eastAsia="Calibri" w:hAnsi="Times New Roman" w:cs="Times New Roman"/>
          <w:u w:val="single"/>
        </w:rPr>
        <w:t xml:space="preserve"> sąveika</w:t>
      </w:r>
    </w:p>
    <w:p w14:paraId="05943F82" w14:textId="77777777" w:rsidR="00E021D7" w:rsidRDefault="00E021D7">
      <w:pPr>
        <w:widowControl w:val="0"/>
        <w:tabs>
          <w:tab w:val="left" w:pos="567"/>
        </w:tabs>
        <w:spacing w:after="0" w:line="240" w:lineRule="auto"/>
        <w:rPr>
          <w:rFonts w:ascii="Times New Roman" w:eastAsia="Calibri" w:hAnsi="Times New Roman" w:cs="Times New Roman"/>
        </w:rPr>
      </w:pPr>
    </w:p>
    <w:p w14:paraId="2355159A"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Etorikoksibo</w:t>
      </w:r>
      <w:proofErr w:type="spellEnd"/>
      <w:r>
        <w:rPr>
          <w:rFonts w:ascii="Times New Roman" w:eastAsia="Calibri" w:hAnsi="Times New Roman" w:cs="Times New Roman"/>
          <w:i/>
        </w:rPr>
        <w:t xml:space="preserve"> poveikis kitų vaistinių preparatų farmakokinetikai</w:t>
      </w:r>
    </w:p>
    <w:p w14:paraId="122A7157" w14:textId="77777777" w:rsidR="00E021D7" w:rsidRDefault="00E021D7">
      <w:pPr>
        <w:widowControl w:val="0"/>
        <w:tabs>
          <w:tab w:val="left" w:pos="567"/>
        </w:tabs>
        <w:spacing w:after="0" w:line="240" w:lineRule="auto"/>
        <w:rPr>
          <w:rFonts w:ascii="Times New Roman" w:eastAsia="Calibri" w:hAnsi="Times New Roman" w:cs="Times New Roman"/>
          <w:i/>
        </w:rPr>
      </w:pPr>
    </w:p>
    <w:p w14:paraId="014AD98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 xml:space="preserve">Litis. </w:t>
      </w:r>
      <w:r>
        <w:rPr>
          <w:rFonts w:ascii="Times New Roman" w:eastAsia="Calibri" w:hAnsi="Times New Roman" w:cs="Times New Roman"/>
        </w:rPr>
        <w:t>NVNU mažina ličio išskyrimą pro inkstus, todėl ličio kiekis kraujo plazmoje padidėja. Jeigu būtina, reikia atidžiai stebėti ličio kiekį kraujyje ir koreguoti ličio dozę kombinuotojo gydymo metu ir kai NVNU vartojimas yra nutraukiamas.</w:t>
      </w:r>
    </w:p>
    <w:p w14:paraId="2F877EA9" w14:textId="77777777" w:rsidR="00E021D7" w:rsidRDefault="00E021D7">
      <w:pPr>
        <w:widowControl w:val="0"/>
        <w:tabs>
          <w:tab w:val="left" w:pos="567"/>
        </w:tabs>
        <w:spacing w:after="0" w:line="240" w:lineRule="auto"/>
        <w:rPr>
          <w:rFonts w:ascii="Times New Roman" w:eastAsia="Calibri" w:hAnsi="Times New Roman" w:cs="Times New Roman"/>
          <w:i/>
        </w:rPr>
      </w:pPr>
    </w:p>
    <w:p w14:paraId="7C12EDD6"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lastRenderedPageBreak/>
        <w:t>Metotreksatas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Dviejų klinikinių tyrimų metu buvo tirtas po 60 mg, 90 mg arba 120 mg kartą per parą 7 dienas vartoto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poveikis pacientams, kurie dėl reumatoidinio artrito kartą per savaitę vartojo nuo 7,5 mg iki 20 mg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dozes.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vartotas po 60 mg ir 90 mg, nedarė poveikio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koncentracijai plazmoje arba inkstų klirensui. Vieno tyrimo metu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vartojamas po 120 mg,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koncentracijai plazmoje arba inkstų klirensui įtakos nedarė, tačiau kito tyrimo metu,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dozė 28 % padidino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koncentraciją plazmoje ir 13 % sumažino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inkstų klirensą.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vartojant kartu su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rekomenduojama tinkamai stebėti, ar nepasireiškia su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vartojimu susijęs toksinis poveikis.</w:t>
      </w:r>
    </w:p>
    <w:p w14:paraId="7D3B2B47" w14:textId="77777777" w:rsidR="00E021D7" w:rsidRDefault="00E021D7">
      <w:pPr>
        <w:widowControl w:val="0"/>
        <w:tabs>
          <w:tab w:val="left" w:pos="567"/>
        </w:tabs>
        <w:spacing w:after="0" w:line="240" w:lineRule="auto"/>
        <w:rPr>
          <w:rFonts w:ascii="Times New Roman" w:eastAsia="Calibri" w:hAnsi="Times New Roman" w:cs="Times New Roman"/>
          <w:i/>
        </w:rPr>
      </w:pPr>
    </w:p>
    <w:p w14:paraId="61F8470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 xml:space="preserve">Geriamieji kontraceptikai. </w:t>
      </w:r>
      <w:r>
        <w:rPr>
          <w:rFonts w:ascii="Times New Roman" w:eastAsia="Calibri" w:hAnsi="Times New Roman" w:cs="Times New Roman"/>
        </w:rPr>
        <w:t xml:space="preserve">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 21 parą kartu su geriamuoju kontraceptiku, kuriame yra 35 </w:t>
      </w:r>
      <w:proofErr w:type="spellStart"/>
      <w:r>
        <w:rPr>
          <w:rFonts w:ascii="Times New Roman" w:eastAsia="Calibri" w:hAnsi="Times New Roman" w:cs="Times New Roman"/>
        </w:rPr>
        <w:t>mikrogramai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etinilestradiolio</w:t>
      </w:r>
      <w:proofErr w:type="spellEnd"/>
      <w:r>
        <w:rPr>
          <w:rFonts w:ascii="Times New Roman" w:eastAsia="Calibri" w:hAnsi="Times New Roman" w:cs="Times New Roman"/>
        </w:rPr>
        <w:t xml:space="preserve"> (EE) ir nuo 0,5 mg iki 1 mg </w:t>
      </w:r>
      <w:proofErr w:type="spellStart"/>
      <w:r>
        <w:rPr>
          <w:rFonts w:ascii="Times New Roman" w:eastAsia="Calibri" w:hAnsi="Times New Roman" w:cs="Times New Roman"/>
        </w:rPr>
        <w:t>noretindrono</w:t>
      </w:r>
      <w:proofErr w:type="spellEnd"/>
      <w:r>
        <w:rPr>
          <w:rFonts w:ascii="Times New Roman" w:eastAsia="Calibri" w:hAnsi="Times New Roman" w:cs="Times New Roman"/>
        </w:rPr>
        <w:t xml:space="preserve">, esant EE </w:t>
      </w:r>
      <w:proofErr w:type="spellStart"/>
      <w:r>
        <w:rPr>
          <w:rFonts w:ascii="Times New Roman" w:eastAsia="Calibri" w:hAnsi="Times New Roman" w:cs="Times New Roman"/>
        </w:rPr>
        <w:t>pusiausvyrinei</w:t>
      </w:r>
      <w:proofErr w:type="spellEnd"/>
      <w:r>
        <w:rPr>
          <w:rFonts w:ascii="Times New Roman" w:eastAsia="Calibri" w:hAnsi="Times New Roman" w:cs="Times New Roman"/>
        </w:rPr>
        <w:t xml:space="preserve"> apykaitai, jo AUC</w:t>
      </w:r>
      <w:r>
        <w:rPr>
          <w:rFonts w:ascii="Times New Roman" w:eastAsia="Calibri" w:hAnsi="Times New Roman" w:cs="Times New Roman"/>
          <w:vertAlign w:val="subscript"/>
        </w:rPr>
        <w:t>0-24val.</w:t>
      </w:r>
      <w:r>
        <w:rPr>
          <w:rFonts w:ascii="Times New Roman" w:eastAsia="Calibri" w:hAnsi="Times New Roman" w:cs="Times New Roman"/>
        </w:rPr>
        <w:t xml:space="preserve"> padidėjo 37 %.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 vartojant su tuo pačiu geriamuoju kontraceptiku kartu arba po 12 valandų pertraukos, esant EE </w:t>
      </w:r>
      <w:proofErr w:type="spellStart"/>
      <w:r>
        <w:rPr>
          <w:rFonts w:ascii="Times New Roman" w:eastAsia="Calibri" w:hAnsi="Times New Roman" w:cs="Times New Roman"/>
        </w:rPr>
        <w:t>pusiausvyrinei</w:t>
      </w:r>
      <w:proofErr w:type="spellEnd"/>
      <w:r>
        <w:rPr>
          <w:rFonts w:ascii="Times New Roman" w:eastAsia="Calibri" w:hAnsi="Times New Roman" w:cs="Times New Roman"/>
        </w:rPr>
        <w:t xml:space="preserve"> apykaitai, jo AUC</w:t>
      </w:r>
      <w:r>
        <w:rPr>
          <w:rFonts w:ascii="Times New Roman" w:eastAsia="Calibri" w:hAnsi="Times New Roman" w:cs="Times New Roman"/>
          <w:vertAlign w:val="subscript"/>
        </w:rPr>
        <w:t>0-24val.</w:t>
      </w:r>
      <w:r>
        <w:rPr>
          <w:rFonts w:ascii="Times New Roman" w:eastAsia="Calibri" w:hAnsi="Times New Roman" w:cs="Times New Roman"/>
        </w:rPr>
        <w:t xml:space="preserve"> padidėjo nuo 50 % iki 60 %. Šį EE koncentracijos padidėjimą reikia turėti omenyje parenkant geriamąjį kontraceptiką vartoti kartu su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Padidėjus EE ekspozicijai, gali padažnėti su geriamaisiais kontraceptikais susijusių nepageidaujamų reiškinių (pvz., venų tromboembolijos reiškinių rizikos grupės moterims) atvejai.</w:t>
      </w:r>
    </w:p>
    <w:p w14:paraId="0CCA3B67" w14:textId="77777777" w:rsidR="00E021D7" w:rsidRDefault="00E021D7">
      <w:pPr>
        <w:widowControl w:val="0"/>
        <w:tabs>
          <w:tab w:val="left" w:pos="567"/>
        </w:tabs>
        <w:spacing w:after="0" w:line="240" w:lineRule="auto"/>
        <w:rPr>
          <w:rFonts w:ascii="Times New Roman" w:eastAsia="Calibri" w:hAnsi="Times New Roman" w:cs="Times New Roman"/>
        </w:rPr>
      </w:pPr>
    </w:p>
    <w:p w14:paraId="4555A00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 xml:space="preserve">Pakeičiamoji hormonų terapija (PHT). </w:t>
      </w:r>
      <w:r>
        <w:rPr>
          <w:rFonts w:ascii="Times New Roman" w:eastAsia="Calibri" w:hAnsi="Times New Roman" w:cs="Times New Roman"/>
        </w:rPr>
        <w:t xml:space="preserve">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vartojus 28 dienas kartu su pakeičiamąja hormonų terapija </w:t>
      </w:r>
      <w:proofErr w:type="spellStart"/>
      <w:r>
        <w:rPr>
          <w:rFonts w:ascii="Times New Roman" w:eastAsia="Calibri" w:hAnsi="Times New Roman" w:cs="Times New Roman"/>
        </w:rPr>
        <w:t>konjuguotais</w:t>
      </w:r>
      <w:proofErr w:type="spellEnd"/>
      <w:r>
        <w:rPr>
          <w:rFonts w:ascii="Times New Roman" w:eastAsia="Calibri" w:hAnsi="Times New Roman" w:cs="Times New Roman"/>
        </w:rPr>
        <w:t xml:space="preserve"> estrogenais (PREMARIN</w:t>
      </w:r>
      <w:r>
        <w:rPr>
          <w:rFonts w:ascii="Times New Roman" w:eastAsia="Calibri" w:hAnsi="Times New Roman" w:cs="Times New Roman"/>
          <w:vertAlign w:val="superscript"/>
        </w:rPr>
        <w:t>TM</w:t>
      </w:r>
      <w:r>
        <w:rPr>
          <w:rFonts w:ascii="Times New Roman" w:eastAsia="Calibri" w:hAnsi="Times New Roman" w:cs="Times New Roman"/>
        </w:rPr>
        <w:t xml:space="preserve"> 0,625 mg), esant </w:t>
      </w:r>
      <w:proofErr w:type="spellStart"/>
      <w:r>
        <w:rPr>
          <w:rFonts w:ascii="Times New Roman" w:eastAsia="Calibri" w:hAnsi="Times New Roman" w:cs="Times New Roman"/>
        </w:rPr>
        <w:t>nekonjuguoto</w:t>
      </w:r>
      <w:proofErr w:type="spellEnd"/>
      <w:r>
        <w:rPr>
          <w:rFonts w:ascii="Times New Roman" w:eastAsia="Calibri" w:hAnsi="Times New Roman" w:cs="Times New Roman"/>
        </w:rPr>
        <w:t xml:space="preserve"> estrono, </w:t>
      </w:r>
      <w:proofErr w:type="spellStart"/>
      <w:r>
        <w:rPr>
          <w:rFonts w:ascii="Times New Roman" w:eastAsia="Calibri" w:hAnsi="Times New Roman" w:cs="Times New Roman"/>
        </w:rPr>
        <w:t>ekvilino</w:t>
      </w:r>
      <w:proofErr w:type="spellEnd"/>
      <w:r>
        <w:rPr>
          <w:rFonts w:ascii="Times New Roman" w:eastAsia="Calibri" w:hAnsi="Times New Roman" w:cs="Times New Roman"/>
        </w:rPr>
        <w:t xml:space="preserve"> ir 17-beta-estradiolio </w:t>
      </w:r>
      <w:proofErr w:type="spellStart"/>
      <w:r>
        <w:rPr>
          <w:rFonts w:ascii="Times New Roman" w:eastAsia="Calibri" w:hAnsi="Times New Roman" w:cs="Times New Roman"/>
        </w:rPr>
        <w:t>pusiausvyrinei</w:t>
      </w:r>
      <w:proofErr w:type="spellEnd"/>
      <w:r>
        <w:rPr>
          <w:rFonts w:ascii="Times New Roman" w:eastAsia="Calibri" w:hAnsi="Times New Roman" w:cs="Times New Roman"/>
        </w:rPr>
        <w:t xml:space="preserve"> apykaitai, jų AUC</w:t>
      </w:r>
      <w:r>
        <w:rPr>
          <w:rFonts w:ascii="Times New Roman" w:eastAsia="Calibri" w:hAnsi="Times New Roman" w:cs="Times New Roman"/>
          <w:vertAlign w:val="subscript"/>
        </w:rPr>
        <w:t>0-24val.</w:t>
      </w:r>
      <w:r>
        <w:rPr>
          <w:rFonts w:ascii="Times New Roman" w:eastAsia="Calibri" w:hAnsi="Times New Roman" w:cs="Times New Roman"/>
        </w:rPr>
        <w:t xml:space="preserve"> padidėjo atitinkamai 41 %, 76 % ir 22 %. Rekomenduojamų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dozių (30 mg, 60 mg ir 90 mg) poveikis, jo vartojant nuolat, netirtas. Vartojant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šių </w:t>
      </w:r>
      <w:proofErr w:type="spellStart"/>
      <w:r>
        <w:rPr>
          <w:rFonts w:ascii="Times New Roman" w:eastAsia="Calibri" w:hAnsi="Times New Roman" w:cs="Times New Roman"/>
        </w:rPr>
        <w:t>estrogeninių</w:t>
      </w:r>
      <w:proofErr w:type="spellEnd"/>
      <w:r>
        <w:rPr>
          <w:rFonts w:ascii="Times New Roman" w:eastAsia="Calibri" w:hAnsi="Times New Roman" w:cs="Times New Roman"/>
        </w:rPr>
        <w:t xml:space="preserve"> PREMARIN sudedamųjų dalių ekspozicija (AUC</w:t>
      </w:r>
      <w:r>
        <w:rPr>
          <w:rFonts w:ascii="Times New Roman" w:eastAsia="Calibri" w:hAnsi="Times New Roman" w:cs="Times New Roman"/>
          <w:vertAlign w:val="subscript"/>
        </w:rPr>
        <w:t>0-24val.</w:t>
      </w:r>
      <w:r>
        <w:rPr>
          <w:rFonts w:ascii="Times New Roman" w:eastAsia="Calibri" w:hAnsi="Times New Roman" w:cs="Times New Roman"/>
        </w:rPr>
        <w:t xml:space="preserve">) buvo mažesnė daugiau kaip du kartus, lyginant su būnančia vartojant vieno PREMARIN ir jo dozę padidinus nuo 0,625 mg iki 1,25 mg. Šių padidėjimų klinikinė reikšmė nežinoma, didesnių PREMARIN dozių vartojimas kartu su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netirtas. Parenkant </w:t>
      </w:r>
      <w:proofErr w:type="spellStart"/>
      <w:r>
        <w:rPr>
          <w:rFonts w:ascii="Times New Roman" w:eastAsia="Calibri" w:hAnsi="Times New Roman" w:cs="Times New Roman"/>
        </w:rPr>
        <w:t>pomenopauzinę</w:t>
      </w:r>
      <w:proofErr w:type="spellEnd"/>
      <w:r>
        <w:rPr>
          <w:rFonts w:ascii="Times New Roman" w:eastAsia="Calibri" w:hAnsi="Times New Roman" w:cs="Times New Roman"/>
        </w:rPr>
        <w:t xml:space="preserve"> hormonų terapiją vartoti kartu su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reikia turėti omenyje šiuos estrogenų koncentracijos padidėjimus, nes padidėjusi estrogenų ekspozicija galėtų padidinti su PHT susijusių nepageidaujamų reiškinių riziką.</w:t>
      </w:r>
    </w:p>
    <w:p w14:paraId="00EA176D" w14:textId="77777777" w:rsidR="00E021D7" w:rsidRDefault="00E021D7">
      <w:pPr>
        <w:widowControl w:val="0"/>
        <w:tabs>
          <w:tab w:val="left" w:pos="567"/>
        </w:tabs>
        <w:spacing w:after="0" w:line="240" w:lineRule="auto"/>
        <w:rPr>
          <w:rFonts w:ascii="Times New Roman" w:eastAsia="Calibri" w:hAnsi="Times New Roman" w:cs="Times New Roman"/>
        </w:rPr>
      </w:pPr>
    </w:p>
    <w:p w14:paraId="2F91580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i/>
        </w:rPr>
        <w:t xml:space="preserve">Prednizonas/prednizolonas. </w:t>
      </w:r>
      <w:r>
        <w:rPr>
          <w:rFonts w:ascii="Times New Roman" w:eastAsia="Calibri" w:hAnsi="Times New Roman" w:cs="Times New Roman"/>
        </w:rPr>
        <w:t xml:space="preserve">Vaistinių preparatų sąveikos tyrimų metu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kliniškai svarbaus poveikio prednizono/prednizolono farmakokinetikai nedarė.</w:t>
      </w:r>
    </w:p>
    <w:p w14:paraId="75EA3365" w14:textId="77777777" w:rsidR="00E021D7" w:rsidRDefault="00E021D7">
      <w:pPr>
        <w:widowControl w:val="0"/>
        <w:tabs>
          <w:tab w:val="left" w:pos="567"/>
        </w:tabs>
        <w:spacing w:after="0" w:line="240" w:lineRule="auto"/>
        <w:rPr>
          <w:rFonts w:ascii="Times New Roman" w:eastAsia="Calibri" w:hAnsi="Times New Roman" w:cs="Times New Roman"/>
        </w:rPr>
      </w:pPr>
    </w:p>
    <w:p w14:paraId="34C299E6"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Digoksinas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Sveikiems savanoriams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vartojimas po 120 mg kartą per parą 10 dienų esant dioksino </w:t>
      </w:r>
      <w:proofErr w:type="spellStart"/>
      <w:r>
        <w:rPr>
          <w:rFonts w:ascii="Times New Roman" w:eastAsia="Calibri" w:hAnsi="Times New Roman" w:cs="Times New Roman"/>
        </w:rPr>
        <w:t>pusiausvyrinei</w:t>
      </w:r>
      <w:proofErr w:type="spellEnd"/>
      <w:r>
        <w:rPr>
          <w:rFonts w:ascii="Times New Roman" w:eastAsia="Calibri" w:hAnsi="Times New Roman" w:cs="Times New Roman"/>
        </w:rPr>
        <w:t xml:space="preserve"> apykaitai nekeitė </w:t>
      </w: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AUC</w:t>
      </w:r>
      <w:r>
        <w:rPr>
          <w:rFonts w:ascii="Times New Roman" w:eastAsia="Calibri" w:hAnsi="Times New Roman" w:cs="Times New Roman"/>
          <w:vertAlign w:val="subscript"/>
        </w:rPr>
        <w:t>0-24val.</w:t>
      </w:r>
      <w:r>
        <w:rPr>
          <w:rFonts w:ascii="Times New Roman" w:eastAsia="Calibri" w:hAnsi="Times New Roman" w:cs="Times New Roman"/>
        </w:rPr>
        <w:t xml:space="preserve"> ar šalinimo pro inkstus. </w:t>
      </w: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w:t>
      </w:r>
      <w:r>
        <w:rPr>
          <w:rFonts w:ascii="Times New Roman" w:eastAsia="Calibri" w:hAnsi="Times New Roman" w:cs="Times New Roman"/>
          <w:vertAlign w:val="subscript"/>
        </w:rPr>
        <w:t>max</w:t>
      </w:r>
      <w:proofErr w:type="spellEnd"/>
      <w:r>
        <w:rPr>
          <w:rFonts w:ascii="Times New Roman" w:eastAsia="Calibri" w:hAnsi="Times New Roman" w:cs="Times New Roman"/>
        </w:rPr>
        <w:t xml:space="preserve"> padidėjo (maždaug 33 %). Daugumai pacientų tai neturi reikšmės. Vis dėlto pacientus, kuriems yra didelė </w:t>
      </w: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toksinio poveikio rizika, reikia atidžiai stebėti dėl šio poveikio, jeigu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vartojama kartu su </w:t>
      </w:r>
      <w:proofErr w:type="spellStart"/>
      <w:r>
        <w:rPr>
          <w:rFonts w:ascii="Times New Roman" w:eastAsia="Calibri" w:hAnsi="Times New Roman" w:cs="Times New Roman"/>
        </w:rPr>
        <w:t>digoksinu</w:t>
      </w:r>
      <w:proofErr w:type="spellEnd"/>
      <w:r>
        <w:rPr>
          <w:rFonts w:ascii="Times New Roman" w:eastAsia="Calibri" w:hAnsi="Times New Roman" w:cs="Times New Roman"/>
        </w:rPr>
        <w:t>.</w:t>
      </w:r>
    </w:p>
    <w:p w14:paraId="2896D383" w14:textId="77777777" w:rsidR="00E021D7" w:rsidRDefault="00E021D7">
      <w:pPr>
        <w:widowControl w:val="0"/>
        <w:tabs>
          <w:tab w:val="left" w:pos="567"/>
        </w:tabs>
        <w:spacing w:after="0" w:line="240" w:lineRule="auto"/>
        <w:rPr>
          <w:rFonts w:ascii="Times New Roman" w:eastAsia="Calibri" w:hAnsi="Times New Roman" w:cs="Times New Roman"/>
        </w:rPr>
      </w:pPr>
    </w:p>
    <w:p w14:paraId="3D3D22F4"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Etorikoksibo</w:t>
      </w:r>
      <w:proofErr w:type="spellEnd"/>
      <w:r>
        <w:rPr>
          <w:rFonts w:ascii="Times New Roman" w:eastAsia="Calibri" w:hAnsi="Times New Roman" w:cs="Times New Roman"/>
          <w:i/>
        </w:rPr>
        <w:t xml:space="preserve"> poveikis vaistiniams preparatams, kuriuos </w:t>
      </w:r>
      <w:proofErr w:type="spellStart"/>
      <w:r>
        <w:rPr>
          <w:rFonts w:ascii="Times New Roman" w:eastAsia="Calibri" w:hAnsi="Times New Roman" w:cs="Times New Roman"/>
          <w:i/>
        </w:rPr>
        <w:t>metabolizuoja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sulfotransferazės</w:t>
      </w:r>
      <w:proofErr w:type="spellEnd"/>
    </w:p>
    <w:p w14:paraId="6D72C6BA"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slopina žmogaus </w:t>
      </w:r>
      <w:proofErr w:type="spellStart"/>
      <w:r>
        <w:rPr>
          <w:rFonts w:ascii="Times New Roman" w:eastAsia="Calibri" w:hAnsi="Times New Roman" w:cs="Times New Roman"/>
        </w:rPr>
        <w:t>sulfotransferazių</w:t>
      </w:r>
      <w:proofErr w:type="spellEnd"/>
      <w:r>
        <w:rPr>
          <w:rFonts w:ascii="Times New Roman" w:eastAsia="Calibri" w:hAnsi="Times New Roman" w:cs="Times New Roman"/>
        </w:rPr>
        <w:t xml:space="preserve">, ypač SULT1E1, aktyvumą ir buvo įrodyta, kad didina </w:t>
      </w:r>
      <w:proofErr w:type="spellStart"/>
      <w:r>
        <w:rPr>
          <w:rFonts w:ascii="Times New Roman" w:eastAsia="Calibri" w:hAnsi="Times New Roman" w:cs="Times New Roman"/>
        </w:rPr>
        <w:t>etinilestradiolio</w:t>
      </w:r>
      <w:proofErr w:type="spellEnd"/>
      <w:r>
        <w:rPr>
          <w:rFonts w:ascii="Times New Roman" w:eastAsia="Calibri" w:hAnsi="Times New Roman" w:cs="Times New Roman"/>
        </w:rPr>
        <w:t xml:space="preserve"> koncentraciją kraujo plazmoje. Kadangi šiuo metu trūksta žinių apie daugybinių </w:t>
      </w:r>
      <w:proofErr w:type="spellStart"/>
      <w:r>
        <w:rPr>
          <w:rFonts w:ascii="Times New Roman" w:eastAsia="Calibri" w:hAnsi="Times New Roman" w:cs="Times New Roman"/>
        </w:rPr>
        <w:t>sulfotransferazių</w:t>
      </w:r>
      <w:proofErr w:type="spellEnd"/>
      <w:r>
        <w:rPr>
          <w:rFonts w:ascii="Times New Roman" w:eastAsia="Calibri" w:hAnsi="Times New Roman" w:cs="Times New Roman"/>
        </w:rPr>
        <w:t xml:space="preserve"> poveikį ir jų klinikinė reikšmė daugeliui vaistinių preparatų vis dar tiriama, reikalinga laikytis atsargumo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 kartu su kitais vaistiniais preparatais, kuriuos pirmiausiai </w:t>
      </w:r>
      <w:proofErr w:type="spellStart"/>
      <w:r>
        <w:rPr>
          <w:rFonts w:ascii="Times New Roman" w:eastAsia="Calibri" w:hAnsi="Times New Roman" w:cs="Times New Roman"/>
        </w:rPr>
        <w:t>metabolizuoja</w:t>
      </w:r>
      <w:proofErr w:type="spellEnd"/>
      <w:r>
        <w:rPr>
          <w:rFonts w:ascii="Times New Roman" w:eastAsia="Calibri" w:hAnsi="Times New Roman" w:cs="Times New Roman"/>
        </w:rPr>
        <w:t xml:space="preserve"> žmogaus </w:t>
      </w:r>
      <w:proofErr w:type="spellStart"/>
      <w:r>
        <w:rPr>
          <w:rFonts w:ascii="Times New Roman" w:eastAsia="Calibri" w:hAnsi="Times New Roman" w:cs="Times New Roman"/>
        </w:rPr>
        <w:t>sulfotransferazės</w:t>
      </w:r>
      <w:proofErr w:type="spellEnd"/>
      <w:r>
        <w:rPr>
          <w:rFonts w:ascii="Times New Roman" w:eastAsia="Calibri" w:hAnsi="Times New Roman" w:cs="Times New Roman"/>
        </w:rPr>
        <w:t xml:space="preserve"> (pvz., geriamuoju </w:t>
      </w:r>
      <w:proofErr w:type="spellStart"/>
      <w:r>
        <w:rPr>
          <w:rFonts w:ascii="Times New Roman" w:eastAsia="Calibri" w:hAnsi="Times New Roman" w:cs="Times New Roman"/>
        </w:rPr>
        <w:t>salbutamoliu</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minoksidiliu</w:t>
      </w:r>
      <w:proofErr w:type="spellEnd"/>
      <w:r>
        <w:rPr>
          <w:rFonts w:ascii="Times New Roman" w:eastAsia="Calibri" w:hAnsi="Times New Roman" w:cs="Times New Roman"/>
        </w:rPr>
        <w:t>).</w:t>
      </w:r>
    </w:p>
    <w:p w14:paraId="673EB079" w14:textId="77777777" w:rsidR="00E021D7" w:rsidRDefault="00E021D7">
      <w:pPr>
        <w:widowControl w:val="0"/>
        <w:tabs>
          <w:tab w:val="left" w:pos="567"/>
        </w:tabs>
        <w:spacing w:after="0" w:line="240" w:lineRule="auto"/>
        <w:rPr>
          <w:rFonts w:ascii="Times New Roman" w:eastAsia="Calibri" w:hAnsi="Times New Roman" w:cs="Times New Roman"/>
        </w:rPr>
      </w:pPr>
    </w:p>
    <w:p w14:paraId="6B05092A"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Etorikoksibo</w:t>
      </w:r>
      <w:proofErr w:type="spellEnd"/>
      <w:r>
        <w:rPr>
          <w:rFonts w:ascii="Times New Roman" w:eastAsia="Calibri" w:hAnsi="Times New Roman" w:cs="Times New Roman"/>
          <w:i/>
        </w:rPr>
        <w:t xml:space="preserve"> poveikis vaistiniams preparatams, kuriuos </w:t>
      </w:r>
      <w:proofErr w:type="spellStart"/>
      <w:r>
        <w:rPr>
          <w:rFonts w:ascii="Times New Roman" w:eastAsia="Calibri" w:hAnsi="Times New Roman" w:cs="Times New Roman"/>
          <w:i/>
        </w:rPr>
        <w:t>metabolizuoja</w:t>
      </w:r>
      <w:proofErr w:type="spellEnd"/>
      <w:r>
        <w:rPr>
          <w:rFonts w:ascii="Times New Roman" w:eastAsia="Calibri" w:hAnsi="Times New Roman" w:cs="Times New Roman"/>
          <w:i/>
        </w:rPr>
        <w:t xml:space="preserve"> CYP </w:t>
      </w:r>
      <w:proofErr w:type="spellStart"/>
      <w:r>
        <w:rPr>
          <w:rFonts w:ascii="Times New Roman" w:eastAsia="Calibri" w:hAnsi="Times New Roman" w:cs="Times New Roman"/>
          <w:i/>
        </w:rPr>
        <w:t>izofermentai</w:t>
      </w:r>
      <w:proofErr w:type="spellEnd"/>
    </w:p>
    <w:p w14:paraId="3B3D901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Remiantis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vitro</w:t>
      </w:r>
      <w:proofErr w:type="spellEnd"/>
      <w:r>
        <w:rPr>
          <w:rFonts w:ascii="Times New Roman" w:eastAsia="Calibri" w:hAnsi="Times New Roman" w:cs="Times New Roman"/>
        </w:rPr>
        <w:t xml:space="preserve"> tyrimais, nesitikima, kad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slopins </w:t>
      </w:r>
      <w:proofErr w:type="spellStart"/>
      <w:r>
        <w:rPr>
          <w:rFonts w:ascii="Times New Roman" w:eastAsia="Calibri" w:hAnsi="Times New Roman" w:cs="Times New Roman"/>
        </w:rPr>
        <w:t>citochromus</w:t>
      </w:r>
      <w:proofErr w:type="spellEnd"/>
      <w:r>
        <w:rPr>
          <w:rFonts w:ascii="Times New Roman" w:eastAsia="Calibri" w:hAnsi="Times New Roman" w:cs="Times New Roman"/>
        </w:rPr>
        <w:t xml:space="preserve"> P450 (CYP) 1A2, 2C9, 2C19, 2D6, 2E1 arba 3A4. Tyrimo su sveikais savanoriais metu kasdieninis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vartojimas nepaveikė kepenų CYP3A4 aktyvumo, įvertinto </w:t>
      </w:r>
      <w:proofErr w:type="spellStart"/>
      <w:r>
        <w:rPr>
          <w:rFonts w:ascii="Times New Roman" w:eastAsia="Calibri" w:hAnsi="Times New Roman" w:cs="Times New Roman"/>
        </w:rPr>
        <w:t>eritromicino</w:t>
      </w:r>
      <w:proofErr w:type="spellEnd"/>
      <w:r>
        <w:rPr>
          <w:rFonts w:ascii="Times New Roman" w:eastAsia="Calibri" w:hAnsi="Times New Roman" w:cs="Times New Roman"/>
        </w:rPr>
        <w:t xml:space="preserve"> iškvėpimo testu.</w:t>
      </w:r>
    </w:p>
    <w:p w14:paraId="43CD7156" w14:textId="77777777" w:rsidR="00E021D7" w:rsidRDefault="00E021D7">
      <w:pPr>
        <w:widowControl w:val="0"/>
        <w:tabs>
          <w:tab w:val="left" w:pos="567"/>
        </w:tabs>
        <w:spacing w:after="0" w:line="240" w:lineRule="auto"/>
        <w:rPr>
          <w:rFonts w:ascii="Times New Roman" w:eastAsia="Calibri" w:hAnsi="Times New Roman" w:cs="Times New Roman"/>
        </w:rPr>
      </w:pPr>
    </w:p>
    <w:p w14:paraId="3B81C5D0"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 xml:space="preserve">Kitų vaistinių preparatų poveikis </w:t>
      </w:r>
      <w:proofErr w:type="spellStart"/>
      <w:r>
        <w:rPr>
          <w:rFonts w:ascii="Times New Roman" w:eastAsia="Calibri" w:hAnsi="Times New Roman" w:cs="Times New Roman"/>
          <w:i/>
        </w:rPr>
        <w:t>etorikoksibo</w:t>
      </w:r>
      <w:proofErr w:type="spellEnd"/>
      <w:r>
        <w:rPr>
          <w:rFonts w:ascii="Times New Roman" w:eastAsia="Calibri" w:hAnsi="Times New Roman" w:cs="Times New Roman"/>
          <w:i/>
        </w:rPr>
        <w:t xml:space="preserve"> farmakokinetikai</w:t>
      </w:r>
    </w:p>
    <w:p w14:paraId="7C8E80A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Pagrindinis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metabolizmo kelias priklauso nuo CYP fermentų. Manoma, kad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vivo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metabolizuojant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etorikoksibą</w:t>
      </w:r>
      <w:proofErr w:type="spellEnd"/>
      <w:r>
        <w:rPr>
          <w:rFonts w:ascii="Times New Roman" w:eastAsia="Calibri" w:hAnsi="Times New Roman" w:cs="Times New Roman"/>
        </w:rPr>
        <w:t xml:space="preserve"> dalyvauja CYP3A4.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vitro</w:t>
      </w:r>
      <w:proofErr w:type="spellEnd"/>
      <w:r>
        <w:rPr>
          <w:rFonts w:ascii="Times New Roman" w:eastAsia="Calibri" w:hAnsi="Times New Roman" w:cs="Times New Roman"/>
        </w:rPr>
        <w:t xml:space="preserve"> tyrimais nustatyta, kad CYP2D6, CYP2C9, CYP1A2 ir CYP2C19 taip pat gali katalizuoti pagrindinį metabolizmo kelią, bet jų kiekybinis vaidmuo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vivo</w:t>
      </w:r>
      <w:proofErr w:type="spellEnd"/>
      <w:r>
        <w:rPr>
          <w:rFonts w:ascii="Times New Roman" w:eastAsia="Calibri" w:hAnsi="Times New Roman" w:cs="Times New Roman"/>
        </w:rPr>
        <w:t xml:space="preserve"> netirtas.</w:t>
      </w:r>
    </w:p>
    <w:p w14:paraId="01EB2499" w14:textId="77777777" w:rsidR="00E021D7" w:rsidRDefault="00E021D7">
      <w:pPr>
        <w:widowControl w:val="0"/>
        <w:tabs>
          <w:tab w:val="left" w:pos="567"/>
        </w:tabs>
        <w:spacing w:after="0" w:line="240" w:lineRule="auto"/>
        <w:rPr>
          <w:rFonts w:ascii="Times New Roman" w:eastAsia="Calibri" w:hAnsi="Times New Roman" w:cs="Times New Roman"/>
        </w:rPr>
      </w:pPr>
    </w:p>
    <w:p w14:paraId="34E7BA74"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Ketokonazolas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Stiprus CYP3A4 inhibitorius </w:t>
      </w:r>
      <w:proofErr w:type="spellStart"/>
      <w:r>
        <w:rPr>
          <w:rFonts w:ascii="Times New Roman" w:eastAsia="Calibri" w:hAnsi="Times New Roman" w:cs="Times New Roman"/>
        </w:rPr>
        <w:t>ketokonazolas</w:t>
      </w:r>
      <w:proofErr w:type="spellEnd"/>
      <w:r>
        <w:rPr>
          <w:rFonts w:ascii="Times New Roman" w:eastAsia="Calibri" w:hAnsi="Times New Roman" w:cs="Times New Roman"/>
        </w:rPr>
        <w:t xml:space="preserve">, skiriamas sveikiems savanoriams po 400 mg kartą per parą 11 dienų, kliniškai svarbaus poveikio vienkartinės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dozės farmakokinetikai nedarė (AUC padidėjo 43 %).</w:t>
      </w:r>
    </w:p>
    <w:p w14:paraId="38E8C8D0" w14:textId="77777777" w:rsidR="00E021D7" w:rsidRDefault="00E021D7">
      <w:pPr>
        <w:widowControl w:val="0"/>
        <w:tabs>
          <w:tab w:val="left" w:pos="567"/>
        </w:tabs>
        <w:spacing w:after="0" w:line="240" w:lineRule="auto"/>
        <w:rPr>
          <w:rFonts w:ascii="Times New Roman" w:eastAsia="Calibri" w:hAnsi="Times New Roman" w:cs="Times New Roman"/>
          <w:i/>
        </w:rPr>
      </w:pPr>
    </w:p>
    <w:p w14:paraId="556CA7C8"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Vorikonazolas</w:t>
      </w:r>
      <w:proofErr w:type="spellEnd"/>
      <w:r>
        <w:rPr>
          <w:rFonts w:ascii="Times New Roman" w:eastAsia="Calibri" w:hAnsi="Times New Roman" w:cs="Times New Roman"/>
          <w:i/>
        </w:rPr>
        <w:t xml:space="preserve"> ir </w:t>
      </w:r>
      <w:proofErr w:type="spellStart"/>
      <w:r>
        <w:rPr>
          <w:rFonts w:ascii="Times New Roman" w:eastAsia="Calibri" w:hAnsi="Times New Roman" w:cs="Times New Roman"/>
          <w:i/>
        </w:rPr>
        <w:t>mikonazolas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Kartu su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vartojant stiprius CYP3A4 inhibitorius, geriamąjį </w:t>
      </w:r>
      <w:proofErr w:type="spellStart"/>
      <w:r>
        <w:rPr>
          <w:rFonts w:ascii="Times New Roman" w:eastAsia="Calibri" w:hAnsi="Times New Roman" w:cs="Times New Roman"/>
        </w:rPr>
        <w:t>vorikonazolą</w:t>
      </w:r>
      <w:proofErr w:type="spellEnd"/>
      <w:r>
        <w:rPr>
          <w:rFonts w:ascii="Times New Roman" w:eastAsia="Calibri" w:hAnsi="Times New Roman" w:cs="Times New Roman"/>
        </w:rPr>
        <w:t xml:space="preserve"> arba lokaliai vartojamą </w:t>
      </w:r>
      <w:proofErr w:type="spellStart"/>
      <w:r>
        <w:rPr>
          <w:rFonts w:ascii="Times New Roman" w:eastAsia="Calibri" w:hAnsi="Times New Roman" w:cs="Times New Roman"/>
        </w:rPr>
        <w:t>mikonazolo</w:t>
      </w:r>
      <w:proofErr w:type="spellEnd"/>
      <w:r>
        <w:rPr>
          <w:rFonts w:ascii="Times New Roman" w:eastAsia="Calibri" w:hAnsi="Times New Roman" w:cs="Times New Roman"/>
        </w:rPr>
        <w:t xml:space="preserve"> burnos gelį, šiek tiek padidėjo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ekspozicija, tačiau remiantis paskelbtais duomenimis tai nelaikoma kliniškai reikšminga.</w:t>
      </w:r>
    </w:p>
    <w:p w14:paraId="446D83CA" w14:textId="77777777" w:rsidR="00E021D7" w:rsidRDefault="00E021D7">
      <w:pPr>
        <w:widowControl w:val="0"/>
        <w:tabs>
          <w:tab w:val="left" w:pos="567"/>
        </w:tabs>
        <w:spacing w:after="0" w:line="240" w:lineRule="auto"/>
        <w:rPr>
          <w:rFonts w:ascii="Times New Roman" w:eastAsia="Calibri" w:hAnsi="Times New Roman" w:cs="Times New Roman"/>
        </w:rPr>
      </w:pPr>
    </w:p>
    <w:p w14:paraId="3865B7F2"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Rifampicinas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 kartu su stipriu CYP fermentų </w:t>
      </w:r>
      <w:proofErr w:type="spellStart"/>
      <w:r>
        <w:rPr>
          <w:rFonts w:ascii="Times New Roman" w:eastAsia="Calibri" w:hAnsi="Times New Roman" w:cs="Times New Roman"/>
        </w:rPr>
        <w:t>induktoriumi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rifampicinu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koncentracija kraujo plazmoje sumažėjo 65 %. Dėl šios sąveikos,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vartojant kartu su </w:t>
      </w:r>
      <w:proofErr w:type="spellStart"/>
      <w:r>
        <w:rPr>
          <w:rFonts w:ascii="Times New Roman" w:eastAsia="Calibri" w:hAnsi="Times New Roman" w:cs="Times New Roman"/>
        </w:rPr>
        <w:t>rifampicinu</w:t>
      </w:r>
      <w:proofErr w:type="spellEnd"/>
      <w:r>
        <w:rPr>
          <w:rFonts w:ascii="Times New Roman" w:eastAsia="Calibri" w:hAnsi="Times New Roman" w:cs="Times New Roman"/>
        </w:rPr>
        <w:t xml:space="preserve">, gali atsinaujinti simptomai. Nors, atsižvelgiant į šiuos duomenis, galima būtų didinti dozę, tačiau didesnės negu kiekvienai indikacijai išvardytos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dozės vartojimas kartu su </w:t>
      </w:r>
      <w:proofErr w:type="spellStart"/>
      <w:r>
        <w:rPr>
          <w:rFonts w:ascii="Times New Roman" w:eastAsia="Calibri" w:hAnsi="Times New Roman" w:cs="Times New Roman"/>
        </w:rPr>
        <w:t>rifampicinu</w:t>
      </w:r>
      <w:proofErr w:type="spellEnd"/>
      <w:r>
        <w:rPr>
          <w:rFonts w:ascii="Times New Roman" w:eastAsia="Calibri" w:hAnsi="Times New Roman" w:cs="Times New Roman"/>
        </w:rPr>
        <w:t xml:space="preserve"> nebuvo tirtas, todėl tai yra nerekomenduojama (žr. 4.2 skyrių).</w:t>
      </w:r>
    </w:p>
    <w:p w14:paraId="314E9768" w14:textId="77777777" w:rsidR="00E021D7" w:rsidRDefault="00E021D7">
      <w:pPr>
        <w:widowControl w:val="0"/>
        <w:tabs>
          <w:tab w:val="left" w:pos="567"/>
        </w:tabs>
        <w:spacing w:after="0" w:line="240" w:lineRule="auto"/>
        <w:rPr>
          <w:rFonts w:ascii="Times New Roman" w:eastAsia="Calibri" w:hAnsi="Times New Roman" w:cs="Times New Roman"/>
        </w:rPr>
      </w:pPr>
    </w:p>
    <w:p w14:paraId="2F13381D"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i/>
        </w:rPr>
        <w:t>Antacidiniai</w:t>
      </w:r>
      <w:proofErr w:type="spellEnd"/>
      <w:r>
        <w:rPr>
          <w:rFonts w:ascii="Times New Roman" w:eastAsia="Calibri" w:hAnsi="Times New Roman" w:cs="Times New Roman"/>
          <w:i/>
        </w:rPr>
        <w:t xml:space="preserve"> vaistiniai preparatai. </w:t>
      </w:r>
      <w:proofErr w:type="spellStart"/>
      <w:r>
        <w:rPr>
          <w:rFonts w:ascii="Times New Roman" w:eastAsia="Calibri" w:hAnsi="Times New Roman" w:cs="Times New Roman"/>
        </w:rPr>
        <w:t>Antacidiniai</w:t>
      </w:r>
      <w:proofErr w:type="spellEnd"/>
      <w:r>
        <w:rPr>
          <w:rFonts w:ascii="Times New Roman" w:eastAsia="Calibri" w:hAnsi="Times New Roman" w:cs="Times New Roman"/>
        </w:rPr>
        <w:t xml:space="preserve"> vaistiniai preparatai neveikia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farmakokinetikos kliniškai reikšmingu lygiu.</w:t>
      </w:r>
    </w:p>
    <w:p w14:paraId="0F5C8761" w14:textId="77777777" w:rsidR="00E021D7" w:rsidRDefault="00E021D7">
      <w:pPr>
        <w:widowControl w:val="0"/>
        <w:tabs>
          <w:tab w:val="left" w:pos="567"/>
        </w:tabs>
        <w:spacing w:after="0" w:line="240" w:lineRule="auto"/>
        <w:rPr>
          <w:rFonts w:ascii="Times New Roman" w:eastAsia="Calibri" w:hAnsi="Times New Roman" w:cs="Times New Roman"/>
        </w:rPr>
      </w:pPr>
    </w:p>
    <w:p w14:paraId="6BC25BB8"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4.6</w:t>
      </w:r>
      <w:r>
        <w:rPr>
          <w:rFonts w:ascii="Times New Roman" w:eastAsia="Calibri" w:hAnsi="Times New Roman" w:cs="Times New Roman"/>
          <w:b/>
        </w:rPr>
        <w:tab/>
        <w:t>Vaisingumas, nėštumo ir žindymo laikotarpis</w:t>
      </w:r>
    </w:p>
    <w:p w14:paraId="1A4586A0" w14:textId="77777777" w:rsidR="00E021D7" w:rsidRDefault="00E021D7">
      <w:pPr>
        <w:widowControl w:val="0"/>
        <w:tabs>
          <w:tab w:val="left" w:pos="567"/>
        </w:tabs>
        <w:spacing w:after="0" w:line="240" w:lineRule="auto"/>
        <w:rPr>
          <w:rFonts w:ascii="Times New Roman" w:eastAsia="Calibri" w:hAnsi="Times New Roman" w:cs="Times New Roman"/>
        </w:rPr>
      </w:pPr>
    </w:p>
    <w:p w14:paraId="784A6770"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Nėštumas</w:t>
      </w:r>
    </w:p>
    <w:p w14:paraId="596F202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Klinikinių duomenų apie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vartojimą nėštumo metu nėra. Su gyvūnais atlikti tyrimai parodė toksinį poveikį reprodukcijai (žr. 5.3 skyrių). Galima rizika nėščioms moterims nežinoma.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kaip ir kiti prostaglandinų sintezę slopinantys vaistiniai preparatai, paskutiniuoju nėštumo trimestru gali slopinti gimdos susitraukimus ir sukelti priešlaikinį arterinio latako (</w:t>
      </w:r>
      <w:proofErr w:type="spellStart"/>
      <w:r>
        <w:rPr>
          <w:rFonts w:ascii="Times New Roman" w:eastAsia="Calibri" w:hAnsi="Times New Roman" w:cs="Times New Roman"/>
          <w:i/>
        </w:rPr>
        <w:t>ductus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arteriosus</w:t>
      </w:r>
      <w:proofErr w:type="spellEnd"/>
      <w:r>
        <w:rPr>
          <w:rFonts w:ascii="Times New Roman" w:eastAsia="Calibri" w:hAnsi="Times New Roman" w:cs="Times New Roman"/>
        </w:rPr>
        <w:t xml:space="preserve">) užsidarymą.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vartoti nėštumo metu draudžiama (žr. 4.3 skyrių). Jeigu gydymo metu moteris tampa nėščia,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vartojimą reikia nutraukti.</w:t>
      </w:r>
    </w:p>
    <w:p w14:paraId="17328584" w14:textId="77777777" w:rsidR="00E021D7" w:rsidRDefault="00E021D7">
      <w:pPr>
        <w:widowControl w:val="0"/>
        <w:tabs>
          <w:tab w:val="left" w:pos="567"/>
        </w:tabs>
        <w:spacing w:after="0" w:line="240" w:lineRule="auto"/>
        <w:rPr>
          <w:rFonts w:ascii="Times New Roman" w:eastAsia="Calibri" w:hAnsi="Times New Roman" w:cs="Times New Roman"/>
        </w:rPr>
      </w:pPr>
    </w:p>
    <w:p w14:paraId="0838D5A6"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Žindymas</w:t>
      </w:r>
    </w:p>
    <w:p w14:paraId="0768F9B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Nežinoma, ar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išsiskiria į motinos pieną.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išsiskiria į žiurkių pieną.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vartojančioms moterims žindyti negalima (žr. 4.3 ir 5.3 skyrius).</w:t>
      </w:r>
    </w:p>
    <w:p w14:paraId="614125CA" w14:textId="77777777" w:rsidR="00E021D7" w:rsidRDefault="00E021D7">
      <w:pPr>
        <w:widowControl w:val="0"/>
        <w:tabs>
          <w:tab w:val="left" w:pos="567"/>
        </w:tabs>
        <w:spacing w:after="0" w:line="240" w:lineRule="auto"/>
        <w:rPr>
          <w:rFonts w:ascii="Times New Roman" w:eastAsia="Calibri" w:hAnsi="Times New Roman" w:cs="Times New Roman"/>
        </w:rPr>
      </w:pPr>
    </w:p>
    <w:p w14:paraId="1B53B2B1"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Vaisingumas</w:t>
      </w:r>
    </w:p>
    <w:p w14:paraId="74FAF0E3"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Etorikoksibo</w:t>
      </w:r>
      <w:proofErr w:type="spellEnd"/>
      <w:r>
        <w:rPr>
          <w:rFonts w:ascii="Times New Roman" w:eastAsia="Calibri" w:hAnsi="Times New Roman" w:cs="Times New Roman"/>
        </w:rPr>
        <w:t>, kaip ir bet kokių veikliųjų medžiagų, kurios slopina COX-2, mėginančioms pastoti moterims vartoti nerekomenduojama.</w:t>
      </w:r>
    </w:p>
    <w:p w14:paraId="59F82455" w14:textId="77777777" w:rsidR="00E021D7" w:rsidRDefault="00E021D7">
      <w:pPr>
        <w:widowControl w:val="0"/>
        <w:tabs>
          <w:tab w:val="left" w:pos="567"/>
        </w:tabs>
        <w:spacing w:after="0" w:line="240" w:lineRule="auto"/>
        <w:rPr>
          <w:rFonts w:ascii="Times New Roman" w:eastAsia="Calibri" w:hAnsi="Times New Roman" w:cs="Times New Roman"/>
        </w:rPr>
      </w:pPr>
    </w:p>
    <w:p w14:paraId="1F96B210"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4.7</w:t>
      </w:r>
      <w:r>
        <w:rPr>
          <w:rFonts w:ascii="Times New Roman" w:eastAsia="Calibri" w:hAnsi="Times New Roman" w:cs="Times New Roman"/>
          <w:b/>
        </w:rPr>
        <w:tab/>
        <w:t>Poveikis gebėjimui vairuoti ir valdyti mechanizmus</w:t>
      </w:r>
    </w:p>
    <w:p w14:paraId="7339D9D7" w14:textId="77777777" w:rsidR="00E021D7" w:rsidRDefault="00E021D7">
      <w:pPr>
        <w:widowControl w:val="0"/>
        <w:tabs>
          <w:tab w:val="left" w:pos="567"/>
        </w:tabs>
        <w:spacing w:after="0" w:line="240" w:lineRule="auto"/>
        <w:rPr>
          <w:rFonts w:ascii="Times New Roman" w:eastAsia="Calibri" w:hAnsi="Times New Roman" w:cs="Times New Roman"/>
        </w:rPr>
      </w:pPr>
    </w:p>
    <w:p w14:paraId="0D66F8A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Pacientams, kuriems vartojant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pasireiškia svaigulys, svaigimas (</w:t>
      </w:r>
      <w:proofErr w:type="spellStart"/>
      <w:r>
        <w:rPr>
          <w:rFonts w:ascii="Times New Roman" w:eastAsia="Calibri" w:hAnsi="Times New Roman" w:cs="Times New Roman"/>
          <w:i/>
        </w:rPr>
        <w:t>vertigo</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somnolencija</w:t>
      </w:r>
      <w:proofErr w:type="spellEnd"/>
      <w:r>
        <w:rPr>
          <w:rFonts w:ascii="Times New Roman" w:eastAsia="Calibri" w:hAnsi="Times New Roman" w:cs="Times New Roman"/>
        </w:rPr>
        <w:t>, vairuoti ir valdyti mechanizmų negalima.</w:t>
      </w:r>
    </w:p>
    <w:p w14:paraId="425D0524" w14:textId="77777777" w:rsidR="00E021D7" w:rsidRDefault="00E021D7">
      <w:pPr>
        <w:widowControl w:val="0"/>
        <w:tabs>
          <w:tab w:val="left" w:pos="567"/>
        </w:tabs>
        <w:spacing w:after="0" w:line="240" w:lineRule="auto"/>
        <w:rPr>
          <w:rFonts w:ascii="Times New Roman" w:eastAsia="Calibri" w:hAnsi="Times New Roman" w:cs="Times New Roman"/>
        </w:rPr>
      </w:pPr>
    </w:p>
    <w:p w14:paraId="059B08F4"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4.8</w:t>
      </w:r>
      <w:r>
        <w:rPr>
          <w:rFonts w:ascii="Times New Roman" w:eastAsia="Calibri" w:hAnsi="Times New Roman" w:cs="Times New Roman"/>
          <w:b/>
        </w:rPr>
        <w:tab/>
        <w:t>Nepageidaujamas poveikis</w:t>
      </w:r>
    </w:p>
    <w:p w14:paraId="27B32812" w14:textId="77777777" w:rsidR="00E021D7" w:rsidRDefault="00E021D7">
      <w:pPr>
        <w:widowControl w:val="0"/>
        <w:tabs>
          <w:tab w:val="left" w:pos="567"/>
        </w:tabs>
        <w:spacing w:after="0" w:line="240" w:lineRule="auto"/>
        <w:rPr>
          <w:rFonts w:ascii="Times New Roman" w:eastAsia="Calibri" w:hAnsi="Times New Roman" w:cs="Times New Roman"/>
        </w:rPr>
      </w:pPr>
    </w:p>
    <w:p w14:paraId="1F15138E"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Saugumo duomenų santrauka</w:t>
      </w:r>
    </w:p>
    <w:p w14:paraId="069C0056" w14:textId="77777777" w:rsidR="00E021D7" w:rsidRDefault="00E021D7">
      <w:pPr>
        <w:widowControl w:val="0"/>
        <w:tabs>
          <w:tab w:val="left" w:pos="567"/>
        </w:tabs>
        <w:spacing w:after="0" w:line="240" w:lineRule="auto"/>
        <w:rPr>
          <w:rFonts w:ascii="Times New Roman" w:eastAsia="Calibri" w:hAnsi="Times New Roman" w:cs="Times New Roman"/>
        </w:rPr>
      </w:pPr>
    </w:p>
    <w:p w14:paraId="29C59D3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metu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saugumas buvo įvertintas 7152 žmonėms, įskaitant 4614 pacientų, sergančius </w:t>
      </w:r>
      <w:proofErr w:type="spellStart"/>
      <w:r>
        <w:rPr>
          <w:rFonts w:ascii="Times New Roman" w:eastAsia="Calibri" w:hAnsi="Times New Roman" w:cs="Times New Roman"/>
        </w:rPr>
        <w:t>osteoartritu</w:t>
      </w:r>
      <w:proofErr w:type="spellEnd"/>
      <w:r>
        <w:rPr>
          <w:rFonts w:ascii="Times New Roman" w:eastAsia="Calibri" w:hAnsi="Times New Roman" w:cs="Times New Roman"/>
        </w:rPr>
        <w:t xml:space="preserve"> (OA), reumatoidiniu artritu (RA), lėtiniu nugaros skausmu arba </w:t>
      </w:r>
      <w:proofErr w:type="spellStart"/>
      <w:r>
        <w:rPr>
          <w:rFonts w:ascii="Times New Roman" w:eastAsia="Calibri" w:hAnsi="Times New Roman" w:cs="Times New Roman"/>
        </w:rPr>
        <w:t>ankiloziniu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spondilitu</w:t>
      </w:r>
      <w:proofErr w:type="spellEnd"/>
      <w:r>
        <w:rPr>
          <w:rFonts w:ascii="Times New Roman" w:eastAsia="Calibri" w:hAnsi="Times New Roman" w:cs="Times New Roman"/>
        </w:rPr>
        <w:t xml:space="preserve"> (maždaug 600 OA arba RA sergančių pacientų gydyti vienerius metus arba ilgiau).</w:t>
      </w:r>
    </w:p>
    <w:p w14:paraId="1D2DF744" w14:textId="77777777" w:rsidR="00E021D7" w:rsidRDefault="00E021D7">
      <w:pPr>
        <w:widowControl w:val="0"/>
        <w:tabs>
          <w:tab w:val="left" w:pos="567"/>
        </w:tabs>
        <w:spacing w:after="0" w:line="240" w:lineRule="auto"/>
        <w:rPr>
          <w:rFonts w:ascii="Times New Roman" w:eastAsia="Calibri" w:hAnsi="Times New Roman" w:cs="Times New Roman"/>
        </w:rPr>
      </w:pPr>
    </w:p>
    <w:p w14:paraId="0773B7D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metu OA ir RA sergantiems pacientams,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vartojusiems vienerius metus ir ilgiau, nepageidaujamo poveikio pobūdis buvo panašus.</w:t>
      </w:r>
    </w:p>
    <w:p w14:paraId="7D602ED5" w14:textId="77777777" w:rsidR="00E021D7" w:rsidRDefault="00E021D7">
      <w:pPr>
        <w:widowControl w:val="0"/>
        <w:tabs>
          <w:tab w:val="left" w:pos="567"/>
        </w:tabs>
        <w:spacing w:after="0" w:line="240" w:lineRule="auto"/>
        <w:rPr>
          <w:rFonts w:ascii="Times New Roman" w:eastAsia="Calibri" w:hAnsi="Times New Roman" w:cs="Times New Roman"/>
        </w:rPr>
      </w:pPr>
    </w:p>
    <w:p w14:paraId="6DF1940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Ūminio podagrinio artrito klinikinio tyrimo metu pacientai buvo gydyti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vartojama doze aštuonias dienas. Šio tyrimo metu patirtų nepageidaujamų reiškinių pobūdis apskritai buvo panašus į nepageidaujamus reiškinius, nustatytus jungtinių OA, RA ir lėtinio nugaros skausmo tyrimų metu.</w:t>
      </w:r>
    </w:p>
    <w:p w14:paraId="67C85A5B" w14:textId="77777777" w:rsidR="00E021D7" w:rsidRDefault="00E021D7">
      <w:pPr>
        <w:widowControl w:val="0"/>
        <w:tabs>
          <w:tab w:val="left" w:pos="567"/>
        </w:tabs>
        <w:spacing w:after="0" w:line="240" w:lineRule="auto"/>
        <w:rPr>
          <w:rFonts w:ascii="Times New Roman" w:eastAsia="Calibri" w:hAnsi="Times New Roman" w:cs="Times New Roman"/>
        </w:rPr>
      </w:pPr>
    </w:p>
    <w:p w14:paraId="0C3F4D79" w14:textId="77777777" w:rsidR="00E021D7" w:rsidRDefault="009C1A2C">
      <w:pPr>
        <w:widowControl w:val="0"/>
        <w:tabs>
          <w:tab w:val="left" w:pos="567"/>
          <w:tab w:val="center" w:pos="4320"/>
          <w:tab w:val="right" w:pos="8640"/>
        </w:tabs>
        <w:spacing w:after="0" w:line="240" w:lineRule="auto"/>
        <w:rPr>
          <w:rFonts w:ascii="Times New Roman" w:eastAsia="Calibri" w:hAnsi="Times New Roman" w:cs="Times New Roman"/>
        </w:rPr>
      </w:pPr>
      <w:r>
        <w:rPr>
          <w:rFonts w:ascii="Times New Roman" w:eastAsia="Calibri" w:hAnsi="Times New Roman" w:cs="Times New Roman"/>
        </w:rPr>
        <w:t xml:space="preserve">Saugumo širdies ir kraujagyslių sistemai baigčių nustatymo programoje, trijų aktyviu palyginamuoju vaistiniu preparatu kontroliuotų klinikinių tyrimų jungtiniais duomenimis, 17 412 OA arba RA sergančių pacientų buvo gydyti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(60 mg arba 90 mg doze) vidutiniškai maždaug 18 mėnesių. Šios programos saugumo duomenys ir detalės pateikti 5.1 skyriuje.</w:t>
      </w:r>
    </w:p>
    <w:p w14:paraId="738BCA75" w14:textId="77777777" w:rsidR="00E021D7" w:rsidRDefault="00E021D7">
      <w:pPr>
        <w:widowControl w:val="0"/>
        <w:tabs>
          <w:tab w:val="left" w:pos="567"/>
          <w:tab w:val="center" w:pos="4320"/>
          <w:tab w:val="right" w:pos="8640"/>
        </w:tabs>
        <w:spacing w:after="0" w:line="240" w:lineRule="auto"/>
        <w:rPr>
          <w:rFonts w:ascii="Times New Roman" w:eastAsia="Calibri" w:hAnsi="Times New Roman" w:cs="Times New Roman"/>
        </w:rPr>
      </w:pPr>
    </w:p>
    <w:p w14:paraId="54E2F0D9" w14:textId="77777777" w:rsidR="00E021D7" w:rsidRDefault="009C1A2C">
      <w:pPr>
        <w:widowControl w:val="0"/>
        <w:tabs>
          <w:tab w:val="left" w:pos="567"/>
          <w:tab w:val="center" w:pos="4320"/>
          <w:tab w:val="right" w:pos="8640"/>
        </w:tabs>
        <w:spacing w:after="0" w:line="240" w:lineRule="auto"/>
        <w:rPr>
          <w:rFonts w:ascii="Times New Roman" w:eastAsia="Calibri" w:hAnsi="Times New Roman" w:cs="Times New Roman"/>
        </w:rPr>
      </w:pPr>
      <w:r>
        <w:rPr>
          <w:rFonts w:ascii="Times New Roman" w:eastAsia="Calibri" w:hAnsi="Times New Roman" w:cs="Times New Roman"/>
        </w:rPr>
        <w:t>Ūminio pooperacinio dantų skausmo klinikinių tyrimų, kuriuose dalyvavo</w:t>
      </w:r>
      <w:r>
        <w:rPr>
          <w:rFonts w:ascii="Times New Roman" w:eastAsia="Calibri" w:hAnsi="Times New Roman" w:cs="Times New Roman"/>
          <w:color w:val="000000"/>
        </w:rPr>
        <w:t xml:space="preserve"> 614 </w:t>
      </w:r>
      <w:proofErr w:type="spellStart"/>
      <w:r>
        <w:rPr>
          <w:rFonts w:ascii="Times New Roman" w:eastAsia="Calibri" w:hAnsi="Times New Roman" w:cs="Times New Roman"/>
        </w:rPr>
        <w:t>etorikoksibu</w:t>
      </w:r>
      <w:proofErr w:type="spellEnd"/>
      <w:r>
        <w:rPr>
          <w:rFonts w:ascii="Times New Roman" w:eastAsia="Calibri" w:hAnsi="Times New Roman" w:cs="Times New Roman"/>
        </w:rPr>
        <w:t xml:space="preserve"> (90 mg arba 120 mg doze) gydytų pacientų, metu nepageidaujamų reiškinių pobūdis apskritai buvo panašus į nepageidaujamus reiškinius, nustatytus jungtinių OA, RA ir lėtinio nugaros skausmo tyrimų metu.</w:t>
      </w:r>
    </w:p>
    <w:p w14:paraId="213EA8E6" w14:textId="77777777" w:rsidR="00E021D7" w:rsidRDefault="00E021D7">
      <w:pPr>
        <w:widowControl w:val="0"/>
        <w:tabs>
          <w:tab w:val="left" w:pos="567"/>
        </w:tabs>
        <w:spacing w:after="0" w:line="240" w:lineRule="auto"/>
        <w:rPr>
          <w:rFonts w:ascii="Times New Roman" w:eastAsia="Calibri" w:hAnsi="Times New Roman" w:cs="Times New Roman"/>
        </w:rPr>
      </w:pPr>
    </w:p>
    <w:p w14:paraId="7BE240E4"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Nepageidaujamų reakcijų santrauka lentelėje</w:t>
      </w:r>
    </w:p>
    <w:p w14:paraId="31E053A7" w14:textId="77777777" w:rsidR="00E021D7" w:rsidRDefault="00E021D7">
      <w:pPr>
        <w:widowControl w:val="0"/>
        <w:tabs>
          <w:tab w:val="left" w:pos="567"/>
        </w:tabs>
        <w:spacing w:after="0" w:line="240" w:lineRule="auto"/>
        <w:rPr>
          <w:rFonts w:ascii="Times New Roman" w:eastAsia="Calibri" w:hAnsi="Times New Roman" w:cs="Times New Roman"/>
          <w:u w:val="single"/>
        </w:rPr>
      </w:pPr>
    </w:p>
    <w:p w14:paraId="05F60C0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Toliau pateiktas nepageidaujamas poveikis, pasireiškęs OA, RA, lėtiniu nugaros skausmu arba </w:t>
      </w:r>
      <w:proofErr w:type="spellStart"/>
      <w:r>
        <w:rPr>
          <w:rFonts w:ascii="Times New Roman" w:eastAsia="Calibri" w:hAnsi="Times New Roman" w:cs="Times New Roman"/>
        </w:rPr>
        <w:t>ankiloziniu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spondilitu</w:t>
      </w:r>
      <w:proofErr w:type="spellEnd"/>
      <w:r>
        <w:rPr>
          <w:rFonts w:ascii="Times New Roman" w:eastAsia="Calibri" w:hAnsi="Times New Roman" w:cs="Times New Roman"/>
        </w:rPr>
        <w:t xml:space="preserve"> sirgusiems pacientams, kurie iki 12 savaičių vartojo 30 mg, 60 mg arba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neviršijant rekomenduojamos dozės, klinikinių tyrimų metu, MEDAL Programos klinikinių tyrimų, trukusių iki 3,5 metų, metu, trumpalaikių (iki 7 dienų) ūminio skausmo tyrimų metu arba vaistinį preparatą pateikus į rinką, buvo pastebėtas dažniau, negu vartojant placebo. (žr. 1 lentelę).</w:t>
      </w:r>
    </w:p>
    <w:p w14:paraId="4B375023" w14:textId="77777777" w:rsidR="00E021D7" w:rsidRDefault="00E021D7">
      <w:pPr>
        <w:widowControl w:val="0"/>
        <w:tabs>
          <w:tab w:val="left" w:pos="567"/>
        </w:tabs>
        <w:spacing w:after="0" w:line="240" w:lineRule="auto"/>
        <w:rPr>
          <w:rFonts w:ascii="Times New Roman" w:eastAsia="Calibri" w:hAnsi="Times New Roman" w:cs="Times New Roman"/>
        </w:rPr>
      </w:pPr>
    </w:p>
    <w:p w14:paraId="240A3D63"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4153"/>
        <w:gridCol w:w="2067"/>
      </w:tblGrid>
      <w:tr w:rsidR="00E021D7" w14:paraId="7E5A6D34" w14:textId="77777777">
        <w:trPr>
          <w:cantSplit/>
        </w:trPr>
        <w:tc>
          <w:tcPr>
            <w:tcW w:w="1567" w:type="pct"/>
            <w:tcBorders>
              <w:top w:val="single" w:sz="4" w:space="0" w:color="auto"/>
              <w:left w:val="single" w:sz="4" w:space="0" w:color="auto"/>
              <w:bottom w:val="single" w:sz="4" w:space="0" w:color="auto"/>
              <w:right w:val="single" w:sz="4" w:space="0" w:color="auto"/>
            </w:tcBorders>
            <w:hideMark/>
          </w:tcPr>
          <w:p w14:paraId="37E1BD4E"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Organų sistemų klasė</w:t>
            </w:r>
          </w:p>
        </w:tc>
        <w:tc>
          <w:tcPr>
            <w:tcW w:w="2292" w:type="pct"/>
            <w:tcBorders>
              <w:top w:val="single" w:sz="4" w:space="0" w:color="auto"/>
              <w:left w:val="single" w:sz="4" w:space="0" w:color="auto"/>
              <w:bottom w:val="single" w:sz="4" w:space="0" w:color="auto"/>
              <w:right w:val="single" w:sz="4" w:space="0" w:color="auto"/>
            </w:tcBorders>
            <w:hideMark/>
          </w:tcPr>
          <w:p w14:paraId="6A2837F8"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Nepageidaujamos reakcijos</w:t>
            </w:r>
          </w:p>
        </w:tc>
        <w:tc>
          <w:tcPr>
            <w:tcW w:w="1141" w:type="pct"/>
            <w:tcBorders>
              <w:top w:val="single" w:sz="4" w:space="0" w:color="auto"/>
              <w:left w:val="single" w:sz="4" w:space="0" w:color="auto"/>
              <w:bottom w:val="single" w:sz="4" w:space="0" w:color="auto"/>
              <w:right w:val="single" w:sz="4" w:space="0" w:color="auto"/>
            </w:tcBorders>
            <w:hideMark/>
          </w:tcPr>
          <w:p w14:paraId="23F80EBF"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Dažnio kategorija*</w:t>
            </w:r>
          </w:p>
        </w:tc>
      </w:tr>
      <w:tr w:rsidR="00E021D7" w14:paraId="6AE88165" w14:textId="77777777">
        <w:trPr>
          <w:cantSplit/>
        </w:trPr>
        <w:tc>
          <w:tcPr>
            <w:tcW w:w="1567" w:type="pct"/>
            <w:vMerge w:val="restart"/>
            <w:tcBorders>
              <w:top w:val="single" w:sz="4" w:space="0" w:color="auto"/>
              <w:left w:val="single" w:sz="4" w:space="0" w:color="auto"/>
              <w:right w:val="single" w:sz="4" w:space="0" w:color="auto"/>
            </w:tcBorders>
            <w:hideMark/>
          </w:tcPr>
          <w:p w14:paraId="6E1C7074"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 xml:space="preserve">Infekcijos ir </w:t>
            </w:r>
            <w:proofErr w:type="spellStart"/>
            <w:r>
              <w:rPr>
                <w:rFonts w:ascii="Times New Roman" w:eastAsia="Calibri" w:hAnsi="Times New Roman" w:cs="Times New Roman"/>
                <w:b/>
                <w:i/>
              </w:rPr>
              <w:t>infestacijos</w:t>
            </w:r>
            <w:proofErr w:type="spellEnd"/>
          </w:p>
        </w:tc>
        <w:tc>
          <w:tcPr>
            <w:tcW w:w="2292" w:type="pct"/>
            <w:tcBorders>
              <w:top w:val="single" w:sz="4" w:space="0" w:color="auto"/>
              <w:left w:val="single" w:sz="4" w:space="0" w:color="auto"/>
              <w:bottom w:val="single" w:sz="4" w:space="0" w:color="auto"/>
              <w:right w:val="single" w:sz="4" w:space="0" w:color="auto"/>
            </w:tcBorders>
            <w:hideMark/>
          </w:tcPr>
          <w:p w14:paraId="5413090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Alveolinis </w:t>
            </w:r>
            <w:proofErr w:type="spellStart"/>
            <w:r>
              <w:rPr>
                <w:rFonts w:ascii="Times New Roman" w:eastAsia="Calibri" w:hAnsi="Times New Roman" w:cs="Times New Roman"/>
              </w:rPr>
              <w:t>osteitas</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794F1BC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278A6CD6" w14:textId="77777777">
        <w:trPr>
          <w:cantSplit/>
        </w:trPr>
        <w:tc>
          <w:tcPr>
            <w:tcW w:w="1567" w:type="pct"/>
            <w:vMerge/>
            <w:tcBorders>
              <w:left w:val="single" w:sz="4" w:space="0" w:color="auto"/>
              <w:bottom w:val="single" w:sz="4" w:space="0" w:color="auto"/>
              <w:right w:val="single" w:sz="4" w:space="0" w:color="auto"/>
            </w:tcBorders>
          </w:tcPr>
          <w:p w14:paraId="74B8E837"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74B16ECD"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Gastroenteritas</w:t>
            </w:r>
            <w:proofErr w:type="spellEnd"/>
            <w:r>
              <w:rPr>
                <w:rFonts w:ascii="Times New Roman" w:eastAsia="Calibri" w:hAnsi="Times New Roman" w:cs="Times New Roman"/>
              </w:rPr>
              <w:t>, viršutinių kvėpavimo takų infekcija, šlapimo takų infekcija</w:t>
            </w:r>
          </w:p>
        </w:tc>
        <w:tc>
          <w:tcPr>
            <w:tcW w:w="1141" w:type="pct"/>
            <w:tcBorders>
              <w:top w:val="single" w:sz="4" w:space="0" w:color="auto"/>
              <w:left w:val="single" w:sz="4" w:space="0" w:color="auto"/>
              <w:bottom w:val="single" w:sz="4" w:space="0" w:color="auto"/>
              <w:right w:val="single" w:sz="4" w:space="0" w:color="auto"/>
            </w:tcBorders>
            <w:hideMark/>
          </w:tcPr>
          <w:p w14:paraId="55F4B32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46573CEC" w14:textId="77777777">
        <w:trPr>
          <w:cantSplit/>
        </w:trPr>
        <w:tc>
          <w:tcPr>
            <w:tcW w:w="1567" w:type="pct"/>
            <w:tcBorders>
              <w:top w:val="single" w:sz="4" w:space="0" w:color="auto"/>
              <w:left w:val="single" w:sz="4" w:space="0" w:color="auto"/>
              <w:bottom w:val="single" w:sz="4" w:space="0" w:color="auto"/>
              <w:right w:val="single" w:sz="4" w:space="0" w:color="auto"/>
            </w:tcBorders>
            <w:hideMark/>
          </w:tcPr>
          <w:p w14:paraId="047E1D05"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Kraujo ir limfinės sistemos sutrikimai</w:t>
            </w:r>
          </w:p>
        </w:tc>
        <w:tc>
          <w:tcPr>
            <w:tcW w:w="2292" w:type="pct"/>
            <w:tcBorders>
              <w:top w:val="single" w:sz="4" w:space="0" w:color="auto"/>
              <w:left w:val="single" w:sz="4" w:space="0" w:color="auto"/>
              <w:bottom w:val="single" w:sz="4" w:space="0" w:color="auto"/>
              <w:right w:val="single" w:sz="4" w:space="0" w:color="auto"/>
            </w:tcBorders>
            <w:hideMark/>
          </w:tcPr>
          <w:p w14:paraId="752C030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Anemija (pirmiausiai susijusi su kraujavimu iš virškinimo trakto), </w:t>
            </w:r>
            <w:proofErr w:type="spellStart"/>
            <w:r>
              <w:rPr>
                <w:rFonts w:ascii="Times New Roman" w:eastAsia="Calibri" w:hAnsi="Times New Roman" w:cs="Times New Roman"/>
              </w:rPr>
              <w:t>leukopenija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trombocitopenija</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347D4F4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765E2978" w14:textId="77777777">
        <w:trPr>
          <w:cantSplit/>
        </w:trPr>
        <w:tc>
          <w:tcPr>
            <w:tcW w:w="1567" w:type="pct"/>
            <w:vMerge w:val="restart"/>
            <w:tcBorders>
              <w:top w:val="single" w:sz="4" w:space="0" w:color="auto"/>
              <w:left w:val="single" w:sz="4" w:space="0" w:color="auto"/>
              <w:right w:val="single" w:sz="4" w:space="0" w:color="auto"/>
            </w:tcBorders>
            <w:hideMark/>
          </w:tcPr>
          <w:p w14:paraId="1BC8F351"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Imuninės sistemos sutrikimai</w:t>
            </w:r>
          </w:p>
        </w:tc>
        <w:tc>
          <w:tcPr>
            <w:tcW w:w="2292" w:type="pct"/>
            <w:tcBorders>
              <w:top w:val="single" w:sz="4" w:space="0" w:color="auto"/>
              <w:left w:val="single" w:sz="4" w:space="0" w:color="auto"/>
              <w:bottom w:val="single" w:sz="4" w:space="0" w:color="auto"/>
              <w:right w:val="single" w:sz="4" w:space="0" w:color="auto"/>
            </w:tcBorders>
            <w:hideMark/>
          </w:tcPr>
          <w:p w14:paraId="072B2C2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Padidėjęs jautrumas</w:t>
            </w:r>
            <w:r>
              <w:rPr>
                <w:rFonts w:ascii="Times New Roman" w:eastAsia="Calibri" w:hAnsi="Times New Roman" w:cs="Times New Roman"/>
                <w:vertAlign w:val="superscript"/>
              </w:rPr>
              <w:t>‡β</w:t>
            </w:r>
          </w:p>
        </w:tc>
        <w:tc>
          <w:tcPr>
            <w:tcW w:w="1141" w:type="pct"/>
            <w:tcBorders>
              <w:top w:val="single" w:sz="4" w:space="0" w:color="auto"/>
              <w:left w:val="single" w:sz="4" w:space="0" w:color="auto"/>
              <w:bottom w:val="single" w:sz="4" w:space="0" w:color="auto"/>
              <w:right w:val="single" w:sz="4" w:space="0" w:color="auto"/>
            </w:tcBorders>
            <w:hideMark/>
          </w:tcPr>
          <w:p w14:paraId="1E49200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3A4B14EF" w14:textId="77777777">
        <w:trPr>
          <w:cantSplit/>
        </w:trPr>
        <w:tc>
          <w:tcPr>
            <w:tcW w:w="1567" w:type="pct"/>
            <w:vMerge/>
            <w:tcBorders>
              <w:left w:val="single" w:sz="4" w:space="0" w:color="auto"/>
              <w:bottom w:val="single" w:sz="4" w:space="0" w:color="auto"/>
              <w:right w:val="single" w:sz="4" w:space="0" w:color="auto"/>
            </w:tcBorders>
          </w:tcPr>
          <w:p w14:paraId="1569CFA4"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174F818D"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ir (arba) anafilaksinės ir (arba) </w:t>
            </w:r>
            <w:proofErr w:type="spellStart"/>
            <w:r>
              <w:rPr>
                <w:rFonts w:ascii="Times New Roman" w:eastAsia="Calibri" w:hAnsi="Times New Roman" w:cs="Times New Roman"/>
              </w:rPr>
              <w:t>anafilaktoidinės</w:t>
            </w:r>
            <w:proofErr w:type="spellEnd"/>
            <w:r>
              <w:rPr>
                <w:rFonts w:ascii="Times New Roman" w:eastAsia="Calibri" w:hAnsi="Times New Roman" w:cs="Times New Roman"/>
              </w:rPr>
              <w:t xml:space="preserve"> reakcijos, įskaitant šoką</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6029AFD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p>
        </w:tc>
      </w:tr>
      <w:tr w:rsidR="00E021D7" w14:paraId="2B2542EE" w14:textId="77777777">
        <w:trPr>
          <w:cantSplit/>
        </w:trPr>
        <w:tc>
          <w:tcPr>
            <w:tcW w:w="1567" w:type="pct"/>
            <w:vMerge w:val="restart"/>
            <w:tcBorders>
              <w:top w:val="single" w:sz="4" w:space="0" w:color="auto"/>
              <w:left w:val="single" w:sz="4" w:space="0" w:color="auto"/>
              <w:right w:val="single" w:sz="4" w:space="0" w:color="auto"/>
            </w:tcBorders>
            <w:hideMark/>
          </w:tcPr>
          <w:p w14:paraId="6D6EE226"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Metabolizmo ir mitybos sutrikimai</w:t>
            </w:r>
          </w:p>
        </w:tc>
        <w:tc>
          <w:tcPr>
            <w:tcW w:w="2292" w:type="pct"/>
            <w:tcBorders>
              <w:top w:val="single" w:sz="4" w:space="0" w:color="auto"/>
              <w:left w:val="single" w:sz="4" w:space="0" w:color="auto"/>
              <w:bottom w:val="single" w:sz="4" w:space="0" w:color="auto"/>
              <w:right w:val="single" w:sz="4" w:space="0" w:color="auto"/>
            </w:tcBorders>
            <w:hideMark/>
          </w:tcPr>
          <w:p w14:paraId="51E6B70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Edema ir (arba) skysčio susilaikymas</w:t>
            </w:r>
          </w:p>
        </w:tc>
        <w:tc>
          <w:tcPr>
            <w:tcW w:w="1141" w:type="pct"/>
            <w:tcBorders>
              <w:top w:val="single" w:sz="4" w:space="0" w:color="auto"/>
              <w:left w:val="single" w:sz="4" w:space="0" w:color="auto"/>
              <w:bottom w:val="single" w:sz="4" w:space="0" w:color="auto"/>
              <w:right w:val="single" w:sz="4" w:space="0" w:color="auto"/>
            </w:tcBorders>
            <w:hideMark/>
          </w:tcPr>
          <w:p w14:paraId="1B085EB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6FDCAC19" w14:textId="77777777">
        <w:trPr>
          <w:cantSplit/>
        </w:trPr>
        <w:tc>
          <w:tcPr>
            <w:tcW w:w="1567" w:type="pct"/>
            <w:vMerge/>
            <w:tcBorders>
              <w:left w:val="single" w:sz="4" w:space="0" w:color="auto"/>
              <w:bottom w:val="single" w:sz="4" w:space="0" w:color="auto"/>
              <w:right w:val="single" w:sz="4" w:space="0" w:color="auto"/>
            </w:tcBorders>
          </w:tcPr>
          <w:p w14:paraId="4F8578C1"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4E766B3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Apetito padidėjimas arba praradimas, kūno svorio padidėjimas</w:t>
            </w:r>
          </w:p>
        </w:tc>
        <w:tc>
          <w:tcPr>
            <w:tcW w:w="1141" w:type="pct"/>
            <w:tcBorders>
              <w:top w:val="single" w:sz="4" w:space="0" w:color="auto"/>
              <w:left w:val="single" w:sz="4" w:space="0" w:color="auto"/>
              <w:bottom w:val="single" w:sz="4" w:space="0" w:color="auto"/>
              <w:right w:val="single" w:sz="4" w:space="0" w:color="auto"/>
            </w:tcBorders>
            <w:hideMark/>
          </w:tcPr>
          <w:p w14:paraId="2FFBF46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491E9A40" w14:textId="77777777">
        <w:trPr>
          <w:cantSplit/>
        </w:trPr>
        <w:tc>
          <w:tcPr>
            <w:tcW w:w="1567" w:type="pct"/>
            <w:vMerge w:val="restart"/>
            <w:tcBorders>
              <w:top w:val="single" w:sz="4" w:space="0" w:color="auto"/>
              <w:left w:val="single" w:sz="4" w:space="0" w:color="auto"/>
              <w:right w:val="single" w:sz="4" w:space="0" w:color="auto"/>
            </w:tcBorders>
            <w:hideMark/>
          </w:tcPr>
          <w:p w14:paraId="7FC32540"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Psichikos sutrikimai</w:t>
            </w:r>
          </w:p>
        </w:tc>
        <w:tc>
          <w:tcPr>
            <w:tcW w:w="2292" w:type="pct"/>
            <w:tcBorders>
              <w:top w:val="single" w:sz="4" w:space="0" w:color="auto"/>
              <w:left w:val="single" w:sz="4" w:space="0" w:color="auto"/>
              <w:bottom w:val="single" w:sz="4" w:space="0" w:color="auto"/>
              <w:right w:val="single" w:sz="4" w:space="0" w:color="auto"/>
            </w:tcBorders>
            <w:hideMark/>
          </w:tcPr>
          <w:p w14:paraId="7C79174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Nerimas, depresija, sumažėjęs proto aštrumas, haliucinacijos</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4C7F424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7FDAD46E" w14:textId="77777777">
        <w:trPr>
          <w:cantSplit/>
        </w:trPr>
        <w:tc>
          <w:tcPr>
            <w:tcW w:w="1567" w:type="pct"/>
            <w:vMerge/>
            <w:tcBorders>
              <w:left w:val="single" w:sz="4" w:space="0" w:color="auto"/>
              <w:bottom w:val="single" w:sz="4" w:space="0" w:color="auto"/>
              <w:right w:val="single" w:sz="4" w:space="0" w:color="auto"/>
            </w:tcBorders>
          </w:tcPr>
          <w:p w14:paraId="361057C7"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2C042E8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Sumišimas</w:t>
            </w:r>
            <w:r>
              <w:rPr>
                <w:rFonts w:ascii="Times New Roman" w:eastAsia="Calibri" w:hAnsi="Times New Roman" w:cs="Times New Roman"/>
                <w:vertAlign w:val="superscript"/>
              </w:rPr>
              <w:t>‡</w:t>
            </w:r>
            <w:r>
              <w:rPr>
                <w:rFonts w:ascii="Times New Roman" w:eastAsia="Calibri" w:hAnsi="Times New Roman" w:cs="Times New Roman"/>
              </w:rPr>
              <w:t>, neramumas</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377ADF7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p>
        </w:tc>
      </w:tr>
      <w:tr w:rsidR="00E021D7" w14:paraId="4C1D680E" w14:textId="77777777">
        <w:trPr>
          <w:cantSplit/>
        </w:trPr>
        <w:tc>
          <w:tcPr>
            <w:tcW w:w="1567" w:type="pct"/>
            <w:vMerge w:val="restart"/>
            <w:tcBorders>
              <w:top w:val="single" w:sz="4" w:space="0" w:color="auto"/>
              <w:left w:val="single" w:sz="4" w:space="0" w:color="auto"/>
              <w:right w:val="single" w:sz="4" w:space="0" w:color="auto"/>
            </w:tcBorders>
            <w:hideMark/>
          </w:tcPr>
          <w:p w14:paraId="09146CC3" w14:textId="77777777" w:rsidR="00E021D7" w:rsidRDefault="009C1A2C">
            <w:pPr>
              <w:widowControl w:val="0"/>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i/>
              </w:rPr>
              <w:t>Nervų sistemos sutrikimai</w:t>
            </w:r>
          </w:p>
        </w:tc>
        <w:tc>
          <w:tcPr>
            <w:tcW w:w="2292" w:type="pct"/>
            <w:tcBorders>
              <w:top w:val="single" w:sz="4" w:space="0" w:color="auto"/>
              <w:left w:val="single" w:sz="4" w:space="0" w:color="auto"/>
              <w:bottom w:val="single" w:sz="4" w:space="0" w:color="auto"/>
              <w:right w:val="single" w:sz="4" w:space="0" w:color="auto"/>
            </w:tcBorders>
            <w:hideMark/>
          </w:tcPr>
          <w:p w14:paraId="6F9D1E6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Svaigulys, galvos skausmas</w:t>
            </w:r>
          </w:p>
        </w:tc>
        <w:tc>
          <w:tcPr>
            <w:tcW w:w="1141" w:type="pct"/>
            <w:tcBorders>
              <w:top w:val="single" w:sz="4" w:space="0" w:color="auto"/>
              <w:left w:val="single" w:sz="4" w:space="0" w:color="auto"/>
              <w:bottom w:val="single" w:sz="4" w:space="0" w:color="auto"/>
              <w:right w:val="single" w:sz="4" w:space="0" w:color="auto"/>
            </w:tcBorders>
            <w:hideMark/>
          </w:tcPr>
          <w:p w14:paraId="79A50E2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5ADDB2B5" w14:textId="77777777">
        <w:trPr>
          <w:cantSplit/>
        </w:trPr>
        <w:tc>
          <w:tcPr>
            <w:tcW w:w="1567" w:type="pct"/>
            <w:vMerge/>
            <w:tcBorders>
              <w:left w:val="single" w:sz="4" w:space="0" w:color="auto"/>
              <w:bottom w:val="single" w:sz="4" w:space="0" w:color="auto"/>
              <w:right w:val="single" w:sz="4" w:space="0" w:color="auto"/>
            </w:tcBorders>
          </w:tcPr>
          <w:p w14:paraId="1F2DB23C"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371B76C6"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Disgeuzija</w:t>
            </w:r>
            <w:proofErr w:type="spellEnd"/>
            <w:r>
              <w:rPr>
                <w:rFonts w:ascii="Times New Roman" w:eastAsia="Calibri" w:hAnsi="Times New Roman" w:cs="Times New Roman"/>
              </w:rPr>
              <w:t xml:space="preserve">, nemiga,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xml:space="preserve"> ir (arba) </w:t>
            </w:r>
            <w:proofErr w:type="spellStart"/>
            <w:r>
              <w:rPr>
                <w:rFonts w:ascii="Times New Roman" w:eastAsia="Calibri" w:hAnsi="Times New Roman" w:cs="Times New Roman"/>
              </w:rPr>
              <w:t>hipestezija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somnolencija</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33A84EA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6DC54AC4" w14:textId="77777777">
        <w:trPr>
          <w:cantSplit/>
        </w:trPr>
        <w:tc>
          <w:tcPr>
            <w:tcW w:w="1567" w:type="pct"/>
            <w:tcBorders>
              <w:top w:val="single" w:sz="4" w:space="0" w:color="auto"/>
              <w:left w:val="single" w:sz="4" w:space="0" w:color="auto"/>
              <w:bottom w:val="single" w:sz="4" w:space="0" w:color="auto"/>
              <w:right w:val="single" w:sz="4" w:space="0" w:color="auto"/>
            </w:tcBorders>
            <w:hideMark/>
          </w:tcPr>
          <w:p w14:paraId="061DAE63" w14:textId="77777777" w:rsidR="00E021D7" w:rsidRDefault="009C1A2C">
            <w:pPr>
              <w:widowControl w:val="0"/>
              <w:tabs>
                <w:tab w:val="left" w:pos="567"/>
              </w:tabs>
              <w:spacing w:after="0" w:line="240" w:lineRule="auto"/>
              <w:jc w:val="both"/>
              <w:rPr>
                <w:rFonts w:ascii="Times New Roman" w:eastAsia="Calibri" w:hAnsi="Times New Roman" w:cs="Times New Roman"/>
                <w:b/>
              </w:rPr>
            </w:pPr>
            <w:r>
              <w:rPr>
                <w:rFonts w:ascii="Times New Roman" w:eastAsia="Calibri" w:hAnsi="Times New Roman" w:cs="Times New Roman"/>
                <w:b/>
                <w:i/>
              </w:rPr>
              <w:t>Akių sutrikimai</w:t>
            </w:r>
            <w:r>
              <w:rPr>
                <w:rFonts w:ascii="Times New Roman" w:eastAsia="Calibri" w:hAnsi="Times New Roman" w:cs="Times New Roman"/>
                <w:b/>
              </w:rPr>
              <w:t xml:space="preserve"> </w:t>
            </w:r>
          </w:p>
        </w:tc>
        <w:tc>
          <w:tcPr>
            <w:tcW w:w="2292" w:type="pct"/>
            <w:tcBorders>
              <w:top w:val="single" w:sz="4" w:space="0" w:color="auto"/>
              <w:left w:val="single" w:sz="4" w:space="0" w:color="auto"/>
              <w:bottom w:val="single" w:sz="4" w:space="0" w:color="auto"/>
              <w:right w:val="single" w:sz="4" w:space="0" w:color="auto"/>
            </w:tcBorders>
            <w:hideMark/>
          </w:tcPr>
          <w:p w14:paraId="3BB7BD4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Matomo vaizdo </w:t>
            </w:r>
            <w:proofErr w:type="spellStart"/>
            <w:r>
              <w:rPr>
                <w:rFonts w:ascii="Times New Roman" w:eastAsia="Calibri" w:hAnsi="Times New Roman" w:cs="Times New Roman"/>
              </w:rPr>
              <w:t>neryškumas</w:t>
            </w:r>
            <w:proofErr w:type="spellEnd"/>
            <w:r>
              <w:rPr>
                <w:rFonts w:ascii="Times New Roman" w:eastAsia="Calibri" w:hAnsi="Times New Roman" w:cs="Times New Roman"/>
              </w:rPr>
              <w:t>, konjunktyvitas</w:t>
            </w:r>
          </w:p>
        </w:tc>
        <w:tc>
          <w:tcPr>
            <w:tcW w:w="1141" w:type="pct"/>
            <w:tcBorders>
              <w:top w:val="single" w:sz="4" w:space="0" w:color="auto"/>
              <w:left w:val="single" w:sz="4" w:space="0" w:color="auto"/>
              <w:bottom w:val="single" w:sz="4" w:space="0" w:color="auto"/>
              <w:right w:val="single" w:sz="4" w:space="0" w:color="auto"/>
            </w:tcBorders>
            <w:hideMark/>
          </w:tcPr>
          <w:p w14:paraId="12E4C77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4AF22FB1" w14:textId="77777777">
        <w:trPr>
          <w:cantSplit/>
        </w:trPr>
        <w:tc>
          <w:tcPr>
            <w:tcW w:w="1567" w:type="pct"/>
            <w:tcBorders>
              <w:top w:val="single" w:sz="4" w:space="0" w:color="auto"/>
              <w:left w:val="single" w:sz="4" w:space="0" w:color="auto"/>
              <w:bottom w:val="single" w:sz="4" w:space="0" w:color="auto"/>
              <w:right w:val="single" w:sz="4" w:space="0" w:color="auto"/>
            </w:tcBorders>
            <w:hideMark/>
          </w:tcPr>
          <w:p w14:paraId="44D22AED"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Ausų ir labirintų sutrikimai</w:t>
            </w:r>
          </w:p>
        </w:tc>
        <w:tc>
          <w:tcPr>
            <w:tcW w:w="2292" w:type="pct"/>
            <w:tcBorders>
              <w:top w:val="single" w:sz="4" w:space="0" w:color="auto"/>
              <w:left w:val="single" w:sz="4" w:space="0" w:color="auto"/>
              <w:bottom w:val="single" w:sz="4" w:space="0" w:color="auto"/>
              <w:right w:val="single" w:sz="4" w:space="0" w:color="auto"/>
            </w:tcBorders>
            <w:hideMark/>
          </w:tcPr>
          <w:p w14:paraId="4DC5AB5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Ūžesys (</w:t>
            </w:r>
            <w:proofErr w:type="spellStart"/>
            <w:r>
              <w:rPr>
                <w:rFonts w:ascii="Times New Roman" w:eastAsia="Calibri" w:hAnsi="Times New Roman" w:cs="Times New Roman"/>
                <w:i/>
              </w:rPr>
              <w:t>tinnitus</w:t>
            </w:r>
            <w:proofErr w:type="spellEnd"/>
            <w:r>
              <w:rPr>
                <w:rFonts w:ascii="Times New Roman" w:eastAsia="Calibri" w:hAnsi="Times New Roman" w:cs="Times New Roman"/>
              </w:rPr>
              <w:t>), svaigimas (</w:t>
            </w:r>
            <w:proofErr w:type="spellStart"/>
            <w:r>
              <w:rPr>
                <w:rFonts w:ascii="Times New Roman" w:eastAsia="Calibri" w:hAnsi="Times New Roman" w:cs="Times New Roman"/>
                <w:i/>
              </w:rPr>
              <w:t>vertigo</w:t>
            </w:r>
            <w:proofErr w:type="spellEnd"/>
            <w:r>
              <w:rPr>
                <w:rFonts w:ascii="Times New Roman" w:eastAsia="Calibri" w:hAnsi="Times New Roman" w:cs="Times New Roman"/>
              </w:rPr>
              <w:t>)</w:t>
            </w:r>
          </w:p>
        </w:tc>
        <w:tc>
          <w:tcPr>
            <w:tcW w:w="1141" w:type="pct"/>
            <w:tcBorders>
              <w:top w:val="single" w:sz="4" w:space="0" w:color="auto"/>
              <w:left w:val="single" w:sz="4" w:space="0" w:color="auto"/>
              <w:bottom w:val="single" w:sz="4" w:space="0" w:color="auto"/>
              <w:right w:val="single" w:sz="4" w:space="0" w:color="auto"/>
            </w:tcBorders>
            <w:hideMark/>
          </w:tcPr>
          <w:p w14:paraId="334A783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4214BE29" w14:textId="77777777">
        <w:trPr>
          <w:cantSplit/>
        </w:trPr>
        <w:tc>
          <w:tcPr>
            <w:tcW w:w="1567" w:type="pct"/>
            <w:vMerge w:val="restart"/>
            <w:tcBorders>
              <w:top w:val="single" w:sz="4" w:space="0" w:color="auto"/>
              <w:left w:val="single" w:sz="4" w:space="0" w:color="auto"/>
              <w:right w:val="single" w:sz="4" w:space="0" w:color="auto"/>
            </w:tcBorders>
            <w:hideMark/>
          </w:tcPr>
          <w:p w14:paraId="481C7A1C" w14:textId="77777777" w:rsidR="00E021D7" w:rsidRDefault="009C1A2C">
            <w:pPr>
              <w:widowControl w:val="0"/>
              <w:tabs>
                <w:tab w:val="left" w:pos="567"/>
              </w:tabs>
              <w:spacing w:after="0" w:line="240" w:lineRule="auto"/>
              <w:jc w:val="both"/>
              <w:rPr>
                <w:rFonts w:ascii="Times New Roman" w:eastAsia="Calibri" w:hAnsi="Times New Roman" w:cs="Times New Roman"/>
                <w:b/>
              </w:rPr>
            </w:pPr>
            <w:r>
              <w:rPr>
                <w:rFonts w:ascii="Times New Roman" w:eastAsia="Calibri" w:hAnsi="Times New Roman" w:cs="Times New Roman"/>
                <w:b/>
                <w:i/>
              </w:rPr>
              <w:t>Širdies sutrikimai</w:t>
            </w:r>
          </w:p>
        </w:tc>
        <w:tc>
          <w:tcPr>
            <w:tcW w:w="2292" w:type="pct"/>
            <w:tcBorders>
              <w:top w:val="single" w:sz="4" w:space="0" w:color="auto"/>
              <w:left w:val="single" w:sz="4" w:space="0" w:color="auto"/>
              <w:bottom w:val="single" w:sz="4" w:space="0" w:color="auto"/>
              <w:right w:val="single" w:sz="4" w:space="0" w:color="auto"/>
            </w:tcBorders>
            <w:hideMark/>
          </w:tcPr>
          <w:p w14:paraId="078551BA"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Palpitacija</w:t>
            </w:r>
            <w:proofErr w:type="spellEnd"/>
            <w:r>
              <w:rPr>
                <w:rFonts w:ascii="Times New Roman" w:eastAsia="Calibri" w:hAnsi="Times New Roman" w:cs="Times New Roman"/>
              </w:rPr>
              <w:t>, aritmija</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209CFFF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267F8D36" w14:textId="77777777">
        <w:trPr>
          <w:cantSplit/>
        </w:trPr>
        <w:tc>
          <w:tcPr>
            <w:tcW w:w="1567" w:type="pct"/>
            <w:vMerge/>
            <w:tcBorders>
              <w:left w:val="single" w:sz="4" w:space="0" w:color="auto"/>
              <w:bottom w:val="single" w:sz="4" w:space="0" w:color="auto"/>
              <w:right w:val="single" w:sz="4" w:space="0" w:color="auto"/>
            </w:tcBorders>
          </w:tcPr>
          <w:p w14:paraId="30D00868"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37DF4BA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Prieširdžių virpėjimas, tachikardija</w:t>
            </w:r>
            <w:r>
              <w:rPr>
                <w:rFonts w:ascii="Times New Roman" w:eastAsia="Calibri" w:hAnsi="Times New Roman" w:cs="Times New Roman"/>
                <w:vertAlign w:val="superscript"/>
              </w:rPr>
              <w:t>‡</w:t>
            </w:r>
            <w:r>
              <w:rPr>
                <w:rFonts w:ascii="Times New Roman" w:eastAsia="Calibri" w:hAnsi="Times New Roman" w:cs="Times New Roman"/>
              </w:rPr>
              <w:t xml:space="preserve">, </w:t>
            </w:r>
            <w:proofErr w:type="spellStart"/>
            <w:r>
              <w:rPr>
                <w:rFonts w:ascii="Times New Roman" w:eastAsia="Calibri" w:hAnsi="Times New Roman" w:cs="Times New Roman"/>
              </w:rPr>
              <w:t>stazinis</w:t>
            </w:r>
            <w:proofErr w:type="spellEnd"/>
            <w:r>
              <w:rPr>
                <w:rFonts w:ascii="Times New Roman" w:eastAsia="Calibri" w:hAnsi="Times New Roman" w:cs="Times New Roman"/>
              </w:rPr>
              <w:t xml:space="preserve"> širdies nepakankamumas, nespecifiniai EKG pokyčiai, krūtinės angina</w:t>
            </w:r>
            <w:r>
              <w:rPr>
                <w:rFonts w:ascii="Times New Roman" w:eastAsia="Calibri" w:hAnsi="Times New Roman" w:cs="Times New Roman"/>
                <w:vertAlign w:val="superscript"/>
              </w:rPr>
              <w:t>‡</w:t>
            </w:r>
            <w:r>
              <w:rPr>
                <w:rFonts w:ascii="Times New Roman" w:eastAsia="Calibri" w:hAnsi="Times New Roman" w:cs="Times New Roman"/>
              </w:rPr>
              <w:t>, miokardo infarktas</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0C65552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6476AE0F" w14:textId="77777777">
        <w:trPr>
          <w:cantSplit/>
        </w:trPr>
        <w:tc>
          <w:tcPr>
            <w:tcW w:w="1567" w:type="pct"/>
            <w:vMerge w:val="restart"/>
            <w:tcBorders>
              <w:top w:val="single" w:sz="4" w:space="0" w:color="auto"/>
              <w:left w:val="single" w:sz="4" w:space="0" w:color="auto"/>
              <w:right w:val="single" w:sz="4" w:space="0" w:color="auto"/>
            </w:tcBorders>
            <w:hideMark/>
          </w:tcPr>
          <w:p w14:paraId="06590944" w14:textId="77777777" w:rsidR="00E021D7" w:rsidRDefault="009C1A2C">
            <w:pPr>
              <w:widowControl w:val="0"/>
              <w:tabs>
                <w:tab w:val="left" w:pos="567"/>
              </w:tabs>
              <w:spacing w:after="0" w:line="240" w:lineRule="auto"/>
              <w:jc w:val="both"/>
              <w:rPr>
                <w:rFonts w:ascii="Times New Roman" w:eastAsia="Calibri" w:hAnsi="Times New Roman" w:cs="Times New Roman"/>
                <w:b/>
              </w:rPr>
            </w:pPr>
            <w:r>
              <w:rPr>
                <w:rFonts w:ascii="Times New Roman" w:eastAsia="Calibri" w:hAnsi="Times New Roman" w:cs="Times New Roman"/>
                <w:b/>
                <w:i/>
              </w:rPr>
              <w:t>Kraujagyslių sutrikimai</w:t>
            </w:r>
          </w:p>
        </w:tc>
        <w:tc>
          <w:tcPr>
            <w:tcW w:w="2292" w:type="pct"/>
            <w:tcBorders>
              <w:top w:val="single" w:sz="4" w:space="0" w:color="auto"/>
              <w:left w:val="single" w:sz="4" w:space="0" w:color="auto"/>
              <w:bottom w:val="single" w:sz="4" w:space="0" w:color="auto"/>
              <w:right w:val="single" w:sz="4" w:space="0" w:color="auto"/>
            </w:tcBorders>
            <w:hideMark/>
          </w:tcPr>
          <w:p w14:paraId="20C5357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Hipertenzija</w:t>
            </w:r>
          </w:p>
        </w:tc>
        <w:tc>
          <w:tcPr>
            <w:tcW w:w="1141" w:type="pct"/>
            <w:tcBorders>
              <w:top w:val="single" w:sz="4" w:space="0" w:color="auto"/>
              <w:left w:val="single" w:sz="4" w:space="0" w:color="auto"/>
              <w:bottom w:val="single" w:sz="4" w:space="0" w:color="auto"/>
              <w:right w:val="single" w:sz="4" w:space="0" w:color="auto"/>
            </w:tcBorders>
            <w:hideMark/>
          </w:tcPr>
          <w:p w14:paraId="48A1062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76BA8711" w14:textId="77777777">
        <w:trPr>
          <w:cantSplit/>
        </w:trPr>
        <w:tc>
          <w:tcPr>
            <w:tcW w:w="1567" w:type="pct"/>
            <w:vMerge/>
            <w:tcBorders>
              <w:left w:val="single" w:sz="4" w:space="0" w:color="auto"/>
              <w:bottom w:val="single" w:sz="4" w:space="0" w:color="auto"/>
              <w:right w:val="single" w:sz="4" w:space="0" w:color="auto"/>
            </w:tcBorders>
          </w:tcPr>
          <w:p w14:paraId="38005AC1"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00A667C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Paraudimas, smegenų kraujotakos sutrikimas</w:t>
            </w:r>
            <w:r>
              <w:rPr>
                <w:rFonts w:ascii="Times New Roman" w:eastAsia="Calibri" w:hAnsi="Times New Roman" w:cs="Times New Roman"/>
                <w:vertAlign w:val="superscript"/>
              </w:rPr>
              <w:t>§</w:t>
            </w:r>
            <w:r>
              <w:rPr>
                <w:rFonts w:ascii="Times New Roman" w:eastAsia="Calibri" w:hAnsi="Times New Roman" w:cs="Times New Roman"/>
              </w:rPr>
              <w:t xml:space="preserve">, praeinantis išemijos priepuolis, </w:t>
            </w:r>
            <w:proofErr w:type="spellStart"/>
            <w:r>
              <w:rPr>
                <w:rFonts w:ascii="Times New Roman" w:eastAsia="Calibri" w:hAnsi="Times New Roman" w:cs="Times New Roman"/>
              </w:rPr>
              <w:t>hipertenzinė</w:t>
            </w:r>
            <w:proofErr w:type="spellEnd"/>
            <w:r>
              <w:rPr>
                <w:rFonts w:ascii="Times New Roman" w:eastAsia="Calibri" w:hAnsi="Times New Roman" w:cs="Times New Roman"/>
              </w:rPr>
              <w:t xml:space="preserve"> krizė</w:t>
            </w:r>
            <w:r>
              <w:rPr>
                <w:rFonts w:ascii="Times New Roman" w:eastAsia="Calibri" w:hAnsi="Times New Roman" w:cs="Times New Roman"/>
                <w:vertAlign w:val="superscript"/>
              </w:rPr>
              <w:t>‡</w:t>
            </w:r>
            <w:r>
              <w:rPr>
                <w:rFonts w:ascii="Times New Roman" w:eastAsia="Calibri" w:hAnsi="Times New Roman" w:cs="Times New Roman"/>
              </w:rPr>
              <w:t xml:space="preserve">, </w:t>
            </w:r>
            <w:proofErr w:type="spellStart"/>
            <w:r>
              <w:rPr>
                <w:rFonts w:ascii="Times New Roman" w:eastAsia="Calibri" w:hAnsi="Times New Roman" w:cs="Times New Roman"/>
              </w:rPr>
              <w:t>vaskulitas</w:t>
            </w:r>
            <w:proofErr w:type="spellEnd"/>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0AE7B94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573509A7" w14:textId="77777777">
        <w:trPr>
          <w:cantSplit/>
        </w:trPr>
        <w:tc>
          <w:tcPr>
            <w:tcW w:w="1567" w:type="pct"/>
            <w:vMerge w:val="restart"/>
            <w:tcBorders>
              <w:top w:val="single" w:sz="4" w:space="0" w:color="auto"/>
              <w:left w:val="single" w:sz="4" w:space="0" w:color="auto"/>
              <w:right w:val="single" w:sz="4" w:space="0" w:color="auto"/>
            </w:tcBorders>
            <w:hideMark/>
          </w:tcPr>
          <w:p w14:paraId="6CDC9311"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Kvėpavimo sistemos, krūtinės ląstos ir tarpuplaučio sutrikimai</w:t>
            </w:r>
          </w:p>
        </w:tc>
        <w:tc>
          <w:tcPr>
            <w:tcW w:w="2292" w:type="pct"/>
            <w:tcBorders>
              <w:top w:val="single" w:sz="4" w:space="0" w:color="auto"/>
              <w:left w:val="single" w:sz="4" w:space="0" w:color="auto"/>
              <w:bottom w:val="single" w:sz="4" w:space="0" w:color="auto"/>
              <w:right w:val="single" w:sz="4" w:space="0" w:color="auto"/>
            </w:tcBorders>
            <w:hideMark/>
          </w:tcPr>
          <w:p w14:paraId="6502ED6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Bronchų spazmas</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3C59AC5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7E2AD357" w14:textId="77777777">
        <w:trPr>
          <w:cantSplit/>
        </w:trPr>
        <w:tc>
          <w:tcPr>
            <w:tcW w:w="1567" w:type="pct"/>
            <w:vMerge/>
            <w:tcBorders>
              <w:left w:val="single" w:sz="4" w:space="0" w:color="auto"/>
              <w:bottom w:val="single" w:sz="4" w:space="0" w:color="auto"/>
              <w:right w:val="single" w:sz="4" w:space="0" w:color="auto"/>
            </w:tcBorders>
          </w:tcPr>
          <w:p w14:paraId="28C01E2A"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6D520A9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Kosulys, dusulys, kraujavimas iš nosies</w:t>
            </w:r>
          </w:p>
        </w:tc>
        <w:tc>
          <w:tcPr>
            <w:tcW w:w="1141" w:type="pct"/>
            <w:tcBorders>
              <w:top w:val="single" w:sz="4" w:space="0" w:color="auto"/>
              <w:left w:val="single" w:sz="4" w:space="0" w:color="auto"/>
              <w:bottom w:val="single" w:sz="4" w:space="0" w:color="auto"/>
              <w:right w:val="single" w:sz="4" w:space="0" w:color="auto"/>
            </w:tcBorders>
            <w:hideMark/>
          </w:tcPr>
          <w:p w14:paraId="7F6C70A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4C79BE11" w14:textId="77777777">
        <w:trPr>
          <w:cantSplit/>
        </w:trPr>
        <w:tc>
          <w:tcPr>
            <w:tcW w:w="1567" w:type="pct"/>
            <w:vMerge w:val="restart"/>
            <w:tcBorders>
              <w:top w:val="single" w:sz="4" w:space="0" w:color="auto"/>
              <w:left w:val="single" w:sz="4" w:space="0" w:color="auto"/>
              <w:right w:val="single" w:sz="4" w:space="0" w:color="auto"/>
            </w:tcBorders>
            <w:hideMark/>
          </w:tcPr>
          <w:p w14:paraId="4BFAA99D" w14:textId="77777777" w:rsidR="00E021D7" w:rsidRDefault="009C1A2C">
            <w:pPr>
              <w:widowControl w:val="0"/>
              <w:tabs>
                <w:tab w:val="left" w:pos="567"/>
              </w:tabs>
              <w:spacing w:after="0" w:line="240" w:lineRule="auto"/>
              <w:jc w:val="both"/>
              <w:rPr>
                <w:rFonts w:ascii="Times New Roman" w:eastAsia="Calibri" w:hAnsi="Times New Roman" w:cs="Times New Roman"/>
                <w:b/>
              </w:rPr>
            </w:pPr>
            <w:r>
              <w:rPr>
                <w:rFonts w:ascii="Times New Roman" w:eastAsia="Calibri" w:hAnsi="Times New Roman" w:cs="Times New Roman"/>
                <w:b/>
                <w:i/>
              </w:rPr>
              <w:t>Virškinimo trakto sutrikimai</w:t>
            </w:r>
          </w:p>
        </w:tc>
        <w:tc>
          <w:tcPr>
            <w:tcW w:w="2292" w:type="pct"/>
            <w:tcBorders>
              <w:top w:val="single" w:sz="4" w:space="0" w:color="auto"/>
              <w:left w:val="single" w:sz="4" w:space="0" w:color="auto"/>
              <w:bottom w:val="single" w:sz="4" w:space="0" w:color="auto"/>
              <w:right w:val="single" w:sz="4" w:space="0" w:color="auto"/>
            </w:tcBorders>
            <w:hideMark/>
          </w:tcPr>
          <w:p w14:paraId="6A49D35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Pilvo skausmas</w:t>
            </w:r>
          </w:p>
        </w:tc>
        <w:tc>
          <w:tcPr>
            <w:tcW w:w="1141" w:type="pct"/>
            <w:tcBorders>
              <w:top w:val="single" w:sz="4" w:space="0" w:color="auto"/>
              <w:left w:val="single" w:sz="4" w:space="0" w:color="auto"/>
              <w:bottom w:val="single" w:sz="4" w:space="0" w:color="auto"/>
              <w:right w:val="single" w:sz="4" w:space="0" w:color="auto"/>
            </w:tcBorders>
            <w:hideMark/>
          </w:tcPr>
          <w:p w14:paraId="2D3E5CC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Labai dažnas</w:t>
            </w:r>
          </w:p>
        </w:tc>
      </w:tr>
      <w:tr w:rsidR="00E021D7" w14:paraId="55C756CB" w14:textId="77777777">
        <w:trPr>
          <w:cantSplit/>
        </w:trPr>
        <w:tc>
          <w:tcPr>
            <w:tcW w:w="1567" w:type="pct"/>
            <w:vMerge/>
            <w:tcBorders>
              <w:left w:val="single" w:sz="4" w:space="0" w:color="auto"/>
              <w:right w:val="single" w:sz="4" w:space="0" w:color="auto"/>
            </w:tcBorders>
          </w:tcPr>
          <w:p w14:paraId="757D7D78"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6A4368F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Vidurių užkietėjimas, vidurių pūtimas, gastritas, rėmuo ir (arba) rūgšties </w:t>
            </w:r>
            <w:proofErr w:type="spellStart"/>
            <w:r>
              <w:rPr>
                <w:rFonts w:ascii="Times New Roman" w:eastAsia="Calibri" w:hAnsi="Times New Roman" w:cs="Times New Roman"/>
              </w:rPr>
              <w:t>refliuksas</w:t>
            </w:r>
            <w:proofErr w:type="spellEnd"/>
            <w:r>
              <w:rPr>
                <w:rFonts w:ascii="Times New Roman" w:eastAsia="Calibri" w:hAnsi="Times New Roman" w:cs="Times New Roman"/>
              </w:rPr>
              <w:t xml:space="preserve">, viduriavimas, dispepsija ir (arba) diskomfortas </w:t>
            </w:r>
            <w:proofErr w:type="spellStart"/>
            <w:r>
              <w:rPr>
                <w:rFonts w:ascii="Times New Roman" w:eastAsia="Calibri" w:hAnsi="Times New Roman" w:cs="Times New Roman"/>
              </w:rPr>
              <w:t>epigastriume</w:t>
            </w:r>
            <w:proofErr w:type="spellEnd"/>
            <w:r>
              <w:rPr>
                <w:rFonts w:ascii="Times New Roman" w:eastAsia="Calibri" w:hAnsi="Times New Roman" w:cs="Times New Roman"/>
              </w:rPr>
              <w:t xml:space="preserve">, pykinimas, vėmimas, </w:t>
            </w:r>
            <w:proofErr w:type="spellStart"/>
            <w:r>
              <w:rPr>
                <w:rFonts w:ascii="Times New Roman" w:eastAsia="Calibri" w:hAnsi="Times New Roman" w:cs="Times New Roman"/>
              </w:rPr>
              <w:t>ezofagitas</w:t>
            </w:r>
            <w:proofErr w:type="spellEnd"/>
            <w:r>
              <w:rPr>
                <w:rFonts w:ascii="Times New Roman" w:eastAsia="Calibri" w:hAnsi="Times New Roman" w:cs="Times New Roman"/>
              </w:rPr>
              <w:t>, burnos opa</w:t>
            </w:r>
          </w:p>
        </w:tc>
        <w:tc>
          <w:tcPr>
            <w:tcW w:w="1141" w:type="pct"/>
            <w:tcBorders>
              <w:top w:val="single" w:sz="4" w:space="0" w:color="auto"/>
              <w:left w:val="single" w:sz="4" w:space="0" w:color="auto"/>
              <w:bottom w:val="single" w:sz="4" w:space="0" w:color="auto"/>
              <w:right w:val="single" w:sz="4" w:space="0" w:color="auto"/>
            </w:tcBorders>
            <w:hideMark/>
          </w:tcPr>
          <w:p w14:paraId="371FB09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7139EBB9" w14:textId="77777777">
        <w:trPr>
          <w:cantSplit/>
        </w:trPr>
        <w:tc>
          <w:tcPr>
            <w:tcW w:w="1567" w:type="pct"/>
            <w:vMerge/>
            <w:tcBorders>
              <w:left w:val="single" w:sz="4" w:space="0" w:color="auto"/>
              <w:bottom w:val="single" w:sz="4" w:space="0" w:color="auto"/>
              <w:right w:val="single" w:sz="4" w:space="0" w:color="auto"/>
            </w:tcBorders>
          </w:tcPr>
          <w:p w14:paraId="5B5988D4"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14E31A1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Pilvo tempimas, tuštinimosi pobūdžio pokyčiai, burnos sausmė, skrandžio ir dvylikapirštės žarnos opa, </w:t>
            </w:r>
            <w:proofErr w:type="spellStart"/>
            <w:r>
              <w:rPr>
                <w:rFonts w:ascii="Times New Roman" w:eastAsia="Calibri" w:hAnsi="Times New Roman" w:cs="Times New Roman"/>
              </w:rPr>
              <w:t>pepsinės</w:t>
            </w:r>
            <w:proofErr w:type="spellEnd"/>
            <w:r>
              <w:rPr>
                <w:rFonts w:ascii="Times New Roman" w:eastAsia="Calibri" w:hAnsi="Times New Roman" w:cs="Times New Roman"/>
              </w:rPr>
              <w:t xml:space="preserve"> opos, įskaitant skrandžio ir žarnų perforaciją bei kraujavimą, dirgliosios žarnos sindromas, pankreatitas</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676D8FF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3D72F538" w14:textId="77777777">
        <w:trPr>
          <w:cantSplit/>
        </w:trPr>
        <w:tc>
          <w:tcPr>
            <w:tcW w:w="1567" w:type="pct"/>
            <w:vMerge w:val="restart"/>
            <w:tcBorders>
              <w:top w:val="single" w:sz="4" w:space="0" w:color="auto"/>
              <w:left w:val="single" w:sz="4" w:space="0" w:color="auto"/>
              <w:right w:val="single" w:sz="4" w:space="0" w:color="auto"/>
            </w:tcBorders>
            <w:hideMark/>
          </w:tcPr>
          <w:p w14:paraId="5614F9FD"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Kepenų, tulžies pūslės ir latakų sutrikimai</w:t>
            </w:r>
          </w:p>
        </w:tc>
        <w:tc>
          <w:tcPr>
            <w:tcW w:w="2292" w:type="pct"/>
            <w:tcBorders>
              <w:top w:val="single" w:sz="4" w:space="0" w:color="auto"/>
              <w:left w:val="single" w:sz="4" w:space="0" w:color="auto"/>
              <w:bottom w:val="single" w:sz="4" w:space="0" w:color="auto"/>
              <w:right w:val="single" w:sz="4" w:space="0" w:color="auto"/>
            </w:tcBorders>
            <w:hideMark/>
          </w:tcPr>
          <w:p w14:paraId="7DC73A6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Padidėjęs ALT aktyvumas, padidėjęs AST aktyvumas</w:t>
            </w:r>
          </w:p>
        </w:tc>
        <w:tc>
          <w:tcPr>
            <w:tcW w:w="1141" w:type="pct"/>
            <w:tcBorders>
              <w:top w:val="single" w:sz="4" w:space="0" w:color="auto"/>
              <w:left w:val="single" w:sz="4" w:space="0" w:color="auto"/>
              <w:bottom w:val="single" w:sz="4" w:space="0" w:color="auto"/>
              <w:right w:val="single" w:sz="4" w:space="0" w:color="auto"/>
            </w:tcBorders>
            <w:hideMark/>
          </w:tcPr>
          <w:p w14:paraId="5F182C9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61EEF644" w14:textId="77777777">
        <w:trPr>
          <w:cantSplit/>
        </w:trPr>
        <w:tc>
          <w:tcPr>
            <w:tcW w:w="1567" w:type="pct"/>
            <w:vMerge/>
            <w:tcBorders>
              <w:left w:val="single" w:sz="4" w:space="0" w:color="auto"/>
              <w:right w:val="single" w:sz="4" w:space="0" w:color="auto"/>
            </w:tcBorders>
          </w:tcPr>
          <w:p w14:paraId="7E363BCF"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01A1659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Hepatitas</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27C23EC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p>
        </w:tc>
      </w:tr>
      <w:tr w:rsidR="00E021D7" w14:paraId="186D06B3" w14:textId="77777777">
        <w:trPr>
          <w:cantSplit/>
        </w:trPr>
        <w:tc>
          <w:tcPr>
            <w:tcW w:w="1567" w:type="pct"/>
            <w:vMerge/>
            <w:tcBorders>
              <w:left w:val="single" w:sz="4" w:space="0" w:color="auto"/>
              <w:bottom w:val="single" w:sz="4" w:space="0" w:color="auto"/>
              <w:right w:val="single" w:sz="4" w:space="0" w:color="auto"/>
            </w:tcBorders>
          </w:tcPr>
          <w:p w14:paraId="276A66DC"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37F8C11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Kepenų nepakankamumas</w:t>
            </w:r>
            <w:r>
              <w:rPr>
                <w:rFonts w:ascii="Times New Roman" w:eastAsia="Calibri" w:hAnsi="Times New Roman" w:cs="Times New Roman"/>
                <w:vertAlign w:val="superscript"/>
              </w:rPr>
              <w:t>‡</w:t>
            </w:r>
            <w:r>
              <w:rPr>
                <w:rFonts w:ascii="Times New Roman" w:eastAsia="Calibri" w:hAnsi="Times New Roman" w:cs="Times New Roman"/>
              </w:rPr>
              <w:t>, gelta</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5D15626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r>
              <w:rPr>
                <w:rFonts w:ascii="Times New Roman" w:eastAsia="Calibri" w:hAnsi="Times New Roman" w:cs="Times New Roman"/>
                <w:vertAlign w:val="superscript"/>
              </w:rPr>
              <w:t>†</w:t>
            </w:r>
          </w:p>
        </w:tc>
      </w:tr>
      <w:tr w:rsidR="00E021D7" w14:paraId="59175330" w14:textId="77777777">
        <w:trPr>
          <w:cantSplit/>
        </w:trPr>
        <w:tc>
          <w:tcPr>
            <w:tcW w:w="1567" w:type="pct"/>
            <w:vMerge w:val="restart"/>
            <w:tcBorders>
              <w:top w:val="single" w:sz="4" w:space="0" w:color="auto"/>
              <w:left w:val="single" w:sz="4" w:space="0" w:color="auto"/>
              <w:right w:val="single" w:sz="4" w:space="0" w:color="auto"/>
            </w:tcBorders>
            <w:hideMark/>
          </w:tcPr>
          <w:p w14:paraId="29A6CF7B"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Odos ir poodinio audinio sutrikimai</w:t>
            </w:r>
          </w:p>
        </w:tc>
        <w:tc>
          <w:tcPr>
            <w:tcW w:w="2292" w:type="pct"/>
            <w:tcBorders>
              <w:top w:val="single" w:sz="4" w:space="0" w:color="auto"/>
              <w:left w:val="single" w:sz="4" w:space="0" w:color="auto"/>
              <w:bottom w:val="single" w:sz="4" w:space="0" w:color="auto"/>
              <w:right w:val="single" w:sz="4" w:space="0" w:color="auto"/>
            </w:tcBorders>
            <w:hideMark/>
          </w:tcPr>
          <w:p w14:paraId="7F725BF9"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Ekchimozė</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613F6BC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347FAE8C" w14:textId="77777777">
        <w:trPr>
          <w:cantSplit/>
        </w:trPr>
        <w:tc>
          <w:tcPr>
            <w:tcW w:w="1567" w:type="pct"/>
            <w:vMerge/>
            <w:tcBorders>
              <w:left w:val="single" w:sz="4" w:space="0" w:color="auto"/>
              <w:right w:val="single" w:sz="4" w:space="0" w:color="auto"/>
            </w:tcBorders>
          </w:tcPr>
          <w:p w14:paraId="6EDF4FB9"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08024CA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Veido patinimas, niežėjimas, išbėrimas, </w:t>
            </w:r>
            <w:proofErr w:type="spellStart"/>
            <w:r>
              <w:rPr>
                <w:rFonts w:ascii="Times New Roman" w:eastAsia="Calibri" w:hAnsi="Times New Roman" w:cs="Times New Roman"/>
              </w:rPr>
              <w:t>eritema</w:t>
            </w:r>
            <w:proofErr w:type="spellEnd"/>
            <w:r>
              <w:rPr>
                <w:rFonts w:ascii="Times New Roman" w:eastAsia="Calibri" w:hAnsi="Times New Roman" w:cs="Times New Roman"/>
                <w:vertAlign w:val="superscript"/>
              </w:rPr>
              <w:t>‡</w:t>
            </w:r>
            <w:r>
              <w:rPr>
                <w:rFonts w:ascii="Times New Roman" w:eastAsia="Calibri" w:hAnsi="Times New Roman" w:cs="Times New Roman"/>
              </w:rPr>
              <w:t>, dilgėlinė</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5B4300B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58B9EFEA" w14:textId="77777777">
        <w:trPr>
          <w:cantSplit/>
        </w:trPr>
        <w:tc>
          <w:tcPr>
            <w:tcW w:w="1567" w:type="pct"/>
            <w:vMerge/>
            <w:tcBorders>
              <w:left w:val="single" w:sz="4" w:space="0" w:color="auto"/>
              <w:bottom w:val="single" w:sz="4" w:space="0" w:color="auto"/>
              <w:right w:val="single" w:sz="4" w:space="0" w:color="auto"/>
            </w:tcBorders>
          </w:tcPr>
          <w:p w14:paraId="2157F592"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4674AB2B"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Stivenso</w:t>
            </w:r>
            <w:proofErr w:type="spellEnd"/>
            <w:r>
              <w:rPr>
                <w:rFonts w:ascii="Times New Roman" w:eastAsia="Calibri" w:hAnsi="Times New Roman" w:cs="Times New Roman"/>
              </w:rPr>
              <w:t>-Džonsono (</w:t>
            </w:r>
            <w:proofErr w:type="spellStart"/>
            <w:r>
              <w:rPr>
                <w:rFonts w:ascii="Times New Roman" w:eastAsia="Calibri" w:hAnsi="Times New Roman" w:cs="Times New Roman"/>
                <w:i/>
              </w:rPr>
              <w:t>Stevens-Johnson</w:t>
            </w:r>
            <w:proofErr w:type="spellEnd"/>
            <w:r>
              <w:rPr>
                <w:rFonts w:ascii="Times New Roman" w:eastAsia="Calibri" w:hAnsi="Times New Roman" w:cs="Times New Roman"/>
              </w:rPr>
              <w:t>) sindromas</w:t>
            </w:r>
            <w:r>
              <w:rPr>
                <w:rFonts w:ascii="Times New Roman" w:eastAsia="Calibri" w:hAnsi="Times New Roman" w:cs="Times New Roman"/>
                <w:vertAlign w:val="superscript"/>
              </w:rPr>
              <w:t>‡</w:t>
            </w:r>
            <w:r>
              <w:rPr>
                <w:rFonts w:ascii="Times New Roman" w:eastAsia="Calibri" w:hAnsi="Times New Roman" w:cs="Times New Roman"/>
              </w:rPr>
              <w:t xml:space="preserve">, toksinė epidermio </w:t>
            </w:r>
            <w:proofErr w:type="spellStart"/>
            <w:r>
              <w:rPr>
                <w:rFonts w:ascii="Times New Roman" w:eastAsia="Calibri" w:hAnsi="Times New Roman" w:cs="Times New Roman"/>
              </w:rPr>
              <w:t>nekrolizė</w:t>
            </w:r>
            <w:proofErr w:type="spellEnd"/>
            <w:r>
              <w:rPr>
                <w:rFonts w:ascii="Times New Roman" w:eastAsia="Calibri" w:hAnsi="Times New Roman" w:cs="Times New Roman"/>
                <w:vertAlign w:val="superscript"/>
              </w:rPr>
              <w:t>‡</w:t>
            </w:r>
            <w:r>
              <w:rPr>
                <w:rFonts w:ascii="Times New Roman" w:eastAsia="Calibri" w:hAnsi="Times New Roman" w:cs="Times New Roman"/>
              </w:rPr>
              <w:t>, pastovus vaistinis išbėrimas</w:t>
            </w:r>
            <w:r>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04D7754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r>
              <w:rPr>
                <w:rFonts w:ascii="Times New Roman" w:eastAsia="Calibri" w:hAnsi="Times New Roman" w:cs="Times New Roman"/>
                <w:vertAlign w:val="superscript"/>
              </w:rPr>
              <w:t>†</w:t>
            </w:r>
          </w:p>
        </w:tc>
      </w:tr>
      <w:tr w:rsidR="00E021D7" w14:paraId="16B1CEC7" w14:textId="77777777">
        <w:trPr>
          <w:cantSplit/>
        </w:trPr>
        <w:tc>
          <w:tcPr>
            <w:tcW w:w="1567" w:type="pct"/>
            <w:tcBorders>
              <w:top w:val="single" w:sz="4" w:space="0" w:color="auto"/>
              <w:left w:val="single" w:sz="4" w:space="0" w:color="auto"/>
              <w:bottom w:val="single" w:sz="4" w:space="0" w:color="auto"/>
              <w:right w:val="single" w:sz="4" w:space="0" w:color="auto"/>
            </w:tcBorders>
            <w:hideMark/>
          </w:tcPr>
          <w:p w14:paraId="7035D1C6"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Skeleto, raumenų ir jungiamojo audinio sutrikimai</w:t>
            </w:r>
          </w:p>
        </w:tc>
        <w:tc>
          <w:tcPr>
            <w:tcW w:w="2292" w:type="pct"/>
            <w:tcBorders>
              <w:top w:val="single" w:sz="4" w:space="0" w:color="auto"/>
              <w:left w:val="single" w:sz="4" w:space="0" w:color="auto"/>
              <w:bottom w:val="single" w:sz="4" w:space="0" w:color="auto"/>
              <w:right w:val="single" w:sz="4" w:space="0" w:color="auto"/>
            </w:tcBorders>
            <w:hideMark/>
          </w:tcPr>
          <w:p w14:paraId="5BBD9D1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Raumenų mėšlungis ir (arba) spazmas, kaulų ir raumenų skausmas ir (arba) sąstingis</w:t>
            </w:r>
          </w:p>
        </w:tc>
        <w:tc>
          <w:tcPr>
            <w:tcW w:w="1141" w:type="pct"/>
            <w:tcBorders>
              <w:top w:val="single" w:sz="4" w:space="0" w:color="auto"/>
              <w:left w:val="single" w:sz="4" w:space="0" w:color="auto"/>
              <w:bottom w:val="single" w:sz="4" w:space="0" w:color="auto"/>
              <w:right w:val="single" w:sz="4" w:space="0" w:color="auto"/>
            </w:tcBorders>
            <w:hideMark/>
          </w:tcPr>
          <w:p w14:paraId="1440D82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4FB864C0" w14:textId="77777777">
        <w:trPr>
          <w:cantSplit/>
        </w:trPr>
        <w:tc>
          <w:tcPr>
            <w:tcW w:w="1567" w:type="pct"/>
            <w:tcBorders>
              <w:top w:val="single" w:sz="4" w:space="0" w:color="auto"/>
              <w:left w:val="single" w:sz="4" w:space="0" w:color="auto"/>
              <w:bottom w:val="single" w:sz="4" w:space="0" w:color="auto"/>
              <w:right w:val="single" w:sz="4" w:space="0" w:color="auto"/>
            </w:tcBorders>
            <w:hideMark/>
          </w:tcPr>
          <w:p w14:paraId="3E566403"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Inkstų ir šlapimo takų sutrikimai</w:t>
            </w:r>
          </w:p>
        </w:tc>
        <w:tc>
          <w:tcPr>
            <w:tcW w:w="2292" w:type="pct"/>
            <w:tcBorders>
              <w:top w:val="single" w:sz="4" w:space="0" w:color="auto"/>
              <w:left w:val="single" w:sz="4" w:space="0" w:color="auto"/>
              <w:bottom w:val="single" w:sz="4" w:space="0" w:color="auto"/>
              <w:right w:val="single" w:sz="4" w:space="0" w:color="auto"/>
            </w:tcBorders>
            <w:hideMark/>
          </w:tcPr>
          <w:p w14:paraId="13479804"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Proteinurija</w:t>
            </w:r>
            <w:proofErr w:type="spellEnd"/>
            <w:r>
              <w:rPr>
                <w:rFonts w:ascii="Times New Roman" w:eastAsia="Calibri" w:hAnsi="Times New Roman" w:cs="Times New Roman"/>
              </w:rPr>
              <w:t>, kreatinino kiekio serume padidėjimas, inkstų nepakankamumas ir (arba) inkstų funkcijos sutrikimas</w:t>
            </w:r>
            <w:r>
              <w:rPr>
                <w:rFonts w:ascii="Times New Roman" w:eastAsia="Calibri" w:hAnsi="Times New Roman" w:cs="Times New Roman"/>
                <w:vertAlign w:val="superscript"/>
              </w:rPr>
              <w:t>‡</w:t>
            </w:r>
            <w:r>
              <w:rPr>
                <w:rFonts w:ascii="Times New Roman" w:eastAsia="Calibri" w:hAnsi="Times New Roman" w:cs="Times New Roman"/>
              </w:rPr>
              <w:t xml:space="preserve"> (žr. 4.4 skyrių)</w:t>
            </w:r>
          </w:p>
        </w:tc>
        <w:tc>
          <w:tcPr>
            <w:tcW w:w="1141" w:type="pct"/>
            <w:tcBorders>
              <w:top w:val="single" w:sz="4" w:space="0" w:color="auto"/>
              <w:left w:val="single" w:sz="4" w:space="0" w:color="auto"/>
              <w:bottom w:val="single" w:sz="4" w:space="0" w:color="auto"/>
              <w:right w:val="single" w:sz="4" w:space="0" w:color="auto"/>
            </w:tcBorders>
            <w:hideMark/>
          </w:tcPr>
          <w:p w14:paraId="3C9F8B8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4D93CD2F" w14:textId="77777777">
        <w:trPr>
          <w:cantSplit/>
        </w:trPr>
        <w:tc>
          <w:tcPr>
            <w:tcW w:w="1567" w:type="pct"/>
            <w:vMerge w:val="restart"/>
            <w:tcBorders>
              <w:top w:val="single" w:sz="4" w:space="0" w:color="auto"/>
              <w:left w:val="single" w:sz="4" w:space="0" w:color="auto"/>
              <w:right w:val="single" w:sz="4" w:space="0" w:color="auto"/>
            </w:tcBorders>
            <w:hideMark/>
          </w:tcPr>
          <w:p w14:paraId="6FFE081E"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i/>
              </w:rPr>
              <w:t>Bendrieji sutrikimai ir vartojimo vietos pažeidimai</w:t>
            </w:r>
          </w:p>
        </w:tc>
        <w:tc>
          <w:tcPr>
            <w:tcW w:w="2292" w:type="pct"/>
            <w:tcBorders>
              <w:top w:val="single" w:sz="4" w:space="0" w:color="auto"/>
              <w:left w:val="single" w:sz="4" w:space="0" w:color="auto"/>
              <w:bottom w:val="single" w:sz="4" w:space="0" w:color="auto"/>
              <w:right w:val="single" w:sz="4" w:space="0" w:color="auto"/>
            </w:tcBorders>
            <w:hideMark/>
          </w:tcPr>
          <w:p w14:paraId="7F8A5617"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Astenija</w:t>
            </w:r>
            <w:proofErr w:type="spellEnd"/>
            <w:r>
              <w:rPr>
                <w:rFonts w:ascii="Times New Roman" w:eastAsia="Calibri" w:hAnsi="Times New Roman" w:cs="Times New Roman"/>
              </w:rPr>
              <w:t xml:space="preserve"> ir (arba) nuovargis, į gripą panaši liga</w:t>
            </w:r>
          </w:p>
        </w:tc>
        <w:tc>
          <w:tcPr>
            <w:tcW w:w="1141" w:type="pct"/>
            <w:tcBorders>
              <w:top w:val="single" w:sz="4" w:space="0" w:color="auto"/>
              <w:left w:val="single" w:sz="4" w:space="0" w:color="auto"/>
              <w:bottom w:val="single" w:sz="4" w:space="0" w:color="auto"/>
              <w:right w:val="single" w:sz="4" w:space="0" w:color="auto"/>
            </w:tcBorders>
            <w:hideMark/>
          </w:tcPr>
          <w:p w14:paraId="79159F7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w:t>
            </w:r>
          </w:p>
        </w:tc>
      </w:tr>
      <w:tr w:rsidR="00E021D7" w14:paraId="4324FE4B" w14:textId="77777777">
        <w:trPr>
          <w:cantSplit/>
        </w:trPr>
        <w:tc>
          <w:tcPr>
            <w:tcW w:w="1567" w:type="pct"/>
            <w:vMerge/>
            <w:tcBorders>
              <w:left w:val="single" w:sz="4" w:space="0" w:color="auto"/>
              <w:bottom w:val="single" w:sz="4" w:space="0" w:color="auto"/>
              <w:right w:val="single" w:sz="4" w:space="0" w:color="auto"/>
            </w:tcBorders>
          </w:tcPr>
          <w:p w14:paraId="3A335107"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5DB841E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Krūtinės skausmas</w:t>
            </w:r>
          </w:p>
        </w:tc>
        <w:tc>
          <w:tcPr>
            <w:tcW w:w="1141" w:type="pct"/>
            <w:tcBorders>
              <w:top w:val="single" w:sz="4" w:space="0" w:color="auto"/>
              <w:left w:val="single" w:sz="4" w:space="0" w:color="auto"/>
              <w:bottom w:val="single" w:sz="4" w:space="0" w:color="auto"/>
              <w:right w:val="single" w:sz="4" w:space="0" w:color="auto"/>
            </w:tcBorders>
            <w:hideMark/>
          </w:tcPr>
          <w:p w14:paraId="00C5E66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62B211F8" w14:textId="77777777">
        <w:trPr>
          <w:cantSplit/>
        </w:trPr>
        <w:tc>
          <w:tcPr>
            <w:tcW w:w="1567" w:type="pct"/>
            <w:vMerge w:val="restart"/>
            <w:tcBorders>
              <w:top w:val="single" w:sz="4" w:space="0" w:color="auto"/>
              <w:left w:val="single" w:sz="4" w:space="0" w:color="auto"/>
              <w:right w:val="single" w:sz="4" w:space="0" w:color="auto"/>
            </w:tcBorders>
            <w:hideMark/>
          </w:tcPr>
          <w:p w14:paraId="7D3C6D44" w14:textId="77777777" w:rsidR="00E021D7" w:rsidRDefault="009C1A2C">
            <w:pPr>
              <w:widowControl w:val="0"/>
              <w:tabs>
                <w:tab w:val="left" w:pos="567"/>
              </w:tabs>
              <w:spacing w:after="0" w:line="240" w:lineRule="auto"/>
              <w:jc w:val="both"/>
              <w:rPr>
                <w:rFonts w:ascii="Times New Roman" w:eastAsia="Calibri" w:hAnsi="Times New Roman" w:cs="Times New Roman"/>
                <w:b/>
              </w:rPr>
            </w:pPr>
            <w:r>
              <w:rPr>
                <w:rFonts w:ascii="Times New Roman" w:eastAsia="Calibri" w:hAnsi="Times New Roman" w:cs="Times New Roman"/>
                <w:b/>
                <w:i/>
              </w:rPr>
              <w:t>Tyrimai</w:t>
            </w:r>
          </w:p>
        </w:tc>
        <w:tc>
          <w:tcPr>
            <w:tcW w:w="2292" w:type="pct"/>
            <w:tcBorders>
              <w:top w:val="single" w:sz="4" w:space="0" w:color="auto"/>
              <w:left w:val="single" w:sz="4" w:space="0" w:color="auto"/>
              <w:bottom w:val="single" w:sz="4" w:space="0" w:color="auto"/>
              <w:right w:val="single" w:sz="4" w:space="0" w:color="auto"/>
            </w:tcBorders>
            <w:hideMark/>
          </w:tcPr>
          <w:p w14:paraId="1238D63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Padidėjęs karbamido kiekis kraujyje, padidėjęs </w:t>
            </w:r>
            <w:proofErr w:type="spellStart"/>
            <w:r>
              <w:rPr>
                <w:rFonts w:ascii="Times New Roman" w:eastAsia="Calibri" w:hAnsi="Times New Roman" w:cs="Times New Roman"/>
              </w:rPr>
              <w:t>kreatinfosfokinazės</w:t>
            </w:r>
            <w:proofErr w:type="spellEnd"/>
            <w:r>
              <w:rPr>
                <w:rFonts w:ascii="Times New Roman" w:eastAsia="Calibri" w:hAnsi="Times New Roman" w:cs="Times New Roman"/>
              </w:rPr>
              <w:t xml:space="preserve"> aktyvumas, </w:t>
            </w:r>
            <w:proofErr w:type="spellStart"/>
            <w:r>
              <w:rPr>
                <w:rFonts w:ascii="Times New Roman" w:eastAsia="Calibri" w:hAnsi="Times New Roman" w:cs="Times New Roman"/>
              </w:rPr>
              <w:t>hiperkalemija</w:t>
            </w:r>
            <w:proofErr w:type="spellEnd"/>
            <w:r>
              <w:rPr>
                <w:rFonts w:ascii="Times New Roman" w:eastAsia="Calibri" w:hAnsi="Times New Roman" w:cs="Times New Roman"/>
              </w:rPr>
              <w:t>, padidėjęs šlapimo rūgšties kiekis</w:t>
            </w:r>
          </w:p>
        </w:tc>
        <w:tc>
          <w:tcPr>
            <w:tcW w:w="1141" w:type="pct"/>
            <w:tcBorders>
              <w:top w:val="single" w:sz="4" w:space="0" w:color="auto"/>
              <w:left w:val="single" w:sz="4" w:space="0" w:color="auto"/>
              <w:bottom w:val="single" w:sz="4" w:space="0" w:color="auto"/>
              <w:right w:val="single" w:sz="4" w:space="0" w:color="auto"/>
            </w:tcBorders>
            <w:hideMark/>
          </w:tcPr>
          <w:p w14:paraId="297E05D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w:t>
            </w:r>
          </w:p>
        </w:tc>
      </w:tr>
      <w:tr w:rsidR="00E021D7" w14:paraId="7EA49C23" w14:textId="77777777">
        <w:trPr>
          <w:cantSplit/>
        </w:trPr>
        <w:tc>
          <w:tcPr>
            <w:tcW w:w="1567" w:type="pct"/>
            <w:vMerge/>
            <w:tcBorders>
              <w:left w:val="single" w:sz="4" w:space="0" w:color="auto"/>
              <w:bottom w:val="single" w:sz="4" w:space="0" w:color="auto"/>
              <w:right w:val="single" w:sz="4" w:space="0" w:color="auto"/>
            </w:tcBorders>
          </w:tcPr>
          <w:p w14:paraId="64683846" w14:textId="77777777" w:rsidR="00E021D7" w:rsidRDefault="00E021D7">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0D43C5D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Sumažėjęs natrio kiekis kraujyje</w:t>
            </w:r>
          </w:p>
        </w:tc>
        <w:tc>
          <w:tcPr>
            <w:tcW w:w="1141" w:type="pct"/>
            <w:tcBorders>
              <w:top w:val="single" w:sz="4" w:space="0" w:color="auto"/>
              <w:left w:val="single" w:sz="4" w:space="0" w:color="auto"/>
              <w:bottom w:val="single" w:sz="4" w:space="0" w:color="auto"/>
              <w:right w:val="single" w:sz="4" w:space="0" w:color="auto"/>
            </w:tcBorders>
            <w:hideMark/>
          </w:tcPr>
          <w:p w14:paraId="7C08F4C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w:t>
            </w:r>
          </w:p>
        </w:tc>
      </w:tr>
    </w:tbl>
    <w:p w14:paraId="0C06DD2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Dažnio kategorija. Kiekviena nepageidaujama reakcija suklasifikuota pagal klinikinių tyrimų duomenų bazėje užfiksuotą dažnį: labai dažnas (≥ 1/10), dažnas (nuo ≥ 1/100 iki &lt; 1/10), nedažnas (nuo ≥ 1/1000 iki &lt; 1/100), retas (nuo ≥ 1/10000 iki &lt; 1/1000), labai retas (&lt; 1/10000).</w:t>
      </w:r>
    </w:p>
    <w:p w14:paraId="7E5E22E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vertAlign w:val="superscript"/>
        </w:rPr>
        <w:t>‡</w:t>
      </w:r>
      <w:r>
        <w:rPr>
          <w:rFonts w:ascii="Times New Roman" w:eastAsia="Calibri" w:hAnsi="Times New Roman" w:cs="Times New Roman"/>
        </w:rPr>
        <w:t xml:space="preserve"> Ši nepageidaujama reakcija buvo pastebėta vaistiniam preparatui esant rinkoje. Jos pateiktas dažnis nustatytas pagal didžiausią dažnį, nustatytą klinikinių tyrimų duomenimis, sukauptais pagal indikaciją ir įteisintą dozę.</w:t>
      </w:r>
    </w:p>
    <w:p w14:paraId="7C6E425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vertAlign w:val="superscript"/>
        </w:rPr>
        <w:t>†</w:t>
      </w:r>
      <w:r>
        <w:rPr>
          <w:rFonts w:ascii="Times New Roman" w:eastAsia="Calibri" w:hAnsi="Times New Roman" w:cs="Times New Roman"/>
        </w:rPr>
        <w:t xml:space="preserve"> Dažnio grupė „Retas“ charakterizuota vadovaujantis Preparato charakteristikų santraukos (PCS) rengimo gairėmis (peržiūrėtos 2009 m. rudėjo mėn., 2 peržiūra), remiantis nustatyta viršutine 95 % </w:t>
      </w:r>
      <w:proofErr w:type="spellStart"/>
      <w:r>
        <w:rPr>
          <w:rFonts w:ascii="Times New Roman" w:eastAsia="Calibri" w:hAnsi="Times New Roman" w:cs="Times New Roman"/>
        </w:rPr>
        <w:t>pasikliautinojo</w:t>
      </w:r>
      <w:proofErr w:type="spellEnd"/>
      <w:r>
        <w:rPr>
          <w:rFonts w:ascii="Times New Roman" w:eastAsia="Calibri" w:hAnsi="Times New Roman" w:cs="Times New Roman"/>
        </w:rPr>
        <w:t xml:space="preserve"> intervalo riba 0 reiškinių šiam asmenų, gydytų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skaičiui, atliekant III fazės duomenų, sukauptų pagal dozę ir indikaciją analizę (n = 15 470).</w:t>
      </w:r>
    </w:p>
    <w:p w14:paraId="2CF52EE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vertAlign w:val="superscript"/>
        </w:rPr>
        <w:t>β</w:t>
      </w:r>
      <w:r>
        <w:rPr>
          <w:rFonts w:ascii="Times New Roman" w:eastAsia="Calibri" w:hAnsi="Times New Roman" w:cs="Times New Roman"/>
        </w:rPr>
        <w:t xml:space="preserve"> Terminas „padidėjęs jautrumas“ apima terminus „alergija“, „alergija vaistiniams preparatams“, „padidėjęs jautrumas vaistiniams preparatams“, „padidėjęs jautrumas“, „nespecifiškai padidėjęs jautrumas“, „padidėjusio jautrumo reakcija“ ir „nespecifinė alergija“.</w:t>
      </w:r>
    </w:p>
    <w:p w14:paraId="5515E9A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vertAlign w:val="superscript"/>
        </w:rPr>
        <w:t>§</w:t>
      </w:r>
      <w:r>
        <w:rPr>
          <w:rFonts w:ascii="Times New Roman" w:eastAsia="Calibri" w:hAnsi="Times New Roman" w:cs="Times New Roman"/>
        </w:rPr>
        <w:t xml:space="preserve"> Remiantis ilgalaikių placebu ir veikliąja medžiaga kontroliuotų klinikinių tyrimų duomenimis, selektyvūs COX-2 inhibitoriai yra susiję su padidėjusiu sunkių arterijų trombozės reiškinių, įskaitant miokardo infarktą ir insultą, rizika. Remiantis turimais duomenimis (nedažnas) nėra tikėtina, kad tokių reiškinių absoliučios rizikos padažnėjimas būtų didesnis kaip 1 % per metus.</w:t>
      </w:r>
    </w:p>
    <w:p w14:paraId="44B278CD" w14:textId="77777777" w:rsidR="00E021D7" w:rsidRDefault="00E021D7">
      <w:pPr>
        <w:widowControl w:val="0"/>
        <w:tabs>
          <w:tab w:val="left" w:pos="567"/>
        </w:tabs>
        <w:spacing w:after="0" w:line="240" w:lineRule="auto"/>
        <w:rPr>
          <w:rFonts w:ascii="Times New Roman" w:eastAsia="Calibri" w:hAnsi="Times New Roman" w:cs="Times New Roman"/>
        </w:rPr>
      </w:pPr>
    </w:p>
    <w:p w14:paraId="0DD119F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Apie toliau nurodytą sunkų nepageidaujamą poveikį buvo pranešta kartu vartojant NVNU ir jų atsiradimo negalima paneigti vartojant </w:t>
      </w:r>
      <w:proofErr w:type="spellStart"/>
      <w:r>
        <w:rPr>
          <w:rFonts w:ascii="Times New Roman" w:eastAsia="Calibri" w:hAnsi="Times New Roman" w:cs="Times New Roman"/>
        </w:rPr>
        <w:t>etorikoksibą</w:t>
      </w:r>
      <w:proofErr w:type="spellEnd"/>
      <w:r>
        <w:rPr>
          <w:rFonts w:ascii="Times New Roman" w:eastAsia="Calibri" w:hAnsi="Times New Roman" w:cs="Times New Roman"/>
        </w:rPr>
        <w:t xml:space="preserve">: toksinis poveikis inkstams, įskaitant </w:t>
      </w:r>
      <w:proofErr w:type="spellStart"/>
      <w:r>
        <w:rPr>
          <w:rFonts w:ascii="Times New Roman" w:eastAsia="Calibri" w:hAnsi="Times New Roman" w:cs="Times New Roman"/>
        </w:rPr>
        <w:t>intersticinį</w:t>
      </w:r>
      <w:proofErr w:type="spellEnd"/>
      <w:r>
        <w:rPr>
          <w:rFonts w:ascii="Times New Roman" w:eastAsia="Calibri" w:hAnsi="Times New Roman" w:cs="Times New Roman"/>
        </w:rPr>
        <w:t xml:space="preserve"> nefritą ir </w:t>
      </w:r>
      <w:proofErr w:type="spellStart"/>
      <w:r>
        <w:rPr>
          <w:rFonts w:ascii="Times New Roman" w:eastAsia="Calibri" w:hAnsi="Times New Roman" w:cs="Times New Roman"/>
        </w:rPr>
        <w:t>nefrozinį</w:t>
      </w:r>
      <w:proofErr w:type="spellEnd"/>
      <w:r>
        <w:rPr>
          <w:rFonts w:ascii="Times New Roman" w:eastAsia="Calibri" w:hAnsi="Times New Roman" w:cs="Times New Roman"/>
        </w:rPr>
        <w:t xml:space="preserve"> sindromą.</w:t>
      </w:r>
    </w:p>
    <w:p w14:paraId="29DE6CEE" w14:textId="77777777" w:rsidR="00E021D7" w:rsidRDefault="00E021D7">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5505A985" w14:textId="77777777" w:rsidR="00E021D7" w:rsidRDefault="009C1A2C">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Pranešimas apie įtariamas nepageidaujamas reakcijas</w:t>
      </w:r>
    </w:p>
    <w:p w14:paraId="554542F5" w14:textId="77777777" w:rsidR="00E021D7" w:rsidRDefault="009C1A2C">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Pr>
            <w:rStyle w:val="Hipersaitas"/>
            <w:sz w:val="22"/>
            <w:lang w:val="lt-LT"/>
          </w:rPr>
          <w:t>NepageidaujamaR@vvkt.lt</w:t>
        </w:r>
      </w:hyperlink>
      <w:r>
        <w:rPr>
          <w:rFonts w:ascii="Times New Roman" w:eastAsia="Calibri" w:hAnsi="Times New Roman" w:cs="Times New Roman"/>
        </w:rPr>
        <w:t>).</w:t>
      </w:r>
    </w:p>
    <w:p w14:paraId="5D26A391" w14:textId="77777777" w:rsidR="00E021D7" w:rsidRDefault="00E021D7">
      <w:pPr>
        <w:widowControl w:val="0"/>
        <w:tabs>
          <w:tab w:val="left" w:pos="567"/>
        </w:tabs>
        <w:spacing w:after="0" w:line="240" w:lineRule="auto"/>
        <w:rPr>
          <w:rFonts w:ascii="Times New Roman" w:eastAsia="Calibri" w:hAnsi="Times New Roman" w:cs="Times New Roman"/>
        </w:rPr>
      </w:pPr>
    </w:p>
    <w:p w14:paraId="2E5DE777"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4.9</w:t>
      </w:r>
      <w:r>
        <w:rPr>
          <w:rFonts w:ascii="Times New Roman" w:eastAsia="Calibri" w:hAnsi="Times New Roman" w:cs="Times New Roman"/>
          <w:b/>
        </w:rPr>
        <w:tab/>
        <w:t>Perdozavimas</w:t>
      </w:r>
    </w:p>
    <w:p w14:paraId="63858862" w14:textId="77777777" w:rsidR="00E021D7" w:rsidRDefault="00E021D7">
      <w:pPr>
        <w:widowControl w:val="0"/>
        <w:tabs>
          <w:tab w:val="left" w:pos="567"/>
        </w:tabs>
        <w:spacing w:after="0" w:line="240" w:lineRule="auto"/>
        <w:rPr>
          <w:rFonts w:ascii="Times New Roman" w:eastAsia="Calibri" w:hAnsi="Times New Roman" w:cs="Times New Roman"/>
        </w:rPr>
      </w:pPr>
    </w:p>
    <w:p w14:paraId="14CE14BC"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Simptomai</w:t>
      </w:r>
    </w:p>
    <w:p w14:paraId="40FE30CF" w14:textId="77777777" w:rsidR="00E021D7" w:rsidRDefault="00E021D7">
      <w:pPr>
        <w:widowControl w:val="0"/>
        <w:tabs>
          <w:tab w:val="left" w:pos="567"/>
        </w:tabs>
        <w:spacing w:after="0" w:line="240" w:lineRule="auto"/>
        <w:rPr>
          <w:rFonts w:ascii="Times New Roman" w:eastAsia="Calibri" w:hAnsi="Times New Roman" w:cs="Times New Roman"/>
          <w:u w:val="single"/>
        </w:rPr>
      </w:pPr>
    </w:p>
    <w:p w14:paraId="72A35E1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metu vienkartinės iki 500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dozės ir kartotinių iki 150 mg per parą 21 dieną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dozių vartojimas reikšmingo toksinio poveikio nedarė. Gauta pranešimų apie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ūminio perdozavimo atvejus, nors dažniausiai apie nepageidaujamas reakcijas nepranešta. Dažniausiai stebėtos nepageidaujamos reakcijos atitiko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saugumo savybes (pvz., nepageidaujami virškinimo trakto, širdies arba inkstų reiškiniai).</w:t>
      </w:r>
    </w:p>
    <w:p w14:paraId="005DCA50" w14:textId="77777777" w:rsidR="00E021D7" w:rsidRDefault="00E021D7">
      <w:pPr>
        <w:widowControl w:val="0"/>
        <w:tabs>
          <w:tab w:val="left" w:pos="567"/>
        </w:tabs>
        <w:spacing w:after="0" w:line="240" w:lineRule="auto"/>
        <w:rPr>
          <w:rFonts w:ascii="Times New Roman" w:eastAsia="Calibri" w:hAnsi="Times New Roman" w:cs="Times New Roman"/>
        </w:rPr>
      </w:pPr>
    </w:p>
    <w:p w14:paraId="292721D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Gydymas</w:t>
      </w:r>
    </w:p>
    <w:p w14:paraId="5D496F6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Perdozavus tikslinga taikyti įprastines palaikomąsias priemones, pavyzdžiui, šalinti neabsorbuotą medžiagą iš VT, taikyti klinikinį stebėjimą ir prireikus pradėti palaikomąjį gydymą.</w:t>
      </w:r>
    </w:p>
    <w:p w14:paraId="65446D4E" w14:textId="77777777" w:rsidR="00E021D7" w:rsidRDefault="00E021D7">
      <w:pPr>
        <w:widowControl w:val="0"/>
        <w:tabs>
          <w:tab w:val="left" w:pos="567"/>
        </w:tabs>
        <w:spacing w:after="0" w:line="240" w:lineRule="auto"/>
        <w:rPr>
          <w:rFonts w:ascii="Times New Roman" w:eastAsia="Calibri" w:hAnsi="Times New Roman" w:cs="Times New Roman"/>
        </w:rPr>
      </w:pPr>
    </w:p>
    <w:p w14:paraId="0D2238D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Hemodialize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pašalinti neįmanoma. Ar jį įmanoma pašalinti taikant </w:t>
      </w:r>
      <w:proofErr w:type="spellStart"/>
      <w:r>
        <w:rPr>
          <w:rFonts w:ascii="Times New Roman" w:eastAsia="Calibri" w:hAnsi="Times New Roman" w:cs="Times New Roman"/>
        </w:rPr>
        <w:t>peritoninę</w:t>
      </w:r>
      <w:proofErr w:type="spellEnd"/>
      <w:r>
        <w:rPr>
          <w:rFonts w:ascii="Times New Roman" w:eastAsia="Calibri" w:hAnsi="Times New Roman" w:cs="Times New Roman"/>
        </w:rPr>
        <w:t xml:space="preserve"> dializę, nežinoma.</w:t>
      </w:r>
    </w:p>
    <w:p w14:paraId="74EB01A4" w14:textId="77777777" w:rsidR="00E021D7" w:rsidRDefault="00E021D7">
      <w:pPr>
        <w:widowControl w:val="0"/>
        <w:tabs>
          <w:tab w:val="left" w:pos="567"/>
        </w:tabs>
        <w:spacing w:after="0" w:line="240" w:lineRule="auto"/>
        <w:rPr>
          <w:rFonts w:ascii="Times New Roman" w:eastAsia="Calibri" w:hAnsi="Times New Roman" w:cs="Times New Roman"/>
        </w:rPr>
      </w:pPr>
    </w:p>
    <w:p w14:paraId="76AAEE9B" w14:textId="77777777" w:rsidR="00E021D7" w:rsidRDefault="00E021D7">
      <w:pPr>
        <w:widowControl w:val="0"/>
        <w:tabs>
          <w:tab w:val="left" w:pos="567"/>
        </w:tabs>
        <w:spacing w:after="0" w:line="240" w:lineRule="auto"/>
        <w:rPr>
          <w:rFonts w:ascii="Times New Roman" w:eastAsia="Calibri" w:hAnsi="Times New Roman" w:cs="Times New Roman"/>
        </w:rPr>
      </w:pPr>
    </w:p>
    <w:p w14:paraId="16909E3B"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FARMAKOLOGINĖS SAVYBĖS</w:t>
      </w:r>
    </w:p>
    <w:p w14:paraId="451302E4" w14:textId="77777777" w:rsidR="00E021D7" w:rsidRDefault="00E021D7">
      <w:pPr>
        <w:widowControl w:val="0"/>
        <w:tabs>
          <w:tab w:val="left" w:pos="567"/>
        </w:tabs>
        <w:spacing w:after="0" w:line="240" w:lineRule="auto"/>
        <w:rPr>
          <w:rFonts w:ascii="Times New Roman" w:eastAsia="Calibri" w:hAnsi="Times New Roman" w:cs="Times New Roman"/>
        </w:rPr>
      </w:pPr>
    </w:p>
    <w:p w14:paraId="0562CD48"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5.1</w:t>
      </w:r>
      <w:r>
        <w:rPr>
          <w:rFonts w:ascii="Times New Roman" w:eastAsia="Calibri" w:hAnsi="Times New Roman" w:cs="Times New Roman"/>
          <w:b/>
        </w:rPr>
        <w:tab/>
      </w:r>
      <w:proofErr w:type="spellStart"/>
      <w:r>
        <w:rPr>
          <w:rFonts w:ascii="Times New Roman" w:eastAsia="Calibri" w:hAnsi="Times New Roman" w:cs="Times New Roman"/>
          <w:b/>
        </w:rPr>
        <w:t>Farmakodinaminės</w:t>
      </w:r>
      <w:proofErr w:type="spellEnd"/>
      <w:r>
        <w:rPr>
          <w:rFonts w:ascii="Times New Roman" w:eastAsia="Calibri" w:hAnsi="Times New Roman" w:cs="Times New Roman"/>
          <w:b/>
        </w:rPr>
        <w:t xml:space="preserve"> savybės</w:t>
      </w:r>
    </w:p>
    <w:p w14:paraId="3A69FE93" w14:textId="77777777" w:rsidR="00E021D7" w:rsidRDefault="00E021D7">
      <w:pPr>
        <w:widowControl w:val="0"/>
        <w:tabs>
          <w:tab w:val="left" w:pos="567"/>
        </w:tabs>
        <w:spacing w:after="0" w:line="240" w:lineRule="auto"/>
        <w:rPr>
          <w:rFonts w:ascii="Times New Roman" w:eastAsia="Calibri" w:hAnsi="Times New Roman" w:cs="Times New Roman"/>
          <w:b/>
        </w:rPr>
      </w:pPr>
    </w:p>
    <w:p w14:paraId="0F5828D1"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Farmakoterapinė</w:t>
      </w:r>
      <w:proofErr w:type="spellEnd"/>
      <w:r>
        <w:rPr>
          <w:rFonts w:ascii="Times New Roman" w:eastAsia="Calibri" w:hAnsi="Times New Roman" w:cs="Times New Roman"/>
        </w:rPr>
        <w:t xml:space="preserve"> grupė – priešuždegiminiai ir </w:t>
      </w:r>
      <w:proofErr w:type="spellStart"/>
      <w:r>
        <w:rPr>
          <w:rFonts w:ascii="Times New Roman" w:eastAsia="Calibri" w:hAnsi="Times New Roman" w:cs="Times New Roman"/>
        </w:rPr>
        <w:t>priešreumatiniai</w:t>
      </w:r>
      <w:proofErr w:type="spellEnd"/>
      <w:r>
        <w:rPr>
          <w:rFonts w:ascii="Times New Roman" w:eastAsia="Calibri" w:hAnsi="Times New Roman" w:cs="Times New Roman"/>
        </w:rPr>
        <w:t xml:space="preserve"> vaistiniai preparatai, nesteroidiniai vaistiniai preparatai, </w:t>
      </w:r>
      <w:proofErr w:type="spellStart"/>
      <w:r>
        <w:rPr>
          <w:rFonts w:ascii="Times New Roman" w:eastAsia="Calibri" w:hAnsi="Times New Roman" w:cs="Times New Roman"/>
        </w:rPr>
        <w:t>koksibai</w:t>
      </w:r>
      <w:proofErr w:type="spellEnd"/>
      <w:r>
        <w:rPr>
          <w:rFonts w:ascii="Times New Roman" w:eastAsia="Calibri" w:hAnsi="Times New Roman" w:cs="Times New Roman"/>
        </w:rPr>
        <w:t>, ATC kodas – M01AH05.</w:t>
      </w:r>
    </w:p>
    <w:p w14:paraId="4422A47B" w14:textId="77777777" w:rsidR="00E021D7" w:rsidRDefault="00E021D7">
      <w:pPr>
        <w:widowControl w:val="0"/>
        <w:tabs>
          <w:tab w:val="left" w:pos="567"/>
        </w:tabs>
        <w:spacing w:after="0" w:line="240" w:lineRule="auto"/>
        <w:rPr>
          <w:rFonts w:ascii="Times New Roman" w:eastAsia="Calibri" w:hAnsi="Times New Roman" w:cs="Times New Roman"/>
        </w:rPr>
      </w:pPr>
    </w:p>
    <w:p w14:paraId="000CD243" w14:textId="77777777" w:rsidR="00E021D7" w:rsidRDefault="009C1A2C">
      <w:pPr>
        <w:widowControl w:val="0"/>
        <w:tabs>
          <w:tab w:val="left" w:pos="567"/>
          <w:tab w:val="left" w:pos="2568"/>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Veikimo mechanizmas</w:t>
      </w:r>
    </w:p>
    <w:p w14:paraId="06EB0413" w14:textId="77777777" w:rsidR="00E021D7" w:rsidRDefault="00E021D7">
      <w:pPr>
        <w:widowControl w:val="0"/>
        <w:tabs>
          <w:tab w:val="left" w:pos="567"/>
          <w:tab w:val="left" w:pos="2568"/>
        </w:tabs>
        <w:spacing w:after="0" w:line="240" w:lineRule="auto"/>
        <w:rPr>
          <w:rFonts w:ascii="Times New Roman" w:eastAsia="Calibri" w:hAnsi="Times New Roman" w:cs="Times New Roman"/>
          <w:u w:val="single"/>
        </w:rPr>
      </w:pPr>
    </w:p>
    <w:p w14:paraId="0107F512"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Etorikoksibas</w:t>
      </w:r>
      <w:proofErr w:type="spellEnd"/>
      <w:r>
        <w:rPr>
          <w:rFonts w:ascii="Times New Roman" w:eastAsia="Calibri" w:hAnsi="Times New Roman" w:cs="Times New Roman"/>
        </w:rPr>
        <w:t>, vartojamas klinikinėmis dozėmis, yra per burną vartojamas selektyvus ciklooksigenazės-2 (COX-2) inhibitorius.</w:t>
      </w:r>
    </w:p>
    <w:p w14:paraId="29515C19" w14:textId="77777777" w:rsidR="00E021D7" w:rsidRDefault="00E021D7">
      <w:pPr>
        <w:widowControl w:val="0"/>
        <w:tabs>
          <w:tab w:val="left" w:pos="567"/>
        </w:tabs>
        <w:spacing w:after="0" w:line="240" w:lineRule="auto"/>
        <w:rPr>
          <w:rFonts w:ascii="Times New Roman" w:eastAsia="Calibri" w:hAnsi="Times New Roman" w:cs="Times New Roman"/>
        </w:rPr>
      </w:pPr>
    </w:p>
    <w:p w14:paraId="3146E0F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Klinikinių farmakologijos tyrimų metu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vartojamas iki 150 mg per parą dozėmis, priklausomai nuo dozės, slopino COX-2, bet neslopino COX-1.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neslopino skrandžio prostaglandinų sintezės ir neveikė trombocitų funkcijos.</w:t>
      </w:r>
    </w:p>
    <w:p w14:paraId="0731A4F0" w14:textId="77777777" w:rsidR="00E021D7" w:rsidRDefault="00E021D7">
      <w:pPr>
        <w:widowControl w:val="0"/>
        <w:tabs>
          <w:tab w:val="left" w:pos="567"/>
        </w:tabs>
        <w:spacing w:after="0" w:line="240" w:lineRule="auto"/>
        <w:rPr>
          <w:rFonts w:ascii="Times New Roman" w:eastAsia="Calibri" w:hAnsi="Times New Roman" w:cs="Times New Roman"/>
        </w:rPr>
      </w:pPr>
    </w:p>
    <w:p w14:paraId="1691394F"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Ciklooksigenazė</w:t>
      </w:r>
      <w:proofErr w:type="spellEnd"/>
      <w:r>
        <w:rPr>
          <w:rFonts w:ascii="Times New Roman" w:eastAsia="Calibri" w:hAnsi="Times New Roman" w:cs="Times New Roman"/>
        </w:rPr>
        <w:t xml:space="preserve"> yra atsakinga už prostaglandinų susidarymą. Nustatytos dvi </w:t>
      </w:r>
      <w:proofErr w:type="spellStart"/>
      <w:r>
        <w:rPr>
          <w:rFonts w:ascii="Times New Roman" w:eastAsia="Calibri" w:hAnsi="Times New Roman" w:cs="Times New Roman"/>
        </w:rPr>
        <w:t>ciklooksigenazės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izoformos</w:t>
      </w:r>
      <w:proofErr w:type="spellEnd"/>
      <w:r>
        <w:rPr>
          <w:rFonts w:ascii="Times New Roman" w:eastAsia="Calibri" w:hAnsi="Times New Roman" w:cs="Times New Roman"/>
        </w:rPr>
        <w:t xml:space="preserve"> – COX-1 ir COX-2. Įrodyta, kad COX-2 fermento </w:t>
      </w:r>
      <w:proofErr w:type="spellStart"/>
      <w:r>
        <w:rPr>
          <w:rFonts w:ascii="Times New Roman" w:eastAsia="Calibri" w:hAnsi="Times New Roman" w:cs="Times New Roman"/>
        </w:rPr>
        <w:t>izoformą</w:t>
      </w:r>
      <w:proofErr w:type="spellEnd"/>
      <w:r>
        <w:rPr>
          <w:rFonts w:ascii="Times New Roman" w:eastAsia="Calibri" w:hAnsi="Times New Roman" w:cs="Times New Roman"/>
        </w:rPr>
        <w:t xml:space="preserve"> indukuoja uždegimą skatinantys dirgikliai, ir yra daroma prielaida, kad visų pirma ji yra atsakinga už </w:t>
      </w:r>
      <w:proofErr w:type="spellStart"/>
      <w:r>
        <w:rPr>
          <w:rFonts w:ascii="Times New Roman" w:eastAsia="Calibri" w:hAnsi="Times New Roman" w:cs="Times New Roman"/>
        </w:rPr>
        <w:t>prostanoidinių</w:t>
      </w:r>
      <w:proofErr w:type="spellEnd"/>
      <w:r>
        <w:rPr>
          <w:rFonts w:ascii="Times New Roman" w:eastAsia="Calibri" w:hAnsi="Times New Roman" w:cs="Times New Roman"/>
        </w:rPr>
        <w:t xml:space="preserve"> skausmo, uždegimo ir karščiavimo mediatorių sintezę. Be to, COX-2 dalyvauja ovuliacijoje, implantacijoje ir arterinio latako (</w:t>
      </w:r>
      <w:proofErr w:type="spellStart"/>
      <w:r>
        <w:rPr>
          <w:rFonts w:ascii="Times New Roman" w:eastAsia="Calibri" w:hAnsi="Times New Roman" w:cs="Times New Roman"/>
          <w:i/>
        </w:rPr>
        <w:t>ductus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arteriosus</w:t>
      </w:r>
      <w:proofErr w:type="spellEnd"/>
      <w:r>
        <w:rPr>
          <w:rFonts w:ascii="Times New Roman" w:eastAsia="Calibri" w:hAnsi="Times New Roman" w:cs="Times New Roman"/>
        </w:rPr>
        <w:t>) užsidaryme, inkstų funkcijos reguliavime ir centrinės nervų sistemos funkcijose (karščiavimo indukcija, skausmo suvokimas ir pažinimo funkcija). Ji taip pat gali daryti įtaką opų gijimui. COX-2 nustatyta audinyje aplink skrandžio opas žmonėms, bet jos tiesioginis ryšys su opų gijimu nenustatytas.</w:t>
      </w:r>
    </w:p>
    <w:p w14:paraId="5C504AAD" w14:textId="77777777" w:rsidR="00E021D7" w:rsidRDefault="00E021D7">
      <w:pPr>
        <w:widowControl w:val="0"/>
        <w:tabs>
          <w:tab w:val="left" w:pos="567"/>
        </w:tabs>
        <w:spacing w:after="0" w:line="240" w:lineRule="auto"/>
        <w:rPr>
          <w:rFonts w:ascii="Times New Roman" w:eastAsia="Calibri" w:hAnsi="Times New Roman" w:cs="Times New Roman"/>
        </w:rPr>
      </w:pPr>
    </w:p>
    <w:p w14:paraId="0F4DAF2C"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Klinikinis veiksmingumas ir saugumas</w:t>
      </w:r>
    </w:p>
    <w:p w14:paraId="3245DE63" w14:textId="77777777" w:rsidR="00E021D7" w:rsidRDefault="00E021D7">
      <w:pPr>
        <w:widowControl w:val="0"/>
        <w:tabs>
          <w:tab w:val="left" w:pos="567"/>
        </w:tabs>
        <w:spacing w:after="0" w:line="240" w:lineRule="auto"/>
        <w:rPr>
          <w:rFonts w:ascii="Times New Roman" w:eastAsia="Calibri" w:hAnsi="Times New Roman" w:cs="Times New Roman"/>
        </w:rPr>
      </w:pPr>
    </w:p>
    <w:p w14:paraId="3D7146AB"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Veiksmingumas</w:t>
      </w:r>
    </w:p>
    <w:p w14:paraId="3DB0EBA2" w14:textId="77777777" w:rsidR="00E021D7" w:rsidRDefault="00E021D7">
      <w:pPr>
        <w:widowControl w:val="0"/>
        <w:tabs>
          <w:tab w:val="left" w:pos="567"/>
        </w:tabs>
        <w:spacing w:after="0" w:line="240" w:lineRule="auto"/>
        <w:rPr>
          <w:rFonts w:ascii="Times New Roman" w:eastAsia="Calibri" w:hAnsi="Times New Roman" w:cs="Times New Roman"/>
          <w:i/>
        </w:rPr>
      </w:pPr>
    </w:p>
    <w:p w14:paraId="474C73B4"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Osteoartritu</w:t>
      </w:r>
      <w:proofErr w:type="spellEnd"/>
      <w:r>
        <w:rPr>
          <w:rFonts w:ascii="Times New Roman" w:eastAsia="Calibri" w:hAnsi="Times New Roman" w:cs="Times New Roman"/>
        </w:rPr>
        <w:t xml:space="preserve"> (OA) sergantiems pacientams vartojant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reikšmingai sumažėjo skausmas ir pagerėjo paciento ligos būklės įvertinimas. Šis palankus poveikis buvo pastebėtas jau antrąją gydymo parą ir išsilaikė iki 52 savaičių. Tyrimais įrodyta, kad 30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veiksmingumas 12 savaičių gydymo laikotarpiu buvo didesnis negu placebo (vertinant panašiai kaip ir aukščiau paminėtuose tyrimuose). Dozės diapazono tyrimo metu nustatyta, kad 6 gydymo savaites vartojant 60 mg dozę pagerėjimas buvo reikšmingai didesnis visų 3 pagrindinių vertinamųjų baigčių atveju, palyginti su 30 mg doze. 30 mg dozė gydant plaštakų </w:t>
      </w:r>
      <w:proofErr w:type="spellStart"/>
      <w:r>
        <w:rPr>
          <w:rFonts w:ascii="Times New Roman" w:eastAsia="Calibri" w:hAnsi="Times New Roman" w:cs="Times New Roman"/>
        </w:rPr>
        <w:t>osteoartritą</w:t>
      </w:r>
      <w:proofErr w:type="spellEnd"/>
      <w:r>
        <w:rPr>
          <w:rFonts w:ascii="Times New Roman" w:eastAsia="Calibri" w:hAnsi="Times New Roman" w:cs="Times New Roman"/>
        </w:rPr>
        <w:t xml:space="preserve"> netirta.</w:t>
      </w:r>
    </w:p>
    <w:p w14:paraId="5AFF8FAA" w14:textId="77777777" w:rsidR="00E021D7" w:rsidRDefault="00E021D7">
      <w:pPr>
        <w:widowControl w:val="0"/>
        <w:tabs>
          <w:tab w:val="left" w:pos="567"/>
        </w:tabs>
        <w:spacing w:after="0" w:line="240" w:lineRule="auto"/>
        <w:rPr>
          <w:rFonts w:ascii="Times New Roman" w:eastAsia="Calibri" w:hAnsi="Times New Roman" w:cs="Times New Roman"/>
        </w:rPr>
      </w:pPr>
    </w:p>
    <w:p w14:paraId="19374D5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Reumatoidiniu artritu (RA) sergantiems pacientams vartojant 60 mg ir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reikšmingai pagerėjo skausmo, uždegimo ir judrumo rodikliai. 60 mg ir 90 mg dozių vertinimo tyrimų metu toks palankus poveikis </w:t>
      </w:r>
      <w:proofErr w:type="spellStart"/>
      <w:r>
        <w:rPr>
          <w:rFonts w:ascii="Times New Roman" w:eastAsia="Calibri" w:hAnsi="Times New Roman" w:cs="Times New Roman"/>
        </w:rPr>
        <w:t>išliku</w:t>
      </w:r>
      <w:proofErr w:type="spellEnd"/>
      <w:r>
        <w:rPr>
          <w:rFonts w:ascii="Times New Roman" w:eastAsia="Calibri" w:hAnsi="Times New Roman" w:cs="Times New Roman"/>
        </w:rPr>
        <w:t xml:space="preserve"> visu 12 savaičių gydymo laikotarpiu. Tyrimo metu lyginant kartą per parą vartojamą 60 mg ir 90 mg dozę, nustatyta, kad abi dozės buvo veiksmingesnės už placebą. 90 mg dozė buvo pranašesnė už 60 mg dozę analizuojant paciento bendrą skausmo įvertinimą (naudojant vizualinę analoginę skalę nuo 0 iki 100 mm), vidutinis pagerėjimas buvo 2,71 mm (95 % PI: -4,98 mm, -0,45 mm).</w:t>
      </w:r>
    </w:p>
    <w:p w14:paraId="799EE19D" w14:textId="77777777" w:rsidR="00E021D7" w:rsidRDefault="00E021D7">
      <w:pPr>
        <w:widowControl w:val="0"/>
        <w:tabs>
          <w:tab w:val="left" w:pos="567"/>
        </w:tabs>
        <w:spacing w:after="0" w:line="240" w:lineRule="auto"/>
        <w:rPr>
          <w:rFonts w:ascii="Times New Roman" w:eastAsia="Calibri" w:hAnsi="Times New Roman" w:cs="Times New Roman"/>
        </w:rPr>
      </w:pPr>
    </w:p>
    <w:p w14:paraId="5F422A2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Pacientams, kuriems pasireiškia ūminio podagrinio artrito priepuoliai, per aštuonias gydymo dienas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vartojamas po 120 mg kartą per parą, sumažino sąnarių vidutinio stiprumo ir stiprų sąnarių skausmą bei uždegimą panašiai kaip </w:t>
      </w:r>
      <w:proofErr w:type="spellStart"/>
      <w:r>
        <w:rPr>
          <w:rFonts w:ascii="Times New Roman" w:eastAsia="Calibri" w:hAnsi="Times New Roman" w:cs="Times New Roman"/>
        </w:rPr>
        <w:t>indometacinas</w:t>
      </w:r>
      <w:proofErr w:type="spellEnd"/>
      <w:r>
        <w:rPr>
          <w:rFonts w:ascii="Times New Roman" w:eastAsia="Calibri" w:hAnsi="Times New Roman" w:cs="Times New Roman"/>
        </w:rPr>
        <w:t>, vartojamas po 50 mg tris kartus parą. Pradėjus gydymą jau po 4 valandų pastebėtas skausmo palengvėjimas.</w:t>
      </w:r>
    </w:p>
    <w:p w14:paraId="085856EB" w14:textId="77777777" w:rsidR="00E021D7" w:rsidRDefault="00E021D7">
      <w:pPr>
        <w:widowControl w:val="0"/>
        <w:tabs>
          <w:tab w:val="left" w:pos="567"/>
        </w:tabs>
        <w:spacing w:after="0" w:line="240" w:lineRule="auto"/>
        <w:rPr>
          <w:rFonts w:ascii="Times New Roman" w:eastAsia="Calibri" w:hAnsi="Times New Roman" w:cs="Times New Roman"/>
        </w:rPr>
      </w:pPr>
    </w:p>
    <w:p w14:paraId="400B17B0"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Ankiloziniu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spondilitu</w:t>
      </w:r>
      <w:proofErr w:type="spellEnd"/>
      <w:r>
        <w:rPr>
          <w:rFonts w:ascii="Times New Roman" w:eastAsia="Calibri" w:hAnsi="Times New Roman" w:cs="Times New Roman"/>
        </w:rPr>
        <w:t xml:space="preserve"> sergantiems pacientams, vartojusiems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reikšmingai sumažėjo stuburo skausmas, uždegimas, sustingimas ir pagerėjo funkcija. Teigiamas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klinikinis poveikis buvo pastebėtas jau antrąją gydymo dieną nuo gydymo pradžios ir išsilaikė visą 52 savaičių gydymo laikotarpį. Antrojo tyrimo metu buvo lyginama 60 mg ir 90 mg dozės poveikis, abiejų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dozių veiksmingumas buvo panašus į 1 000 mg </w:t>
      </w:r>
      <w:proofErr w:type="spellStart"/>
      <w:r>
        <w:rPr>
          <w:rFonts w:ascii="Times New Roman" w:eastAsia="Calibri" w:hAnsi="Times New Roman" w:cs="Times New Roman"/>
        </w:rPr>
        <w:t>naprokseno</w:t>
      </w:r>
      <w:proofErr w:type="spellEnd"/>
      <w:r>
        <w:rPr>
          <w:rFonts w:ascii="Times New Roman" w:eastAsia="Calibri" w:hAnsi="Times New Roman" w:cs="Times New Roman"/>
        </w:rPr>
        <w:t xml:space="preserve"> paros dozės veiksmingumą. Pacientams, kurių reakcija į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paros dozę 6 savaičių laikotarpiu nebuvo pakankama, paros dozės padidinimas iki 90 mg pagerino nugaros skausmo intensyvumo skalės įvertinimą (naudojant vizualinę analoginę skalę nuo 0 iki 100 mm) vidutiniškai -2,70 mm (95 % PI: -4,88 mm, 0,52 mm), palyginti su įvertinimu </w:t>
      </w:r>
      <w:proofErr w:type="spellStart"/>
      <w:r>
        <w:rPr>
          <w:rFonts w:ascii="Times New Roman" w:eastAsia="Calibri" w:hAnsi="Times New Roman" w:cs="Times New Roman"/>
        </w:rPr>
        <w:t>tčsiant</w:t>
      </w:r>
      <w:proofErr w:type="spellEnd"/>
      <w:r>
        <w:rPr>
          <w:rFonts w:ascii="Times New Roman" w:eastAsia="Calibri" w:hAnsi="Times New Roman" w:cs="Times New Roman"/>
        </w:rPr>
        <w:t xml:space="preserve"> gydymą 60 mg doze.</w:t>
      </w:r>
    </w:p>
    <w:p w14:paraId="04989C20" w14:textId="77777777" w:rsidR="00E021D7" w:rsidRDefault="00E021D7">
      <w:pPr>
        <w:widowControl w:val="0"/>
        <w:tabs>
          <w:tab w:val="left" w:pos="567"/>
        </w:tabs>
        <w:spacing w:after="0" w:line="240" w:lineRule="auto"/>
        <w:rPr>
          <w:rFonts w:ascii="Times New Roman" w:eastAsia="Calibri" w:hAnsi="Times New Roman" w:cs="Times New Roman"/>
        </w:rPr>
      </w:pPr>
    </w:p>
    <w:p w14:paraId="6DAA1B4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Klinikiniame pooperacinio dantų skausmo įvertinimo tyrime ne ilgiau kaip 3 dienas buvo vartojama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Pacientų, kuriems prieš pradedant tyrimą skausmas buvo vidutinio stiprumo, pogrupyje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skausmą malšinantis poveikis buvo panašus, kaip ir 600 mg </w:t>
      </w:r>
      <w:proofErr w:type="spellStart"/>
      <w:r>
        <w:rPr>
          <w:rFonts w:ascii="Times New Roman" w:eastAsia="Calibri" w:hAnsi="Times New Roman" w:cs="Times New Roman"/>
        </w:rPr>
        <w:t>ibuprofeno</w:t>
      </w:r>
      <w:proofErr w:type="spellEnd"/>
      <w:r>
        <w:rPr>
          <w:rFonts w:ascii="Times New Roman" w:eastAsia="Calibri" w:hAnsi="Times New Roman" w:cs="Times New Roman"/>
        </w:rPr>
        <w:t xml:space="preserve"> (16,11 ir 16,39; P= 0,722), ir stipresnis už </w:t>
      </w:r>
      <w:proofErr w:type="spellStart"/>
      <w:r>
        <w:rPr>
          <w:rFonts w:ascii="Times New Roman" w:eastAsia="Calibri" w:hAnsi="Times New Roman" w:cs="Times New Roman"/>
        </w:rPr>
        <w:t>paracetamolio</w:t>
      </w:r>
      <w:proofErr w:type="spellEnd"/>
      <w:r>
        <w:rPr>
          <w:rFonts w:ascii="Times New Roman" w:eastAsia="Calibri" w:hAnsi="Times New Roman" w:cs="Times New Roman"/>
        </w:rPr>
        <w:t xml:space="preserve"> ir kodeino derinio 600 mg/60 mg (11,00; P &lt; 0,001) bei placebo (6,84; P &lt; 0,001) poveikį, vertintą kaip visiškas skausmo numalšinimas per pirmąsias 6 valandas (TOPAR6). Pacientų, kuriems per pirmąsias 24 valandas po dozės prireikė papildomai vartoti vaistinio preparato, dalis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grupėje buvo 40,8 %, 600 mg </w:t>
      </w:r>
      <w:proofErr w:type="spellStart"/>
      <w:r>
        <w:rPr>
          <w:rFonts w:ascii="Times New Roman" w:eastAsia="Calibri" w:hAnsi="Times New Roman" w:cs="Times New Roman"/>
        </w:rPr>
        <w:t>ibuprofeno</w:t>
      </w:r>
      <w:proofErr w:type="spellEnd"/>
      <w:r>
        <w:rPr>
          <w:rFonts w:ascii="Times New Roman" w:eastAsia="Calibri" w:hAnsi="Times New Roman" w:cs="Times New Roman"/>
        </w:rPr>
        <w:t xml:space="preserve"> (kas 6 val.) – 25,5 %, 600 mg/60 mg </w:t>
      </w:r>
      <w:proofErr w:type="spellStart"/>
      <w:r>
        <w:rPr>
          <w:rFonts w:ascii="Times New Roman" w:eastAsia="Calibri" w:hAnsi="Times New Roman" w:cs="Times New Roman"/>
        </w:rPr>
        <w:t>paracetamolio</w:t>
      </w:r>
      <w:proofErr w:type="spellEnd"/>
      <w:r>
        <w:rPr>
          <w:rFonts w:ascii="Times New Roman" w:eastAsia="Calibri" w:hAnsi="Times New Roman" w:cs="Times New Roman"/>
        </w:rPr>
        <w:t xml:space="preserve"> / kodeino (kas 6 val.) – 46,7 %, o placebo – 76,2 %. Šio tyrimo metu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veikimo pradžios (juntamas skausmo sumažėjimas) mediana buvo 28 minutės po dozės pavartojimo.</w:t>
      </w:r>
    </w:p>
    <w:p w14:paraId="31E5D168" w14:textId="77777777" w:rsidR="00E021D7" w:rsidRDefault="00E021D7">
      <w:pPr>
        <w:widowControl w:val="0"/>
        <w:tabs>
          <w:tab w:val="left" w:pos="567"/>
        </w:tabs>
        <w:spacing w:after="0" w:line="240" w:lineRule="auto"/>
        <w:rPr>
          <w:rFonts w:ascii="Times New Roman" w:eastAsia="Calibri" w:hAnsi="Times New Roman" w:cs="Times New Roman"/>
        </w:rPr>
      </w:pPr>
    </w:p>
    <w:p w14:paraId="589F4F6F"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Saugumas</w:t>
      </w:r>
    </w:p>
    <w:p w14:paraId="72B72831" w14:textId="77777777" w:rsidR="00E021D7" w:rsidRDefault="00E021D7">
      <w:pPr>
        <w:widowControl w:val="0"/>
        <w:tabs>
          <w:tab w:val="left" w:pos="567"/>
        </w:tabs>
        <w:spacing w:after="0" w:line="240" w:lineRule="auto"/>
        <w:rPr>
          <w:rFonts w:ascii="Times New Roman" w:eastAsia="Calibri" w:hAnsi="Times New Roman" w:cs="Times New Roman"/>
        </w:rPr>
      </w:pPr>
    </w:p>
    <w:p w14:paraId="778DDBF4"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Tarptautinė ilgalaikė artrito gydymo </w:t>
      </w:r>
      <w:proofErr w:type="spellStart"/>
      <w:r>
        <w:rPr>
          <w:rFonts w:ascii="Times New Roman" w:eastAsia="Calibri" w:hAnsi="Times New Roman" w:cs="Times New Roman"/>
          <w:u w:val="single"/>
        </w:rPr>
        <w:t>etorikoksibu</w:t>
      </w:r>
      <w:proofErr w:type="spellEnd"/>
      <w:r>
        <w:rPr>
          <w:rFonts w:ascii="Times New Roman" w:eastAsia="Calibri" w:hAnsi="Times New Roman" w:cs="Times New Roman"/>
          <w:u w:val="single"/>
        </w:rPr>
        <w:t xml:space="preserve"> ir </w:t>
      </w:r>
      <w:proofErr w:type="spellStart"/>
      <w:r>
        <w:rPr>
          <w:rFonts w:ascii="Times New Roman" w:eastAsia="Calibri" w:hAnsi="Times New Roman" w:cs="Times New Roman"/>
          <w:u w:val="single"/>
        </w:rPr>
        <w:t>diklofenaku</w:t>
      </w:r>
      <w:proofErr w:type="spellEnd"/>
      <w:r>
        <w:rPr>
          <w:rFonts w:ascii="Times New Roman" w:eastAsia="Calibri" w:hAnsi="Times New Roman" w:cs="Times New Roman"/>
          <w:u w:val="single"/>
        </w:rPr>
        <w:t xml:space="preserve"> programa (</w:t>
      </w:r>
      <w:proofErr w:type="spellStart"/>
      <w:r>
        <w:rPr>
          <w:rFonts w:ascii="Times New Roman" w:eastAsia="Calibri" w:hAnsi="Times New Roman" w:cs="Times New Roman"/>
          <w:u w:val="single"/>
        </w:rPr>
        <w:t>ang</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i/>
          <w:u w:val="single"/>
        </w:rPr>
        <w:t>Multinational</w:t>
      </w:r>
      <w:proofErr w:type="spellEnd"/>
      <w:r>
        <w:rPr>
          <w:rFonts w:ascii="Times New Roman" w:eastAsia="Calibri" w:hAnsi="Times New Roman" w:cs="Times New Roman"/>
          <w:i/>
          <w:u w:val="single"/>
        </w:rPr>
        <w:t xml:space="preserve"> </w:t>
      </w:r>
      <w:proofErr w:type="spellStart"/>
      <w:r>
        <w:rPr>
          <w:rFonts w:ascii="Times New Roman" w:eastAsia="Calibri" w:hAnsi="Times New Roman" w:cs="Times New Roman"/>
          <w:i/>
          <w:u w:val="single"/>
        </w:rPr>
        <w:t>Etoricoxib</w:t>
      </w:r>
      <w:proofErr w:type="spellEnd"/>
      <w:r>
        <w:rPr>
          <w:rFonts w:ascii="Times New Roman" w:eastAsia="Calibri" w:hAnsi="Times New Roman" w:cs="Times New Roman"/>
          <w:i/>
          <w:u w:val="single"/>
        </w:rPr>
        <w:t xml:space="preserve"> </w:t>
      </w:r>
      <w:proofErr w:type="spellStart"/>
      <w:r>
        <w:rPr>
          <w:rFonts w:ascii="Times New Roman" w:eastAsia="Calibri" w:hAnsi="Times New Roman" w:cs="Times New Roman"/>
          <w:i/>
          <w:u w:val="single"/>
        </w:rPr>
        <w:t>and</w:t>
      </w:r>
      <w:proofErr w:type="spellEnd"/>
      <w:r>
        <w:rPr>
          <w:rFonts w:ascii="Times New Roman" w:eastAsia="Calibri" w:hAnsi="Times New Roman" w:cs="Times New Roman"/>
          <w:i/>
          <w:u w:val="single"/>
        </w:rPr>
        <w:t xml:space="preserve"> </w:t>
      </w:r>
      <w:proofErr w:type="spellStart"/>
      <w:r>
        <w:rPr>
          <w:rFonts w:ascii="Times New Roman" w:eastAsia="Calibri" w:hAnsi="Times New Roman" w:cs="Times New Roman"/>
          <w:i/>
          <w:u w:val="single"/>
        </w:rPr>
        <w:t>Diclofenac</w:t>
      </w:r>
      <w:proofErr w:type="spellEnd"/>
      <w:r>
        <w:rPr>
          <w:rFonts w:ascii="Times New Roman" w:eastAsia="Calibri" w:hAnsi="Times New Roman" w:cs="Times New Roman"/>
          <w:i/>
          <w:u w:val="single"/>
        </w:rPr>
        <w:t xml:space="preserve"> </w:t>
      </w:r>
      <w:proofErr w:type="spellStart"/>
      <w:r>
        <w:rPr>
          <w:rFonts w:ascii="Times New Roman" w:eastAsia="Calibri" w:hAnsi="Times New Roman" w:cs="Times New Roman"/>
          <w:i/>
          <w:u w:val="single"/>
        </w:rPr>
        <w:t>Arthritis</w:t>
      </w:r>
      <w:proofErr w:type="spellEnd"/>
      <w:r>
        <w:rPr>
          <w:rFonts w:ascii="Times New Roman" w:eastAsia="Calibri" w:hAnsi="Times New Roman" w:cs="Times New Roman"/>
          <w:i/>
          <w:u w:val="single"/>
        </w:rPr>
        <w:t xml:space="preserve"> </w:t>
      </w:r>
      <w:proofErr w:type="spellStart"/>
      <w:r>
        <w:rPr>
          <w:rFonts w:ascii="Times New Roman" w:eastAsia="Calibri" w:hAnsi="Times New Roman" w:cs="Times New Roman"/>
          <w:i/>
          <w:u w:val="single"/>
        </w:rPr>
        <w:t>Long-term</w:t>
      </w:r>
      <w:proofErr w:type="spellEnd"/>
      <w:r>
        <w:rPr>
          <w:rFonts w:ascii="Times New Roman" w:eastAsia="Calibri" w:hAnsi="Times New Roman" w:cs="Times New Roman"/>
          <w:i/>
          <w:u w:val="single"/>
        </w:rPr>
        <w:t xml:space="preserve"> (</w:t>
      </w:r>
      <w:r>
        <w:rPr>
          <w:rFonts w:ascii="Times New Roman" w:eastAsia="Calibri" w:hAnsi="Times New Roman" w:cs="Times New Roman"/>
          <w:u w:val="single"/>
        </w:rPr>
        <w:t>MEDAL</w:t>
      </w:r>
      <w:r>
        <w:rPr>
          <w:rFonts w:ascii="Times New Roman" w:eastAsia="Calibri" w:hAnsi="Times New Roman" w:cs="Times New Roman"/>
          <w:i/>
          <w:u w:val="single"/>
        </w:rPr>
        <w:t xml:space="preserve">) </w:t>
      </w:r>
      <w:proofErr w:type="spellStart"/>
      <w:r>
        <w:rPr>
          <w:rFonts w:ascii="Times New Roman" w:eastAsia="Calibri" w:hAnsi="Times New Roman" w:cs="Times New Roman"/>
          <w:i/>
          <w:u w:val="single"/>
        </w:rPr>
        <w:t>program</w:t>
      </w:r>
      <w:proofErr w:type="spellEnd"/>
      <w:r>
        <w:rPr>
          <w:rFonts w:ascii="Times New Roman" w:eastAsia="Calibri" w:hAnsi="Times New Roman" w:cs="Times New Roman"/>
          <w:u w:val="single"/>
        </w:rPr>
        <w:t>)</w:t>
      </w:r>
    </w:p>
    <w:p w14:paraId="183C1F19" w14:textId="77777777" w:rsidR="00E021D7" w:rsidRDefault="00E021D7">
      <w:pPr>
        <w:widowControl w:val="0"/>
        <w:tabs>
          <w:tab w:val="left" w:pos="567"/>
        </w:tabs>
        <w:spacing w:after="0" w:line="240" w:lineRule="auto"/>
        <w:rPr>
          <w:rFonts w:ascii="Times New Roman" w:eastAsia="Calibri" w:hAnsi="Times New Roman" w:cs="Times New Roman"/>
        </w:rPr>
      </w:pPr>
    </w:p>
    <w:p w14:paraId="5581B48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MEDAL programa buvo trijų atsitiktinių imčių, dvigubai koduotų, aktyviu palyginamuoju vaistiniu preparatu kontroliuotų klinikinių tyrimų (MEDAL, EDGE II ir EDGE) jungtinių duomenų perspektyvinė Saugumo širdies ir kraujagyslių sistemai baigčių programa (</w:t>
      </w:r>
      <w:proofErr w:type="spellStart"/>
      <w:r>
        <w:rPr>
          <w:rFonts w:ascii="Times New Roman" w:eastAsia="Calibri" w:hAnsi="Times New Roman" w:cs="Times New Roman"/>
        </w:rPr>
        <w: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Cardiovascular</w:t>
      </w:r>
      <w:proofErr w:type="spellEnd"/>
      <w:r>
        <w:rPr>
          <w:rFonts w:ascii="Times New Roman" w:eastAsia="Calibri" w:hAnsi="Times New Roman" w:cs="Times New Roman"/>
          <w:i/>
        </w:rPr>
        <w:t xml:space="preserve"> (</w:t>
      </w:r>
      <w:r>
        <w:rPr>
          <w:rFonts w:ascii="Times New Roman" w:eastAsia="Calibri" w:hAnsi="Times New Roman" w:cs="Times New Roman"/>
        </w:rPr>
        <w:t>CV</w:t>
      </w:r>
      <w:r>
        <w:rPr>
          <w:rFonts w:ascii="Times New Roman" w:eastAsia="Calibri" w:hAnsi="Times New Roman" w:cs="Times New Roman"/>
          <w:i/>
        </w:rPr>
        <w:t xml:space="preserve">) </w:t>
      </w:r>
      <w:proofErr w:type="spellStart"/>
      <w:r>
        <w:rPr>
          <w:rFonts w:ascii="Times New Roman" w:eastAsia="Calibri" w:hAnsi="Times New Roman" w:cs="Times New Roman"/>
          <w:i/>
        </w:rPr>
        <w:t>Safety</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Outcomes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Program</w:t>
      </w:r>
      <w:proofErr w:type="spellEnd"/>
      <w:r>
        <w:rPr>
          <w:rFonts w:ascii="Times New Roman" w:eastAsia="Calibri" w:hAnsi="Times New Roman" w:cs="Times New Roman"/>
        </w:rPr>
        <w:t>).</w:t>
      </w:r>
    </w:p>
    <w:p w14:paraId="6BF6C26E" w14:textId="77777777" w:rsidR="00E021D7" w:rsidRDefault="00E021D7">
      <w:pPr>
        <w:widowControl w:val="0"/>
        <w:tabs>
          <w:tab w:val="left" w:pos="567"/>
        </w:tabs>
        <w:spacing w:after="0" w:line="240" w:lineRule="auto"/>
        <w:rPr>
          <w:rFonts w:ascii="Times New Roman" w:eastAsia="Calibri" w:hAnsi="Times New Roman" w:cs="Times New Roman"/>
        </w:rPr>
      </w:pPr>
    </w:p>
    <w:p w14:paraId="748DE2A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MEDAL tyrimas buvo vertinamoji baigtis, paskatinusi Širdies ir kraujagyslių sistemos baigčių tyrimą (CV</w:t>
      </w:r>
      <w:r>
        <w:rPr>
          <w:rFonts w:ascii="Times New Roman" w:eastAsia="Calibri" w:hAnsi="Times New Roman" w:cs="Times New Roman"/>
          <w:i/>
        </w:rPr>
        <w:t xml:space="preserve"> </w:t>
      </w:r>
      <w:proofErr w:type="spellStart"/>
      <w:r>
        <w:rPr>
          <w:rFonts w:ascii="Times New Roman" w:eastAsia="Calibri" w:hAnsi="Times New Roman" w:cs="Times New Roman"/>
          <w:i/>
        </w:rPr>
        <w:t>Outcomes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study</w:t>
      </w:r>
      <w:proofErr w:type="spellEnd"/>
      <w:r>
        <w:rPr>
          <w:rFonts w:ascii="Times New Roman" w:eastAsia="Calibri" w:hAnsi="Times New Roman" w:cs="Times New Roman"/>
        </w:rPr>
        <w:t xml:space="preserve">), kuriame dalyvavo 17 804 OA ir 5 700 RA sergančių pacientų, gydytų 60 mg (OA) arba 90 mg (OA ir RA)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arba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paros doze vidutiniškai 20,3 </w:t>
      </w:r>
      <w:r>
        <w:rPr>
          <w:rFonts w:ascii="Times New Roman" w:eastAsia="Calibri" w:hAnsi="Times New Roman" w:cs="Times New Roman"/>
        </w:rPr>
        <w:lastRenderedPageBreak/>
        <w:t>mėnesio (ilgiausiai 42,3 mėnesio, mediana 21,3 mėnesio). Šiame tyrime buvo registruojami tik sunkūs nepageidaujami reiškiniai ir gydymo nutraukimai dėl bet kokio nepageidaujamo reiškinio.</w:t>
      </w:r>
    </w:p>
    <w:p w14:paraId="023E1CA2" w14:textId="77777777" w:rsidR="00E021D7" w:rsidRDefault="00E021D7">
      <w:pPr>
        <w:widowControl w:val="0"/>
        <w:tabs>
          <w:tab w:val="left" w:pos="567"/>
        </w:tabs>
        <w:spacing w:after="0" w:line="240" w:lineRule="auto"/>
        <w:rPr>
          <w:rFonts w:ascii="Times New Roman" w:eastAsia="Calibri" w:hAnsi="Times New Roman" w:cs="Times New Roman"/>
        </w:rPr>
      </w:pPr>
    </w:p>
    <w:p w14:paraId="23DD2A3A" w14:textId="77777777" w:rsidR="00E021D7" w:rsidRDefault="009C1A2C">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Klinikiniuose tyrimuose EDGE ir EDGE II buvo palygintas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toleravimas virškinimo trakte. Tyrime EDGE dalyvavo 7111 OA sergančių pacientų, gydytų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paros doze (1,5 karto didesne doze, negu rekomenduojama OA gydymui) arba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paros doze vidutiniškai 9,1 mėnesio (ilgiausiai 16,6 mėnesio, mediana 11,4 mėnesio). Tyrime EDGE II dalyvavo 4086 RA sergantys pacientai, gydyti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paros doze arba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paros doze vidutiniškai 19,2 mėnesio (ilgiausiai 33,1 mėnesio, mediana 24 mėnesiai).</w:t>
      </w:r>
    </w:p>
    <w:p w14:paraId="76A9AF76" w14:textId="77777777" w:rsidR="00E021D7" w:rsidRDefault="00E021D7">
      <w:pPr>
        <w:widowControl w:val="0"/>
        <w:tabs>
          <w:tab w:val="left" w:pos="567"/>
        </w:tabs>
        <w:autoSpaceDE w:val="0"/>
        <w:autoSpaceDN w:val="0"/>
        <w:adjustRightInd w:val="0"/>
        <w:spacing w:after="0" w:line="240" w:lineRule="auto"/>
        <w:rPr>
          <w:rFonts w:ascii="Times New Roman" w:eastAsia="Calibri" w:hAnsi="Times New Roman" w:cs="Times New Roman"/>
          <w:strike/>
          <w:u w:val="single"/>
        </w:rPr>
      </w:pPr>
    </w:p>
    <w:p w14:paraId="66BD422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Jungtinėje MEDAL programoje 34 701 OA arba RA sergantis pacientas buvo gydytas vidutiniškai 17,9 mėnesio (ilgiausiai 42,3 mėnesio, mediana 16,3 mėnesio), o maždaug 12800 pacientų buvo gydomi ilgiau kaip 24 mėnesius. Į programą įtrauktiems pacientams prieš pradedant tyrimą jau buvo įvairių virškinimo trakto bei širdies ir kraujagyslių sistemos rizikos veiksnių. Į tyrimą nebuvo įtraukti pacientai, neseniai sirgę miokardo infarktu, operuoti dėl vainikinių arterijų šuntavimo ar po </w:t>
      </w:r>
      <w:proofErr w:type="spellStart"/>
      <w:r>
        <w:rPr>
          <w:rFonts w:ascii="Times New Roman" w:eastAsia="Calibri" w:hAnsi="Times New Roman" w:cs="Times New Roman"/>
        </w:rPr>
        <w:t>perkutaninės</w:t>
      </w:r>
      <w:proofErr w:type="spellEnd"/>
      <w:r>
        <w:rPr>
          <w:rFonts w:ascii="Times New Roman" w:eastAsia="Calibri" w:hAnsi="Times New Roman" w:cs="Times New Roman"/>
        </w:rPr>
        <w:t xml:space="preserve"> intervencijos į vainikines arterijas likus mažiau kaip 6 mėnesiams iki įtraukimo į tyrimą. Šių tyrimų metu buvo leista vartoti skrandį apsaugančių vaistinių preparatų ir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rūgštį mažomis dozėmis.</w:t>
      </w:r>
    </w:p>
    <w:p w14:paraId="059F5E16" w14:textId="77777777" w:rsidR="00E021D7" w:rsidRDefault="00E021D7">
      <w:pPr>
        <w:widowControl w:val="0"/>
        <w:tabs>
          <w:tab w:val="left" w:pos="567"/>
        </w:tabs>
        <w:spacing w:after="0" w:line="240" w:lineRule="auto"/>
        <w:rPr>
          <w:rFonts w:ascii="Times New Roman" w:eastAsia="Calibri" w:hAnsi="Times New Roman" w:cs="Times New Roman"/>
        </w:rPr>
      </w:pPr>
    </w:p>
    <w:p w14:paraId="4DE920E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Bendrasis saugumas</w:t>
      </w:r>
    </w:p>
    <w:p w14:paraId="039FE62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Vertinant širdies ir kraujagyslių sistemos </w:t>
      </w:r>
      <w:proofErr w:type="spellStart"/>
      <w:r>
        <w:rPr>
          <w:rFonts w:ascii="Times New Roman" w:eastAsia="Calibri" w:hAnsi="Times New Roman" w:cs="Times New Roman"/>
        </w:rPr>
        <w:t>trombozinių</w:t>
      </w:r>
      <w:proofErr w:type="spellEnd"/>
      <w:r>
        <w:rPr>
          <w:rFonts w:ascii="Times New Roman" w:eastAsia="Calibri" w:hAnsi="Times New Roman" w:cs="Times New Roman"/>
        </w:rPr>
        <w:t xml:space="preserve"> reiškinių dažnį, reikšmingų skirtumų tarp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nebuvo. Vartojant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buvo dažniau pastebėta nepageidaujamų širdies ir inkstų reiškinių, negu vartojant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šis poveikis priklausė nuo dozės (konkrečius rezultatus žiūrėkite toliau). Nepageidaujamų virškinimo trakto ir kepenų reiškinių reikšmingai dažniau pastebėta vartojusiems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negu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Klinikinių tyrimų EDGE ir EDGE II metu pastebėtų nepageidaujamų poveikių dažnis ir MEDAL klinikinio tyrimo metu sunkiais laikytų arba gydymo nutraukimą lėmusių nepageidaujamų reiškinių dažnis buvo didesnis vartojusiems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lyginant su vartojusiais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w:t>
      </w:r>
    </w:p>
    <w:p w14:paraId="284D54C4" w14:textId="77777777" w:rsidR="00E021D7" w:rsidRDefault="00E021D7">
      <w:pPr>
        <w:widowControl w:val="0"/>
        <w:tabs>
          <w:tab w:val="left" w:pos="567"/>
        </w:tabs>
        <w:spacing w:after="0" w:line="240" w:lineRule="auto"/>
        <w:rPr>
          <w:rFonts w:ascii="Times New Roman" w:eastAsia="Calibri" w:hAnsi="Times New Roman" w:cs="Times New Roman"/>
        </w:rPr>
      </w:pPr>
    </w:p>
    <w:p w14:paraId="39B99A9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Širdies ir kraujagyslių sistemos saugumo rezultatai</w:t>
      </w:r>
    </w:p>
    <w:p w14:paraId="206BDC2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Patvirtintų sunkių nepageidaujamų širdies ir kraujagyslių sistemos </w:t>
      </w:r>
      <w:proofErr w:type="spellStart"/>
      <w:r>
        <w:rPr>
          <w:rFonts w:ascii="Times New Roman" w:eastAsia="Calibri" w:hAnsi="Times New Roman" w:cs="Times New Roman"/>
        </w:rPr>
        <w:t>trombozinių</w:t>
      </w:r>
      <w:proofErr w:type="spellEnd"/>
      <w:r>
        <w:rPr>
          <w:rFonts w:ascii="Times New Roman" w:eastAsia="Calibri" w:hAnsi="Times New Roman" w:cs="Times New Roman"/>
        </w:rPr>
        <w:t xml:space="preserve"> reiškinių (susidedančių iš širdies, smegenų kraujagyslių ir periferinių kraujagyslių nepageidaujamų reiškinių) dažniai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grupėse buvo panašūs, apibendrinti duomenys pateikti lentelėje toliau. Statistiškai reikšmingo </w:t>
      </w:r>
      <w:proofErr w:type="spellStart"/>
      <w:r>
        <w:rPr>
          <w:rFonts w:ascii="Times New Roman" w:eastAsia="Calibri" w:hAnsi="Times New Roman" w:cs="Times New Roman"/>
        </w:rPr>
        <w:t>trombozinių</w:t>
      </w:r>
      <w:proofErr w:type="spellEnd"/>
      <w:r>
        <w:rPr>
          <w:rFonts w:ascii="Times New Roman" w:eastAsia="Calibri" w:hAnsi="Times New Roman" w:cs="Times New Roman"/>
        </w:rPr>
        <w:t xml:space="preserve"> reiškinių dažnių skirtumo tarp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visuose analizuotuose pogrupiuose, įskaitant pacientų kategorijas pagal širdies ir kraujagyslių sistemos riziką, buvusią prieš pradedant tyrimą, nebuvo. Vertinamos atskirai, patvirtintų širdies ir kraujagyslių sistemos sunkių nepageidaujamų </w:t>
      </w:r>
      <w:proofErr w:type="spellStart"/>
      <w:r>
        <w:rPr>
          <w:rFonts w:ascii="Times New Roman" w:eastAsia="Calibri" w:hAnsi="Times New Roman" w:cs="Times New Roman"/>
        </w:rPr>
        <w:t>trombozinių</w:t>
      </w:r>
      <w:proofErr w:type="spellEnd"/>
      <w:r>
        <w:rPr>
          <w:rFonts w:ascii="Times New Roman" w:eastAsia="Calibri" w:hAnsi="Times New Roman" w:cs="Times New Roman"/>
        </w:rPr>
        <w:t xml:space="preserve"> reiškinių santykinės rizikos 60 mg ar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dozei, palyginti su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doze, buvo panašios.</w:t>
      </w:r>
    </w:p>
    <w:p w14:paraId="64E9D3CE" w14:textId="77777777" w:rsidR="00E021D7" w:rsidRDefault="009C1A2C">
      <w:pPr>
        <w:widowControl w:val="0"/>
        <w:tabs>
          <w:tab w:val="left" w:pos="567"/>
        </w:tabs>
        <w:spacing w:after="0" w:line="240" w:lineRule="auto"/>
        <w:rPr>
          <w:rFonts w:ascii="Times New Roman" w:eastAsia="Times New Roman" w:hAnsi="Times New Roman" w:cs="Times New Roman"/>
          <w:lang w:eastAsia="lt-LT"/>
        </w:rPr>
      </w:pPr>
      <w:r w:rsidRPr="00466CC2">
        <w:rPr>
          <w:rFonts w:ascii="Times New Roman" w:hAnsi="Times New Roman"/>
          <w:noProof/>
          <w:lang w:val="en-US"/>
        </w:rPr>
        <mc:AlternateContent>
          <mc:Choice Requires="wps">
            <w:drawing>
              <wp:anchor distT="4294967292" distB="4294967292" distL="114295" distR="114295" simplePos="0" relativeHeight="251659264" behindDoc="0" locked="0" layoutInCell="1" allowOverlap="1" wp14:anchorId="039049CD" wp14:editId="516BE675">
                <wp:simplePos x="0" y="0"/>
                <wp:positionH relativeFrom="column">
                  <wp:posOffset>5660390</wp:posOffset>
                </wp:positionH>
                <wp:positionV relativeFrom="paragraph">
                  <wp:posOffset>-228600</wp:posOffset>
                </wp:positionV>
                <wp:extent cx="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0BC7D" id="Straight Connector 2"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RELAIAAFI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lDaRE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67"/>
        <w:gridCol w:w="2486"/>
        <w:gridCol w:w="2553"/>
        <w:gridCol w:w="2189"/>
      </w:tblGrid>
      <w:tr w:rsidR="00E021D7" w14:paraId="41E413F1" w14:textId="77777777">
        <w:trPr>
          <w:trHeight w:val="201"/>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96F678A"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2 lentelė. Patvirtintų </w:t>
            </w:r>
            <w:proofErr w:type="spellStart"/>
            <w:r>
              <w:rPr>
                <w:rFonts w:ascii="Times New Roman" w:eastAsia="Calibri" w:hAnsi="Times New Roman" w:cs="Times New Roman"/>
                <w:b/>
              </w:rPr>
              <w:t>trombozinių</w:t>
            </w:r>
            <w:proofErr w:type="spellEnd"/>
            <w:r>
              <w:rPr>
                <w:rFonts w:ascii="Times New Roman" w:eastAsia="Calibri" w:hAnsi="Times New Roman" w:cs="Times New Roman"/>
                <w:b/>
              </w:rPr>
              <w:t xml:space="preserve"> ŠK reiškinių dažnis (Jungtinė MEDAL programa)</w:t>
            </w:r>
          </w:p>
        </w:tc>
      </w:tr>
      <w:tr w:rsidR="00E021D7" w14:paraId="0947273D" w14:textId="77777777">
        <w:trPr>
          <w:trHeight w:val="524"/>
          <w:jc w:val="center"/>
        </w:trPr>
        <w:tc>
          <w:tcPr>
            <w:tcW w:w="974" w:type="pct"/>
            <w:tcBorders>
              <w:top w:val="single" w:sz="4" w:space="0" w:color="auto"/>
              <w:left w:val="single" w:sz="4" w:space="0" w:color="auto"/>
              <w:bottom w:val="single" w:sz="4" w:space="0" w:color="auto"/>
              <w:right w:val="single" w:sz="4" w:space="0" w:color="auto"/>
            </w:tcBorders>
          </w:tcPr>
          <w:p w14:paraId="65DDD34C" w14:textId="77777777" w:rsidR="00E021D7" w:rsidRDefault="00E021D7">
            <w:pPr>
              <w:widowControl w:val="0"/>
              <w:tabs>
                <w:tab w:val="left" w:pos="567"/>
              </w:tabs>
              <w:spacing w:after="0" w:line="240" w:lineRule="auto"/>
              <w:rPr>
                <w:rFonts w:ascii="Times New Roman" w:eastAsia="Calibri" w:hAnsi="Times New Roman" w:cs="Times New Roman"/>
                <w:b/>
                <w:u w:val="single"/>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0A000725" w14:textId="77777777" w:rsidR="00E021D7" w:rsidRDefault="009C1A2C">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Etorikoksibas</w:t>
            </w:r>
            <w:proofErr w:type="spellEnd"/>
          </w:p>
          <w:p w14:paraId="3E1EC592" w14:textId="77777777" w:rsidR="00E021D7" w:rsidRDefault="009C1A2C">
            <w:pPr>
              <w:widowControl w:val="0"/>
              <w:tabs>
                <w:tab w:val="left" w:pos="567"/>
              </w:tabs>
              <w:spacing w:after="0" w:line="240" w:lineRule="auto"/>
              <w:jc w:val="center"/>
              <w:rPr>
                <w:rFonts w:ascii="Times New Roman" w:eastAsia="Calibri" w:hAnsi="Times New Roman" w:cs="Times New Roman"/>
                <w:b/>
                <w:u w:val="single"/>
              </w:rPr>
            </w:pPr>
            <w:r>
              <w:rPr>
                <w:rFonts w:ascii="Times New Roman" w:eastAsia="Calibri" w:hAnsi="Times New Roman" w:cs="Times New Roman"/>
                <w:b/>
              </w:rPr>
              <w:t>(N=16819)</w:t>
            </w:r>
          </w:p>
          <w:p w14:paraId="3D8E558B" w14:textId="77777777" w:rsidR="00E021D7" w:rsidRDefault="009C1A2C">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25836 paciento metai</w:t>
            </w:r>
          </w:p>
        </w:tc>
        <w:tc>
          <w:tcPr>
            <w:tcW w:w="1409" w:type="pct"/>
            <w:tcBorders>
              <w:top w:val="single" w:sz="4" w:space="0" w:color="auto"/>
              <w:left w:val="single" w:sz="4" w:space="0" w:color="auto"/>
              <w:bottom w:val="single" w:sz="4" w:space="0" w:color="auto"/>
              <w:right w:val="single" w:sz="4" w:space="0" w:color="auto"/>
            </w:tcBorders>
            <w:hideMark/>
          </w:tcPr>
          <w:p w14:paraId="187497BB" w14:textId="77777777" w:rsidR="00E021D7" w:rsidRDefault="009C1A2C">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Diklofenakas</w:t>
            </w:r>
            <w:proofErr w:type="spellEnd"/>
          </w:p>
          <w:p w14:paraId="4BED996E" w14:textId="77777777" w:rsidR="00E021D7" w:rsidRDefault="009C1A2C">
            <w:pPr>
              <w:widowControl w:val="0"/>
              <w:tabs>
                <w:tab w:val="left" w:pos="567"/>
              </w:tabs>
              <w:spacing w:after="0" w:line="240" w:lineRule="auto"/>
              <w:jc w:val="center"/>
              <w:rPr>
                <w:rFonts w:ascii="Times New Roman" w:eastAsia="Calibri" w:hAnsi="Times New Roman" w:cs="Times New Roman"/>
                <w:b/>
                <w:u w:val="single"/>
              </w:rPr>
            </w:pPr>
            <w:r>
              <w:rPr>
                <w:rFonts w:ascii="Times New Roman" w:eastAsia="Calibri" w:hAnsi="Times New Roman" w:cs="Times New Roman"/>
                <w:b/>
              </w:rPr>
              <w:t>(N=16483)</w:t>
            </w:r>
          </w:p>
          <w:p w14:paraId="7523E926" w14:textId="77777777" w:rsidR="00E021D7" w:rsidRDefault="009C1A2C">
            <w:pPr>
              <w:widowControl w:val="0"/>
              <w:tabs>
                <w:tab w:val="left" w:pos="567"/>
              </w:tabs>
              <w:spacing w:after="0" w:line="240" w:lineRule="auto"/>
              <w:rPr>
                <w:rFonts w:ascii="Times New Roman" w:eastAsia="Calibri" w:hAnsi="Times New Roman" w:cs="Times New Roman"/>
                <w:b/>
                <w:u w:val="single"/>
              </w:rPr>
            </w:pPr>
            <w:r>
              <w:rPr>
                <w:rFonts w:ascii="Times New Roman" w:eastAsia="Calibri" w:hAnsi="Times New Roman" w:cs="Times New Roman"/>
                <w:b/>
              </w:rPr>
              <w:t>24766 paciento metai</w:t>
            </w:r>
          </w:p>
        </w:tc>
        <w:tc>
          <w:tcPr>
            <w:tcW w:w="1208" w:type="pct"/>
            <w:tcBorders>
              <w:top w:val="single" w:sz="4" w:space="0" w:color="auto"/>
              <w:left w:val="single" w:sz="4" w:space="0" w:color="auto"/>
              <w:bottom w:val="single" w:sz="4" w:space="0" w:color="auto"/>
              <w:right w:val="single" w:sz="4" w:space="0" w:color="auto"/>
            </w:tcBorders>
            <w:hideMark/>
          </w:tcPr>
          <w:p w14:paraId="7DB44EFC" w14:textId="77777777" w:rsidR="00E021D7" w:rsidRDefault="009C1A2C">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Tarp gydymo lyginamųjų grupių</w:t>
            </w:r>
          </w:p>
        </w:tc>
      </w:tr>
      <w:tr w:rsidR="00E021D7" w14:paraId="0C6DEAB5" w14:textId="77777777">
        <w:trPr>
          <w:trHeight w:val="263"/>
          <w:jc w:val="center"/>
        </w:trPr>
        <w:tc>
          <w:tcPr>
            <w:tcW w:w="974" w:type="pct"/>
            <w:tcBorders>
              <w:top w:val="single" w:sz="4" w:space="0" w:color="auto"/>
              <w:left w:val="single" w:sz="4" w:space="0" w:color="auto"/>
              <w:bottom w:val="single" w:sz="4" w:space="0" w:color="auto"/>
              <w:right w:val="single" w:sz="4" w:space="0" w:color="auto"/>
            </w:tcBorders>
          </w:tcPr>
          <w:p w14:paraId="09B91539" w14:textId="77777777" w:rsidR="00E021D7" w:rsidRDefault="00E021D7">
            <w:pPr>
              <w:widowControl w:val="0"/>
              <w:tabs>
                <w:tab w:val="left" w:pos="567"/>
              </w:tabs>
              <w:spacing w:after="0" w:line="240" w:lineRule="auto"/>
              <w:rPr>
                <w:rFonts w:ascii="Times New Roman" w:eastAsia="Calibri" w:hAnsi="Times New Roman" w:cs="Times New Roman"/>
                <w:b/>
                <w:u w:val="single"/>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1C6FD8D1" w14:textId="77777777" w:rsidR="00E021D7" w:rsidRDefault="009C1A2C">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Dažnis</w:t>
            </w:r>
            <w:r>
              <w:rPr>
                <w:rFonts w:ascii="Times New Roman" w:eastAsia="Calibri" w:hAnsi="Times New Roman" w:cs="Times New Roman"/>
                <w:b/>
                <w:vertAlign w:val="superscript"/>
              </w:rPr>
              <w:t>†</w:t>
            </w:r>
            <w:r>
              <w:rPr>
                <w:rFonts w:ascii="Times New Roman" w:eastAsia="Calibri" w:hAnsi="Times New Roman" w:cs="Times New Roman"/>
                <w:b/>
              </w:rPr>
              <w:t xml:space="preserve"> (95 % PI)</w:t>
            </w:r>
          </w:p>
        </w:tc>
        <w:tc>
          <w:tcPr>
            <w:tcW w:w="1409" w:type="pct"/>
            <w:tcBorders>
              <w:top w:val="single" w:sz="4" w:space="0" w:color="auto"/>
              <w:left w:val="single" w:sz="4" w:space="0" w:color="auto"/>
              <w:bottom w:val="single" w:sz="4" w:space="0" w:color="auto"/>
              <w:right w:val="single" w:sz="4" w:space="0" w:color="auto"/>
            </w:tcBorders>
            <w:hideMark/>
          </w:tcPr>
          <w:p w14:paraId="09DD8ABE" w14:textId="77777777" w:rsidR="00E021D7" w:rsidRDefault="009C1A2C">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Dažnis</w:t>
            </w:r>
            <w:r>
              <w:rPr>
                <w:rFonts w:ascii="Times New Roman" w:eastAsia="Calibri" w:hAnsi="Times New Roman" w:cs="Times New Roman"/>
                <w:b/>
                <w:vertAlign w:val="superscript"/>
              </w:rPr>
              <w:t>†</w:t>
            </w:r>
            <w:r>
              <w:rPr>
                <w:rFonts w:ascii="Times New Roman" w:eastAsia="Calibri" w:hAnsi="Times New Roman" w:cs="Times New Roman"/>
                <w:b/>
              </w:rPr>
              <w:t xml:space="preserve"> (95 % PI)</w:t>
            </w:r>
          </w:p>
        </w:tc>
        <w:tc>
          <w:tcPr>
            <w:tcW w:w="1208" w:type="pct"/>
            <w:tcBorders>
              <w:top w:val="single" w:sz="4" w:space="0" w:color="auto"/>
              <w:left w:val="single" w:sz="4" w:space="0" w:color="auto"/>
              <w:bottom w:val="single" w:sz="4" w:space="0" w:color="auto"/>
              <w:right w:val="single" w:sz="4" w:space="0" w:color="auto"/>
            </w:tcBorders>
            <w:hideMark/>
          </w:tcPr>
          <w:p w14:paraId="13205313"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Santykinė rizika</w:t>
            </w:r>
          </w:p>
          <w:p w14:paraId="5A1FAE48" w14:textId="77777777" w:rsidR="00E021D7" w:rsidRDefault="009C1A2C">
            <w:pPr>
              <w:widowControl w:val="0"/>
              <w:tabs>
                <w:tab w:val="left" w:pos="567"/>
              </w:tabs>
              <w:spacing w:after="0" w:line="240" w:lineRule="auto"/>
              <w:jc w:val="center"/>
              <w:rPr>
                <w:rFonts w:ascii="Times New Roman" w:eastAsia="Calibri" w:hAnsi="Times New Roman" w:cs="Times New Roman"/>
                <w:b/>
                <w:u w:val="single"/>
              </w:rPr>
            </w:pPr>
            <w:r>
              <w:rPr>
                <w:rFonts w:ascii="Times New Roman" w:eastAsia="Calibri" w:hAnsi="Times New Roman" w:cs="Times New Roman"/>
                <w:b/>
              </w:rPr>
              <w:t>(95 % PI)</w:t>
            </w:r>
          </w:p>
        </w:tc>
      </w:tr>
      <w:tr w:rsidR="00E021D7" w14:paraId="619D36B4" w14:textId="77777777">
        <w:trPr>
          <w:trHeight w:val="201"/>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FD1E07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Patvirtinti širdies ir kraujagyslių sistemos sunkūs nepageidaujami </w:t>
            </w:r>
            <w:proofErr w:type="spellStart"/>
            <w:r>
              <w:rPr>
                <w:rFonts w:ascii="Times New Roman" w:eastAsia="Calibri" w:hAnsi="Times New Roman" w:cs="Times New Roman"/>
              </w:rPr>
              <w:t>tromboziniai</w:t>
            </w:r>
            <w:proofErr w:type="spellEnd"/>
            <w:r>
              <w:rPr>
                <w:rFonts w:ascii="Times New Roman" w:eastAsia="Calibri" w:hAnsi="Times New Roman" w:cs="Times New Roman"/>
              </w:rPr>
              <w:t xml:space="preserve"> reiškiniai</w:t>
            </w:r>
          </w:p>
        </w:tc>
      </w:tr>
      <w:tr w:rsidR="00E021D7" w14:paraId="7E60622C" w14:textId="77777777">
        <w:trPr>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674892C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66347C2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1,24 (1,11; 1,38)</w:t>
            </w:r>
          </w:p>
        </w:tc>
        <w:tc>
          <w:tcPr>
            <w:tcW w:w="1409" w:type="pct"/>
            <w:tcBorders>
              <w:top w:val="single" w:sz="4" w:space="0" w:color="auto"/>
              <w:left w:val="single" w:sz="4" w:space="0" w:color="auto"/>
              <w:bottom w:val="single" w:sz="4" w:space="0" w:color="auto"/>
              <w:right w:val="single" w:sz="4" w:space="0" w:color="auto"/>
            </w:tcBorders>
            <w:hideMark/>
          </w:tcPr>
          <w:p w14:paraId="068C523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1,30 (1,17; 1,45)</w:t>
            </w:r>
          </w:p>
        </w:tc>
        <w:tc>
          <w:tcPr>
            <w:tcW w:w="1208" w:type="pct"/>
            <w:tcBorders>
              <w:top w:val="single" w:sz="4" w:space="0" w:color="auto"/>
              <w:left w:val="single" w:sz="4" w:space="0" w:color="auto"/>
              <w:bottom w:val="single" w:sz="4" w:space="0" w:color="auto"/>
              <w:right w:val="single" w:sz="4" w:space="0" w:color="auto"/>
            </w:tcBorders>
            <w:hideMark/>
          </w:tcPr>
          <w:p w14:paraId="503AE49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0,95 (0,81; 1,11) </w:t>
            </w:r>
          </w:p>
        </w:tc>
      </w:tr>
      <w:tr w:rsidR="00E021D7" w14:paraId="53C01BDF" w14:textId="77777777">
        <w:trPr>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52A332B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Numatyti gydyti pacientai</w:t>
            </w:r>
          </w:p>
        </w:tc>
        <w:tc>
          <w:tcPr>
            <w:tcW w:w="1372" w:type="pct"/>
            <w:tcBorders>
              <w:top w:val="single" w:sz="4" w:space="0" w:color="auto"/>
              <w:left w:val="single" w:sz="4" w:space="0" w:color="auto"/>
              <w:bottom w:val="single" w:sz="4" w:space="0" w:color="auto"/>
              <w:right w:val="single" w:sz="4" w:space="0" w:color="auto"/>
            </w:tcBorders>
            <w:hideMark/>
          </w:tcPr>
          <w:p w14:paraId="59DD4C5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1,25 (1,14; 1,36)</w:t>
            </w:r>
          </w:p>
        </w:tc>
        <w:tc>
          <w:tcPr>
            <w:tcW w:w="1409" w:type="pct"/>
            <w:tcBorders>
              <w:top w:val="single" w:sz="4" w:space="0" w:color="auto"/>
              <w:left w:val="single" w:sz="4" w:space="0" w:color="auto"/>
              <w:bottom w:val="single" w:sz="4" w:space="0" w:color="auto"/>
              <w:right w:val="single" w:sz="4" w:space="0" w:color="auto"/>
            </w:tcBorders>
            <w:hideMark/>
          </w:tcPr>
          <w:p w14:paraId="19C7098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1,19 (1,08; 1,30)</w:t>
            </w:r>
          </w:p>
        </w:tc>
        <w:tc>
          <w:tcPr>
            <w:tcW w:w="1208" w:type="pct"/>
            <w:tcBorders>
              <w:top w:val="single" w:sz="4" w:space="0" w:color="auto"/>
              <w:left w:val="single" w:sz="4" w:space="0" w:color="auto"/>
              <w:bottom w:val="single" w:sz="4" w:space="0" w:color="auto"/>
              <w:right w:val="single" w:sz="4" w:space="0" w:color="auto"/>
            </w:tcBorders>
            <w:hideMark/>
          </w:tcPr>
          <w:p w14:paraId="03C5BBB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1,05 (0,93; 1,19)</w:t>
            </w:r>
          </w:p>
        </w:tc>
      </w:tr>
      <w:tr w:rsidR="00E021D7" w14:paraId="17D7B5D4" w14:textId="77777777">
        <w:trPr>
          <w:trHeight w:val="275"/>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BFA2E8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Patvirtinti širdies reiškiniai</w:t>
            </w:r>
          </w:p>
        </w:tc>
      </w:tr>
      <w:tr w:rsidR="00E021D7" w14:paraId="387D4F86" w14:textId="7777777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4967561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1C5F770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0,71 (0,61; 0,82)</w:t>
            </w:r>
          </w:p>
        </w:tc>
        <w:tc>
          <w:tcPr>
            <w:tcW w:w="1409" w:type="pct"/>
            <w:tcBorders>
              <w:top w:val="single" w:sz="4" w:space="0" w:color="auto"/>
              <w:left w:val="single" w:sz="4" w:space="0" w:color="auto"/>
              <w:bottom w:val="single" w:sz="4" w:space="0" w:color="auto"/>
              <w:right w:val="single" w:sz="4" w:space="0" w:color="auto"/>
            </w:tcBorders>
            <w:hideMark/>
          </w:tcPr>
          <w:p w14:paraId="1566B90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0,78 (0,68; 0,90)</w:t>
            </w:r>
          </w:p>
        </w:tc>
        <w:tc>
          <w:tcPr>
            <w:tcW w:w="1208" w:type="pct"/>
            <w:tcBorders>
              <w:top w:val="single" w:sz="4" w:space="0" w:color="auto"/>
              <w:left w:val="single" w:sz="4" w:space="0" w:color="auto"/>
              <w:bottom w:val="single" w:sz="4" w:space="0" w:color="auto"/>
              <w:right w:val="single" w:sz="4" w:space="0" w:color="auto"/>
            </w:tcBorders>
            <w:hideMark/>
          </w:tcPr>
          <w:p w14:paraId="20D5788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0,90 (0,74; 1,10)</w:t>
            </w:r>
          </w:p>
        </w:tc>
      </w:tr>
      <w:tr w:rsidR="00E021D7" w14:paraId="768D54CE" w14:textId="7777777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3A608CE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Numatyti gydyti pacientai</w:t>
            </w:r>
          </w:p>
        </w:tc>
        <w:tc>
          <w:tcPr>
            <w:tcW w:w="1372" w:type="pct"/>
            <w:tcBorders>
              <w:top w:val="single" w:sz="4" w:space="0" w:color="auto"/>
              <w:left w:val="single" w:sz="4" w:space="0" w:color="auto"/>
              <w:bottom w:val="single" w:sz="4" w:space="0" w:color="auto"/>
              <w:right w:val="single" w:sz="4" w:space="0" w:color="auto"/>
            </w:tcBorders>
            <w:hideMark/>
          </w:tcPr>
          <w:p w14:paraId="250AC08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0,69 (0,61; 0,78)</w:t>
            </w:r>
          </w:p>
        </w:tc>
        <w:tc>
          <w:tcPr>
            <w:tcW w:w="1409" w:type="pct"/>
            <w:tcBorders>
              <w:top w:val="single" w:sz="4" w:space="0" w:color="auto"/>
              <w:left w:val="single" w:sz="4" w:space="0" w:color="auto"/>
              <w:bottom w:val="single" w:sz="4" w:space="0" w:color="auto"/>
              <w:right w:val="single" w:sz="4" w:space="0" w:color="auto"/>
            </w:tcBorders>
            <w:hideMark/>
          </w:tcPr>
          <w:p w14:paraId="2889CF5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0,70 (0,62; 0,79)</w:t>
            </w:r>
          </w:p>
        </w:tc>
        <w:tc>
          <w:tcPr>
            <w:tcW w:w="1208" w:type="pct"/>
            <w:tcBorders>
              <w:top w:val="single" w:sz="4" w:space="0" w:color="auto"/>
              <w:left w:val="single" w:sz="4" w:space="0" w:color="auto"/>
              <w:bottom w:val="single" w:sz="4" w:space="0" w:color="auto"/>
              <w:right w:val="single" w:sz="4" w:space="0" w:color="auto"/>
            </w:tcBorders>
            <w:hideMark/>
          </w:tcPr>
          <w:p w14:paraId="49E5237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0,99 (0,84; 1,17)</w:t>
            </w:r>
          </w:p>
        </w:tc>
      </w:tr>
      <w:tr w:rsidR="00E021D7" w14:paraId="114D73D6" w14:textId="77777777">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26FB49D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Patvirtinti galvos smegenų kraujagyslių reiškiniai</w:t>
            </w:r>
          </w:p>
        </w:tc>
      </w:tr>
      <w:tr w:rsidR="00E021D7" w14:paraId="6433E33B" w14:textId="7777777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6361965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31D1208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0,34 (0,28; 0,42)</w:t>
            </w:r>
          </w:p>
        </w:tc>
        <w:tc>
          <w:tcPr>
            <w:tcW w:w="1409" w:type="pct"/>
            <w:tcBorders>
              <w:top w:val="single" w:sz="4" w:space="0" w:color="auto"/>
              <w:left w:val="single" w:sz="4" w:space="0" w:color="auto"/>
              <w:bottom w:val="single" w:sz="4" w:space="0" w:color="auto"/>
              <w:right w:val="single" w:sz="4" w:space="0" w:color="auto"/>
            </w:tcBorders>
            <w:hideMark/>
          </w:tcPr>
          <w:p w14:paraId="3EDAD41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0,32 (0,25; 0,40)</w:t>
            </w:r>
          </w:p>
        </w:tc>
        <w:tc>
          <w:tcPr>
            <w:tcW w:w="1208" w:type="pct"/>
            <w:tcBorders>
              <w:top w:val="single" w:sz="4" w:space="0" w:color="auto"/>
              <w:left w:val="single" w:sz="4" w:space="0" w:color="auto"/>
              <w:bottom w:val="single" w:sz="4" w:space="0" w:color="auto"/>
              <w:right w:val="single" w:sz="4" w:space="0" w:color="auto"/>
            </w:tcBorders>
            <w:hideMark/>
          </w:tcPr>
          <w:p w14:paraId="6C07041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1,08 (0,80; 1,46)</w:t>
            </w:r>
          </w:p>
        </w:tc>
      </w:tr>
      <w:tr w:rsidR="00E021D7" w14:paraId="3E938EF0" w14:textId="7777777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35A12D5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Numatyti gydyti </w:t>
            </w:r>
            <w:r>
              <w:rPr>
                <w:rFonts w:ascii="Times New Roman" w:eastAsia="Calibri" w:hAnsi="Times New Roman" w:cs="Times New Roman"/>
              </w:rPr>
              <w:lastRenderedPageBreak/>
              <w:t>pacientai</w:t>
            </w:r>
          </w:p>
        </w:tc>
        <w:tc>
          <w:tcPr>
            <w:tcW w:w="1372" w:type="pct"/>
            <w:tcBorders>
              <w:top w:val="single" w:sz="4" w:space="0" w:color="auto"/>
              <w:left w:val="single" w:sz="4" w:space="0" w:color="auto"/>
              <w:bottom w:val="single" w:sz="4" w:space="0" w:color="auto"/>
              <w:right w:val="single" w:sz="4" w:space="0" w:color="auto"/>
            </w:tcBorders>
            <w:hideMark/>
          </w:tcPr>
          <w:p w14:paraId="03564E5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0,33 (0,28; 0,39)</w:t>
            </w:r>
          </w:p>
        </w:tc>
        <w:tc>
          <w:tcPr>
            <w:tcW w:w="1409" w:type="pct"/>
            <w:tcBorders>
              <w:top w:val="single" w:sz="4" w:space="0" w:color="auto"/>
              <w:left w:val="single" w:sz="4" w:space="0" w:color="auto"/>
              <w:bottom w:val="single" w:sz="4" w:space="0" w:color="auto"/>
              <w:right w:val="single" w:sz="4" w:space="0" w:color="auto"/>
            </w:tcBorders>
            <w:hideMark/>
          </w:tcPr>
          <w:p w14:paraId="2106FA6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0,29 (0,24; 0,35)</w:t>
            </w:r>
          </w:p>
        </w:tc>
        <w:tc>
          <w:tcPr>
            <w:tcW w:w="1208" w:type="pct"/>
            <w:tcBorders>
              <w:top w:val="single" w:sz="4" w:space="0" w:color="auto"/>
              <w:left w:val="single" w:sz="4" w:space="0" w:color="auto"/>
              <w:bottom w:val="single" w:sz="4" w:space="0" w:color="auto"/>
              <w:right w:val="single" w:sz="4" w:space="0" w:color="auto"/>
            </w:tcBorders>
            <w:hideMark/>
          </w:tcPr>
          <w:p w14:paraId="23C102C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1,12 (0,87; 1,44)</w:t>
            </w:r>
          </w:p>
        </w:tc>
      </w:tr>
      <w:tr w:rsidR="00E021D7" w14:paraId="3F29E196" w14:textId="77777777">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DDF6B7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Patvirtinti periferinių kraujagyslių reiškiniai</w:t>
            </w:r>
          </w:p>
        </w:tc>
      </w:tr>
      <w:tr w:rsidR="00E021D7" w14:paraId="32C5110B" w14:textId="77777777">
        <w:trPr>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44C003E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156332B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0,20 (0,15; 0,27)</w:t>
            </w:r>
          </w:p>
        </w:tc>
        <w:tc>
          <w:tcPr>
            <w:tcW w:w="1409" w:type="pct"/>
            <w:tcBorders>
              <w:top w:val="single" w:sz="4" w:space="0" w:color="auto"/>
              <w:left w:val="single" w:sz="4" w:space="0" w:color="auto"/>
              <w:bottom w:val="single" w:sz="4" w:space="0" w:color="auto"/>
              <w:right w:val="single" w:sz="4" w:space="0" w:color="auto"/>
            </w:tcBorders>
            <w:hideMark/>
          </w:tcPr>
          <w:p w14:paraId="199CDF3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0,22 (0,17; 0,29)</w:t>
            </w:r>
          </w:p>
        </w:tc>
        <w:tc>
          <w:tcPr>
            <w:tcW w:w="1208" w:type="pct"/>
            <w:tcBorders>
              <w:top w:val="single" w:sz="4" w:space="0" w:color="auto"/>
              <w:left w:val="single" w:sz="4" w:space="0" w:color="auto"/>
              <w:bottom w:val="single" w:sz="4" w:space="0" w:color="auto"/>
              <w:right w:val="single" w:sz="4" w:space="0" w:color="auto"/>
            </w:tcBorders>
            <w:hideMark/>
          </w:tcPr>
          <w:p w14:paraId="322AE5F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0,92 (0,63; 1,35)</w:t>
            </w:r>
          </w:p>
        </w:tc>
      </w:tr>
      <w:tr w:rsidR="00E021D7" w14:paraId="62E84A14" w14:textId="77777777">
        <w:trPr>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4D2BA47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Numatyti gydyti pacientai</w:t>
            </w:r>
          </w:p>
        </w:tc>
        <w:tc>
          <w:tcPr>
            <w:tcW w:w="1372" w:type="pct"/>
            <w:tcBorders>
              <w:top w:val="single" w:sz="4" w:space="0" w:color="auto"/>
              <w:left w:val="single" w:sz="4" w:space="0" w:color="auto"/>
              <w:bottom w:val="single" w:sz="4" w:space="0" w:color="auto"/>
              <w:right w:val="single" w:sz="4" w:space="0" w:color="auto"/>
            </w:tcBorders>
            <w:hideMark/>
          </w:tcPr>
          <w:p w14:paraId="1E506DE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0,24 (0,20; 0,30)</w:t>
            </w:r>
          </w:p>
        </w:tc>
        <w:tc>
          <w:tcPr>
            <w:tcW w:w="1409" w:type="pct"/>
            <w:tcBorders>
              <w:top w:val="single" w:sz="4" w:space="0" w:color="auto"/>
              <w:left w:val="single" w:sz="4" w:space="0" w:color="auto"/>
              <w:bottom w:val="single" w:sz="4" w:space="0" w:color="auto"/>
              <w:right w:val="single" w:sz="4" w:space="0" w:color="auto"/>
            </w:tcBorders>
            <w:hideMark/>
          </w:tcPr>
          <w:p w14:paraId="0E94EB2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0,23 (0,18; 0,28)</w:t>
            </w:r>
          </w:p>
        </w:tc>
        <w:tc>
          <w:tcPr>
            <w:tcW w:w="1208" w:type="pct"/>
            <w:tcBorders>
              <w:top w:val="single" w:sz="4" w:space="0" w:color="auto"/>
              <w:left w:val="single" w:sz="4" w:space="0" w:color="auto"/>
              <w:bottom w:val="single" w:sz="4" w:space="0" w:color="auto"/>
              <w:right w:val="single" w:sz="4" w:space="0" w:color="auto"/>
            </w:tcBorders>
            <w:hideMark/>
          </w:tcPr>
          <w:p w14:paraId="020DB51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1,08 (0,81; 1,44)</w:t>
            </w:r>
          </w:p>
        </w:tc>
      </w:tr>
    </w:tbl>
    <w:p w14:paraId="046ED99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vertAlign w:val="superscript"/>
        </w:rPr>
        <w:t>†</w:t>
      </w:r>
      <w:r>
        <w:rPr>
          <w:rFonts w:ascii="Times New Roman" w:eastAsia="Calibri" w:hAnsi="Times New Roman" w:cs="Times New Roman"/>
        </w:rPr>
        <w:t xml:space="preserve"> reiškinių per 100 paciento metų; PI = </w:t>
      </w:r>
      <w:proofErr w:type="spellStart"/>
      <w:r>
        <w:rPr>
          <w:rFonts w:ascii="Times New Roman" w:eastAsia="Calibri" w:hAnsi="Times New Roman" w:cs="Times New Roman"/>
        </w:rPr>
        <w:t>pasikliautinasis</w:t>
      </w:r>
      <w:proofErr w:type="spellEnd"/>
      <w:r>
        <w:rPr>
          <w:rFonts w:ascii="Times New Roman" w:eastAsia="Calibri" w:hAnsi="Times New Roman" w:cs="Times New Roman"/>
        </w:rPr>
        <w:t xml:space="preserve"> intervalas</w:t>
      </w:r>
    </w:p>
    <w:p w14:paraId="2B9ECED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 = bendras pacientų, įtrauktų į protokolinę populiaciją „pagal protokolą“, skaičius</w:t>
      </w:r>
    </w:p>
    <w:p w14:paraId="067235E0" w14:textId="77777777" w:rsidR="00E021D7" w:rsidRDefault="009C1A2C">
      <w:pPr>
        <w:widowControl w:val="0"/>
        <w:tabs>
          <w:tab w:val="left" w:pos="567"/>
        </w:tabs>
        <w:spacing w:after="0" w:line="240" w:lineRule="auto"/>
        <w:rPr>
          <w:rFonts w:ascii="Times New Roman" w:eastAsia="Calibri" w:hAnsi="Times New Roman" w:cs="Times New Roman"/>
          <w:strike/>
        </w:rPr>
      </w:pPr>
      <w:r>
        <w:rPr>
          <w:rFonts w:ascii="Times New Roman" w:eastAsia="Calibri" w:hAnsi="Times New Roman" w:cs="Times New Roman"/>
        </w:rPr>
        <w:t>Pagal protokolą: visi reiškiniai, pastebėti gydant tyrimo metu arba per 14 dienų po gydymo nutraukimo (atmetus pacientus, kurie suvartojo mažiau kaip 75 % jiems skirto tiriamojo vaistinio preparato arba ilgiau kaip 10 % tyrimo laiko vartojo ne tiriamuosius NVNU).</w:t>
      </w:r>
    </w:p>
    <w:p w14:paraId="66897A1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Numatyti gydyti pacientai: visi iki tyrimo pabaigos patvirtinti reiškiniai (įskaitant pacientus, kurie nutraukus tiriamąjį gydymą galėjo vartoti kitų vaistinių preparatų, nei tiriamieji vaistiniai preparatai). Iš viso buvo atsitiktinėms imtims buvo priskirta 17412 pacientų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grupėje ir 17289 pacientai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grupėje.</w:t>
      </w:r>
    </w:p>
    <w:p w14:paraId="431D822C" w14:textId="77777777" w:rsidR="00E021D7" w:rsidRDefault="00E021D7">
      <w:pPr>
        <w:widowControl w:val="0"/>
        <w:tabs>
          <w:tab w:val="left" w:pos="567"/>
        </w:tabs>
        <w:spacing w:after="0" w:line="240" w:lineRule="auto"/>
        <w:rPr>
          <w:rFonts w:ascii="Times New Roman" w:eastAsia="Calibri" w:hAnsi="Times New Roman" w:cs="Times New Roman"/>
        </w:rPr>
      </w:pPr>
    </w:p>
    <w:p w14:paraId="5E17A63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Mirštamumas nuo širdies ir kraujagyslių sistemos sutrikimų, kaip ir bendrasis mirtingumas,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gydymo grupėse buvo panašus.</w:t>
      </w:r>
    </w:p>
    <w:p w14:paraId="4C4FF906" w14:textId="77777777" w:rsidR="00E021D7" w:rsidRDefault="00E021D7">
      <w:pPr>
        <w:widowControl w:val="0"/>
        <w:tabs>
          <w:tab w:val="left" w:pos="567"/>
        </w:tabs>
        <w:spacing w:after="0" w:line="240" w:lineRule="auto"/>
        <w:rPr>
          <w:rFonts w:ascii="Times New Roman" w:eastAsia="Calibri" w:hAnsi="Times New Roman" w:cs="Times New Roman"/>
        </w:rPr>
      </w:pPr>
    </w:p>
    <w:p w14:paraId="331136B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Širdies ir inkstų reiškiniai</w:t>
      </w:r>
    </w:p>
    <w:p w14:paraId="366DEF84"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 xml:space="preserve">Maždaug 50 % pacientų, įtrauktų į MEDAL klinikinį tyrimą, prieš pradedant jį sirgo hipertenzija. Klinikinio tyrimo metu gydymo nutraukimo dėl su padidėjusiu kraujospūdžiu susijusių nepageidaujamų reiškinių dažnis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grupėje buvo statistiškai reikšmingai didesnis, lyginant su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grupe. </w:t>
      </w:r>
      <w:proofErr w:type="spellStart"/>
      <w:r>
        <w:rPr>
          <w:rFonts w:ascii="Times New Roman" w:eastAsia="Calibri" w:hAnsi="Times New Roman" w:cs="Times New Roman"/>
        </w:rPr>
        <w:t>Stazinio</w:t>
      </w:r>
      <w:proofErr w:type="spellEnd"/>
      <w:r>
        <w:rPr>
          <w:rFonts w:ascii="Times New Roman" w:eastAsia="Calibri" w:hAnsi="Times New Roman" w:cs="Times New Roman"/>
        </w:rPr>
        <w:t xml:space="preserve"> širdies nepakankamumo nepageidaujami reiškiniai (gydymo nutraukimai ir sunkūs reiškiniai), vartojant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 ar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dozę, pasireiškė panašiai dažnai, bet buvo dažnesni vartojusiems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 lyginant su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doze (statistiškai reikšminga MEDAL OA kohortoje palyginus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dozės ir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dozės vartojimą). Patvirtintų </w:t>
      </w:r>
      <w:proofErr w:type="spellStart"/>
      <w:r>
        <w:rPr>
          <w:rFonts w:ascii="Times New Roman" w:eastAsia="Calibri" w:hAnsi="Times New Roman" w:cs="Times New Roman"/>
        </w:rPr>
        <w:t>stazinio</w:t>
      </w:r>
      <w:proofErr w:type="spellEnd"/>
      <w:r>
        <w:rPr>
          <w:rFonts w:ascii="Times New Roman" w:eastAsia="Calibri" w:hAnsi="Times New Roman" w:cs="Times New Roman"/>
        </w:rPr>
        <w:t xml:space="preserve"> širdies nepakankamumo nepageidaujamų reiškinių, kurie buvo sunkūs ir dėl jų reikėjo pacientą hospitalizuoti arba kreiptis į skubios pagalbos skyrių, dažnis buvo nereikšmingai didesnis vartojusiems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negu vartojusiems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dozę, ir tai priklausė nuo dozės. Gydymą nutraukti dėl su edema susijusių nepageidaujamų reiškinių reikėjo dažniau vartojusiems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negu vartojusiems 150 mg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dozę, šis poveikis priklausė nuo dozės (statistiškai reikšminga vartojusiems 90 mg, bet ne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w:t>
      </w:r>
    </w:p>
    <w:p w14:paraId="328A6249" w14:textId="77777777" w:rsidR="00E021D7" w:rsidRDefault="00E021D7">
      <w:pPr>
        <w:widowControl w:val="0"/>
        <w:tabs>
          <w:tab w:val="left" w:pos="567"/>
        </w:tabs>
        <w:spacing w:after="0" w:line="240" w:lineRule="auto"/>
        <w:rPr>
          <w:rFonts w:ascii="Times New Roman" w:eastAsia="Calibri" w:hAnsi="Times New Roman" w:cs="Times New Roman"/>
        </w:rPr>
      </w:pPr>
    </w:p>
    <w:p w14:paraId="01E9615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Širdies ir inkstų reiškinių rezultatai, gauti tyrimų EDGE ir EDGE II metu, atitiko aprašytuosius MEDAL klinikiniame tyrime.</w:t>
      </w:r>
    </w:p>
    <w:p w14:paraId="7148F444" w14:textId="77777777" w:rsidR="00E021D7" w:rsidRDefault="00E021D7">
      <w:pPr>
        <w:widowControl w:val="0"/>
        <w:tabs>
          <w:tab w:val="left" w:pos="567"/>
        </w:tabs>
        <w:spacing w:after="0" w:line="240" w:lineRule="auto"/>
        <w:rPr>
          <w:rFonts w:ascii="Times New Roman" w:eastAsia="Calibri" w:hAnsi="Times New Roman" w:cs="Times New Roman"/>
        </w:rPr>
      </w:pPr>
    </w:p>
    <w:p w14:paraId="16CFB97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Atskirų MEDAL programos klinikinių tyrimų metu vartojant 60 mg arba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 absoliutus nutraukimo dažnis bet kurioje gydymo grupėje buvo iki 2,6 % dėl hipertenzijos, iki 1,9 % dėl edemos ir iki 1,1 % dėl </w:t>
      </w:r>
      <w:proofErr w:type="spellStart"/>
      <w:r>
        <w:rPr>
          <w:rFonts w:ascii="Times New Roman" w:eastAsia="Calibri" w:hAnsi="Times New Roman" w:cs="Times New Roman"/>
        </w:rPr>
        <w:t>stazinio</w:t>
      </w:r>
      <w:proofErr w:type="spellEnd"/>
      <w:r>
        <w:rPr>
          <w:rFonts w:ascii="Times New Roman" w:eastAsia="Calibri" w:hAnsi="Times New Roman" w:cs="Times New Roman"/>
        </w:rPr>
        <w:t xml:space="preserve"> širdies nepakankamumo; gydymą nutraukti reikėdavo dažniau vartojusiems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 negu vartojusiems 60 mg dozę.</w:t>
      </w:r>
    </w:p>
    <w:p w14:paraId="3A0BA04A" w14:textId="77777777" w:rsidR="00E021D7" w:rsidRDefault="00E021D7">
      <w:pPr>
        <w:widowControl w:val="0"/>
        <w:tabs>
          <w:tab w:val="left" w:pos="567"/>
        </w:tabs>
        <w:spacing w:after="0" w:line="240" w:lineRule="auto"/>
        <w:rPr>
          <w:rFonts w:ascii="Times New Roman" w:eastAsia="Calibri" w:hAnsi="Times New Roman" w:cs="Times New Roman"/>
        </w:rPr>
      </w:pPr>
    </w:p>
    <w:p w14:paraId="6B11135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MEDAL programos rezultatai, susiję su vaistinio preparato toleravimu virškinimo trakte</w:t>
      </w:r>
    </w:p>
    <w:p w14:paraId="091FF65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Gydymo nutraukimo dėl bet kokių klinikinių virškinimo trakto nepageidaujamų reiškinių, pvz., </w:t>
      </w:r>
      <w:proofErr w:type="spellStart"/>
      <w:r>
        <w:rPr>
          <w:rFonts w:ascii="Times New Roman" w:eastAsia="Calibri" w:hAnsi="Times New Roman" w:cs="Times New Roman"/>
        </w:rPr>
        <w:t>nevirškinimo</w:t>
      </w:r>
      <w:proofErr w:type="spellEnd"/>
      <w:r>
        <w:rPr>
          <w:rFonts w:ascii="Times New Roman" w:eastAsia="Calibri" w:hAnsi="Times New Roman" w:cs="Times New Roman"/>
        </w:rPr>
        <w:t xml:space="preserve">, pilvo skausmo, opų, dažnis kiekviename iš trijų MEDAL programos klinikinių tyrimų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grupėse buvo reikšmingai mažesnis, lyginant su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grupėmis. Gydymo nutraukimo dėl nepageidaujamų klinikinių virškinimo trakto reiškinių dažnis per šimtą paciento metų viso klinikinio tyrimo metu buvo: 3,23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ir 4,96 </w:t>
      </w:r>
      <w:proofErr w:type="spellStart"/>
      <w:r>
        <w:rPr>
          <w:rFonts w:ascii="Times New Roman" w:eastAsia="Calibri" w:hAnsi="Times New Roman" w:cs="Times New Roman"/>
        </w:rPr>
        <w:t>diklofenakui</w:t>
      </w:r>
      <w:proofErr w:type="spellEnd"/>
      <w:r>
        <w:rPr>
          <w:rFonts w:ascii="Times New Roman" w:eastAsia="Calibri" w:hAnsi="Times New Roman" w:cs="Times New Roman"/>
        </w:rPr>
        <w:t xml:space="preserve"> MEDAL klinikinio tyrimo metu, 9,12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ir 12,28 </w:t>
      </w:r>
      <w:proofErr w:type="spellStart"/>
      <w:r>
        <w:rPr>
          <w:rFonts w:ascii="Times New Roman" w:eastAsia="Calibri" w:hAnsi="Times New Roman" w:cs="Times New Roman"/>
        </w:rPr>
        <w:t>diklofenakui</w:t>
      </w:r>
      <w:proofErr w:type="spellEnd"/>
      <w:r>
        <w:rPr>
          <w:rFonts w:ascii="Times New Roman" w:eastAsia="Calibri" w:hAnsi="Times New Roman" w:cs="Times New Roman"/>
        </w:rPr>
        <w:t xml:space="preserve"> EDGE klinikinio tyrimo metu ir 3,71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ir 4,81 </w:t>
      </w:r>
      <w:proofErr w:type="spellStart"/>
      <w:r>
        <w:rPr>
          <w:rFonts w:ascii="Times New Roman" w:eastAsia="Calibri" w:hAnsi="Times New Roman" w:cs="Times New Roman"/>
        </w:rPr>
        <w:t>diklofenakui</w:t>
      </w:r>
      <w:proofErr w:type="spellEnd"/>
      <w:r>
        <w:rPr>
          <w:rFonts w:ascii="Times New Roman" w:eastAsia="Calibri" w:hAnsi="Times New Roman" w:cs="Times New Roman"/>
        </w:rPr>
        <w:t xml:space="preserve"> EDGE II klinikinio tyrimo metu.</w:t>
      </w:r>
    </w:p>
    <w:p w14:paraId="2A3ABD61" w14:textId="77777777" w:rsidR="00E021D7" w:rsidRDefault="00E021D7">
      <w:pPr>
        <w:widowControl w:val="0"/>
        <w:tabs>
          <w:tab w:val="left" w:pos="567"/>
        </w:tabs>
        <w:spacing w:after="0" w:line="240" w:lineRule="auto"/>
        <w:rPr>
          <w:rFonts w:ascii="Times New Roman" w:eastAsia="Calibri" w:hAnsi="Times New Roman" w:cs="Times New Roman"/>
        </w:rPr>
      </w:pPr>
    </w:p>
    <w:p w14:paraId="2A7FEE2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MEDAL programos rezultatai, susiję su vaistinio preparato saugumu virškinimo traktui</w:t>
      </w:r>
    </w:p>
    <w:p w14:paraId="08E1408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Bendri viršutinės virškinimo trakto dalies nepageidaujami reiškiniai buvo apibūdinti kaip perforacijos, opos ir kraujavimai. Iš bendrų viršutinės virškinimo trakto dalies nepageidaujamų reiškinių išskirtas pogrupis komplikuotų nepageidaujamų reiškinių, į kurį buvo įtrauktos perforacijos, obstrukcijos ir komplikuotas kraujavimas. Į viršutinės virškinimo trakto dalies nekomplikuotų nepageidaujamų reiškinių pogrupį buvo įtrauktas kraujavimas be komplikacijų ir opos be komplikacijų. Bendrų </w:t>
      </w:r>
      <w:r>
        <w:rPr>
          <w:rFonts w:ascii="Times New Roman" w:eastAsia="Calibri" w:hAnsi="Times New Roman" w:cs="Times New Roman"/>
        </w:rPr>
        <w:lastRenderedPageBreak/>
        <w:t xml:space="preserve">viršutinės virškinimo trakto dalies nepageidaujamų reiškinių reikšmingai mažiau pastebėta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grupėje, negu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grupėje. Tarp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sukeltų komplikuotų reiškinių dažnio reikšmingo skirtumo nebuvo. Viršutinės virškinimo trakto dalies kraujavimo reiškinių (sudėjus komplikuotus ir nekomplikuotus) pogrupyje reikšmingo skirtumo tarp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nebuvo.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nauda, lyginant su </w:t>
      </w:r>
      <w:proofErr w:type="spellStart"/>
      <w:r>
        <w:rPr>
          <w:rFonts w:ascii="Times New Roman" w:eastAsia="Calibri" w:hAnsi="Times New Roman" w:cs="Times New Roman"/>
        </w:rPr>
        <w:t>diklofenaku</w:t>
      </w:r>
      <w:proofErr w:type="spellEnd"/>
      <w:r>
        <w:rPr>
          <w:rFonts w:ascii="Times New Roman" w:eastAsia="Calibri" w:hAnsi="Times New Roman" w:cs="Times New Roman"/>
        </w:rPr>
        <w:t xml:space="preserve">, viršutinei virškinimo trakto daliai nebuvo statistiškai reikšminga pacientams, kartu vartojusiems mažą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dozę (maždaug 33 % pacientų).</w:t>
      </w:r>
    </w:p>
    <w:p w14:paraId="4475C234" w14:textId="77777777" w:rsidR="00E021D7" w:rsidRDefault="009C1A2C">
      <w:pPr>
        <w:widowControl w:val="0"/>
        <w:tabs>
          <w:tab w:val="left" w:pos="567"/>
        </w:tabs>
        <w:spacing w:after="0" w:line="240" w:lineRule="auto"/>
        <w:rPr>
          <w:rFonts w:ascii="Times New Roman" w:eastAsia="Calibri" w:hAnsi="Times New Roman" w:cs="Times New Roman"/>
          <w:u w:val="double"/>
        </w:rPr>
      </w:pPr>
      <w:r>
        <w:rPr>
          <w:rFonts w:ascii="Times New Roman" w:eastAsia="Calibri" w:hAnsi="Times New Roman" w:cs="Times New Roman"/>
        </w:rPr>
        <w:t xml:space="preserve">Patvirtintų komplikuotų ir nekomplikuotų viršutinės virškinimo trakto dalies nepageidaujamų reiškinių (perforacijų, opų ir kraujavimo (POK)) dažnis per šimtą paciento metų buvo 0,67 (95 % PI 0,57; 0,77)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ir 0,97 (95 % PI 0,85; 1,10) </w:t>
      </w:r>
      <w:proofErr w:type="spellStart"/>
      <w:r>
        <w:rPr>
          <w:rFonts w:ascii="Times New Roman" w:eastAsia="Calibri" w:hAnsi="Times New Roman" w:cs="Times New Roman"/>
        </w:rPr>
        <w:t>diklofenakui</w:t>
      </w:r>
      <w:proofErr w:type="spellEnd"/>
      <w:r>
        <w:rPr>
          <w:rFonts w:ascii="Times New Roman" w:eastAsia="Calibri" w:hAnsi="Times New Roman" w:cs="Times New Roman"/>
        </w:rPr>
        <w:t>, sąlygojantys 0,69 (95 % PI 0,57; 0,83) santykinę riziką.</w:t>
      </w:r>
    </w:p>
    <w:p w14:paraId="74A81716" w14:textId="77777777" w:rsidR="00E021D7" w:rsidRDefault="009C1A2C">
      <w:pPr>
        <w:widowControl w:val="0"/>
        <w:tabs>
          <w:tab w:val="left" w:pos="567"/>
        </w:tabs>
        <w:spacing w:after="0" w:line="240" w:lineRule="auto"/>
        <w:rPr>
          <w:rFonts w:ascii="Times New Roman" w:eastAsia="Calibri" w:hAnsi="Times New Roman" w:cs="Times New Roman"/>
          <w:u w:val="double"/>
        </w:rPr>
      </w:pPr>
      <w:r>
        <w:rPr>
          <w:rFonts w:ascii="Times New Roman" w:eastAsia="Calibri" w:hAnsi="Times New Roman" w:cs="Times New Roman"/>
        </w:rPr>
        <w:t xml:space="preserve">Buvo įvertintas patvirtintų viršutinės virškinimo trakto dalies nepageidaujamų reiškinių dažnis senyviems pacientams ir pastebėta, kad reiškinių dažnis per šimtą paciento metų labiausiai sumažėja 75 metų ir vyresniems pacientams ir yra 1,35 (95 % PI 0,94; 1,87)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bei 2,78 (95 % PI 2,14; 3,56) </w:t>
      </w:r>
      <w:proofErr w:type="spellStart"/>
      <w:r>
        <w:rPr>
          <w:rFonts w:ascii="Times New Roman" w:eastAsia="Calibri" w:hAnsi="Times New Roman" w:cs="Times New Roman"/>
        </w:rPr>
        <w:t>diklofenakui</w:t>
      </w:r>
      <w:proofErr w:type="spellEnd"/>
      <w:r>
        <w:rPr>
          <w:rFonts w:ascii="Times New Roman" w:eastAsia="Calibri" w:hAnsi="Times New Roman" w:cs="Times New Roman"/>
        </w:rPr>
        <w:t>.</w:t>
      </w:r>
    </w:p>
    <w:p w14:paraId="6F8A8AC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Patvirtintų apatinės virškinimo trakto dalies nepageidaujamų klinikinių reiškinių (plonojo arba storojo žarnyno perforacija, obstrukcija arba kraujavimas (POK)) dažnis tarp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grupių statistiškai reikšmingai nesiskyrė.</w:t>
      </w:r>
    </w:p>
    <w:p w14:paraId="30FB8BDA" w14:textId="77777777" w:rsidR="00E021D7" w:rsidRDefault="00E021D7">
      <w:pPr>
        <w:widowControl w:val="0"/>
        <w:tabs>
          <w:tab w:val="left" w:pos="567"/>
        </w:tabs>
        <w:spacing w:after="0" w:line="240" w:lineRule="auto"/>
        <w:rPr>
          <w:rFonts w:ascii="Times New Roman" w:eastAsia="Calibri" w:hAnsi="Times New Roman" w:cs="Times New Roman"/>
        </w:rPr>
      </w:pPr>
    </w:p>
    <w:p w14:paraId="3D30F8A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MEDAL programos rezultatai, susiję su vaistinio preparato saugumu kepenims</w:t>
      </w:r>
    </w:p>
    <w:p w14:paraId="1ABFB29A"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buvo susijęs su statistiškai reikšmingai mažesniu gydymo nutraukimo dėl nepageidaujamų su kepenimis susijusių reiškinių dažniu, lyginant su </w:t>
      </w:r>
      <w:proofErr w:type="spellStart"/>
      <w:r>
        <w:rPr>
          <w:rFonts w:ascii="Times New Roman" w:eastAsia="Calibri" w:hAnsi="Times New Roman" w:cs="Times New Roman"/>
        </w:rPr>
        <w:t>diklofenaku</w:t>
      </w:r>
      <w:proofErr w:type="spellEnd"/>
      <w:r>
        <w:rPr>
          <w:rFonts w:ascii="Times New Roman" w:eastAsia="Calibri" w:hAnsi="Times New Roman" w:cs="Times New Roman"/>
        </w:rPr>
        <w:t xml:space="preserve">. Jungtinėje MEDAL programoje 0,3 %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vartojusių pacientų ir 2,7 %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vartojusių pacientų gydymą nutraukė dėl su kepenimis susijusių nepageidaujamų reiškinių. Dažnis per šimtą paciento metų buvo 0,22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ir 1,84 </w:t>
      </w:r>
      <w:proofErr w:type="spellStart"/>
      <w:r>
        <w:rPr>
          <w:rFonts w:ascii="Times New Roman" w:eastAsia="Calibri" w:hAnsi="Times New Roman" w:cs="Times New Roman"/>
        </w:rPr>
        <w:t>diklofenakui</w:t>
      </w:r>
      <w:proofErr w:type="spellEnd"/>
      <w:r>
        <w:rPr>
          <w:rFonts w:ascii="Times New Roman" w:eastAsia="Calibri" w:hAnsi="Times New Roman" w:cs="Times New Roman"/>
        </w:rPr>
        <w:t xml:space="preserve"> (p dydis &lt; 0,001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lyginant su </w:t>
      </w:r>
      <w:proofErr w:type="spellStart"/>
      <w:r>
        <w:rPr>
          <w:rFonts w:ascii="Times New Roman" w:eastAsia="Calibri" w:hAnsi="Times New Roman" w:cs="Times New Roman"/>
        </w:rPr>
        <w:t>diklofenaku</w:t>
      </w:r>
      <w:proofErr w:type="spellEnd"/>
      <w:r>
        <w:rPr>
          <w:rFonts w:ascii="Times New Roman" w:eastAsia="Calibri" w:hAnsi="Times New Roman" w:cs="Times New Roman"/>
        </w:rPr>
        <w:t>). Vis dėlto dauguma nepageidaujamų reiškinių, susijusiu su kepenimis, MEDAL programos metu buvo nesunkūs.</w:t>
      </w:r>
    </w:p>
    <w:p w14:paraId="47337D8F" w14:textId="77777777" w:rsidR="00E021D7" w:rsidRDefault="00E021D7">
      <w:pPr>
        <w:widowControl w:val="0"/>
        <w:tabs>
          <w:tab w:val="left" w:pos="567"/>
        </w:tabs>
        <w:spacing w:after="0" w:line="240" w:lineRule="auto"/>
        <w:rPr>
          <w:rFonts w:ascii="Times New Roman" w:eastAsia="Calibri" w:hAnsi="Times New Roman" w:cs="Times New Roman"/>
        </w:rPr>
      </w:pPr>
    </w:p>
    <w:p w14:paraId="1D64B8F5"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Papildomi saugumo duomenys, susiję su širdies ir kraujagyslių sistemos </w:t>
      </w:r>
      <w:proofErr w:type="spellStart"/>
      <w:r>
        <w:rPr>
          <w:rFonts w:ascii="Times New Roman" w:eastAsia="Calibri" w:hAnsi="Times New Roman" w:cs="Times New Roman"/>
          <w:u w:val="single"/>
        </w:rPr>
        <w:t>tromboziniais</w:t>
      </w:r>
      <w:proofErr w:type="spellEnd"/>
      <w:r>
        <w:rPr>
          <w:rFonts w:ascii="Times New Roman" w:eastAsia="Calibri" w:hAnsi="Times New Roman" w:cs="Times New Roman"/>
          <w:u w:val="single"/>
        </w:rPr>
        <w:t xml:space="preserve"> reiškiniais</w:t>
      </w:r>
    </w:p>
    <w:p w14:paraId="3C1858F5" w14:textId="77777777" w:rsidR="00E021D7" w:rsidRDefault="00E021D7">
      <w:pPr>
        <w:widowControl w:val="0"/>
        <w:tabs>
          <w:tab w:val="left" w:pos="567"/>
        </w:tabs>
        <w:spacing w:after="0" w:line="240" w:lineRule="auto"/>
        <w:rPr>
          <w:rFonts w:ascii="Times New Roman" w:eastAsia="Calibri" w:hAnsi="Times New Roman" w:cs="Times New Roman"/>
        </w:rPr>
      </w:pPr>
    </w:p>
    <w:p w14:paraId="0D19939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išskyrus MEDAL programos tyrimus, metu apie 3100 pacientų 12 savaičių arba ilgiau buvo gydyti ≥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paros doze. Pastebimo patvirtintų sunkių </w:t>
      </w:r>
      <w:proofErr w:type="spellStart"/>
      <w:r>
        <w:rPr>
          <w:rFonts w:ascii="Times New Roman" w:eastAsia="Calibri" w:hAnsi="Times New Roman" w:cs="Times New Roman"/>
        </w:rPr>
        <w:t>trombozinių</w:t>
      </w:r>
      <w:proofErr w:type="spellEnd"/>
      <w:r>
        <w:rPr>
          <w:rFonts w:ascii="Times New Roman" w:eastAsia="Calibri" w:hAnsi="Times New Roman" w:cs="Times New Roman"/>
        </w:rPr>
        <w:t xml:space="preserve"> širdies ir kraujagyslių reiškinių dažnio skirtumo pacientams, vartojusiems ≥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placebo arba ne </w:t>
      </w:r>
      <w:proofErr w:type="spellStart"/>
      <w:r>
        <w:rPr>
          <w:rFonts w:ascii="Times New Roman" w:eastAsia="Calibri" w:hAnsi="Times New Roman" w:cs="Times New Roman"/>
        </w:rPr>
        <w:t>naprokseno</w:t>
      </w:r>
      <w:proofErr w:type="spellEnd"/>
      <w:r>
        <w:rPr>
          <w:rFonts w:ascii="Times New Roman" w:eastAsia="Calibri" w:hAnsi="Times New Roman" w:cs="Times New Roman"/>
        </w:rPr>
        <w:t xml:space="preserve"> NVNU, nebuvo. Vis dėlto šių reiškinių dažnis buvo didesnis pacientams, vartojusiems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lyginant su pacientais, vartojusiais 500 mg </w:t>
      </w:r>
      <w:proofErr w:type="spellStart"/>
      <w:r>
        <w:rPr>
          <w:rFonts w:ascii="Times New Roman" w:eastAsia="Calibri" w:hAnsi="Times New Roman" w:cs="Times New Roman"/>
        </w:rPr>
        <w:t>naprokseno</w:t>
      </w:r>
      <w:proofErr w:type="spellEnd"/>
      <w:r>
        <w:rPr>
          <w:rFonts w:ascii="Times New Roman" w:eastAsia="Calibri" w:hAnsi="Times New Roman" w:cs="Times New Roman"/>
        </w:rPr>
        <w:t xml:space="preserve"> du kartus per parą dozę. COX-1 slopinančių NVNU ir COX-2 selektyvių inhibitorių </w:t>
      </w:r>
      <w:proofErr w:type="spellStart"/>
      <w:r>
        <w:rPr>
          <w:rFonts w:ascii="Times New Roman" w:eastAsia="Calibri" w:hAnsi="Times New Roman" w:cs="Times New Roman"/>
        </w:rPr>
        <w:t>antitrombocitinio</w:t>
      </w:r>
      <w:proofErr w:type="spellEnd"/>
      <w:r>
        <w:rPr>
          <w:rFonts w:ascii="Times New Roman" w:eastAsia="Calibri" w:hAnsi="Times New Roman" w:cs="Times New Roman"/>
        </w:rPr>
        <w:t xml:space="preserve"> aktyvumo skirtumas gali būti kliniškai reikšmingas pacientams, kuriems yra </w:t>
      </w:r>
      <w:proofErr w:type="spellStart"/>
      <w:r>
        <w:rPr>
          <w:rFonts w:ascii="Times New Roman" w:eastAsia="Calibri" w:hAnsi="Times New Roman" w:cs="Times New Roman"/>
        </w:rPr>
        <w:t>tromboembolinių</w:t>
      </w:r>
      <w:proofErr w:type="spellEnd"/>
      <w:r>
        <w:rPr>
          <w:rFonts w:ascii="Times New Roman" w:eastAsia="Calibri" w:hAnsi="Times New Roman" w:cs="Times New Roman"/>
        </w:rPr>
        <w:t xml:space="preserve"> reiškinių rizika. Selektyvūs COX-2 inhibitoriai mažina sisteminio (ir todėl galimai </w:t>
      </w:r>
      <w:proofErr w:type="spellStart"/>
      <w:r>
        <w:rPr>
          <w:rFonts w:ascii="Times New Roman" w:eastAsia="Calibri" w:hAnsi="Times New Roman" w:cs="Times New Roman"/>
        </w:rPr>
        <w:t>endotelinio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prostaciklino</w:t>
      </w:r>
      <w:proofErr w:type="spellEnd"/>
      <w:r>
        <w:rPr>
          <w:rFonts w:ascii="Times New Roman" w:eastAsia="Calibri" w:hAnsi="Times New Roman" w:cs="Times New Roman"/>
        </w:rPr>
        <w:t xml:space="preserve"> susidarymą, neveikdami trombocitų </w:t>
      </w:r>
      <w:proofErr w:type="spellStart"/>
      <w:r>
        <w:rPr>
          <w:rFonts w:ascii="Times New Roman" w:eastAsia="Calibri" w:hAnsi="Times New Roman" w:cs="Times New Roman"/>
        </w:rPr>
        <w:t>tromboksano</w:t>
      </w:r>
      <w:proofErr w:type="spellEnd"/>
      <w:r>
        <w:rPr>
          <w:rFonts w:ascii="Times New Roman" w:eastAsia="Calibri" w:hAnsi="Times New Roman" w:cs="Times New Roman"/>
        </w:rPr>
        <w:t>. Šių pastebėjimų klinikinė reikšmė nenustatyta.</w:t>
      </w:r>
    </w:p>
    <w:p w14:paraId="293EA5A6" w14:textId="77777777" w:rsidR="00E021D7" w:rsidRDefault="00E021D7">
      <w:pPr>
        <w:widowControl w:val="0"/>
        <w:tabs>
          <w:tab w:val="left" w:pos="567"/>
        </w:tabs>
        <w:spacing w:after="0" w:line="240" w:lineRule="auto"/>
        <w:rPr>
          <w:rFonts w:ascii="Times New Roman" w:eastAsia="Calibri" w:hAnsi="Times New Roman" w:cs="Times New Roman"/>
        </w:rPr>
      </w:pPr>
    </w:p>
    <w:p w14:paraId="63659CD5"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Papildomi saugumo duomenys, susiję su virškinimo traktu</w:t>
      </w:r>
    </w:p>
    <w:p w14:paraId="4C3E74D0" w14:textId="77777777" w:rsidR="00E021D7" w:rsidRDefault="00E021D7">
      <w:pPr>
        <w:widowControl w:val="0"/>
        <w:tabs>
          <w:tab w:val="left" w:pos="567"/>
        </w:tabs>
        <w:spacing w:after="0" w:line="240" w:lineRule="auto"/>
        <w:rPr>
          <w:rFonts w:ascii="Times New Roman" w:eastAsia="Calibri" w:hAnsi="Times New Roman" w:cs="Times New Roman"/>
          <w:i/>
        </w:rPr>
      </w:pPr>
    </w:p>
    <w:p w14:paraId="13143CD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Per du 12 savaičių trukmės dvigubai koduotus endoskopijos tyrimus skrandžio ir dvylikapirštės žarnos opų kumuliacinis dažnis buvo reikšmingai mažesnis pacientams, gydytiems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lyginant su pacientais, gydytais arba 500 mg </w:t>
      </w:r>
      <w:proofErr w:type="spellStart"/>
      <w:r>
        <w:rPr>
          <w:rFonts w:ascii="Times New Roman" w:eastAsia="Calibri" w:hAnsi="Times New Roman" w:cs="Times New Roman"/>
        </w:rPr>
        <w:t>naprokseno</w:t>
      </w:r>
      <w:proofErr w:type="spellEnd"/>
      <w:r>
        <w:rPr>
          <w:rFonts w:ascii="Times New Roman" w:eastAsia="Calibri" w:hAnsi="Times New Roman" w:cs="Times New Roman"/>
        </w:rPr>
        <w:t xml:space="preserve"> du kartus per parą, arba 800 mg </w:t>
      </w:r>
      <w:proofErr w:type="spellStart"/>
      <w:r>
        <w:rPr>
          <w:rFonts w:ascii="Times New Roman" w:eastAsia="Calibri" w:hAnsi="Times New Roman" w:cs="Times New Roman"/>
        </w:rPr>
        <w:t>ibuprofeno</w:t>
      </w:r>
      <w:proofErr w:type="spellEnd"/>
      <w:r>
        <w:rPr>
          <w:rFonts w:ascii="Times New Roman" w:eastAsia="Calibri" w:hAnsi="Times New Roman" w:cs="Times New Roman"/>
        </w:rPr>
        <w:t xml:space="preserve"> tris kartus per parą. Vartojant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išopėjimų atsirado dažniau, negu vartojant placebo.</w:t>
      </w:r>
    </w:p>
    <w:p w14:paraId="0A6DA499" w14:textId="77777777" w:rsidR="00E021D7" w:rsidRDefault="00E021D7">
      <w:pPr>
        <w:widowControl w:val="0"/>
        <w:tabs>
          <w:tab w:val="left" w:pos="567"/>
        </w:tabs>
        <w:spacing w:after="0" w:line="240" w:lineRule="auto"/>
        <w:rPr>
          <w:rFonts w:ascii="Times New Roman" w:eastAsia="Calibri" w:hAnsi="Times New Roman" w:cs="Times New Roman"/>
        </w:rPr>
      </w:pPr>
    </w:p>
    <w:p w14:paraId="2B503B6E"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Senyvų pacientų inkstų funkcijos tyrimas</w:t>
      </w:r>
    </w:p>
    <w:p w14:paraId="4004A721" w14:textId="77777777" w:rsidR="00E021D7" w:rsidRDefault="00E021D7">
      <w:pPr>
        <w:widowControl w:val="0"/>
        <w:tabs>
          <w:tab w:val="left" w:pos="567"/>
        </w:tabs>
        <w:spacing w:after="0" w:line="240" w:lineRule="auto"/>
        <w:rPr>
          <w:rFonts w:ascii="Times New Roman" w:eastAsia="Calibri" w:hAnsi="Times New Roman" w:cs="Times New Roman"/>
        </w:rPr>
      </w:pPr>
    </w:p>
    <w:p w14:paraId="0D8C715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Atsitiktinių imčių, dvigubai koduoto, placebu kontroliuoto paralelinių grupių tyrimo metu buvo įvertintas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(90 mg), </w:t>
      </w:r>
      <w:proofErr w:type="spellStart"/>
      <w:r>
        <w:rPr>
          <w:rFonts w:ascii="Times New Roman" w:eastAsia="Calibri" w:hAnsi="Times New Roman" w:cs="Times New Roman"/>
        </w:rPr>
        <w:t>celekoksibo</w:t>
      </w:r>
      <w:proofErr w:type="spellEnd"/>
      <w:r>
        <w:rPr>
          <w:rFonts w:ascii="Times New Roman" w:eastAsia="Calibri" w:hAnsi="Times New Roman" w:cs="Times New Roman"/>
        </w:rPr>
        <w:t xml:space="preserve"> (200 mg du kartus per parą), </w:t>
      </w:r>
      <w:proofErr w:type="spellStart"/>
      <w:r>
        <w:rPr>
          <w:rFonts w:ascii="Times New Roman" w:eastAsia="Calibri" w:hAnsi="Times New Roman" w:cs="Times New Roman"/>
        </w:rPr>
        <w:t>naprokseno</w:t>
      </w:r>
      <w:proofErr w:type="spellEnd"/>
      <w:r>
        <w:rPr>
          <w:rFonts w:ascii="Times New Roman" w:eastAsia="Calibri" w:hAnsi="Times New Roman" w:cs="Times New Roman"/>
        </w:rPr>
        <w:t xml:space="preserve"> (500 mg du kartus per parą) ir placebo, vartotų 15 dienų, poveikis natrio išsiskyrimui su šlapimu, kraujospūdžiui ir kitiems inkstų funkcijos rodmenims 60</w:t>
      </w:r>
      <w:r>
        <w:rPr>
          <w:rFonts w:ascii="Times New Roman" w:eastAsia="Calibri" w:hAnsi="Times New Roman" w:cs="Times New Roman"/>
        </w:rPr>
        <w:noBreakHyphen/>
        <w:t>85 metų pacientams, kurie laikėsi 200 </w:t>
      </w:r>
      <w:proofErr w:type="spellStart"/>
      <w:r>
        <w:rPr>
          <w:rFonts w:ascii="Times New Roman" w:eastAsia="Calibri" w:hAnsi="Times New Roman" w:cs="Times New Roman"/>
        </w:rPr>
        <w:t>mEq</w:t>
      </w:r>
      <w:proofErr w:type="spellEnd"/>
      <w:r>
        <w:rPr>
          <w:rFonts w:ascii="Times New Roman" w:eastAsia="Calibri" w:hAnsi="Times New Roman" w:cs="Times New Roman"/>
        </w:rPr>
        <w:t xml:space="preserve"> per parą natrio dietos.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celekoksibas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naproksenas</w:t>
      </w:r>
      <w:proofErr w:type="spellEnd"/>
      <w:r>
        <w:rPr>
          <w:rFonts w:ascii="Times New Roman" w:eastAsia="Calibri" w:hAnsi="Times New Roman" w:cs="Times New Roman"/>
        </w:rPr>
        <w:t xml:space="preserve">, vartojami 2 savaites, panašiai veikė natrio išsiskyrimą su šlapimu. Visi veiklūs palyginamieji vaistiniai preparatai didino </w:t>
      </w:r>
      <w:proofErr w:type="spellStart"/>
      <w:r>
        <w:rPr>
          <w:rFonts w:ascii="Times New Roman" w:eastAsia="Calibri" w:hAnsi="Times New Roman" w:cs="Times New Roman"/>
        </w:rPr>
        <w:t>sistolinį</w:t>
      </w:r>
      <w:proofErr w:type="spellEnd"/>
      <w:r>
        <w:rPr>
          <w:rFonts w:ascii="Times New Roman" w:eastAsia="Calibri" w:hAnsi="Times New Roman" w:cs="Times New Roman"/>
        </w:rPr>
        <w:t xml:space="preserve"> kraujospūdį, lyginant su placebu, vis dėlto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buvo susijęs su statistiškai reikšmingu kraujospūdžio </w:t>
      </w:r>
      <w:r>
        <w:rPr>
          <w:rFonts w:ascii="Times New Roman" w:eastAsia="Calibri" w:hAnsi="Times New Roman" w:cs="Times New Roman"/>
        </w:rPr>
        <w:lastRenderedPageBreak/>
        <w:t xml:space="preserve">padidėjimu 14-ąją parą, lyginant su </w:t>
      </w:r>
      <w:proofErr w:type="spellStart"/>
      <w:r>
        <w:rPr>
          <w:rFonts w:ascii="Times New Roman" w:eastAsia="Calibri" w:hAnsi="Times New Roman" w:cs="Times New Roman"/>
        </w:rPr>
        <w:t>celekoksibu</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naproksenu</w:t>
      </w:r>
      <w:proofErr w:type="spellEnd"/>
      <w:r>
        <w:rPr>
          <w:rFonts w:ascii="Times New Roman" w:eastAsia="Calibri" w:hAnsi="Times New Roman" w:cs="Times New Roman"/>
        </w:rPr>
        <w:t xml:space="preserve"> (vidutinis pokytis nuo pradinio </w:t>
      </w:r>
      <w:proofErr w:type="spellStart"/>
      <w:r>
        <w:rPr>
          <w:rFonts w:ascii="Times New Roman" w:eastAsia="Calibri" w:hAnsi="Times New Roman" w:cs="Times New Roman"/>
        </w:rPr>
        <w:t>sistolinio</w:t>
      </w:r>
      <w:proofErr w:type="spellEnd"/>
      <w:r>
        <w:rPr>
          <w:rFonts w:ascii="Times New Roman" w:eastAsia="Calibri" w:hAnsi="Times New Roman" w:cs="Times New Roman"/>
        </w:rPr>
        <w:t xml:space="preserve"> kraujospūdžio: vartojant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 7,7</w:t>
      </w:r>
      <w:r>
        <w:rPr>
          <w:rFonts w:ascii="Times New Roman" w:eastAsia="Calibri" w:hAnsi="Times New Roman" w:cs="Times New Roman"/>
          <w:color w:val="000000"/>
          <w:lang w:val="sl-SI"/>
        </w:rPr>
        <w:t> </w:t>
      </w:r>
      <w:proofErr w:type="spellStart"/>
      <w:r>
        <w:rPr>
          <w:rFonts w:ascii="Times New Roman" w:eastAsia="Calibri" w:hAnsi="Times New Roman" w:cs="Times New Roman"/>
        </w:rPr>
        <w:t>mmHg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celekoksibo</w:t>
      </w:r>
      <w:proofErr w:type="spellEnd"/>
      <w:r>
        <w:rPr>
          <w:rFonts w:ascii="Times New Roman" w:eastAsia="Calibri" w:hAnsi="Times New Roman" w:cs="Times New Roman"/>
        </w:rPr>
        <w:t xml:space="preserve"> – 2,4 </w:t>
      </w:r>
      <w:proofErr w:type="spellStart"/>
      <w:r>
        <w:rPr>
          <w:rFonts w:ascii="Times New Roman" w:eastAsia="Calibri" w:hAnsi="Times New Roman" w:cs="Times New Roman"/>
        </w:rPr>
        <w:t>mmHg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naprokseno</w:t>
      </w:r>
      <w:proofErr w:type="spellEnd"/>
      <w:r>
        <w:rPr>
          <w:rFonts w:ascii="Times New Roman" w:eastAsia="Calibri" w:hAnsi="Times New Roman" w:cs="Times New Roman"/>
        </w:rPr>
        <w:t xml:space="preserve"> – 3,6 </w:t>
      </w:r>
      <w:proofErr w:type="spellStart"/>
      <w:r>
        <w:rPr>
          <w:rFonts w:ascii="Times New Roman" w:eastAsia="Calibri" w:hAnsi="Times New Roman" w:cs="Times New Roman"/>
        </w:rPr>
        <w:t>mmHg</w:t>
      </w:r>
      <w:proofErr w:type="spellEnd"/>
      <w:r>
        <w:rPr>
          <w:rFonts w:ascii="Times New Roman" w:eastAsia="Calibri" w:hAnsi="Times New Roman" w:cs="Times New Roman"/>
        </w:rPr>
        <w:t>).</w:t>
      </w:r>
    </w:p>
    <w:p w14:paraId="5FE59E20" w14:textId="77777777" w:rsidR="00E021D7" w:rsidRDefault="00E021D7">
      <w:pPr>
        <w:widowControl w:val="0"/>
        <w:tabs>
          <w:tab w:val="left" w:pos="567"/>
        </w:tabs>
        <w:spacing w:after="0" w:line="240" w:lineRule="auto"/>
        <w:rPr>
          <w:rFonts w:ascii="Times New Roman" w:eastAsia="Calibri" w:hAnsi="Times New Roman" w:cs="Times New Roman"/>
        </w:rPr>
      </w:pPr>
    </w:p>
    <w:p w14:paraId="06F02B50"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5.2</w:t>
      </w:r>
      <w:r>
        <w:rPr>
          <w:rFonts w:ascii="Times New Roman" w:eastAsia="Calibri" w:hAnsi="Times New Roman" w:cs="Times New Roman"/>
          <w:b/>
        </w:rPr>
        <w:tab/>
      </w:r>
      <w:proofErr w:type="spellStart"/>
      <w:r>
        <w:rPr>
          <w:rFonts w:ascii="Times New Roman" w:eastAsia="Calibri" w:hAnsi="Times New Roman" w:cs="Times New Roman"/>
          <w:b/>
        </w:rPr>
        <w:t>Farmakokinetinės</w:t>
      </w:r>
      <w:proofErr w:type="spellEnd"/>
      <w:r>
        <w:rPr>
          <w:rFonts w:ascii="Times New Roman" w:eastAsia="Calibri" w:hAnsi="Times New Roman" w:cs="Times New Roman"/>
          <w:b/>
        </w:rPr>
        <w:t xml:space="preserve"> savybės</w:t>
      </w:r>
    </w:p>
    <w:p w14:paraId="46BA4EF0" w14:textId="77777777" w:rsidR="00E021D7" w:rsidRDefault="00E021D7">
      <w:pPr>
        <w:widowControl w:val="0"/>
        <w:tabs>
          <w:tab w:val="left" w:pos="567"/>
        </w:tabs>
        <w:spacing w:after="0" w:line="240" w:lineRule="auto"/>
        <w:rPr>
          <w:rFonts w:ascii="Times New Roman" w:eastAsia="Calibri" w:hAnsi="Times New Roman" w:cs="Times New Roman"/>
        </w:rPr>
      </w:pPr>
    </w:p>
    <w:p w14:paraId="747333D6" w14:textId="77777777" w:rsidR="00E021D7" w:rsidRDefault="009C1A2C">
      <w:pPr>
        <w:widowControl w:val="0"/>
        <w:tabs>
          <w:tab w:val="left" w:pos="567"/>
        </w:tabs>
        <w:spacing w:after="0" w:line="240" w:lineRule="auto"/>
        <w:outlineLvl w:val="2"/>
        <w:rPr>
          <w:rFonts w:ascii="Times New Roman" w:eastAsia="Calibri" w:hAnsi="Times New Roman" w:cs="Times New Roman"/>
          <w:u w:val="single"/>
        </w:rPr>
      </w:pPr>
      <w:r>
        <w:rPr>
          <w:rFonts w:ascii="Times New Roman" w:eastAsia="Calibri" w:hAnsi="Times New Roman" w:cs="Times New Roman"/>
          <w:u w:val="single"/>
        </w:rPr>
        <w:t>Absorbcija</w:t>
      </w:r>
    </w:p>
    <w:p w14:paraId="0298931B" w14:textId="77777777" w:rsidR="00E021D7" w:rsidRDefault="00E021D7">
      <w:pPr>
        <w:widowControl w:val="0"/>
        <w:tabs>
          <w:tab w:val="left" w:pos="567"/>
        </w:tabs>
        <w:spacing w:after="0" w:line="240" w:lineRule="auto"/>
        <w:rPr>
          <w:rFonts w:ascii="Times New Roman" w:eastAsia="Calibri" w:hAnsi="Times New Roman" w:cs="Times New Roman"/>
        </w:rPr>
      </w:pPr>
    </w:p>
    <w:p w14:paraId="325017C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Išgertas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absorbuojamas gerai. Absoliutus biologinis prieinamumas yra apie 100 %. Vartojant 120 mg dozę kartą per parą ir nusistovėjus </w:t>
      </w:r>
      <w:proofErr w:type="spellStart"/>
      <w:r>
        <w:rPr>
          <w:rFonts w:ascii="Times New Roman" w:eastAsia="Calibri" w:hAnsi="Times New Roman" w:cs="Times New Roman"/>
        </w:rPr>
        <w:t>pusiausvyrinei</w:t>
      </w:r>
      <w:proofErr w:type="spellEnd"/>
      <w:r>
        <w:rPr>
          <w:rFonts w:ascii="Times New Roman" w:eastAsia="Calibri" w:hAnsi="Times New Roman" w:cs="Times New Roman"/>
        </w:rPr>
        <w:t xml:space="preserve"> apykaitai, didžiausia koncentracija plazmoje (geometrinis vidurkis </w:t>
      </w:r>
      <w:proofErr w:type="spellStart"/>
      <w:r>
        <w:rPr>
          <w:rFonts w:ascii="Times New Roman" w:eastAsia="Calibri" w:hAnsi="Times New Roman" w:cs="Times New Roman"/>
        </w:rPr>
        <w:t>C</w:t>
      </w:r>
      <w:r>
        <w:rPr>
          <w:rFonts w:ascii="Times New Roman" w:eastAsia="Calibri" w:hAnsi="Times New Roman" w:cs="Times New Roman"/>
          <w:vertAlign w:val="subscript"/>
        </w:rPr>
        <w:t>max</w:t>
      </w:r>
      <w:proofErr w:type="spellEnd"/>
      <w:r>
        <w:rPr>
          <w:rFonts w:ascii="Times New Roman" w:eastAsia="Calibri" w:hAnsi="Times New Roman" w:cs="Times New Roman"/>
        </w:rPr>
        <w:t>= 3,6 </w:t>
      </w:r>
      <w:r>
        <w:rPr>
          <w:rFonts w:ascii="Times New Roman" w:eastAsia="Calibri" w:hAnsi="Times New Roman" w:cs="Times New Roman"/>
        </w:rPr>
        <w:sym w:font="Symbol" w:char="F06D"/>
      </w:r>
      <w:r>
        <w:rPr>
          <w:rFonts w:ascii="Times New Roman" w:eastAsia="Calibri" w:hAnsi="Times New Roman" w:cs="Times New Roman"/>
        </w:rPr>
        <w:t>g/ml) stebėta praėjus maždaug 1 valandai (</w:t>
      </w:r>
      <w:proofErr w:type="spellStart"/>
      <w:r>
        <w:rPr>
          <w:rFonts w:ascii="Times New Roman" w:eastAsia="Calibri" w:hAnsi="Times New Roman" w:cs="Times New Roman"/>
        </w:rPr>
        <w:t>T</w:t>
      </w:r>
      <w:r>
        <w:rPr>
          <w:rFonts w:ascii="Times New Roman" w:eastAsia="Calibri" w:hAnsi="Times New Roman" w:cs="Times New Roman"/>
          <w:vertAlign w:val="subscript"/>
        </w:rPr>
        <w:t>max</w:t>
      </w:r>
      <w:proofErr w:type="spellEnd"/>
      <w:r>
        <w:rPr>
          <w:rFonts w:ascii="Times New Roman" w:eastAsia="Calibri" w:hAnsi="Times New Roman" w:cs="Times New Roman"/>
        </w:rPr>
        <w:t>) po vaistinio preparato suvartojimo nevalgiusiems suaugusiesiems. Ploto po koncentracijos kreive (AUC</w:t>
      </w:r>
      <w:r>
        <w:rPr>
          <w:rFonts w:ascii="Times New Roman" w:eastAsia="Calibri" w:hAnsi="Times New Roman" w:cs="Times New Roman"/>
          <w:vertAlign w:val="subscript"/>
        </w:rPr>
        <w:t>0-24val.</w:t>
      </w:r>
      <w:r>
        <w:rPr>
          <w:rFonts w:ascii="Times New Roman" w:eastAsia="Calibri" w:hAnsi="Times New Roman" w:cs="Times New Roman"/>
        </w:rPr>
        <w:t>) geometrinis vidurkis buvo 37,8 </w:t>
      </w:r>
      <w:r>
        <w:rPr>
          <w:rFonts w:ascii="Times New Roman" w:eastAsia="Calibri" w:hAnsi="Times New Roman" w:cs="Times New Roman"/>
        </w:rPr>
        <w:sym w:font="Symbol" w:char="F06D"/>
      </w:r>
      <w:r>
        <w:rPr>
          <w:rFonts w:ascii="Times New Roman" w:eastAsia="Calibri" w:hAnsi="Times New Roman" w:cs="Times New Roman"/>
        </w:rPr>
        <w:t>g</w:t>
      </w:r>
      <w:r>
        <w:rPr>
          <w:rFonts w:ascii="Times New Roman" w:eastAsia="Calibri" w:hAnsi="Times New Roman" w:cs="Times New Roman"/>
        </w:rPr>
        <w:sym w:font="Symbol" w:char="F0B7"/>
      </w:r>
      <w:r>
        <w:rPr>
          <w:rFonts w:ascii="Times New Roman" w:eastAsia="Calibri" w:hAnsi="Times New Roman" w:cs="Times New Roman"/>
        </w:rPr>
        <w:t xml:space="preserve">val./ml. Klinikinių dozių diapazone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farmakokinetika yra tiesinė.</w:t>
      </w:r>
    </w:p>
    <w:p w14:paraId="45ABE94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Vartojimas su maistu (riebus maistas) neturėjo įtakos išgertos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120 mg dozės absorbcijos apimčiai. Absorbcijos greitis pakito: </w:t>
      </w:r>
      <w:proofErr w:type="spellStart"/>
      <w:r>
        <w:rPr>
          <w:rFonts w:ascii="Times New Roman" w:eastAsia="Calibri" w:hAnsi="Times New Roman" w:cs="Times New Roman"/>
        </w:rPr>
        <w:t>C</w:t>
      </w:r>
      <w:r>
        <w:rPr>
          <w:rFonts w:ascii="Times New Roman" w:eastAsia="Calibri" w:hAnsi="Times New Roman" w:cs="Times New Roman"/>
          <w:vertAlign w:val="subscript"/>
        </w:rPr>
        <w:t>max</w:t>
      </w:r>
      <w:proofErr w:type="spellEnd"/>
      <w:r>
        <w:rPr>
          <w:rFonts w:ascii="Times New Roman" w:eastAsia="Calibri" w:hAnsi="Times New Roman" w:cs="Times New Roman"/>
        </w:rPr>
        <w:t xml:space="preserve"> sumažėjo 36 % ir </w:t>
      </w:r>
      <w:proofErr w:type="spellStart"/>
      <w:r>
        <w:rPr>
          <w:rFonts w:ascii="Times New Roman" w:eastAsia="Calibri" w:hAnsi="Times New Roman" w:cs="Times New Roman"/>
        </w:rPr>
        <w:t>T</w:t>
      </w:r>
      <w:r>
        <w:rPr>
          <w:rFonts w:ascii="Times New Roman" w:eastAsia="Calibri" w:hAnsi="Times New Roman" w:cs="Times New Roman"/>
          <w:vertAlign w:val="subscript"/>
        </w:rPr>
        <w:t>max</w:t>
      </w:r>
      <w:proofErr w:type="spellEnd"/>
      <w:r>
        <w:rPr>
          <w:rFonts w:ascii="Times New Roman" w:eastAsia="Calibri" w:hAnsi="Times New Roman" w:cs="Times New Roman"/>
        </w:rPr>
        <w:t xml:space="preserve"> padidėjo 2 val. Manoma, kad šie duomenys kliniškai nereikšmingi. Klinikinių tyrimų metu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buvo vartojamas neatsižvelgiant į maisto vartojimą.</w:t>
      </w:r>
    </w:p>
    <w:p w14:paraId="6F215967" w14:textId="77777777" w:rsidR="00E021D7" w:rsidRDefault="00E021D7">
      <w:pPr>
        <w:widowControl w:val="0"/>
        <w:tabs>
          <w:tab w:val="left" w:pos="567"/>
        </w:tabs>
        <w:spacing w:after="0" w:line="240" w:lineRule="auto"/>
        <w:rPr>
          <w:rFonts w:ascii="Times New Roman" w:eastAsia="Calibri" w:hAnsi="Times New Roman" w:cs="Times New Roman"/>
        </w:rPr>
      </w:pPr>
    </w:p>
    <w:p w14:paraId="6D6FB3FC"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Pasiskirstymas</w:t>
      </w:r>
    </w:p>
    <w:p w14:paraId="7158B637" w14:textId="77777777" w:rsidR="00E021D7" w:rsidRDefault="00E021D7">
      <w:pPr>
        <w:widowControl w:val="0"/>
        <w:tabs>
          <w:tab w:val="left" w:pos="567"/>
        </w:tabs>
        <w:spacing w:after="0" w:line="240" w:lineRule="auto"/>
        <w:rPr>
          <w:rFonts w:ascii="Times New Roman" w:eastAsia="Calibri" w:hAnsi="Times New Roman" w:cs="Times New Roman"/>
        </w:rPr>
      </w:pPr>
    </w:p>
    <w:p w14:paraId="73535CE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Apie 92 %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susijungia su plazmos baltymais, kai koncentracija yra nuo 0,05 iki 5 </w:t>
      </w:r>
      <w:r>
        <w:rPr>
          <w:rFonts w:ascii="Times New Roman" w:eastAsia="Calibri" w:hAnsi="Times New Roman" w:cs="Times New Roman"/>
        </w:rPr>
        <w:sym w:font="Symbol" w:char="F06D"/>
      </w:r>
      <w:r>
        <w:rPr>
          <w:rFonts w:ascii="Times New Roman" w:eastAsia="Calibri" w:hAnsi="Times New Roman" w:cs="Times New Roman"/>
        </w:rPr>
        <w:t>g/ml. Pusiausvyrai nusistovėjus, pasiskirstymo tūris (</w:t>
      </w:r>
      <w:proofErr w:type="spellStart"/>
      <w:r>
        <w:rPr>
          <w:rFonts w:ascii="Times New Roman" w:eastAsia="Calibri" w:hAnsi="Times New Roman" w:cs="Times New Roman"/>
        </w:rPr>
        <w:t>V</w:t>
      </w:r>
      <w:r>
        <w:rPr>
          <w:rFonts w:ascii="Times New Roman" w:eastAsia="Calibri" w:hAnsi="Times New Roman" w:cs="Times New Roman"/>
          <w:vertAlign w:val="subscript"/>
        </w:rPr>
        <w:t>dss</w:t>
      </w:r>
      <w:proofErr w:type="spellEnd"/>
      <w:r>
        <w:rPr>
          <w:rFonts w:ascii="Times New Roman" w:eastAsia="Calibri" w:hAnsi="Times New Roman" w:cs="Times New Roman"/>
        </w:rPr>
        <w:t>) žmogaus organizme buvo apie 120 l.</w:t>
      </w:r>
    </w:p>
    <w:p w14:paraId="60210787"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prasiskverbia pro žiurkių ir triušių placentos barjerą bei žiurkių </w:t>
      </w:r>
      <w:proofErr w:type="spellStart"/>
      <w:r>
        <w:rPr>
          <w:rFonts w:ascii="Times New Roman" w:eastAsia="Calibri" w:hAnsi="Times New Roman" w:cs="Times New Roman"/>
        </w:rPr>
        <w:t>hematoencefalinį</w:t>
      </w:r>
      <w:proofErr w:type="spellEnd"/>
      <w:r>
        <w:rPr>
          <w:rFonts w:ascii="Times New Roman" w:eastAsia="Calibri" w:hAnsi="Times New Roman" w:cs="Times New Roman"/>
        </w:rPr>
        <w:t xml:space="preserve"> barjerą.</w:t>
      </w:r>
    </w:p>
    <w:p w14:paraId="6E2AA3A0" w14:textId="77777777" w:rsidR="00E021D7" w:rsidRDefault="00E021D7">
      <w:pPr>
        <w:widowControl w:val="0"/>
        <w:tabs>
          <w:tab w:val="left" w:pos="567"/>
        </w:tabs>
        <w:spacing w:after="0" w:line="240" w:lineRule="auto"/>
        <w:rPr>
          <w:rFonts w:ascii="Times New Roman" w:eastAsia="Calibri" w:hAnsi="Times New Roman" w:cs="Times New Roman"/>
        </w:rPr>
      </w:pPr>
    </w:p>
    <w:p w14:paraId="74D42C4E" w14:textId="77777777" w:rsidR="00E021D7" w:rsidRDefault="009C1A2C">
      <w:pPr>
        <w:widowControl w:val="0"/>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Biotransformacija</w:t>
      </w:r>
      <w:proofErr w:type="spellEnd"/>
    </w:p>
    <w:p w14:paraId="0AB49DDB" w14:textId="77777777" w:rsidR="00E021D7" w:rsidRDefault="00E021D7">
      <w:pPr>
        <w:widowControl w:val="0"/>
        <w:tabs>
          <w:tab w:val="left" w:pos="567"/>
        </w:tabs>
        <w:spacing w:after="0" w:line="240" w:lineRule="auto"/>
        <w:rPr>
          <w:rFonts w:ascii="Times New Roman" w:eastAsia="Calibri" w:hAnsi="Times New Roman" w:cs="Times New Roman"/>
        </w:rPr>
      </w:pPr>
    </w:p>
    <w:p w14:paraId="4E18953A"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ekstensyviai </w:t>
      </w:r>
      <w:proofErr w:type="spellStart"/>
      <w:r>
        <w:rPr>
          <w:rFonts w:ascii="Times New Roman" w:eastAsia="Calibri" w:hAnsi="Times New Roman" w:cs="Times New Roman"/>
        </w:rPr>
        <w:t>metabolizuojamas</w:t>
      </w:r>
      <w:proofErr w:type="spellEnd"/>
      <w:r>
        <w:rPr>
          <w:rFonts w:ascii="Times New Roman" w:eastAsia="Calibri" w:hAnsi="Times New Roman" w:cs="Times New Roman"/>
        </w:rPr>
        <w:t xml:space="preserve">, šlapime nepakitusiu pavidalu aptinkama &lt; 1 % dozės. Pagrindinis metabolizmo būdas yra CYP fermentams katalizuojant susidarantis 6’-hidroksimetilo darinys. Manoma, kad CYP3A4 prisideda prie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metabolizmo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vivo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vitro</w:t>
      </w:r>
      <w:proofErr w:type="spellEnd"/>
      <w:r>
        <w:rPr>
          <w:rFonts w:ascii="Times New Roman" w:eastAsia="Calibri" w:hAnsi="Times New Roman" w:cs="Times New Roman"/>
        </w:rPr>
        <w:t xml:space="preserve"> tyrimai rodo, kad CYP2D6, CYP2C9, CYP1A2 ir CYP2C19 taip pat gali katalizuoti pagrindinį metabolizmo būdą, bet jų kiekybinis vaidmuo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vivo</w:t>
      </w:r>
      <w:proofErr w:type="spellEnd"/>
      <w:r>
        <w:rPr>
          <w:rFonts w:ascii="Times New Roman" w:eastAsia="Calibri" w:hAnsi="Times New Roman" w:cs="Times New Roman"/>
        </w:rPr>
        <w:t xml:space="preserve"> netirtas.</w:t>
      </w:r>
    </w:p>
    <w:p w14:paraId="2021B48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Žmogaus organizme nustatyti penki metabolitai. Pagrindinis metabolitas yra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6’-karboksilo rūgšties darinys, suformuojamas toliau oksiduojant 6’-hidroksimetilo darinį. Šių pagrindinių metabolitų </w:t>
      </w:r>
      <w:proofErr w:type="spellStart"/>
      <w:r>
        <w:rPr>
          <w:rFonts w:ascii="Times New Roman" w:eastAsia="Calibri" w:hAnsi="Times New Roman" w:cs="Times New Roman"/>
        </w:rPr>
        <w:t>ciklooksigenazę</w:t>
      </w:r>
      <w:proofErr w:type="spellEnd"/>
      <w:r>
        <w:rPr>
          <w:rFonts w:ascii="Times New Roman" w:eastAsia="Calibri" w:hAnsi="Times New Roman" w:cs="Times New Roman"/>
        </w:rPr>
        <w:t xml:space="preserve"> slopinančio poveikio nebuvo galima nustatyti arba jie buvo labai silpni COX-2 inhibitoriai. Nė vienas iš šių metabolitų COX-1 neslopino.</w:t>
      </w:r>
    </w:p>
    <w:p w14:paraId="48176C72" w14:textId="77777777" w:rsidR="00E021D7" w:rsidRDefault="00E021D7">
      <w:pPr>
        <w:widowControl w:val="0"/>
        <w:tabs>
          <w:tab w:val="left" w:pos="567"/>
        </w:tabs>
        <w:spacing w:after="0" w:line="240" w:lineRule="auto"/>
        <w:rPr>
          <w:rFonts w:ascii="Times New Roman" w:eastAsia="Calibri" w:hAnsi="Times New Roman" w:cs="Times New Roman"/>
        </w:rPr>
      </w:pPr>
    </w:p>
    <w:p w14:paraId="45A81D3E"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Eliminacija</w:t>
      </w:r>
    </w:p>
    <w:p w14:paraId="5D76A678" w14:textId="77777777" w:rsidR="00E021D7" w:rsidRDefault="00E021D7">
      <w:pPr>
        <w:widowControl w:val="0"/>
        <w:tabs>
          <w:tab w:val="left" w:pos="567"/>
        </w:tabs>
        <w:spacing w:after="0" w:line="240" w:lineRule="auto"/>
        <w:rPr>
          <w:rFonts w:ascii="Times New Roman" w:eastAsia="Calibri" w:hAnsi="Times New Roman" w:cs="Times New Roman"/>
        </w:rPr>
      </w:pPr>
    </w:p>
    <w:p w14:paraId="2BDD265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Sveikiems savanoriams sušvirkštus į veną vienkartinę 25 mg radioaktyviu atomų žymėto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dozę, 70 % radioaktyvumo aptikta šlapime ir 20 % – išmatose, daugiausia metabolitų pavidalu. Mažiau kaip 2 % aptikta nepakitusio vaistinio preparato pavidalu.</w:t>
      </w:r>
    </w:p>
    <w:p w14:paraId="5E1545F3"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eliminacija vyksta beveik vien tik </w:t>
      </w:r>
      <w:proofErr w:type="spellStart"/>
      <w:r>
        <w:rPr>
          <w:rFonts w:ascii="Times New Roman" w:eastAsia="Calibri" w:hAnsi="Times New Roman" w:cs="Times New Roman"/>
        </w:rPr>
        <w:t>metabolizuojant</w:t>
      </w:r>
      <w:proofErr w:type="spellEnd"/>
      <w:r>
        <w:rPr>
          <w:rFonts w:ascii="Times New Roman" w:eastAsia="Calibri" w:hAnsi="Times New Roman" w:cs="Times New Roman"/>
        </w:rPr>
        <w:t xml:space="preserve"> ir paskui išsiskiriant pro inkstus. </w:t>
      </w:r>
      <w:proofErr w:type="spellStart"/>
      <w:r>
        <w:rPr>
          <w:rFonts w:ascii="Times New Roman" w:eastAsia="Calibri" w:hAnsi="Times New Roman" w:cs="Times New Roman"/>
        </w:rPr>
        <w:t>Pusiausvyrinė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koncentracijos apykaita nusistovi per 7 dienas vartojant po 120 mg kartą per parą, akumuliacijos koeficientas yra apytiksliai 2, o tai atitinka 22 valandų pusinio gyvavimo laiką. Nustatyta, kad suleidus 25 mg dozę į veną, plazmos klirensas yra apytikriai 50 ml/min.</w:t>
      </w:r>
    </w:p>
    <w:p w14:paraId="712973C2" w14:textId="77777777" w:rsidR="00E021D7" w:rsidRDefault="00E021D7">
      <w:pPr>
        <w:widowControl w:val="0"/>
        <w:tabs>
          <w:tab w:val="left" w:pos="567"/>
        </w:tabs>
        <w:spacing w:after="0" w:line="240" w:lineRule="auto"/>
        <w:rPr>
          <w:rFonts w:ascii="Times New Roman" w:eastAsia="Calibri" w:hAnsi="Times New Roman" w:cs="Times New Roman"/>
        </w:rPr>
      </w:pPr>
    </w:p>
    <w:p w14:paraId="5E4ADCAD" w14:textId="77777777" w:rsidR="00E021D7" w:rsidRDefault="009C1A2C">
      <w:pPr>
        <w:widowControl w:val="0"/>
        <w:tabs>
          <w:tab w:val="left" w:pos="567"/>
        </w:tab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Ypatingos populiacijos</w:t>
      </w:r>
    </w:p>
    <w:p w14:paraId="7900B4C8" w14:textId="77777777" w:rsidR="00E021D7" w:rsidRDefault="00E021D7">
      <w:pPr>
        <w:widowControl w:val="0"/>
        <w:tabs>
          <w:tab w:val="left" w:pos="567"/>
        </w:tabs>
        <w:spacing w:after="0" w:line="240" w:lineRule="auto"/>
        <w:rPr>
          <w:rFonts w:ascii="Times New Roman" w:eastAsia="Calibri" w:hAnsi="Times New Roman" w:cs="Times New Roman"/>
          <w:i/>
        </w:rPr>
      </w:pPr>
    </w:p>
    <w:p w14:paraId="2B2457FD" w14:textId="77777777" w:rsidR="00E021D7" w:rsidRDefault="009C1A2C">
      <w:pPr>
        <w:widowControl w:val="0"/>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u w:val="single"/>
        </w:rPr>
        <w:t>Senyvi pacientai</w:t>
      </w:r>
    </w:p>
    <w:p w14:paraId="2C505E27" w14:textId="77777777" w:rsidR="00E021D7" w:rsidRDefault="009C1A2C">
      <w:pPr>
        <w:widowControl w:val="0"/>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rPr>
        <w:t>Senyvų (65 metų ir vyresnių) ir jaunų žmonių organizme farmakokinetika yra panaši.</w:t>
      </w:r>
    </w:p>
    <w:p w14:paraId="2238BE75" w14:textId="77777777" w:rsidR="00E021D7" w:rsidRDefault="00E021D7">
      <w:pPr>
        <w:widowControl w:val="0"/>
        <w:tabs>
          <w:tab w:val="left" w:pos="567"/>
        </w:tabs>
        <w:spacing w:after="0" w:line="240" w:lineRule="auto"/>
        <w:rPr>
          <w:rFonts w:ascii="Times New Roman" w:eastAsia="Calibri" w:hAnsi="Times New Roman" w:cs="Times New Roman"/>
        </w:rPr>
      </w:pPr>
    </w:p>
    <w:p w14:paraId="75EF627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Lytis</w:t>
      </w:r>
    </w:p>
    <w:p w14:paraId="7BA293B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Vyrų ir moterų organizme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farmakokinetika yra panaši.</w:t>
      </w:r>
    </w:p>
    <w:p w14:paraId="270A2E7F" w14:textId="77777777" w:rsidR="00E021D7" w:rsidRDefault="00E021D7">
      <w:pPr>
        <w:widowControl w:val="0"/>
        <w:tabs>
          <w:tab w:val="left" w:pos="567"/>
        </w:tabs>
        <w:spacing w:after="0" w:line="240" w:lineRule="auto"/>
        <w:rPr>
          <w:rFonts w:ascii="Times New Roman" w:eastAsia="Calibri" w:hAnsi="Times New Roman" w:cs="Times New Roman"/>
        </w:rPr>
      </w:pPr>
    </w:p>
    <w:p w14:paraId="4CA69594" w14:textId="77777777" w:rsidR="00E021D7" w:rsidRDefault="009C1A2C">
      <w:pPr>
        <w:widowControl w:val="0"/>
        <w:tabs>
          <w:tab w:val="left" w:pos="567"/>
          <w:tab w:val="left" w:pos="3690"/>
        </w:tabs>
        <w:spacing w:after="0" w:line="240" w:lineRule="auto"/>
        <w:rPr>
          <w:rFonts w:ascii="Times New Roman" w:eastAsia="Calibri" w:hAnsi="Times New Roman" w:cs="Times New Roman"/>
        </w:rPr>
      </w:pPr>
      <w:r>
        <w:rPr>
          <w:rFonts w:ascii="Times New Roman" w:eastAsia="Calibri" w:hAnsi="Times New Roman" w:cs="Times New Roman"/>
          <w:u w:val="single"/>
        </w:rPr>
        <w:t>Sutrikusi kepenų funkcija</w:t>
      </w:r>
    </w:p>
    <w:p w14:paraId="2DC527A2" w14:textId="77777777" w:rsidR="00E021D7" w:rsidRDefault="009C1A2C">
      <w:pPr>
        <w:widowControl w:val="0"/>
        <w:tabs>
          <w:tab w:val="left" w:pos="567"/>
          <w:tab w:val="left" w:pos="3690"/>
        </w:tabs>
        <w:spacing w:after="0" w:line="240" w:lineRule="auto"/>
        <w:rPr>
          <w:rFonts w:ascii="Times New Roman" w:eastAsia="Calibri" w:hAnsi="Times New Roman" w:cs="Times New Roman"/>
        </w:rPr>
      </w:pPr>
      <w:r>
        <w:rPr>
          <w:rFonts w:ascii="Times New Roman" w:eastAsia="Calibri" w:hAnsi="Times New Roman" w:cs="Times New Roman"/>
        </w:rPr>
        <w:lastRenderedPageBreak/>
        <w:t>Pacientams, kuriems yra lengvas kepenų funkcijos sutrikimas (5</w:t>
      </w:r>
      <w:r>
        <w:rPr>
          <w:rFonts w:ascii="Times New Roman" w:eastAsia="Calibri" w:hAnsi="Times New Roman" w:cs="Times New Roman"/>
        </w:rPr>
        <w:noBreakHyphen/>
        <w:t xml:space="preserve">6 balai pagal </w:t>
      </w:r>
      <w:proofErr w:type="spellStart"/>
      <w:r>
        <w:rPr>
          <w:rFonts w:ascii="Times New Roman" w:eastAsia="Calibri" w:hAnsi="Times New Roman" w:cs="Times New Roman"/>
          <w:i/>
        </w:rPr>
        <w:t>Child-Pugh</w:t>
      </w:r>
      <w:proofErr w:type="spellEnd"/>
      <w:r>
        <w:rPr>
          <w:rFonts w:ascii="Times New Roman" w:eastAsia="Calibri" w:hAnsi="Times New Roman" w:cs="Times New Roman"/>
        </w:rPr>
        <w:t xml:space="preserve">), vartojusiems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AUC buvo maždaug 16 % didesnis negu taip pat gydytiems sveikiems savanoriams. Pacientams, kuriems buvo vidutinio sunkumo kepenų funkcijos sutrikimas (7</w:t>
      </w:r>
      <w:r>
        <w:rPr>
          <w:rFonts w:ascii="Times New Roman" w:eastAsia="Calibri" w:hAnsi="Times New Roman" w:cs="Times New Roman"/>
        </w:rPr>
        <w:noBreakHyphen/>
        <w:t xml:space="preserve">9 balai pagal </w:t>
      </w:r>
      <w:proofErr w:type="spellStart"/>
      <w:r>
        <w:rPr>
          <w:rFonts w:ascii="Times New Roman" w:eastAsia="Calibri" w:hAnsi="Times New Roman" w:cs="Times New Roman"/>
          <w:i/>
        </w:rPr>
        <w:t>Child-Pugh</w:t>
      </w:r>
      <w:proofErr w:type="spellEnd"/>
      <w:r>
        <w:rPr>
          <w:rFonts w:ascii="Times New Roman" w:eastAsia="Calibri" w:hAnsi="Times New Roman" w:cs="Times New Roman"/>
        </w:rPr>
        <w:t xml:space="preserve">), vartojusiems po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kas antrą parą, vidutinis AUC buvo panašus į sveikų asmenų, vartojusių po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Šioje populiacijoje 30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dozė netirta. Nėra klinikinių ir farmakokinetikos duomenų apie pacientus, kuriems yra sunkus kepenų funkcijos sutrikimas (≥ 10 balų pagal </w:t>
      </w:r>
      <w:proofErr w:type="spellStart"/>
      <w:r>
        <w:rPr>
          <w:rFonts w:ascii="Times New Roman" w:eastAsia="Calibri" w:hAnsi="Times New Roman" w:cs="Times New Roman"/>
          <w:i/>
        </w:rPr>
        <w:t>Child</w:t>
      </w:r>
      <w:r>
        <w:rPr>
          <w:rFonts w:ascii="Times New Roman" w:eastAsia="Calibri" w:hAnsi="Times New Roman" w:cs="Times New Roman"/>
          <w:i/>
        </w:rPr>
        <w:noBreakHyphen/>
        <w:t>Pugh</w:t>
      </w:r>
      <w:proofErr w:type="spellEnd"/>
      <w:r>
        <w:rPr>
          <w:rFonts w:ascii="Times New Roman" w:eastAsia="Calibri" w:hAnsi="Times New Roman" w:cs="Times New Roman"/>
        </w:rPr>
        <w:t>). (Žr. 4.2 ir 4.3 skyrius).</w:t>
      </w:r>
    </w:p>
    <w:p w14:paraId="7F8E35A8" w14:textId="77777777" w:rsidR="00E021D7" w:rsidRDefault="00E021D7">
      <w:pPr>
        <w:widowControl w:val="0"/>
        <w:tabs>
          <w:tab w:val="left" w:pos="567"/>
          <w:tab w:val="left" w:pos="3690"/>
        </w:tabs>
        <w:spacing w:after="0" w:line="240" w:lineRule="auto"/>
        <w:rPr>
          <w:rFonts w:ascii="Times New Roman" w:eastAsia="Calibri" w:hAnsi="Times New Roman" w:cs="Times New Roman"/>
        </w:rPr>
      </w:pPr>
    </w:p>
    <w:p w14:paraId="0DAD7CFF" w14:textId="77777777" w:rsidR="00E021D7" w:rsidRDefault="009C1A2C">
      <w:pPr>
        <w:widowControl w:val="0"/>
        <w:tabs>
          <w:tab w:val="left" w:pos="567"/>
          <w:tab w:val="left" w:pos="3690"/>
        </w:tabs>
        <w:spacing w:after="0" w:line="240" w:lineRule="auto"/>
        <w:rPr>
          <w:rFonts w:ascii="Times New Roman" w:eastAsia="Calibri" w:hAnsi="Times New Roman" w:cs="Times New Roman"/>
        </w:rPr>
      </w:pPr>
      <w:r>
        <w:rPr>
          <w:rFonts w:ascii="Times New Roman" w:eastAsia="Calibri" w:hAnsi="Times New Roman" w:cs="Times New Roman"/>
          <w:u w:val="single"/>
        </w:rPr>
        <w:t>Sutrikusi inkstų funkcija</w:t>
      </w:r>
    </w:p>
    <w:p w14:paraId="53A10BFE" w14:textId="77777777" w:rsidR="00E021D7" w:rsidRDefault="009C1A2C">
      <w:pPr>
        <w:widowControl w:val="0"/>
        <w:tabs>
          <w:tab w:val="left" w:pos="567"/>
          <w:tab w:val="left" w:pos="3690"/>
        </w:tabs>
        <w:spacing w:after="0" w:line="240" w:lineRule="auto"/>
        <w:rPr>
          <w:rFonts w:ascii="Times New Roman" w:eastAsia="Calibri" w:hAnsi="Times New Roman" w:cs="Times New Roman"/>
        </w:rPr>
      </w:pPr>
      <w:r>
        <w:rPr>
          <w:rFonts w:ascii="Times New Roman" w:eastAsia="Calibri" w:hAnsi="Times New Roman" w:cs="Times New Roman"/>
        </w:rPr>
        <w:t xml:space="preserve">Pacientams, kuriems yra vidutinio sunkumo arba sunkus inkstų nepakankamumas bei </w:t>
      </w:r>
      <w:proofErr w:type="spellStart"/>
      <w:r>
        <w:rPr>
          <w:rFonts w:ascii="Times New Roman" w:eastAsia="Calibri" w:hAnsi="Times New Roman" w:cs="Times New Roman"/>
        </w:rPr>
        <w:t>hemodializuojamiems</w:t>
      </w:r>
      <w:proofErr w:type="spellEnd"/>
      <w:r>
        <w:rPr>
          <w:rFonts w:ascii="Times New Roman" w:eastAsia="Calibri" w:hAnsi="Times New Roman" w:cs="Times New Roman"/>
        </w:rPr>
        <w:t xml:space="preserve"> dėl terminalinės inkstų ligos pacientams ir sveikiems savanoriams vienkartinės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dozės farmakokinetika buvo panaši. Hemodializė šalinimą veikia nereikšmingai (dializės klirensas – maždaug 50 ml/min). (Žr. 4.3 ir 4.4 skyrius).</w:t>
      </w:r>
    </w:p>
    <w:p w14:paraId="6455E271" w14:textId="77777777" w:rsidR="00E021D7" w:rsidRDefault="00E021D7">
      <w:pPr>
        <w:widowControl w:val="0"/>
        <w:tabs>
          <w:tab w:val="left" w:pos="567"/>
        </w:tabs>
        <w:spacing w:after="0" w:line="240" w:lineRule="auto"/>
        <w:rPr>
          <w:rFonts w:ascii="Times New Roman" w:eastAsia="Calibri" w:hAnsi="Times New Roman" w:cs="Times New Roman"/>
        </w:rPr>
      </w:pPr>
    </w:p>
    <w:p w14:paraId="4DDCFAB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Vaikų populiacija</w:t>
      </w:r>
    </w:p>
    <w:p w14:paraId="318B2D6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Vaikų iki 12 metų amžiaus organizme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farmakokinetika netirta.</w:t>
      </w:r>
    </w:p>
    <w:p w14:paraId="43588F1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Farmakokinetikos tyrimo metu (N=16) paauglių (nuo 12 iki 17 metų), svėrusių nuo 40 kg iki 60 kg ir vartojusių 60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taip pat &gt; 60 kg svėrusių ir vartojusių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organizme farmakokinetika buvo panaši kaip suaugusiųjų, vartojusių 90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kartą per parą.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saugumas ir veiksmingumas vaikų populiacijai nenustatytas. (žr. 4.2 skyrių).</w:t>
      </w:r>
    </w:p>
    <w:p w14:paraId="37776A89" w14:textId="77777777" w:rsidR="00E021D7" w:rsidRDefault="00E021D7">
      <w:pPr>
        <w:widowControl w:val="0"/>
        <w:tabs>
          <w:tab w:val="left" w:pos="567"/>
        </w:tabs>
        <w:spacing w:after="0" w:line="240" w:lineRule="auto"/>
        <w:rPr>
          <w:rFonts w:ascii="Times New Roman" w:eastAsia="Calibri" w:hAnsi="Times New Roman" w:cs="Times New Roman"/>
        </w:rPr>
      </w:pPr>
    </w:p>
    <w:p w14:paraId="7B3ECE2D"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5.3</w:t>
      </w:r>
      <w:r>
        <w:rPr>
          <w:rFonts w:ascii="Times New Roman" w:eastAsia="Calibri" w:hAnsi="Times New Roman" w:cs="Times New Roman"/>
          <w:b/>
        </w:rPr>
        <w:tab/>
      </w:r>
      <w:proofErr w:type="spellStart"/>
      <w:r>
        <w:rPr>
          <w:rFonts w:ascii="Times New Roman" w:eastAsia="Calibri" w:hAnsi="Times New Roman" w:cs="Times New Roman"/>
          <w:b/>
        </w:rPr>
        <w:t>Ikiklinikinių</w:t>
      </w:r>
      <w:proofErr w:type="spellEnd"/>
      <w:r>
        <w:rPr>
          <w:rFonts w:ascii="Times New Roman" w:eastAsia="Calibri" w:hAnsi="Times New Roman" w:cs="Times New Roman"/>
          <w:b/>
        </w:rPr>
        <w:t xml:space="preserve"> saugumo tyrimų duomenys</w:t>
      </w:r>
    </w:p>
    <w:p w14:paraId="33788E55" w14:textId="77777777" w:rsidR="00E021D7" w:rsidRDefault="00E021D7">
      <w:pPr>
        <w:widowControl w:val="0"/>
        <w:tabs>
          <w:tab w:val="left" w:pos="567"/>
        </w:tabs>
        <w:spacing w:after="0" w:line="240" w:lineRule="auto"/>
        <w:rPr>
          <w:rFonts w:ascii="Times New Roman" w:eastAsia="Calibri" w:hAnsi="Times New Roman" w:cs="Times New Roman"/>
        </w:rPr>
      </w:pPr>
    </w:p>
    <w:p w14:paraId="32F921A1"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Ikiklinikinių</w:t>
      </w:r>
      <w:proofErr w:type="spellEnd"/>
      <w:r>
        <w:rPr>
          <w:rFonts w:ascii="Times New Roman" w:eastAsia="Calibri" w:hAnsi="Times New Roman" w:cs="Times New Roman"/>
        </w:rPr>
        <w:t xml:space="preserve"> tyrimų metu įrodyta, kad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nėra </w:t>
      </w:r>
      <w:proofErr w:type="spellStart"/>
      <w:r>
        <w:rPr>
          <w:rFonts w:ascii="Times New Roman" w:eastAsia="Calibri" w:hAnsi="Times New Roman" w:cs="Times New Roman"/>
        </w:rPr>
        <w:t>genotoksiškas</w:t>
      </w:r>
      <w:proofErr w:type="spellEnd"/>
      <w:r>
        <w:rPr>
          <w:rFonts w:ascii="Times New Roman" w:eastAsia="Calibri" w:hAnsi="Times New Roman" w:cs="Times New Roman"/>
        </w:rPr>
        <w:t xml:space="preserve">. Pelėms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nebuvo </w:t>
      </w:r>
      <w:proofErr w:type="spellStart"/>
      <w:r>
        <w:rPr>
          <w:rFonts w:ascii="Times New Roman" w:eastAsia="Calibri" w:hAnsi="Times New Roman" w:cs="Times New Roman"/>
        </w:rPr>
        <w:t>kancerogeniškas</w:t>
      </w:r>
      <w:proofErr w:type="spellEnd"/>
      <w:r>
        <w:rPr>
          <w:rFonts w:ascii="Times New Roman" w:eastAsia="Calibri" w:hAnsi="Times New Roman" w:cs="Times New Roman"/>
        </w:rPr>
        <w:t xml:space="preserve">. Žiurkėms maždaug dvejus metus kasdien vartojant dozę, kuri sukelia daugiau kaip du kartus didesnę sisteminę ekspoziciją, negu žmogui sukelia 90 mg paros dozė, atsirado </w:t>
      </w:r>
      <w:proofErr w:type="spellStart"/>
      <w:r>
        <w:rPr>
          <w:rFonts w:ascii="Times New Roman" w:eastAsia="Calibri" w:hAnsi="Times New Roman" w:cs="Times New Roman"/>
        </w:rPr>
        <w:t>hepatoceliulinių</w:t>
      </w:r>
      <w:proofErr w:type="spellEnd"/>
      <w:r>
        <w:rPr>
          <w:rFonts w:ascii="Times New Roman" w:eastAsia="Calibri" w:hAnsi="Times New Roman" w:cs="Times New Roman"/>
        </w:rPr>
        <w:t xml:space="preserve"> ir skydliaukės folikulinių ląstelių adenomų. </w:t>
      </w:r>
      <w:proofErr w:type="spellStart"/>
      <w:r>
        <w:rPr>
          <w:rFonts w:ascii="Times New Roman" w:eastAsia="Calibri" w:hAnsi="Times New Roman" w:cs="Times New Roman"/>
        </w:rPr>
        <w:t>Hepatoceliulinių</w:t>
      </w:r>
      <w:proofErr w:type="spellEnd"/>
      <w:r>
        <w:rPr>
          <w:rFonts w:ascii="Times New Roman" w:eastAsia="Calibri" w:hAnsi="Times New Roman" w:cs="Times New Roman"/>
        </w:rPr>
        <w:t xml:space="preserve"> ir skydliaukės folikulinių ląstelių adenomų atsiradimas žiurkėms yra specifinė kepenų CYP fermentų indukcijos pasekmė žiurkėms. Nenustatyta, kad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sukeltų kepenų CYP3A fermento indukciją žmonėms.</w:t>
      </w:r>
    </w:p>
    <w:p w14:paraId="1A8BF3A9" w14:textId="77777777" w:rsidR="00E021D7" w:rsidRDefault="00E021D7">
      <w:pPr>
        <w:widowControl w:val="0"/>
        <w:tabs>
          <w:tab w:val="left" w:pos="567"/>
        </w:tabs>
        <w:spacing w:after="0" w:line="240" w:lineRule="auto"/>
        <w:rPr>
          <w:rFonts w:ascii="Times New Roman" w:eastAsia="Calibri" w:hAnsi="Times New Roman" w:cs="Times New Roman"/>
        </w:rPr>
      </w:pPr>
    </w:p>
    <w:p w14:paraId="060F498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Žiurkėms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toksinis poveikis virškinimo traktui didėjo didinant dozę ir ekspozicijos laiką. 14 savaičių trukmės toksinio poveikio tyrime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sukėlė virškinimo trakto opų esant ekspozicijai, didesnei už tą, kuri būna žmogui vartojant gydomąją dozę. 53 ir 106 savaičių trukmės toksinio poveikio tyrime virškinimo trakto opų taip pat pastebėta esant ekspozicijai, palyginamai su ta, kuri būna žmogui vartojant gydomąją dozę. Šunims inkstų ir virškinimo trakto anomalijų pastebėta esant didelei ekspozicijai.</w:t>
      </w:r>
    </w:p>
    <w:p w14:paraId="13847D30" w14:textId="77777777" w:rsidR="00E021D7" w:rsidRDefault="00E021D7">
      <w:pPr>
        <w:widowControl w:val="0"/>
        <w:tabs>
          <w:tab w:val="left" w:pos="567"/>
        </w:tabs>
        <w:spacing w:after="0" w:line="240" w:lineRule="auto"/>
        <w:rPr>
          <w:rFonts w:ascii="Times New Roman" w:eastAsia="Calibri" w:hAnsi="Times New Roman" w:cs="Times New Roman"/>
        </w:rPr>
      </w:pPr>
    </w:p>
    <w:p w14:paraId="5CC3564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Žiurkių reprodukcijos tyrimų metu, kai buvo skiriama 15 mg/kg kūno svorio per parą (remiantis sistemine ekspozicija tai atitinka maždaug 1,5 karto didesnę dozę, negu rekomenduojama žmogui (90 mg)) </w:t>
      </w:r>
      <w:proofErr w:type="spellStart"/>
      <w:r>
        <w:rPr>
          <w:rFonts w:ascii="Times New Roman" w:eastAsia="Calibri" w:hAnsi="Times New Roman" w:cs="Times New Roman"/>
        </w:rPr>
        <w:t>teratogeninio</w:t>
      </w:r>
      <w:proofErr w:type="spellEnd"/>
      <w:r>
        <w:rPr>
          <w:rFonts w:ascii="Times New Roman" w:eastAsia="Calibri" w:hAnsi="Times New Roman" w:cs="Times New Roman"/>
        </w:rPr>
        <w:t xml:space="preserve"> poveikio nenustatyta. Triušiams stebėtas su gydymu susijusių širdies ir kraujagyslių sklaidos sutrikimų padažnėjimas, kai ekspozicija buvo mažesnė už klinikinę ekspoziciją žmogui vartojant paros dozę (90 mg). Tačiau su gydymu susijusių vaisiaus išorinių arba skeleto sklaidos sutrikimų nepastebėta. Žiurkėms ir triušiams nustatytas nuo dozės priklausomas </w:t>
      </w:r>
      <w:proofErr w:type="spellStart"/>
      <w:r>
        <w:rPr>
          <w:rFonts w:ascii="Times New Roman" w:eastAsia="Calibri" w:hAnsi="Times New Roman" w:cs="Times New Roman"/>
        </w:rPr>
        <w:t>poimplantacinio</w:t>
      </w:r>
      <w:proofErr w:type="spellEnd"/>
      <w:r>
        <w:rPr>
          <w:rFonts w:ascii="Times New Roman" w:eastAsia="Calibri" w:hAnsi="Times New Roman" w:cs="Times New Roman"/>
        </w:rPr>
        <w:t xml:space="preserve"> persileidimo padažnėjimas, kai ekspozicija buvo 1,5 karto arba didesnė negu žmonėms (žr. 4.3 ir 4.6 skyrius).</w:t>
      </w:r>
    </w:p>
    <w:p w14:paraId="4CD2CD32" w14:textId="77777777" w:rsidR="00E021D7" w:rsidRDefault="00E021D7">
      <w:pPr>
        <w:widowControl w:val="0"/>
        <w:tabs>
          <w:tab w:val="left" w:pos="567"/>
        </w:tabs>
        <w:spacing w:after="0" w:line="240" w:lineRule="auto"/>
        <w:rPr>
          <w:rFonts w:ascii="Times New Roman" w:eastAsia="Calibri" w:hAnsi="Times New Roman" w:cs="Times New Roman"/>
        </w:rPr>
      </w:pPr>
    </w:p>
    <w:p w14:paraId="4E16CF5B"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koncentracija žiurkių piene yra maždaug du kartus didesnė negu jo koncentracija plazmoje. Patelių, gavusių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pienu maitinamų jauniklių kūno masė buvo mažesnė.</w:t>
      </w:r>
    </w:p>
    <w:p w14:paraId="5C1DA7E1" w14:textId="77777777" w:rsidR="00E021D7" w:rsidRDefault="00E021D7">
      <w:pPr>
        <w:widowControl w:val="0"/>
        <w:tabs>
          <w:tab w:val="left" w:pos="567"/>
        </w:tabs>
        <w:spacing w:after="0" w:line="240" w:lineRule="auto"/>
        <w:rPr>
          <w:rFonts w:ascii="Times New Roman" w:eastAsia="Calibri" w:hAnsi="Times New Roman" w:cs="Times New Roman"/>
        </w:rPr>
      </w:pPr>
    </w:p>
    <w:p w14:paraId="78BE4A10" w14:textId="77777777" w:rsidR="00E021D7" w:rsidRDefault="00E021D7">
      <w:pPr>
        <w:widowControl w:val="0"/>
        <w:tabs>
          <w:tab w:val="left" w:pos="567"/>
        </w:tabs>
        <w:spacing w:after="0" w:line="240" w:lineRule="auto"/>
        <w:rPr>
          <w:rFonts w:ascii="Times New Roman" w:eastAsia="Calibri" w:hAnsi="Times New Roman" w:cs="Times New Roman"/>
        </w:rPr>
      </w:pPr>
    </w:p>
    <w:p w14:paraId="372C3429"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FARMACINĖ INFORMACIJA</w:t>
      </w:r>
    </w:p>
    <w:p w14:paraId="35D9D58C" w14:textId="77777777" w:rsidR="00E021D7" w:rsidRDefault="00E021D7">
      <w:pPr>
        <w:widowControl w:val="0"/>
        <w:tabs>
          <w:tab w:val="left" w:pos="567"/>
        </w:tabs>
        <w:spacing w:after="0" w:line="240" w:lineRule="auto"/>
        <w:rPr>
          <w:rFonts w:ascii="Times New Roman" w:eastAsia="Calibri" w:hAnsi="Times New Roman" w:cs="Times New Roman"/>
        </w:rPr>
      </w:pPr>
    </w:p>
    <w:p w14:paraId="00E22EB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6.1</w:t>
      </w:r>
      <w:r>
        <w:rPr>
          <w:rFonts w:ascii="Times New Roman" w:eastAsia="Calibri" w:hAnsi="Times New Roman" w:cs="Times New Roman"/>
          <w:b/>
        </w:rPr>
        <w:tab/>
        <w:t>Pagalbinių medžiagų sąrašas</w:t>
      </w:r>
    </w:p>
    <w:p w14:paraId="002791BB" w14:textId="77777777" w:rsidR="00E021D7" w:rsidRDefault="00E021D7">
      <w:pPr>
        <w:widowControl w:val="0"/>
        <w:tabs>
          <w:tab w:val="left" w:pos="567"/>
        </w:tabs>
        <w:spacing w:after="0" w:line="240" w:lineRule="auto"/>
        <w:rPr>
          <w:rFonts w:ascii="Times New Roman" w:eastAsia="Calibri" w:hAnsi="Times New Roman" w:cs="Times New Roman"/>
        </w:rPr>
      </w:pPr>
    </w:p>
    <w:p w14:paraId="090E6597"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lastRenderedPageBreak/>
        <w:t>Tabletės branduolys</w:t>
      </w:r>
    </w:p>
    <w:p w14:paraId="085C08B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w:t>
      </w:r>
    </w:p>
    <w:p w14:paraId="4DC8158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Kalcio-vandenilio fosfatas</w:t>
      </w:r>
    </w:p>
    <w:p w14:paraId="0FEF825D"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Kroskarmeliozės</w:t>
      </w:r>
      <w:proofErr w:type="spellEnd"/>
      <w:r>
        <w:rPr>
          <w:rFonts w:ascii="Times New Roman" w:eastAsia="Calibri" w:hAnsi="Times New Roman" w:cs="Times New Roman"/>
        </w:rPr>
        <w:t xml:space="preserve"> natrio druska</w:t>
      </w:r>
    </w:p>
    <w:p w14:paraId="7268EFD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Natrio </w:t>
      </w:r>
      <w:proofErr w:type="spellStart"/>
      <w:r>
        <w:rPr>
          <w:rFonts w:ascii="Times New Roman" w:eastAsia="Calibri" w:hAnsi="Times New Roman" w:cs="Times New Roman"/>
        </w:rPr>
        <w:t>stearilfumaratas</w:t>
      </w:r>
      <w:proofErr w:type="spellEnd"/>
    </w:p>
    <w:p w14:paraId="3EC604F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Bevandenis koloidinis silicio dioksidas</w:t>
      </w:r>
    </w:p>
    <w:p w14:paraId="4DB85283" w14:textId="77777777" w:rsidR="00E021D7" w:rsidRDefault="00E021D7">
      <w:pPr>
        <w:widowControl w:val="0"/>
        <w:tabs>
          <w:tab w:val="left" w:pos="567"/>
        </w:tabs>
        <w:spacing w:after="0" w:line="240" w:lineRule="auto"/>
        <w:rPr>
          <w:rFonts w:ascii="Times New Roman" w:eastAsia="Calibri" w:hAnsi="Times New Roman" w:cs="Times New Roman"/>
        </w:rPr>
      </w:pPr>
    </w:p>
    <w:p w14:paraId="334257F0"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Tabletės plėvelė</w:t>
      </w:r>
    </w:p>
    <w:p w14:paraId="13345EB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Polivinilo alkoholis</w:t>
      </w:r>
    </w:p>
    <w:p w14:paraId="5B21713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2D01E8D5"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3000</w:t>
      </w:r>
    </w:p>
    <w:p w14:paraId="3D4E0BA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Talkas</w:t>
      </w:r>
    </w:p>
    <w:p w14:paraId="762191BA"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60 mg tablečių sudėtyje taip pat yra geltonojo geležies oksido (E172)</w:t>
      </w:r>
    </w:p>
    <w:p w14:paraId="00E09625"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90 mg ir 120 mg tablečių sudėtyje taip pat yra raudonojo geležies oksido (E172)</w:t>
      </w:r>
    </w:p>
    <w:p w14:paraId="42ECA970" w14:textId="77777777" w:rsidR="00E021D7" w:rsidRDefault="00E021D7">
      <w:pPr>
        <w:widowControl w:val="0"/>
        <w:tabs>
          <w:tab w:val="left" w:pos="567"/>
        </w:tabs>
        <w:spacing w:after="0" w:line="240" w:lineRule="auto"/>
        <w:rPr>
          <w:rFonts w:ascii="Times New Roman" w:eastAsia="Calibri" w:hAnsi="Times New Roman" w:cs="Times New Roman"/>
        </w:rPr>
      </w:pPr>
    </w:p>
    <w:p w14:paraId="0C2CF6A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6.2</w:t>
      </w:r>
      <w:r>
        <w:rPr>
          <w:rFonts w:ascii="Times New Roman" w:eastAsia="Calibri" w:hAnsi="Times New Roman" w:cs="Times New Roman"/>
          <w:b/>
        </w:rPr>
        <w:tab/>
        <w:t>Nesuderinamumas</w:t>
      </w:r>
    </w:p>
    <w:p w14:paraId="33FFE047" w14:textId="77777777" w:rsidR="00E021D7" w:rsidRDefault="00E021D7">
      <w:pPr>
        <w:widowControl w:val="0"/>
        <w:tabs>
          <w:tab w:val="left" w:pos="567"/>
        </w:tabs>
        <w:spacing w:after="0" w:line="240" w:lineRule="auto"/>
        <w:rPr>
          <w:rFonts w:ascii="Times New Roman" w:eastAsia="Calibri" w:hAnsi="Times New Roman" w:cs="Times New Roman"/>
        </w:rPr>
      </w:pPr>
    </w:p>
    <w:p w14:paraId="7A4BDBA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Duomenys nebūtini.</w:t>
      </w:r>
    </w:p>
    <w:p w14:paraId="4B37A4E3" w14:textId="77777777" w:rsidR="00E021D7" w:rsidRDefault="00E021D7">
      <w:pPr>
        <w:widowControl w:val="0"/>
        <w:tabs>
          <w:tab w:val="left" w:pos="567"/>
        </w:tabs>
        <w:spacing w:after="0" w:line="240" w:lineRule="auto"/>
        <w:rPr>
          <w:rFonts w:ascii="Times New Roman" w:eastAsia="Calibri" w:hAnsi="Times New Roman" w:cs="Times New Roman"/>
        </w:rPr>
      </w:pPr>
    </w:p>
    <w:p w14:paraId="30BD69EA"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6.3</w:t>
      </w:r>
      <w:r>
        <w:rPr>
          <w:rFonts w:ascii="Times New Roman" w:eastAsia="Calibri" w:hAnsi="Times New Roman" w:cs="Times New Roman"/>
          <w:b/>
        </w:rPr>
        <w:tab/>
        <w:t>Tinkamumo laikas</w:t>
      </w:r>
    </w:p>
    <w:p w14:paraId="6D94FA7D" w14:textId="77777777" w:rsidR="00E021D7" w:rsidRDefault="00E021D7">
      <w:pPr>
        <w:widowControl w:val="0"/>
        <w:tabs>
          <w:tab w:val="left" w:pos="567"/>
        </w:tabs>
        <w:spacing w:after="0" w:line="240" w:lineRule="auto"/>
        <w:rPr>
          <w:rFonts w:ascii="Times New Roman" w:eastAsia="Calibri" w:hAnsi="Times New Roman" w:cs="Times New Roman"/>
        </w:rPr>
      </w:pPr>
    </w:p>
    <w:p w14:paraId="075A8E5E" w14:textId="6F1F27BA"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5 metai.</w:t>
      </w:r>
    </w:p>
    <w:p w14:paraId="3814507D" w14:textId="77777777" w:rsidR="00E021D7" w:rsidRDefault="00E021D7">
      <w:pPr>
        <w:widowControl w:val="0"/>
        <w:tabs>
          <w:tab w:val="left" w:pos="567"/>
        </w:tabs>
        <w:spacing w:after="0" w:line="240" w:lineRule="auto"/>
        <w:rPr>
          <w:rFonts w:ascii="Times New Roman" w:eastAsia="Calibri" w:hAnsi="Times New Roman" w:cs="Times New Roman"/>
        </w:rPr>
      </w:pPr>
    </w:p>
    <w:p w14:paraId="7E60A8EB"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6.4</w:t>
      </w:r>
      <w:r>
        <w:rPr>
          <w:rFonts w:ascii="Times New Roman" w:eastAsia="Calibri" w:hAnsi="Times New Roman" w:cs="Times New Roman"/>
          <w:b/>
        </w:rPr>
        <w:tab/>
        <w:t>Specialios laikymo sąlygos</w:t>
      </w:r>
    </w:p>
    <w:p w14:paraId="5D3D3395" w14:textId="77777777" w:rsidR="00E021D7" w:rsidRDefault="00E021D7">
      <w:pPr>
        <w:widowControl w:val="0"/>
        <w:tabs>
          <w:tab w:val="left" w:pos="567"/>
        </w:tabs>
        <w:spacing w:after="0" w:line="240" w:lineRule="auto"/>
        <w:rPr>
          <w:rFonts w:ascii="Times New Roman" w:eastAsia="Calibri" w:hAnsi="Times New Roman" w:cs="Times New Roman"/>
        </w:rPr>
      </w:pPr>
    </w:p>
    <w:p w14:paraId="0FF0D0D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14:paraId="2488AFA9" w14:textId="77777777" w:rsidR="00E021D7" w:rsidRDefault="00E021D7">
      <w:pPr>
        <w:widowControl w:val="0"/>
        <w:tabs>
          <w:tab w:val="left" w:pos="567"/>
        </w:tabs>
        <w:spacing w:after="0" w:line="240" w:lineRule="auto"/>
        <w:rPr>
          <w:rFonts w:ascii="Times New Roman" w:eastAsia="Calibri" w:hAnsi="Times New Roman" w:cs="Times New Roman"/>
        </w:rPr>
      </w:pPr>
    </w:p>
    <w:p w14:paraId="2AC79AE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6.5</w:t>
      </w:r>
      <w:r>
        <w:rPr>
          <w:rFonts w:ascii="Times New Roman" w:eastAsia="Calibri" w:hAnsi="Times New Roman" w:cs="Times New Roman"/>
          <w:b/>
        </w:rPr>
        <w:tab/>
      </w:r>
      <w:proofErr w:type="spellStart"/>
      <w:r>
        <w:rPr>
          <w:rFonts w:ascii="Times New Roman" w:eastAsia="Calibri" w:hAnsi="Times New Roman" w:cs="Times New Roman"/>
          <w:b/>
        </w:rPr>
        <w:t>Talpyklės</w:t>
      </w:r>
      <w:proofErr w:type="spellEnd"/>
      <w:r>
        <w:rPr>
          <w:rFonts w:ascii="Times New Roman" w:eastAsia="Calibri" w:hAnsi="Times New Roman" w:cs="Times New Roman"/>
          <w:b/>
        </w:rPr>
        <w:t xml:space="preserve"> pobūdis ir jos turinys</w:t>
      </w:r>
    </w:p>
    <w:p w14:paraId="468F0FDF" w14:textId="77777777" w:rsidR="00E021D7" w:rsidRDefault="00E021D7">
      <w:pPr>
        <w:widowControl w:val="0"/>
        <w:tabs>
          <w:tab w:val="left" w:pos="567"/>
        </w:tabs>
        <w:spacing w:after="0" w:line="240" w:lineRule="auto"/>
        <w:rPr>
          <w:rFonts w:ascii="Times New Roman" w:eastAsia="Calibri" w:hAnsi="Times New Roman" w:cs="Times New Roman"/>
        </w:rPr>
      </w:pPr>
    </w:p>
    <w:p w14:paraId="7960CA6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hAnsi="Times New Roman"/>
          <w:highlight w:val="lightGray"/>
        </w:rPr>
        <w:t>Bericox</w:t>
      </w:r>
      <w:proofErr w:type="spellEnd"/>
      <w:r>
        <w:rPr>
          <w:rFonts w:ascii="Times New Roman" w:hAnsi="Times New Roman"/>
          <w:highlight w:val="lightGray"/>
        </w:rPr>
        <w:t xml:space="preserve"> 30 mg </w:t>
      </w:r>
      <w:r>
        <w:rPr>
          <w:rFonts w:ascii="Times New Roman" w:eastAsia="Calibri" w:hAnsi="Times New Roman" w:cs="Times New Roman"/>
          <w:highlight w:val="lightGray"/>
        </w:rPr>
        <w:t xml:space="preserve">plėvele dengtos </w:t>
      </w:r>
      <w:r>
        <w:rPr>
          <w:rFonts w:ascii="Times New Roman" w:hAnsi="Times New Roman"/>
          <w:highlight w:val="lightGray"/>
        </w:rPr>
        <w:t>tabletės</w:t>
      </w:r>
    </w:p>
    <w:p w14:paraId="1142D7C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Lizdinė plokštelė (OPA/aliuminio/PVC, aliuminio folijos): dėžutėje yra 7, 14, 28, 30, 56, 60, 84, 98 arba 100 plėvele dengtų tablečių.</w:t>
      </w:r>
    </w:p>
    <w:p w14:paraId="4C5D6E12"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60 mg plėvele dengtos tabletės</w:t>
      </w:r>
    </w:p>
    <w:p w14:paraId="375494E3" w14:textId="77777777" w:rsidR="00E021D7" w:rsidRDefault="009C1A2C">
      <w:pPr>
        <w:widowControl w:val="0"/>
        <w:tabs>
          <w:tab w:val="left" w:pos="567"/>
        </w:tabs>
        <w:spacing w:after="0" w:line="240" w:lineRule="auto"/>
        <w:rPr>
          <w:rFonts w:ascii="Times New Roman" w:hAnsi="Times New Roman"/>
        </w:rPr>
      </w:pPr>
      <w:r>
        <w:rPr>
          <w:rFonts w:ascii="Times New Roman" w:hAnsi="Times New Roman"/>
        </w:rPr>
        <w:t>Lizdinė plokštelė (OPA/aliuminio/PVC, aliuminio folijos): dėžutėje yra 7, 14, 20, 28, 30, 50, 56, 60, 84, 98 arba 100 plėvele dengtų tablečių.</w:t>
      </w:r>
    </w:p>
    <w:p w14:paraId="42E094F7"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90 mg plėvele dengtos tabletės</w:t>
      </w:r>
    </w:p>
    <w:p w14:paraId="3CBFB307" w14:textId="77777777" w:rsidR="00E021D7" w:rsidRDefault="009C1A2C">
      <w:pPr>
        <w:widowControl w:val="0"/>
        <w:tabs>
          <w:tab w:val="left" w:pos="567"/>
        </w:tabs>
        <w:spacing w:after="0" w:line="240" w:lineRule="auto"/>
        <w:rPr>
          <w:rFonts w:ascii="Times New Roman" w:hAnsi="Times New Roman"/>
        </w:rPr>
      </w:pPr>
      <w:r>
        <w:rPr>
          <w:rFonts w:ascii="Times New Roman" w:hAnsi="Times New Roman"/>
        </w:rPr>
        <w:t>Lizdinė plokštelė (OPA/aliuminio/PVC, aliuminio folijos): dėžutėje yra 5, 7, 14, 20, 28, 30, 50, 56, 60, 84, 98 arba 100 plėvele dengtų tablečių.</w:t>
      </w:r>
    </w:p>
    <w:p w14:paraId="2143F195"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120 mg plėvele dengtos tabletės</w:t>
      </w:r>
    </w:p>
    <w:p w14:paraId="4697930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hAnsi="Times New Roman"/>
        </w:rPr>
        <w:t>Lizdinė plokštelė (OPA/aliuminio/PVC, aliuminio folijos): dėžutėje yra 5, 7, 14, 20, 28, 30, 50, 56, 60, 84, 98 arba 100 plėvele dengtų tablečių.</w:t>
      </w:r>
    </w:p>
    <w:p w14:paraId="3FF072B2" w14:textId="77777777" w:rsidR="00E021D7" w:rsidRDefault="00E021D7">
      <w:pPr>
        <w:widowControl w:val="0"/>
        <w:tabs>
          <w:tab w:val="left" w:pos="567"/>
        </w:tabs>
        <w:spacing w:after="0" w:line="240" w:lineRule="auto"/>
        <w:rPr>
          <w:rFonts w:ascii="Times New Roman" w:eastAsia="Calibri" w:hAnsi="Times New Roman" w:cs="Times New Roman"/>
        </w:rPr>
      </w:pPr>
    </w:p>
    <w:p w14:paraId="066CF9D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1DBAA65F" w14:textId="77777777" w:rsidR="00E021D7" w:rsidRDefault="00E021D7">
      <w:pPr>
        <w:widowControl w:val="0"/>
        <w:tabs>
          <w:tab w:val="left" w:pos="567"/>
        </w:tabs>
        <w:spacing w:after="0" w:line="240" w:lineRule="auto"/>
        <w:rPr>
          <w:rFonts w:ascii="Times New Roman" w:eastAsia="Calibri" w:hAnsi="Times New Roman" w:cs="Times New Roman"/>
        </w:rPr>
      </w:pPr>
    </w:p>
    <w:p w14:paraId="1C8D537F"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6.6</w:t>
      </w:r>
      <w:r>
        <w:rPr>
          <w:rFonts w:ascii="Times New Roman" w:eastAsia="Calibri" w:hAnsi="Times New Roman" w:cs="Times New Roman"/>
          <w:b/>
        </w:rPr>
        <w:tab/>
        <w:t>Specialūs reikalavimai atliekoms tvarkyti ir vaistiniam preparatui ruošti</w:t>
      </w:r>
    </w:p>
    <w:p w14:paraId="74C8DF76" w14:textId="77777777" w:rsidR="00E021D7" w:rsidRDefault="00E021D7">
      <w:pPr>
        <w:widowControl w:val="0"/>
        <w:tabs>
          <w:tab w:val="left" w:pos="567"/>
        </w:tabs>
        <w:spacing w:after="0" w:line="240" w:lineRule="auto"/>
        <w:rPr>
          <w:rFonts w:ascii="Times New Roman" w:eastAsia="Calibri" w:hAnsi="Times New Roman" w:cs="Times New Roman"/>
        </w:rPr>
      </w:pPr>
    </w:p>
    <w:p w14:paraId="5931B82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Specialių reikalavimų nėra.</w:t>
      </w:r>
    </w:p>
    <w:p w14:paraId="637203B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Nesuvartotą vaistinį preparatą ar atliekas reikia tvarkyti laikantis vietinių reikalavimų.</w:t>
      </w:r>
    </w:p>
    <w:p w14:paraId="28062827" w14:textId="77777777" w:rsidR="00E021D7" w:rsidRDefault="00E021D7">
      <w:pPr>
        <w:widowControl w:val="0"/>
        <w:tabs>
          <w:tab w:val="left" w:pos="567"/>
        </w:tabs>
        <w:spacing w:after="0" w:line="240" w:lineRule="auto"/>
        <w:rPr>
          <w:rFonts w:ascii="Times New Roman" w:eastAsia="Calibri" w:hAnsi="Times New Roman" w:cs="Times New Roman"/>
        </w:rPr>
      </w:pPr>
    </w:p>
    <w:p w14:paraId="0F3F2661" w14:textId="77777777" w:rsidR="00E021D7" w:rsidRDefault="00E021D7">
      <w:pPr>
        <w:widowControl w:val="0"/>
        <w:tabs>
          <w:tab w:val="left" w:pos="567"/>
        </w:tabs>
        <w:spacing w:after="0" w:line="240" w:lineRule="auto"/>
        <w:rPr>
          <w:rFonts w:ascii="Times New Roman" w:eastAsia="Calibri" w:hAnsi="Times New Roman" w:cs="Times New Roman"/>
        </w:rPr>
      </w:pPr>
    </w:p>
    <w:p w14:paraId="04B01249" w14:textId="77777777" w:rsidR="00E021D7" w:rsidRDefault="009C1A2C">
      <w:pPr>
        <w:widowControl w:val="0"/>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REGISTRUOTOJAS</w:t>
      </w:r>
    </w:p>
    <w:p w14:paraId="71BA3316" w14:textId="77777777" w:rsidR="00E021D7" w:rsidRDefault="00E021D7">
      <w:pPr>
        <w:widowControl w:val="0"/>
        <w:spacing w:after="0" w:line="240" w:lineRule="auto"/>
        <w:rPr>
          <w:rFonts w:ascii="Times New Roman" w:eastAsia="Calibri" w:hAnsi="Times New Roman" w:cs="Times New Roman"/>
        </w:rPr>
      </w:pPr>
    </w:p>
    <w:p w14:paraId="0F46D88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2BED0DC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4037671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287B7DC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Slovėnija</w:t>
      </w:r>
    </w:p>
    <w:p w14:paraId="24943420" w14:textId="77777777" w:rsidR="00E021D7" w:rsidRDefault="00E021D7">
      <w:pPr>
        <w:widowControl w:val="0"/>
        <w:spacing w:after="0" w:line="240" w:lineRule="auto"/>
        <w:rPr>
          <w:rFonts w:ascii="Times New Roman" w:eastAsia="Calibri" w:hAnsi="Times New Roman" w:cs="Times New Roman"/>
        </w:rPr>
      </w:pPr>
    </w:p>
    <w:p w14:paraId="64A06F63" w14:textId="77777777" w:rsidR="00E021D7" w:rsidRDefault="00E021D7">
      <w:pPr>
        <w:widowControl w:val="0"/>
        <w:spacing w:after="0" w:line="240" w:lineRule="auto"/>
        <w:rPr>
          <w:rFonts w:ascii="Times New Roman" w:eastAsia="Calibri" w:hAnsi="Times New Roman" w:cs="Times New Roman"/>
        </w:rPr>
      </w:pPr>
    </w:p>
    <w:p w14:paraId="79DE18E8" w14:textId="77777777" w:rsidR="00E021D7" w:rsidRDefault="009C1A2C">
      <w:pPr>
        <w:widowControl w:val="0"/>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REGISTRACIJOS PAŽYMĖJIMO NUMERIS (-IAI)</w:t>
      </w:r>
    </w:p>
    <w:p w14:paraId="586E645B" w14:textId="77777777" w:rsidR="00E021D7" w:rsidRDefault="00E021D7">
      <w:pPr>
        <w:widowControl w:val="0"/>
        <w:spacing w:after="0" w:line="240" w:lineRule="auto"/>
        <w:rPr>
          <w:rFonts w:ascii="Times New Roman" w:eastAsia="Calibri" w:hAnsi="Times New Roman" w:cs="Times New Roman"/>
          <w:u w:val="single"/>
        </w:rPr>
      </w:pPr>
    </w:p>
    <w:tbl>
      <w:tblPr>
        <w:tblStyle w:val="Lentelstinklelis"/>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37"/>
        <w:gridCol w:w="2437"/>
        <w:gridCol w:w="2437"/>
      </w:tblGrid>
      <w:tr w:rsidR="00E021D7" w14:paraId="682448BD" w14:textId="77777777">
        <w:tc>
          <w:tcPr>
            <w:tcW w:w="2436" w:type="dxa"/>
          </w:tcPr>
          <w:p w14:paraId="1E0CDC70" w14:textId="77777777" w:rsidR="00E021D7" w:rsidRDefault="009C1A2C">
            <w:pPr>
              <w:widowControl w:val="0"/>
              <w:ind w:left="-57" w:right="-57"/>
              <w:rPr>
                <w:rFonts w:eastAsia="Calibri"/>
                <w:sz w:val="22"/>
                <w:szCs w:val="22"/>
                <w:u w:val="single"/>
              </w:rPr>
            </w:pPr>
            <w:r>
              <w:rPr>
                <w:rFonts w:eastAsia="Calibri"/>
                <w:sz w:val="22"/>
                <w:szCs w:val="22"/>
                <w:u w:val="single"/>
              </w:rPr>
              <w:t>30 mg</w:t>
            </w:r>
          </w:p>
          <w:p w14:paraId="6E71854F" w14:textId="77777777" w:rsidR="00E021D7" w:rsidRDefault="009C1A2C">
            <w:pPr>
              <w:widowControl w:val="0"/>
              <w:ind w:left="-57" w:right="-57"/>
              <w:rPr>
                <w:rFonts w:eastAsia="Calibri"/>
                <w:sz w:val="22"/>
                <w:szCs w:val="22"/>
              </w:rPr>
            </w:pPr>
            <w:r>
              <w:rPr>
                <w:rFonts w:eastAsia="Calibri"/>
                <w:sz w:val="22"/>
                <w:szCs w:val="22"/>
              </w:rPr>
              <w:t>LT/1/16/3998/001 – N7</w:t>
            </w:r>
          </w:p>
          <w:p w14:paraId="141412A0" w14:textId="77777777" w:rsidR="00E021D7" w:rsidRDefault="009C1A2C">
            <w:pPr>
              <w:widowControl w:val="0"/>
              <w:ind w:left="-57" w:right="-57"/>
              <w:rPr>
                <w:rFonts w:eastAsia="Calibri"/>
                <w:sz w:val="22"/>
                <w:szCs w:val="22"/>
              </w:rPr>
            </w:pPr>
            <w:r>
              <w:rPr>
                <w:rFonts w:eastAsia="Calibri"/>
                <w:sz w:val="22"/>
                <w:szCs w:val="22"/>
              </w:rPr>
              <w:t>LT/1/16/3998/002 – N14</w:t>
            </w:r>
          </w:p>
          <w:p w14:paraId="611B3F64" w14:textId="77777777" w:rsidR="00E021D7" w:rsidRDefault="009C1A2C">
            <w:pPr>
              <w:widowControl w:val="0"/>
              <w:ind w:left="-57" w:right="-57"/>
              <w:rPr>
                <w:rFonts w:eastAsia="Calibri"/>
                <w:sz w:val="22"/>
                <w:szCs w:val="22"/>
              </w:rPr>
            </w:pPr>
            <w:r>
              <w:rPr>
                <w:rFonts w:eastAsia="Calibri"/>
                <w:sz w:val="22"/>
                <w:szCs w:val="22"/>
              </w:rPr>
              <w:t>LT/1/16/3998/003 – N28</w:t>
            </w:r>
          </w:p>
          <w:p w14:paraId="6D5BD32A" w14:textId="77777777" w:rsidR="00E021D7" w:rsidRDefault="009C1A2C">
            <w:pPr>
              <w:widowControl w:val="0"/>
              <w:ind w:left="-57" w:right="-57"/>
              <w:rPr>
                <w:rFonts w:eastAsia="Calibri"/>
                <w:sz w:val="22"/>
                <w:szCs w:val="22"/>
              </w:rPr>
            </w:pPr>
            <w:r>
              <w:rPr>
                <w:rFonts w:eastAsia="Calibri"/>
                <w:sz w:val="22"/>
                <w:szCs w:val="22"/>
              </w:rPr>
              <w:t>LT/1/16/3998/004 – N30</w:t>
            </w:r>
          </w:p>
          <w:p w14:paraId="76C0EB6A" w14:textId="77777777" w:rsidR="00E021D7" w:rsidRDefault="009C1A2C">
            <w:pPr>
              <w:widowControl w:val="0"/>
              <w:ind w:left="-57" w:right="-57"/>
              <w:rPr>
                <w:rFonts w:eastAsia="Calibri"/>
                <w:sz w:val="22"/>
                <w:szCs w:val="22"/>
              </w:rPr>
            </w:pPr>
            <w:r>
              <w:rPr>
                <w:rFonts w:eastAsia="Calibri"/>
                <w:sz w:val="22"/>
                <w:szCs w:val="22"/>
              </w:rPr>
              <w:t>LT/1/16/3998/005 – N56</w:t>
            </w:r>
          </w:p>
          <w:p w14:paraId="621436C5" w14:textId="77777777" w:rsidR="00E021D7" w:rsidRDefault="009C1A2C">
            <w:pPr>
              <w:widowControl w:val="0"/>
              <w:ind w:left="-57" w:right="-57"/>
              <w:rPr>
                <w:rFonts w:eastAsia="Calibri"/>
                <w:sz w:val="22"/>
                <w:szCs w:val="22"/>
              </w:rPr>
            </w:pPr>
            <w:r>
              <w:rPr>
                <w:rFonts w:eastAsia="Calibri"/>
                <w:sz w:val="22"/>
                <w:szCs w:val="22"/>
              </w:rPr>
              <w:t>LT/1/16/3998/006 – N60</w:t>
            </w:r>
          </w:p>
          <w:p w14:paraId="3C8607BF" w14:textId="77777777" w:rsidR="00E021D7" w:rsidRDefault="009C1A2C">
            <w:pPr>
              <w:widowControl w:val="0"/>
              <w:ind w:left="-57" w:right="-57"/>
              <w:rPr>
                <w:rFonts w:eastAsia="Calibri"/>
                <w:sz w:val="22"/>
                <w:szCs w:val="22"/>
              </w:rPr>
            </w:pPr>
            <w:r>
              <w:rPr>
                <w:rFonts w:eastAsia="Calibri"/>
                <w:sz w:val="22"/>
                <w:szCs w:val="22"/>
              </w:rPr>
              <w:t>LT/1/16/3998/007 – N84</w:t>
            </w:r>
          </w:p>
          <w:p w14:paraId="7CE3FE9A" w14:textId="77777777" w:rsidR="00E021D7" w:rsidRDefault="009C1A2C">
            <w:pPr>
              <w:widowControl w:val="0"/>
              <w:ind w:left="-57" w:right="-57"/>
              <w:rPr>
                <w:rFonts w:eastAsia="Calibri"/>
                <w:sz w:val="22"/>
                <w:szCs w:val="22"/>
              </w:rPr>
            </w:pPr>
            <w:r>
              <w:rPr>
                <w:rFonts w:eastAsia="Calibri"/>
                <w:sz w:val="22"/>
                <w:szCs w:val="22"/>
              </w:rPr>
              <w:t>LT/1/16/3998/008 – N98</w:t>
            </w:r>
          </w:p>
          <w:p w14:paraId="51AB6071" w14:textId="77777777" w:rsidR="00E021D7" w:rsidRDefault="009C1A2C">
            <w:pPr>
              <w:widowControl w:val="0"/>
              <w:ind w:left="-57" w:right="-57"/>
              <w:rPr>
                <w:rFonts w:eastAsia="Calibri"/>
                <w:sz w:val="22"/>
                <w:szCs w:val="22"/>
              </w:rPr>
            </w:pPr>
            <w:r>
              <w:rPr>
                <w:rFonts w:eastAsia="Calibri"/>
                <w:sz w:val="22"/>
                <w:szCs w:val="22"/>
              </w:rPr>
              <w:t>LT/1/16/3998/009 – N100</w:t>
            </w:r>
          </w:p>
        </w:tc>
        <w:tc>
          <w:tcPr>
            <w:tcW w:w="2437" w:type="dxa"/>
          </w:tcPr>
          <w:p w14:paraId="369FAAB0" w14:textId="77777777" w:rsidR="00E021D7" w:rsidRDefault="009C1A2C">
            <w:pPr>
              <w:widowControl w:val="0"/>
              <w:ind w:left="-57" w:right="-57"/>
              <w:rPr>
                <w:rFonts w:eastAsia="Calibri"/>
                <w:sz w:val="22"/>
                <w:szCs w:val="22"/>
                <w:u w:val="single"/>
              </w:rPr>
            </w:pPr>
            <w:r>
              <w:rPr>
                <w:rFonts w:eastAsia="Calibri"/>
                <w:sz w:val="22"/>
                <w:szCs w:val="22"/>
                <w:u w:val="single"/>
              </w:rPr>
              <w:t>60 mg</w:t>
            </w:r>
          </w:p>
          <w:p w14:paraId="26640166" w14:textId="77777777" w:rsidR="00E021D7" w:rsidRDefault="009C1A2C">
            <w:pPr>
              <w:widowControl w:val="0"/>
              <w:ind w:left="-57" w:right="-57"/>
              <w:rPr>
                <w:rFonts w:eastAsia="Calibri"/>
                <w:sz w:val="22"/>
                <w:szCs w:val="22"/>
              </w:rPr>
            </w:pPr>
            <w:r>
              <w:rPr>
                <w:rFonts w:eastAsia="Calibri"/>
                <w:sz w:val="22"/>
                <w:szCs w:val="22"/>
              </w:rPr>
              <w:t>LT/1/16/3998/010 – N7</w:t>
            </w:r>
          </w:p>
          <w:p w14:paraId="65966943" w14:textId="77777777" w:rsidR="00E021D7" w:rsidRDefault="009C1A2C">
            <w:pPr>
              <w:widowControl w:val="0"/>
              <w:ind w:left="-57" w:right="-57"/>
              <w:rPr>
                <w:rFonts w:eastAsia="Calibri"/>
                <w:sz w:val="22"/>
                <w:szCs w:val="22"/>
              </w:rPr>
            </w:pPr>
            <w:r>
              <w:rPr>
                <w:rFonts w:eastAsia="Calibri"/>
                <w:sz w:val="22"/>
                <w:szCs w:val="22"/>
              </w:rPr>
              <w:t>LT/1/16/3998/011 – N14</w:t>
            </w:r>
          </w:p>
          <w:p w14:paraId="56512CEB" w14:textId="77777777" w:rsidR="00E021D7" w:rsidRDefault="009C1A2C">
            <w:pPr>
              <w:widowControl w:val="0"/>
              <w:ind w:left="-57" w:right="-57"/>
              <w:rPr>
                <w:rFonts w:eastAsia="Calibri"/>
                <w:sz w:val="22"/>
                <w:szCs w:val="22"/>
              </w:rPr>
            </w:pPr>
            <w:r>
              <w:rPr>
                <w:rFonts w:eastAsia="Calibri"/>
                <w:sz w:val="22"/>
                <w:szCs w:val="22"/>
              </w:rPr>
              <w:t>LT/1/16/3998/012 – N20</w:t>
            </w:r>
          </w:p>
          <w:p w14:paraId="03351DB3" w14:textId="77777777" w:rsidR="00E021D7" w:rsidRDefault="009C1A2C">
            <w:pPr>
              <w:widowControl w:val="0"/>
              <w:ind w:left="-57" w:right="-57"/>
              <w:rPr>
                <w:rFonts w:eastAsia="Calibri"/>
                <w:sz w:val="22"/>
                <w:szCs w:val="22"/>
              </w:rPr>
            </w:pPr>
            <w:r>
              <w:rPr>
                <w:rFonts w:eastAsia="Calibri"/>
                <w:sz w:val="22"/>
                <w:szCs w:val="22"/>
              </w:rPr>
              <w:t>LT/1/16/3998/013 – N28</w:t>
            </w:r>
          </w:p>
          <w:p w14:paraId="27C105D7" w14:textId="77777777" w:rsidR="00E021D7" w:rsidRDefault="009C1A2C">
            <w:pPr>
              <w:widowControl w:val="0"/>
              <w:ind w:left="-57" w:right="-57"/>
              <w:rPr>
                <w:rFonts w:eastAsia="Calibri"/>
                <w:sz w:val="22"/>
                <w:szCs w:val="22"/>
              </w:rPr>
            </w:pPr>
            <w:r>
              <w:rPr>
                <w:rFonts w:eastAsia="Calibri"/>
                <w:sz w:val="22"/>
                <w:szCs w:val="22"/>
              </w:rPr>
              <w:t>LT/1/16/3998/014 – N30</w:t>
            </w:r>
          </w:p>
          <w:p w14:paraId="3309CA39" w14:textId="77777777" w:rsidR="00E021D7" w:rsidRDefault="009C1A2C">
            <w:pPr>
              <w:widowControl w:val="0"/>
              <w:ind w:left="-57" w:right="-57"/>
              <w:rPr>
                <w:rFonts w:eastAsia="Calibri"/>
                <w:sz w:val="22"/>
                <w:szCs w:val="22"/>
              </w:rPr>
            </w:pPr>
            <w:r>
              <w:rPr>
                <w:rFonts w:eastAsia="Calibri"/>
                <w:sz w:val="22"/>
                <w:szCs w:val="22"/>
              </w:rPr>
              <w:t>LT/1/16/3998/015 – N50</w:t>
            </w:r>
          </w:p>
          <w:p w14:paraId="199FB145" w14:textId="77777777" w:rsidR="00E021D7" w:rsidRDefault="009C1A2C">
            <w:pPr>
              <w:widowControl w:val="0"/>
              <w:ind w:left="-57" w:right="-57"/>
              <w:rPr>
                <w:rFonts w:eastAsia="Calibri"/>
                <w:sz w:val="22"/>
                <w:szCs w:val="22"/>
              </w:rPr>
            </w:pPr>
            <w:r>
              <w:rPr>
                <w:rFonts w:eastAsia="Calibri"/>
                <w:sz w:val="22"/>
                <w:szCs w:val="22"/>
              </w:rPr>
              <w:t>LT/1/16/3998/016 – N56</w:t>
            </w:r>
          </w:p>
          <w:p w14:paraId="1E605F43" w14:textId="77777777" w:rsidR="00E021D7" w:rsidRDefault="009C1A2C">
            <w:pPr>
              <w:widowControl w:val="0"/>
              <w:ind w:left="-57" w:right="-57"/>
              <w:rPr>
                <w:rFonts w:eastAsia="Calibri"/>
                <w:sz w:val="22"/>
                <w:szCs w:val="22"/>
              </w:rPr>
            </w:pPr>
            <w:r>
              <w:rPr>
                <w:rFonts w:eastAsia="Calibri"/>
                <w:sz w:val="22"/>
                <w:szCs w:val="22"/>
              </w:rPr>
              <w:t>LT/1/16/3998/017 – N60</w:t>
            </w:r>
          </w:p>
          <w:p w14:paraId="723353D8" w14:textId="77777777" w:rsidR="00E021D7" w:rsidRDefault="009C1A2C">
            <w:pPr>
              <w:widowControl w:val="0"/>
              <w:ind w:left="-57" w:right="-57"/>
              <w:rPr>
                <w:rFonts w:eastAsia="Calibri"/>
                <w:sz w:val="22"/>
                <w:szCs w:val="22"/>
              </w:rPr>
            </w:pPr>
            <w:r>
              <w:rPr>
                <w:rFonts w:eastAsia="Calibri"/>
                <w:sz w:val="22"/>
                <w:szCs w:val="22"/>
              </w:rPr>
              <w:t>LT/1/16/3998/018 – N84</w:t>
            </w:r>
          </w:p>
          <w:p w14:paraId="362482C0" w14:textId="77777777" w:rsidR="00E021D7" w:rsidRDefault="009C1A2C">
            <w:pPr>
              <w:widowControl w:val="0"/>
              <w:ind w:left="-57" w:right="-57"/>
              <w:rPr>
                <w:rFonts w:eastAsia="Calibri"/>
                <w:sz w:val="22"/>
                <w:szCs w:val="22"/>
              </w:rPr>
            </w:pPr>
            <w:r>
              <w:rPr>
                <w:rFonts w:eastAsia="Calibri"/>
                <w:sz w:val="22"/>
                <w:szCs w:val="22"/>
              </w:rPr>
              <w:t>LT/1/16/3998/019 – N98</w:t>
            </w:r>
          </w:p>
          <w:p w14:paraId="31B8CE33" w14:textId="77777777" w:rsidR="00E021D7" w:rsidRDefault="009C1A2C">
            <w:pPr>
              <w:widowControl w:val="0"/>
              <w:ind w:left="-57" w:right="-57"/>
              <w:rPr>
                <w:rFonts w:eastAsia="Calibri"/>
                <w:sz w:val="22"/>
                <w:szCs w:val="22"/>
              </w:rPr>
            </w:pPr>
            <w:r>
              <w:rPr>
                <w:rFonts w:eastAsia="Calibri"/>
                <w:sz w:val="22"/>
                <w:szCs w:val="22"/>
              </w:rPr>
              <w:t>LT/1/16/3998/020 – N100</w:t>
            </w:r>
          </w:p>
        </w:tc>
        <w:tc>
          <w:tcPr>
            <w:tcW w:w="2437" w:type="dxa"/>
          </w:tcPr>
          <w:p w14:paraId="19CB5B30" w14:textId="77777777" w:rsidR="00E021D7" w:rsidRDefault="009C1A2C">
            <w:pPr>
              <w:widowControl w:val="0"/>
              <w:ind w:left="-57" w:right="-57"/>
              <w:rPr>
                <w:rFonts w:eastAsia="Calibri"/>
                <w:sz w:val="22"/>
                <w:szCs w:val="22"/>
                <w:u w:val="single"/>
              </w:rPr>
            </w:pPr>
            <w:r>
              <w:rPr>
                <w:rFonts w:eastAsia="Calibri"/>
                <w:sz w:val="22"/>
                <w:szCs w:val="22"/>
                <w:u w:val="single"/>
              </w:rPr>
              <w:t>90 mg</w:t>
            </w:r>
          </w:p>
          <w:p w14:paraId="2976000E" w14:textId="77777777" w:rsidR="00E021D7" w:rsidRDefault="009C1A2C">
            <w:pPr>
              <w:widowControl w:val="0"/>
              <w:ind w:left="-57" w:right="-57"/>
              <w:rPr>
                <w:rFonts w:eastAsia="Calibri"/>
                <w:sz w:val="22"/>
                <w:szCs w:val="22"/>
              </w:rPr>
            </w:pPr>
            <w:r>
              <w:rPr>
                <w:rFonts w:eastAsia="Calibri"/>
                <w:sz w:val="22"/>
                <w:szCs w:val="22"/>
              </w:rPr>
              <w:t>LT/1/16/3998/021 – N5</w:t>
            </w:r>
          </w:p>
          <w:p w14:paraId="2EECD4BB" w14:textId="77777777" w:rsidR="00E021D7" w:rsidRDefault="009C1A2C">
            <w:pPr>
              <w:widowControl w:val="0"/>
              <w:ind w:left="-57" w:right="-57"/>
              <w:rPr>
                <w:rFonts w:eastAsia="Calibri"/>
                <w:sz w:val="22"/>
                <w:szCs w:val="22"/>
              </w:rPr>
            </w:pPr>
            <w:r>
              <w:rPr>
                <w:rFonts w:eastAsia="Calibri"/>
                <w:sz w:val="22"/>
                <w:szCs w:val="22"/>
              </w:rPr>
              <w:t>LT/1/16/3998/022 – N7</w:t>
            </w:r>
          </w:p>
          <w:p w14:paraId="4EA9D3E3" w14:textId="77777777" w:rsidR="00E021D7" w:rsidRDefault="009C1A2C">
            <w:pPr>
              <w:widowControl w:val="0"/>
              <w:ind w:left="-57" w:right="-57"/>
              <w:rPr>
                <w:rFonts w:eastAsia="Calibri"/>
                <w:sz w:val="22"/>
                <w:szCs w:val="22"/>
              </w:rPr>
            </w:pPr>
            <w:r>
              <w:rPr>
                <w:rFonts w:eastAsia="Calibri"/>
                <w:sz w:val="22"/>
                <w:szCs w:val="22"/>
              </w:rPr>
              <w:t>LT/1/16/3998/023 – N14</w:t>
            </w:r>
          </w:p>
          <w:p w14:paraId="64329004" w14:textId="77777777" w:rsidR="00E021D7" w:rsidRDefault="009C1A2C">
            <w:pPr>
              <w:widowControl w:val="0"/>
              <w:ind w:left="-57" w:right="-57"/>
              <w:rPr>
                <w:rFonts w:eastAsia="Calibri"/>
                <w:sz w:val="22"/>
                <w:szCs w:val="22"/>
              </w:rPr>
            </w:pPr>
            <w:r>
              <w:rPr>
                <w:rFonts w:eastAsia="Calibri"/>
                <w:sz w:val="22"/>
                <w:szCs w:val="22"/>
              </w:rPr>
              <w:t>LT/1/16/3998/024 – N20</w:t>
            </w:r>
          </w:p>
          <w:p w14:paraId="02CBE085" w14:textId="77777777" w:rsidR="00E021D7" w:rsidRDefault="009C1A2C">
            <w:pPr>
              <w:widowControl w:val="0"/>
              <w:ind w:left="-57" w:right="-57"/>
              <w:rPr>
                <w:rFonts w:eastAsia="Calibri"/>
                <w:sz w:val="22"/>
                <w:szCs w:val="22"/>
              </w:rPr>
            </w:pPr>
            <w:r>
              <w:rPr>
                <w:rFonts w:eastAsia="Calibri"/>
                <w:sz w:val="22"/>
                <w:szCs w:val="22"/>
              </w:rPr>
              <w:t>LT/1/16/3998/025 – N28</w:t>
            </w:r>
          </w:p>
          <w:p w14:paraId="6270F37B" w14:textId="77777777" w:rsidR="00E021D7" w:rsidRDefault="009C1A2C">
            <w:pPr>
              <w:widowControl w:val="0"/>
              <w:ind w:left="-57" w:right="-57"/>
              <w:rPr>
                <w:rFonts w:eastAsia="Calibri"/>
                <w:sz w:val="22"/>
                <w:szCs w:val="22"/>
              </w:rPr>
            </w:pPr>
            <w:r>
              <w:rPr>
                <w:rFonts w:eastAsia="Calibri"/>
                <w:sz w:val="22"/>
                <w:szCs w:val="22"/>
              </w:rPr>
              <w:t>LT/1/16/3998/026 – N30</w:t>
            </w:r>
          </w:p>
          <w:p w14:paraId="22399320" w14:textId="77777777" w:rsidR="00E021D7" w:rsidRDefault="009C1A2C">
            <w:pPr>
              <w:widowControl w:val="0"/>
              <w:ind w:left="-57" w:right="-57"/>
              <w:rPr>
                <w:rFonts w:eastAsia="Calibri"/>
                <w:sz w:val="22"/>
                <w:szCs w:val="22"/>
              </w:rPr>
            </w:pPr>
            <w:r>
              <w:rPr>
                <w:rFonts w:eastAsia="Calibri"/>
                <w:sz w:val="22"/>
                <w:szCs w:val="22"/>
              </w:rPr>
              <w:t>LT/1/16/3998/027 – N50</w:t>
            </w:r>
          </w:p>
          <w:p w14:paraId="15CDEA26" w14:textId="77777777" w:rsidR="00E021D7" w:rsidRDefault="009C1A2C">
            <w:pPr>
              <w:widowControl w:val="0"/>
              <w:ind w:left="-57" w:right="-57"/>
              <w:rPr>
                <w:rFonts w:eastAsia="Calibri"/>
                <w:sz w:val="22"/>
                <w:szCs w:val="22"/>
              </w:rPr>
            </w:pPr>
            <w:r>
              <w:rPr>
                <w:rFonts w:eastAsia="Calibri"/>
                <w:sz w:val="22"/>
                <w:szCs w:val="22"/>
              </w:rPr>
              <w:t>LT/1/16/3998/028 – N56</w:t>
            </w:r>
          </w:p>
          <w:p w14:paraId="179C7E23" w14:textId="77777777" w:rsidR="00E021D7" w:rsidRDefault="009C1A2C">
            <w:pPr>
              <w:widowControl w:val="0"/>
              <w:ind w:left="-57" w:right="-57"/>
              <w:rPr>
                <w:rFonts w:eastAsia="Calibri"/>
                <w:sz w:val="22"/>
                <w:szCs w:val="22"/>
              </w:rPr>
            </w:pPr>
            <w:r>
              <w:rPr>
                <w:rFonts w:eastAsia="Calibri"/>
                <w:sz w:val="22"/>
                <w:szCs w:val="22"/>
              </w:rPr>
              <w:t>LT/1/16/3998/029 – N60</w:t>
            </w:r>
          </w:p>
          <w:p w14:paraId="699FBF62" w14:textId="77777777" w:rsidR="00E021D7" w:rsidRDefault="009C1A2C">
            <w:pPr>
              <w:widowControl w:val="0"/>
              <w:ind w:left="-57" w:right="-57"/>
              <w:rPr>
                <w:rFonts w:eastAsia="Calibri"/>
                <w:sz w:val="22"/>
                <w:szCs w:val="22"/>
              </w:rPr>
            </w:pPr>
            <w:r>
              <w:rPr>
                <w:rFonts w:eastAsia="Calibri"/>
                <w:sz w:val="22"/>
                <w:szCs w:val="22"/>
              </w:rPr>
              <w:t>LT/1/16/3998/030 – N84</w:t>
            </w:r>
          </w:p>
          <w:p w14:paraId="307DF50F" w14:textId="77777777" w:rsidR="00E021D7" w:rsidRDefault="009C1A2C">
            <w:pPr>
              <w:widowControl w:val="0"/>
              <w:ind w:left="-57" w:right="-57"/>
              <w:rPr>
                <w:rFonts w:eastAsia="Calibri"/>
                <w:sz w:val="22"/>
                <w:szCs w:val="22"/>
              </w:rPr>
            </w:pPr>
            <w:r>
              <w:rPr>
                <w:rFonts w:eastAsia="Calibri"/>
                <w:sz w:val="22"/>
                <w:szCs w:val="22"/>
              </w:rPr>
              <w:t>LT/1/16/3998/031 – N98</w:t>
            </w:r>
          </w:p>
          <w:p w14:paraId="6B2F0DD9" w14:textId="77777777" w:rsidR="00E021D7" w:rsidRDefault="009C1A2C">
            <w:pPr>
              <w:widowControl w:val="0"/>
              <w:ind w:left="-57" w:right="-57"/>
              <w:rPr>
                <w:rFonts w:eastAsia="Calibri"/>
                <w:sz w:val="22"/>
                <w:szCs w:val="22"/>
              </w:rPr>
            </w:pPr>
            <w:r>
              <w:rPr>
                <w:rFonts w:eastAsia="Calibri"/>
                <w:sz w:val="22"/>
                <w:szCs w:val="22"/>
              </w:rPr>
              <w:t>LT/1/16/3998/032 – N100</w:t>
            </w:r>
          </w:p>
        </w:tc>
        <w:tc>
          <w:tcPr>
            <w:tcW w:w="2437" w:type="dxa"/>
          </w:tcPr>
          <w:p w14:paraId="07333007" w14:textId="77777777" w:rsidR="00E021D7" w:rsidRDefault="009C1A2C">
            <w:pPr>
              <w:widowControl w:val="0"/>
              <w:ind w:left="-57" w:right="-57"/>
              <w:rPr>
                <w:rFonts w:eastAsia="Calibri"/>
                <w:sz w:val="22"/>
                <w:szCs w:val="22"/>
                <w:u w:val="single"/>
              </w:rPr>
            </w:pPr>
            <w:r>
              <w:rPr>
                <w:rFonts w:eastAsia="Calibri"/>
                <w:sz w:val="22"/>
                <w:szCs w:val="22"/>
                <w:u w:val="single"/>
              </w:rPr>
              <w:t>120 mg</w:t>
            </w:r>
          </w:p>
          <w:p w14:paraId="51C62920" w14:textId="77777777" w:rsidR="00E021D7" w:rsidRDefault="009C1A2C">
            <w:pPr>
              <w:widowControl w:val="0"/>
              <w:ind w:left="-57" w:right="-57"/>
              <w:rPr>
                <w:rFonts w:eastAsia="Calibri"/>
                <w:sz w:val="22"/>
                <w:szCs w:val="22"/>
              </w:rPr>
            </w:pPr>
            <w:r>
              <w:rPr>
                <w:rFonts w:eastAsia="Calibri"/>
                <w:sz w:val="22"/>
                <w:szCs w:val="22"/>
              </w:rPr>
              <w:t>LT/1/16/3998/033 – N5</w:t>
            </w:r>
          </w:p>
          <w:p w14:paraId="3A248D63" w14:textId="77777777" w:rsidR="00E021D7" w:rsidRDefault="009C1A2C">
            <w:pPr>
              <w:widowControl w:val="0"/>
              <w:ind w:left="-57" w:right="-57"/>
              <w:rPr>
                <w:rFonts w:eastAsia="Calibri"/>
                <w:sz w:val="22"/>
                <w:szCs w:val="22"/>
              </w:rPr>
            </w:pPr>
            <w:r>
              <w:rPr>
                <w:rFonts w:eastAsia="Calibri"/>
                <w:sz w:val="22"/>
                <w:szCs w:val="22"/>
              </w:rPr>
              <w:t>LT/1/16/3998/034 – N7</w:t>
            </w:r>
          </w:p>
          <w:p w14:paraId="2750E3DC" w14:textId="77777777" w:rsidR="00E021D7" w:rsidRDefault="009C1A2C">
            <w:pPr>
              <w:widowControl w:val="0"/>
              <w:ind w:left="-57" w:right="-57"/>
              <w:rPr>
                <w:rFonts w:eastAsia="Calibri"/>
                <w:sz w:val="22"/>
                <w:szCs w:val="22"/>
              </w:rPr>
            </w:pPr>
            <w:r>
              <w:rPr>
                <w:rFonts w:eastAsia="Calibri"/>
                <w:sz w:val="22"/>
                <w:szCs w:val="22"/>
              </w:rPr>
              <w:t>LT/1/16/3998/035 – N14</w:t>
            </w:r>
          </w:p>
          <w:p w14:paraId="6542410B" w14:textId="77777777" w:rsidR="00E021D7" w:rsidRDefault="009C1A2C">
            <w:pPr>
              <w:widowControl w:val="0"/>
              <w:ind w:left="-57" w:right="-57"/>
              <w:rPr>
                <w:rFonts w:eastAsia="Calibri"/>
                <w:sz w:val="22"/>
                <w:szCs w:val="22"/>
              </w:rPr>
            </w:pPr>
            <w:r>
              <w:rPr>
                <w:rFonts w:eastAsia="Calibri"/>
                <w:sz w:val="22"/>
                <w:szCs w:val="22"/>
              </w:rPr>
              <w:t>LT/1/16/3998/036 – N20</w:t>
            </w:r>
          </w:p>
          <w:p w14:paraId="39C61FD5" w14:textId="77777777" w:rsidR="00E021D7" w:rsidRDefault="009C1A2C">
            <w:pPr>
              <w:widowControl w:val="0"/>
              <w:ind w:left="-57" w:right="-57"/>
              <w:rPr>
                <w:rFonts w:eastAsia="Calibri"/>
                <w:sz w:val="22"/>
                <w:szCs w:val="22"/>
              </w:rPr>
            </w:pPr>
            <w:r>
              <w:rPr>
                <w:rFonts w:eastAsia="Calibri"/>
                <w:sz w:val="22"/>
                <w:szCs w:val="22"/>
              </w:rPr>
              <w:t>LT/1/16/3998/037 – N28</w:t>
            </w:r>
          </w:p>
          <w:p w14:paraId="00C00A3F" w14:textId="77777777" w:rsidR="00E021D7" w:rsidRDefault="009C1A2C">
            <w:pPr>
              <w:widowControl w:val="0"/>
              <w:ind w:left="-57" w:right="-57"/>
              <w:rPr>
                <w:rFonts w:eastAsia="Calibri"/>
                <w:sz w:val="22"/>
                <w:szCs w:val="22"/>
              </w:rPr>
            </w:pPr>
            <w:r>
              <w:rPr>
                <w:rFonts w:eastAsia="Calibri"/>
                <w:sz w:val="22"/>
                <w:szCs w:val="22"/>
              </w:rPr>
              <w:t>LT/1/16/3998/038 – N30</w:t>
            </w:r>
          </w:p>
          <w:p w14:paraId="6255BA86" w14:textId="77777777" w:rsidR="00E021D7" w:rsidRDefault="009C1A2C">
            <w:pPr>
              <w:widowControl w:val="0"/>
              <w:ind w:left="-57" w:right="-57"/>
              <w:rPr>
                <w:rFonts w:eastAsia="Calibri"/>
                <w:sz w:val="22"/>
                <w:szCs w:val="22"/>
              </w:rPr>
            </w:pPr>
            <w:r>
              <w:rPr>
                <w:rFonts w:eastAsia="Calibri"/>
                <w:sz w:val="22"/>
                <w:szCs w:val="22"/>
              </w:rPr>
              <w:t>LT/1/16/3998/039 – N56</w:t>
            </w:r>
          </w:p>
          <w:p w14:paraId="0DE183E5" w14:textId="77777777" w:rsidR="00E021D7" w:rsidRDefault="009C1A2C">
            <w:pPr>
              <w:widowControl w:val="0"/>
              <w:ind w:left="-57" w:right="-57"/>
              <w:rPr>
                <w:rFonts w:eastAsia="Calibri"/>
                <w:sz w:val="22"/>
                <w:szCs w:val="22"/>
              </w:rPr>
            </w:pPr>
            <w:r>
              <w:rPr>
                <w:rFonts w:eastAsia="Calibri"/>
                <w:sz w:val="22"/>
                <w:szCs w:val="22"/>
              </w:rPr>
              <w:t>LT/1/16/3998/040 – N60</w:t>
            </w:r>
          </w:p>
          <w:p w14:paraId="1F8DA5A3" w14:textId="77777777" w:rsidR="00E021D7" w:rsidRDefault="009C1A2C">
            <w:pPr>
              <w:widowControl w:val="0"/>
              <w:ind w:left="-57" w:right="-57"/>
              <w:rPr>
                <w:rFonts w:eastAsia="Calibri"/>
                <w:sz w:val="22"/>
                <w:szCs w:val="22"/>
              </w:rPr>
            </w:pPr>
            <w:r>
              <w:rPr>
                <w:rFonts w:eastAsia="Calibri"/>
                <w:sz w:val="22"/>
                <w:szCs w:val="22"/>
              </w:rPr>
              <w:t>LT/1/16/3998/041 – N84</w:t>
            </w:r>
          </w:p>
          <w:p w14:paraId="18180F98" w14:textId="77777777" w:rsidR="00E021D7" w:rsidRDefault="009C1A2C">
            <w:pPr>
              <w:widowControl w:val="0"/>
              <w:ind w:left="-57" w:right="-57"/>
              <w:rPr>
                <w:rFonts w:eastAsia="Calibri"/>
                <w:sz w:val="22"/>
                <w:szCs w:val="22"/>
              </w:rPr>
            </w:pPr>
            <w:r>
              <w:rPr>
                <w:rFonts w:eastAsia="Calibri"/>
                <w:sz w:val="22"/>
                <w:szCs w:val="22"/>
              </w:rPr>
              <w:t>LT/1/16/3998/042 – N98</w:t>
            </w:r>
          </w:p>
          <w:p w14:paraId="6E1B0897" w14:textId="77777777" w:rsidR="00E021D7" w:rsidRDefault="009C1A2C">
            <w:pPr>
              <w:widowControl w:val="0"/>
              <w:ind w:left="-57" w:right="-57"/>
              <w:rPr>
                <w:rFonts w:eastAsia="Calibri"/>
                <w:sz w:val="22"/>
                <w:szCs w:val="22"/>
              </w:rPr>
            </w:pPr>
            <w:r>
              <w:rPr>
                <w:rFonts w:eastAsia="Calibri"/>
                <w:sz w:val="22"/>
                <w:szCs w:val="22"/>
              </w:rPr>
              <w:t>LT/1/16/3998/043 – N100</w:t>
            </w:r>
          </w:p>
          <w:p w14:paraId="1E2588E9" w14:textId="77777777" w:rsidR="00E021D7" w:rsidRDefault="009C1A2C">
            <w:pPr>
              <w:widowControl w:val="0"/>
              <w:ind w:left="-57" w:right="-57"/>
              <w:rPr>
                <w:rFonts w:eastAsia="Calibri"/>
                <w:sz w:val="22"/>
                <w:szCs w:val="22"/>
              </w:rPr>
            </w:pPr>
            <w:r>
              <w:rPr>
                <w:rFonts w:eastAsia="Calibri"/>
                <w:sz w:val="22"/>
                <w:szCs w:val="22"/>
              </w:rPr>
              <w:t>LT/1/16/3998/044 – N50</w:t>
            </w:r>
          </w:p>
          <w:p w14:paraId="21021675" w14:textId="77777777" w:rsidR="00E021D7" w:rsidRDefault="00E021D7">
            <w:pPr>
              <w:widowControl w:val="0"/>
              <w:ind w:left="-57" w:right="-57"/>
              <w:rPr>
                <w:rFonts w:eastAsia="Calibri"/>
                <w:sz w:val="22"/>
                <w:szCs w:val="22"/>
              </w:rPr>
            </w:pPr>
          </w:p>
        </w:tc>
      </w:tr>
    </w:tbl>
    <w:p w14:paraId="53076A61" w14:textId="77777777" w:rsidR="00E021D7" w:rsidRDefault="00E021D7">
      <w:pPr>
        <w:widowControl w:val="0"/>
        <w:spacing w:after="0" w:line="240" w:lineRule="auto"/>
        <w:rPr>
          <w:rFonts w:ascii="Times New Roman" w:eastAsia="Calibri" w:hAnsi="Times New Roman" w:cs="Times New Roman"/>
        </w:rPr>
      </w:pPr>
    </w:p>
    <w:p w14:paraId="5E88DE68" w14:textId="77777777" w:rsidR="00E021D7" w:rsidRDefault="00E021D7">
      <w:pPr>
        <w:widowControl w:val="0"/>
        <w:spacing w:after="0" w:line="240" w:lineRule="auto"/>
        <w:rPr>
          <w:rFonts w:ascii="Times New Roman" w:eastAsia="Calibri" w:hAnsi="Times New Roman" w:cs="Times New Roman"/>
        </w:rPr>
      </w:pPr>
    </w:p>
    <w:p w14:paraId="43C92D73" w14:textId="77777777" w:rsidR="00E021D7" w:rsidRDefault="009C1A2C">
      <w:pPr>
        <w:widowControl w:val="0"/>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REGISTRAVIMO / PERREGISTRAVIMO DATA</w:t>
      </w:r>
    </w:p>
    <w:p w14:paraId="17E15D50" w14:textId="77777777" w:rsidR="00E021D7" w:rsidRDefault="00E021D7">
      <w:pPr>
        <w:widowControl w:val="0"/>
        <w:spacing w:after="0" w:line="240" w:lineRule="auto"/>
        <w:rPr>
          <w:rFonts w:ascii="Times New Roman" w:eastAsia="Calibri" w:hAnsi="Times New Roman" w:cs="Times New Roman"/>
        </w:rPr>
      </w:pPr>
    </w:p>
    <w:p w14:paraId="3BC572F2" w14:textId="77777777" w:rsidR="00E021D7" w:rsidRDefault="009C1A2C">
      <w:pPr>
        <w:widowControl w:val="0"/>
        <w:tabs>
          <w:tab w:val="left" w:pos="1296"/>
        </w:tabs>
        <w:snapToGrid w:val="0"/>
        <w:spacing w:after="0" w:line="240" w:lineRule="auto"/>
        <w:rPr>
          <w:rFonts w:ascii="Times New Roman" w:eastAsia="Calibri" w:hAnsi="Times New Roman" w:cs="Times New Roman"/>
        </w:rPr>
      </w:pPr>
      <w:r>
        <w:rPr>
          <w:rFonts w:ascii="Times New Roman" w:eastAsia="Calibri" w:hAnsi="Times New Roman" w:cs="Times New Roman"/>
        </w:rPr>
        <w:t>Registravimo data 2016 m. lapkričio mėn. 10 d.</w:t>
      </w:r>
    </w:p>
    <w:p w14:paraId="20D78030" w14:textId="77777777" w:rsidR="00E021D7" w:rsidRDefault="009C1A2C">
      <w:pPr>
        <w:widowControl w:val="0"/>
        <w:spacing w:after="0" w:line="240" w:lineRule="auto"/>
        <w:rPr>
          <w:rFonts w:ascii="Times New Roman" w:hAnsi="Times New Roman" w:cs="Times New Roman"/>
          <w:noProof/>
          <w:snapToGrid w:val="0"/>
          <w:szCs w:val="24"/>
        </w:rPr>
      </w:pPr>
      <w:r>
        <w:rPr>
          <w:rFonts w:ascii="Times New Roman" w:hAnsi="Times New Roman" w:cs="Times New Roman"/>
          <w:noProof/>
          <w:snapToGrid w:val="0"/>
        </w:rPr>
        <w:t xml:space="preserve">Paskutinio </w:t>
      </w:r>
      <w:r>
        <w:rPr>
          <w:rFonts w:ascii="Times New Roman" w:hAnsi="Times New Roman" w:cs="Times New Roman"/>
          <w:noProof/>
          <w:snapToGrid w:val="0"/>
          <w:szCs w:val="24"/>
        </w:rPr>
        <w:t>perregistravimo data 2021 m. gruodžio 21 d.</w:t>
      </w:r>
    </w:p>
    <w:p w14:paraId="065D75DA" w14:textId="77777777" w:rsidR="00E021D7" w:rsidRDefault="00E021D7">
      <w:pPr>
        <w:widowControl w:val="0"/>
        <w:spacing w:after="0" w:line="240" w:lineRule="auto"/>
        <w:rPr>
          <w:rFonts w:ascii="Times New Roman" w:eastAsia="Calibri" w:hAnsi="Times New Roman" w:cs="Times New Roman"/>
        </w:rPr>
      </w:pPr>
    </w:p>
    <w:p w14:paraId="4A7ED974" w14:textId="77777777" w:rsidR="00E021D7" w:rsidRDefault="00E021D7">
      <w:pPr>
        <w:widowControl w:val="0"/>
        <w:spacing w:after="0" w:line="240" w:lineRule="auto"/>
        <w:rPr>
          <w:rFonts w:ascii="Times New Roman" w:eastAsia="Calibri" w:hAnsi="Times New Roman" w:cs="Times New Roman"/>
        </w:rPr>
      </w:pPr>
    </w:p>
    <w:p w14:paraId="7F6905E3" w14:textId="77777777" w:rsidR="00E021D7" w:rsidRDefault="009C1A2C">
      <w:pPr>
        <w:widowControl w:val="0"/>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p>
    <w:p w14:paraId="7B13D1FE" w14:textId="77777777" w:rsidR="00E021D7" w:rsidRDefault="00E021D7">
      <w:pPr>
        <w:widowControl w:val="0"/>
        <w:spacing w:after="0" w:line="240" w:lineRule="auto"/>
        <w:rPr>
          <w:rFonts w:ascii="Times New Roman" w:eastAsia="Calibri" w:hAnsi="Times New Roman" w:cs="Times New Roman"/>
        </w:rPr>
      </w:pPr>
    </w:p>
    <w:p w14:paraId="426BF948" w14:textId="3F5C61A7" w:rsidR="00E021D7" w:rsidRDefault="009C1A2C">
      <w:pPr>
        <w:widowControl w:val="0"/>
        <w:spacing w:after="0" w:line="240" w:lineRule="auto"/>
        <w:rPr>
          <w:rFonts w:ascii="Times New Roman" w:eastAsia="Calibri" w:hAnsi="Times New Roman" w:cs="Times New Roman"/>
        </w:rPr>
      </w:pPr>
      <w:r>
        <w:rPr>
          <w:rFonts w:ascii="Times New Roman" w:eastAsia="Calibri" w:hAnsi="Times New Roman" w:cs="Times New Roman"/>
        </w:rPr>
        <w:t>2026 m. balandžio 28 d.</w:t>
      </w:r>
    </w:p>
    <w:p w14:paraId="43470A4F" w14:textId="77777777" w:rsidR="00E021D7" w:rsidRDefault="00E021D7">
      <w:pPr>
        <w:widowControl w:val="0"/>
        <w:spacing w:after="0" w:line="240" w:lineRule="auto"/>
        <w:rPr>
          <w:rFonts w:ascii="Times New Roman" w:eastAsia="Calibri" w:hAnsi="Times New Roman" w:cs="Times New Roman"/>
        </w:rPr>
      </w:pPr>
    </w:p>
    <w:p w14:paraId="176359A9" w14:textId="77777777" w:rsidR="00E021D7" w:rsidRDefault="00E021D7">
      <w:pPr>
        <w:widowControl w:val="0"/>
        <w:spacing w:after="0" w:line="240" w:lineRule="auto"/>
        <w:rPr>
          <w:rFonts w:ascii="Times New Roman" w:eastAsia="Calibri" w:hAnsi="Times New Roman" w:cs="Times New Roman"/>
        </w:rPr>
      </w:pPr>
    </w:p>
    <w:p w14:paraId="59735D84" w14:textId="77777777" w:rsidR="00E021D7" w:rsidRDefault="009C1A2C">
      <w:pPr>
        <w:widowControl w:val="0"/>
        <w:tabs>
          <w:tab w:val="left" w:pos="5954"/>
          <w:tab w:val="left" w:pos="6237"/>
          <w:tab w:val="left" w:pos="6663"/>
          <w:tab w:val="left" w:pos="6946"/>
        </w:tabs>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rPr>
        <w:t xml:space="preserve"> </w:t>
      </w:r>
      <w:hyperlink r:id="rId9" w:history="1">
        <w:r>
          <w:rPr>
            <w:rFonts w:ascii="Times New Roman" w:eastAsia="Calibri" w:hAnsi="Times New Roman" w:cs="Times New Roman"/>
            <w:color w:val="0000FF"/>
            <w:u w:val="single"/>
          </w:rPr>
          <w:t>http://www.vvkt.lt</w:t>
        </w:r>
      </w:hyperlink>
    </w:p>
    <w:p w14:paraId="39D788D7" w14:textId="77777777" w:rsidR="00E021D7" w:rsidRDefault="009C1A2C">
      <w:pPr>
        <w:widowControl w:val="0"/>
        <w:tabs>
          <w:tab w:val="left" w:pos="567"/>
          <w:tab w:val="left" w:pos="5954"/>
          <w:tab w:val="left" w:pos="6237"/>
          <w:tab w:val="left" w:pos="6663"/>
          <w:tab w:val="left" w:pos="6946"/>
        </w:tabs>
        <w:spacing w:after="0" w:line="240" w:lineRule="auto"/>
        <w:jc w:val="center"/>
        <w:rPr>
          <w:rFonts w:ascii="Times New Roman" w:eastAsia="Calibri" w:hAnsi="Times New Roman" w:cs="Times New Roman"/>
        </w:rPr>
      </w:pPr>
      <w:r>
        <w:rPr>
          <w:rFonts w:ascii="Times New Roman" w:eastAsia="Calibri" w:hAnsi="Times New Roman" w:cs="Times New Roman"/>
          <w:color w:val="0000FF"/>
          <w:u w:val="single"/>
        </w:rPr>
        <w:br w:type="page"/>
      </w:r>
    </w:p>
    <w:p w14:paraId="1CA96B90"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A90236B"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76AB8ADF"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DFB8666"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55FB46C"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3996401"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0E9E733A"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FB72B05"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0FA4C6F"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7D5334A2"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7C1723C8"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1EC4B674"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7B985149"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1D7352DC"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C3E86C7"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5C57DB9"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7474FEBE"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75DA560"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E9E3282"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6048EE0"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7EA05B6"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7E9E4E5" w14:textId="77777777" w:rsidR="00E021D7" w:rsidRDefault="00E021D7">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1" w:name="_Toc129243128"/>
      <w:bookmarkStart w:id="2" w:name="_Toc129243253"/>
    </w:p>
    <w:p w14:paraId="52FEED7F" w14:textId="77777777" w:rsidR="00E021D7" w:rsidRDefault="00E021D7">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8EA05D8" w14:textId="77777777" w:rsidR="00E021D7" w:rsidRDefault="009C1A2C">
      <w:pPr>
        <w:widowControl w:val="0"/>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II PRIEDAS</w:t>
      </w:r>
      <w:bookmarkEnd w:id="1"/>
      <w:bookmarkEnd w:id="2"/>
    </w:p>
    <w:p w14:paraId="64EEE7BD" w14:textId="77777777" w:rsidR="00E021D7" w:rsidRDefault="00E021D7">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C3D274F" w14:textId="77777777" w:rsidR="00E021D7" w:rsidRDefault="009C1A2C">
      <w:pPr>
        <w:widowControl w:val="0"/>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 SĄLYGOS</w:t>
      </w:r>
    </w:p>
    <w:p w14:paraId="1119DFE3"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8AEC74E" w14:textId="77777777" w:rsidR="00E021D7" w:rsidRDefault="009C1A2C">
      <w:pPr>
        <w:widowControl w:val="0"/>
        <w:tabs>
          <w:tab w:val="left" w:pos="567"/>
          <w:tab w:val="left" w:pos="1701"/>
        </w:tabs>
        <w:spacing w:after="0" w:line="240" w:lineRule="auto"/>
        <w:ind w:left="1701" w:hanging="567"/>
        <w:rPr>
          <w:rFonts w:ascii="Times New Roman" w:eastAsia="Calibri" w:hAnsi="Times New Roman" w:cs="Times New Roman"/>
          <w:b/>
          <w:highlight w:val="yellow"/>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5420CBE2" w14:textId="77777777" w:rsidR="00E021D7" w:rsidRDefault="00E021D7">
      <w:pPr>
        <w:widowControl w:val="0"/>
        <w:tabs>
          <w:tab w:val="left" w:pos="567"/>
        </w:tabs>
        <w:spacing w:after="0" w:line="240" w:lineRule="auto"/>
        <w:rPr>
          <w:rFonts w:ascii="Times New Roman" w:eastAsia="Calibri" w:hAnsi="Times New Roman" w:cs="Times New Roman"/>
          <w:highlight w:val="yellow"/>
        </w:rPr>
      </w:pPr>
    </w:p>
    <w:p w14:paraId="093A810F" w14:textId="77777777" w:rsidR="00E021D7" w:rsidRDefault="009C1A2C">
      <w:pPr>
        <w:widowControl w:val="0"/>
        <w:tabs>
          <w:tab w:val="left" w:pos="567"/>
          <w:tab w:val="left" w:pos="1701"/>
        </w:tabs>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2475DBC4" w14:textId="77777777" w:rsidR="00E021D7" w:rsidRDefault="00E021D7">
      <w:pPr>
        <w:widowControl w:val="0"/>
        <w:tabs>
          <w:tab w:val="left" w:pos="567"/>
        </w:tabs>
        <w:spacing w:after="0" w:line="240" w:lineRule="auto"/>
        <w:jc w:val="center"/>
        <w:rPr>
          <w:rFonts w:ascii="Times New Roman" w:eastAsia="Calibri" w:hAnsi="Times New Roman" w:cs="Times New Roman"/>
          <w:highlight w:val="yellow"/>
        </w:rPr>
      </w:pPr>
    </w:p>
    <w:p w14:paraId="587CB456" w14:textId="77777777" w:rsidR="00E021D7" w:rsidRDefault="009C1A2C">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431F21AE" w14:textId="77777777" w:rsidR="00E021D7" w:rsidRDefault="00E021D7">
      <w:pPr>
        <w:widowControl w:val="0"/>
        <w:tabs>
          <w:tab w:val="left" w:pos="567"/>
        </w:tabs>
        <w:spacing w:after="0" w:line="240" w:lineRule="auto"/>
        <w:rPr>
          <w:rFonts w:ascii="Times New Roman" w:eastAsia="Calibri" w:hAnsi="Times New Roman" w:cs="Times New Roman"/>
          <w:highlight w:val="yellow"/>
        </w:rPr>
      </w:pPr>
    </w:p>
    <w:p w14:paraId="1C5BF345"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(i) ir adresas (i)</w:t>
      </w:r>
    </w:p>
    <w:p w14:paraId="0E90567E" w14:textId="77777777" w:rsidR="00E021D7" w:rsidRDefault="00E021D7">
      <w:pPr>
        <w:widowControl w:val="0"/>
        <w:tabs>
          <w:tab w:val="left" w:pos="425"/>
          <w:tab w:val="left" w:pos="567"/>
        </w:tabs>
        <w:spacing w:after="0" w:line="240" w:lineRule="auto"/>
        <w:rPr>
          <w:rFonts w:ascii="Times New Roman" w:eastAsia="Calibri" w:hAnsi="Times New Roman" w:cs="Times New Roman"/>
        </w:rPr>
      </w:pPr>
    </w:p>
    <w:p w14:paraId="5252CAA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4D347ECB"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71F118B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494D548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Slovėnija</w:t>
      </w:r>
    </w:p>
    <w:p w14:paraId="36B0C697" w14:textId="77777777" w:rsidR="00E021D7" w:rsidRDefault="00E021D7">
      <w:pPr>
        <w:widowControl w:val="0"/>
        <w:tabs>
          <w:tab w:val="left" w:pos="567"/>
        </w:tabs>
        <w:spacing w:after="0" w:line="240" w:lineRule="auto"/>
        <w:rPr>
          <w:rFonts w:ascii="Times New Roman" w:eastAsia="Calibri" w:hAnsi="Times New Roman" w:cs="Times New Roman"/>
        </w:rPr>
      </w:pPr>
    </w:p>
    <w:p w14:paraId="36BF58E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arba</w:t>
      </w:r>
    </w:p>
    <w:p w14:paraId="65C1C19F" w14:textId="77777777" w:rsidR="00E021D7" w:rsidRDefault="00E021D7">
      <w:pPr>
        <w:widowControl w:val="0"/>
        <w:tabs>
          <w:tab w:val="left" w:pos="567"/>
        </w:tabs>
        <w:spacing w:after="0" w:line="240" w:lineRule="auto"/>
        <w:rPr>
          <w:rFonts w:ascii="Times New Roman" w:eastAsia="Calibri" w:hAnsi="Times New Roman" w:cs="Times New Roman"/>
        </w:rPr>
      </w:pPr>
    </w:p>
    <w:p w14:paraId="552DE3B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TAD Pharma </w:t>
      </w:r>
      <w:proofErr w:type="spellStart"/>
      <w:r>
        <w:rPr>
          <w:rFonts w:ascii="Times New Roman" w:eastAsia="Calibri" w:hAnsi="Times New Roman" w:cs="Times New Roman"/>
        </w:rPr>
        <w:t>GmbH</w:t>
      </w:r>
      <w:proofErr w:type="spellEnd"/>
    </w:p>
    <w:p w14:paraId="5C853C4B"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Heinz-Lohmann-Straße</w:t>
      </w:r>
      <w:proofErr w:type="spellEnd"/>
      <w:r>
        <w:rPr>
          <w:rFonts w:ascii="Times New Roman" w:eastAsia="Calibri" w:hAnsi="Times New Roman" w:cs="Times New Roman"/>
        </w:rPr>
        <w:t xml:space="preserve"> 5</w:t>
      </w:r>
    </w:p>
    <w:p w14:paraId="7E66E32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27472 </w:t>
      </w:r>
      <w:proofErr w:type="spellStart"/>
      <w:r>
        <w:rPr>
          <w:rFonts w:ascii="Times New Roman" w:eastAsia="Calibri" w:hAnsi="Times New Roman" w:cs="Times New Roman"/>
        </w:rPr>
        <w:t>Cuxhaven</w:t>
      </w:r>
      <w:proofErr w:type="spellEnd"/>
    </w:p>
    <w:p w14:paraId="4C25748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Vokietija</w:t>
      </w:r>
    </w:p>
    <w:p w14:paraId="53F4811D" w14:textId="77777777" w:rsidR="00E021D7" w:rsidRDefault="00E021D7">
      <w:pPr>
        <w:widowControl w:val="0"/>
        <w:tabs>
          <w:tab w:val="left" w:pos="567"/>
        </w:tabs>
        <w:spacing w:after="0" w:line="240" w:lineRule="auto"/>
        <w:rPr>
          <w:rFonts w:ascii="Times New Roman" w:eastAsia="Calibri" w:hAnsi="Times New Roman" w:cs="Times New Roman"/>
          <w:highlight w:val="yellow"/>
        </w:rPr>
      </w:pPr>
    </w:p>
    <w:p w14:paraId="660A0B1A"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Su pakuote pateikiamame lapelyje nurodomas gamintojo, atsakingo už konkrečios serijos išleidimą, pavadinimas ir adresas.</w:t>
      </w:r>
    </w:p>
    <w:p w14:paraId="2A58CEEC" w14:textId="77777777" w:rsidR="00E021D7" w:rsidRDefault="00E021D7">
      <w:pPr>
        <w:widowControl w:val="0"/>
        <w:tabs>
          <w:tab w:val="left" w:pos="567"/>
        </w:tabs>
        <w:spacing w:after="0" w:line="240" w:lineRule="auto"/>
        <w:jc w:val="both"/>
        <w:rPr>
          <w:rFonts w:ascii="Times New Roman" w:eastAsia="Calibri" w:hAnsi="Times New Roman" w:cs="Times New Roman"/>
        </w:rPr>
      </w:pPr>
    </w:p>
    <w:p w14:paraId="2C06EB7C" w14:textId="77777777" w:rsidR="00E021D7" w:rsidRDefault="00E021D7">
      <w:pPr>
        <w:widowControl w:val="0"/>
        <w:tabs>
          <w:tab w:val="left" w:pos="567"/>
        </w:tabs>
        <w:spacing w:after="0" w:line="240" w:lineRule="auto"/>
        <w:rPr>
          <w:rFonts w:ascii="Times New Roman" w:eastAsia="Calibri" w:hAnsi="Times New Roman" w:cs="Times New Roman"/>
          <w:highlight w:val="yellow"/>
        </w:rPr>
      </w:pPr>
    </w:p>
    <w:p w14:paraId="2084ACEB" w14:textId="77777777" w:rsidR="00E021D7" w:rsidRDefault="009C1A2C">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1CEA880B" w14:textId="77777777" w:rsidR="00E021D7" w:rsidRDefault="00E021D7">
      <w:pPr>
        <w:widowControl w:val="0"/>
        <w:tabs>
          <w:tab w:val="left" w:pos="567"/>
        </w:tabs>
        <w:spacing w:after="0" w:line="240" w:lineRule="auto"/>
        <w:rPr>
          <w:rFonts w:ascii="Times New Roman" w:eastAsia="Calibri" w:hAnsi="Times New Roman" w:cs="Times New Roman"/>
        </w:rPr>
      </w:pPr>
    </w:p>
    <w:p w14:paraId="6C71CB3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Receptinis vaistinis preparatas.</w:t>
      </w:r>
    </w:p>
    <w:p w14:paraId="648DBFD1" w14:textId="77777777" w:rsidR="00E021D7" w:rsidRDefault="00E021D7">
      <w:pPr>
        <w:widowControl w:val="0"/>
        <w:tabs>
          <w:tab w:val="left" w:pos="567"/>
        </w:tabs>
        <w:spacing w:after="0" w:line="240" w:lineRule="auto"/>
        <w:rPr>
          <w:rFonts w:ascii="Times New Roman" w:eastAsia="Calibri" w:hAnsi="Times New Roman" w:cs="Times New Roman"/>
        </w:rPr>
      </w:pPr>
    </w:p>
    <w:p w14:paraId="2D048FAA" w14:textId="77777777" w:rsidR="00E021D7" w:rsidRDefault="009C1A2C">
      <w:pPr>
        <w:widowControl w:val="0"/>
        <w:tabs>
          <w:tab w:val="left" w:pos="567"/>
        </w:tabs>
        <w:spacing w:after="0" w:line="240" w:lineRule="auto"/>
        <w:jc w:val="center"/>
        <w:rPr>
          <w:rFonts w:ascii="Times New Roman" w:eastAsia="Calibri" w:hAnsi="Times New Roman" w:cs="Times New Roman"/>
        </w:rPr>
      </w:pPr>
      <w:r>
        <w:rPr>
          <w:rFonts w:ascii="Times New Roman" w:eastAsia="Calibri" w:hAnsi="Times New Roman" w:cs="Times New Roman"/>
        </w:rPr>
        <w:br w:type="page"/>
      </w:r>
    </w:p>
    <w:p w14:paraId="23084553"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0F584F75"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9ECE7DC"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087D125"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156F3357"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6113B3D"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E1A7A90"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18DCB344"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5D60015"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5DCE114D"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57A917C"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0A2C2C13"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5BA38933"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2BD3617D"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674FCAD4"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7B251FB9"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5A3EEDF2"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3B3B52ED"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6DE92B28"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25298E4D"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4644E1AF"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5B92DBE0"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2C0A1065"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rPr>
      </w:pPr>
    </w:p>
    <w:p w14:paraId="1923BB60" w14:textId="77777777" w:rsidR="00E021D7" w:rsidRDefault="009C1A2C">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III PRIEDAS</w:t>
      </w:r>
    </w:p>
    <w:p w14:paraId="0AD80CB3" w14:textId="77777777" w:rsidR="00E021D7" w:rsidRDefault="00E021D7">
      <w:pPr>
        <w:widowControl w:val="0"/>
        <w:tabs>
          <w:tab w:val="left" w:pos="567"/>
        </w:tabs>
        <w:spacing w:after="0" w:line="240" w:lineRule="auto"/>
        <w:jc w:val="center"/>
        <w:rPr>
          <w:rFonts w:ascii="Times New Roman" w:eastAsia="Calibri" w:hAnsi="Times New Roman" w:cs="Times New Roman"/>
          <w:b/>
        </w:rPr>
      </w:pPr>
    </w:p>
    <w:p w14:paraId="1D6BD2B2" w14:textId="77777777" w:rsidR="00E021D7" w:rsidRDefault="009C1A2C">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ŽENKLINIMAS IR PAKUOTĖS LAPELIS</w:t>
      </w:r>
    </w:p>
    <w:p w14:paraId="4C7EBBD3" w14:textId="77777777" w:rsidR="00E021D7" w:rsidRDefault="009C1A2C">
      <w:pPr>
        <w:widowControl w:val="0"/>
        <w:tabs>
          <w:tab w:val="left" w:pos="567"/>
        </w:tabs>
        <w:spacing w:after="0" w:line="240" w:lineRule="auto"/>
        <w:jc w:val="center"/>
        <w:rPr>
          <w:rFonts w:ascii="Times New Roman" w:eastAsia="Calibri" w:hAnsi="Times New Roman" w:cs="Times New Roman"/>
        </w:rPr>
      </w:pPr>
      <w:r>
        <w:rPr>
          <w:rFonts w:ascii="Times New Roman" w:eastAsia="Calibri" w:hAnsi="Times New Roman" w:cs="Times New Roman"/>
        </w:rPr>
        <w:br w:type="page"/>
      </w:r>
    </w:p>
    <w:p w14:paraId="34F85A3B"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6AA5556"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F989E28"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5CF83D2C"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A4F9641"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1A440A37"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F48A836"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6169FD5A"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3A294874"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5CCD4D0D"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B11CD6E"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0502C969"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56F56974"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1FDB7CB5"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24BDF01"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73B70C7E"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50672387"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1FCABF4C"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0198480"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DFCFDB0"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5D9D24F3"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709F5A36"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C54C4F3"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4B147784" w14:textId="77777777" w:rsidR="00E021D7" w:rsidRDefault="009C1A2C">
      <w:pPr>
        <w:widowControl w:val="0"/>
        <w:tabs>
          <w:tab w:val="left" w:pos="567"/>
        </w:tabs>
        <w:spacing w:after="0" w:line="240" w:lineRule="auto"/>
        <w:jc w:val="center"/>
        <w:outlineLvl w:val="0"/>
        <w:rPr>
          <w:rFonts w:ascii="Times New Roman" w:eastAsia="Calibri" w:hAnsi="Times New Roman" w:cs="Times New Roman"/>
        </w:rPr>
      </w:pPr>
      <w:r>
        <w:rPr>
          <w:rFonts w:ascii="Times New Roman" w:eastAsia="Calibri" w:hAnsi="Times New Roman" w:cs="Times New Roman"/>
          <w:b/>
        </w:rPr>
        <w:t>A. ŽENKLINIMAS</w:t>
      </w:r>
    </w:p>
    <w:p w14:paraId="6B39E99A" w14:textId="77777777" w:rsidR="00E021D7" w:rsidRDefault="009C1A2C">
      <w:pPr>
        <w:widowControl w:val="0"/>
        <w:shd w:val="clear" w:color="auto" w:fill="FFFFFF"/>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27C3B34E"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19C282A4" w14:textId="77777777" w:rsidR="00E021D7" w:rsidRDefault="00E021D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rPr>
      </w:pPr>
    </w:p>
    <w:p w14:paraId="561A961C"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Pr>
          <w:rFonts w:ascii="Times New Roman" w:eastAsia="Calibri" w:hAnsi="Times New Roman" w:cs="Times New Roman"/>
          <w:b/>
        </w:rPr>
        <w:t>KARTONO DĖŽUTĖ</w:t>
      </w:r>
    </w:p>
    <w:p w14:paraId="54FD836B" w14:textId="77777777" w:rsidR="00E021D7" w:rsidRDefault="00E021D7">
      <w:pPr>
        <w:widowControl w:val="0"/>
        <w:tabs>
          <w:tab w:val="left" w:pos="567"/>
        </w:tabs>
        <w:spacing w:after="0" w:line="240" w:lineRule="auto"/>
        <w:rPr>
          <w:rFonts w:ascii="Times New Roman" w:eastAsia="Calibri" w:hAnsi="Times New Roman" w:cs="Times New Roman"/>
        </w:rPr>
      </w:pPr>
    </w:p>
    <w:p w14:paraId="1CA77225" w14:textId="77777777" w:rsidR="00E021D7" w:rsidRDefault="00E021D7">
      <w:pPr>
        <w:widowControl w:val="0"/>
        <w:tabs>
          <w:tab w:val="left" w:pos="567"/>
        </w:tabs>
        <w:spacing w:after="0" w:line="240" w:lineRule="auto"/>
        <w:rPr>
          <w:rFonts w:ascii="Times New Roman" w:eastAsia="Calibri" w:hAnsi="Times New Roman" w:cs="Times New Roman"/>
        </w:rPr>
      </w:pPr>
    </w:p>
    <w:p w14:paraId="5ED2B9D9"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5530B3D0" w14:textId="77777777" w:rsidR="00E021D7" w:rsidRDefault="00E021D7">
      <w:pPr>
        <w:widowControl w:val="0"/>
        <w:tabs>
          <w:tab w:val="left" w:pos="567"/>
        </w:tabs>
        <w:spacing w:after="0" w:line="240" w:lineRule="auto"/>
        <w:rPr>
          <w:rFonts w:ascii="Times New Roman" w:eastAsia="Calibri" w:hAnsi="Times New Roman" w:cs="Times New Roman"/>
        </w:rPr>
      </w:pPr>
    </w:p>
    <w:p w14:paraId="486F27AD"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30 mg plėvele dengtos tabletės</w:t>
      </w:r>
    </w:p>
    <w:p w14:paraId="6B51EE03"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60 mg plėvele dengtos tabletės</w:t>
      </w:r>
    </w:p>
    <w:p w14:paraId="4124E4F2"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90 mg plėvele dengtos tabletės</w:t>
      </w:r>
    </w:p>
    <w:p w14:paraId="3F6FFB7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120 mg plėvele dengtos tabletės</w:t>
      </w:r>
    </w:p>
    <w:p w14:paraId="460FF9F9" w14:textId="77777777" w:rsidR="00E021D7" w:rsidRDefault="00E021D7">
      <w:pPr>
        <w:widowControl w:val="0"/>
        <w:tabs>
          <w:tab w:val="left" w:pos="567"/>
        </w:tabs>
        <w:spacing w:after="0" w:line="240" w:lineRule="auto"/>
        <w:rPr>
          <w:rFonts w:ascii="Times New Roman" w:eastAsia="Calibri" w:hAnsi="Times New Roman" w:cs="Times New Roman"/>
        </w:rPr>
      </w:pPr>
    </w:p>
    <w:p w14:paraId="6DF5A031"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etoricoxibum</w:t>
      </w:r>
      <w:proofErr w:type="spellEnd"/>
    </w:p>
    <w:p w14:paraId="030F76BC" w14:textId="77777777" w:rsidR="00E021D7" w:rsidRDefault="00E021D7">
      <w:pPr>
        <w:widowControl w:val="0"/>
        <w:tabs>
          <w:tab w:val="left" w:pos="567"/>
        </w:tabs>
        <w:spacing w:after="0" w:line="240" w:lineRule="auto"/>
        <w:rPr>
          <w:rFonts w:ascii="Times New Roman" w:eastAsia="Calibri" w:hAnsi="Times New Roman" w:cs="Times New Roman"/>
        </w:rPr>
      </w:pPr>
    </w:p>
    <w:p w14:paraId="034AB263" w14:textId="77777777" w:rsidR="00E021D7" w:rsidRDefault="00E021D7">
      <w:pPr>
        <w:widowControl w:val="0"/>
        <w:tabs>
          <w:tab w:val="left" w:pos="567"/>
        </w:tabs>
        <w:spacing w:after="0" w:line="240" w:lineRule="auto"/>
        <w:rPr>
          <w:rFonts w:ascii="Times New Roman" w:eastAsia="Calibri" w:hAnsi="Times New Roman" w:cs="Times New Roman"/>
        </w:rPr>
      </w:pPr>
    </w:p>
    <w:p w14:paraId="63AA3A42"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1489F2F5" w14:textId="77777777" w:rsidR="00E021D7" w:rsidRDefault="00E021D7">
      <w:pPr>
        <w:widowControl w:val="0"/>
        <w:tabs>
          <w:tab w:val="left" w:pos="567"/>
        </w:tabs>
        <w:spacing w:after="0" w:line="240" w:lineRule="auto"/>
        <w:rPr>
          <w:rFonts w:ascii="Times New Roman" w:eastAsia="Calibri" w:hAnsi="Times New Roman" w:cs="Times New Roman"/>
        </w:rPr>
      </w:pPr>
    </w:p>
    <w:p w14:paraId="0B3A4BF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Kiekvienoje plėvele dengtoje tabletėje yra 30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w:t>
      </w:r>
    </w:p>
    <w:p w14:paraId="56801319"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 xml:space="preserve">Kiekvienoje plėvele dengtoje tabletėje yra 60 mg </w:t>
      </w:r>
      <w:proofErr w:type="spellStart"/>
      <w:r>
        <w:rPr>
          <w:rFonts w:ascii="Times New Roman" w:eastAsia="Calibri" w:hAnsi="Times New Roman" w:cs="Times New Roman"/>
          <w:highlight w:val="lightGray"/>
        </w:rPr>
        <w:t>etorikoksibo</w:t>
      </w:r>
      <w:proofErr w:type="spellEnd"/>
      <w:r>
        <w:rPr>
          <w:rFonts w:ascii="Times New Roman" w:eastAsia="Calibri" w:hAnsi="Times New Roman" w:cs="Times New Roman"/>
          <w:highlight w:val="lightGray"/>
        </w:rPr>
        <w:t>.</w:t>
      </w:r>
    </w:p>
    <w:p w14:paraId="0A6988EB"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 xml:space="preserve">Kiekvienoje plėvele dengtoje tabletėje yra 90 mg </w:t>
      </w:r>
      <w:proofErr w:type="spellStart"/>
      <w:r>
        <w:rPr>
          <w:rFonts w:ascii="Times New Roman" w:eastAsia="Calibri" w:hAnsi="Times New Roman" w:cs="Times New Roman"/>
          <w:highlight w:val="lightGray"/>
        </w:rPr>
        <w:t>etorikoksibo</w:t>
      </w:r>
      <w:proofErr w:type="spellEnd"/>
      <w:r>
        <w:rPr>
          <w:rFonts w:ascii="Times New Roman" w:eastAsia="Calibri" w:hAnsi="Times New Roman" w:cs="Times New Roman"/>
          <w:highlight w:val="lightGray"/>
        </w:rPr>
        <w:t>.</w:t>
      </w:r>
    </w:p>
    <w:p w14:paraId="0DB642E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 xml:space="preserve">Kiekvienoje plėvele dengtoje tabletėje yra 120 mg </w:t>
      </w:r>
      <w:proofErr w:type="spellStart"/>
      <w:r>
        <w:rPr>
          <w:rFonts w:ascii="Times New Roman" w:eastAsia="Calibri" w:hAnsi="Times New Roman" w:cs="Times New Roman"/>
          <w:highlight w:val="lightGray"/>
        </w:rPr>
        <w:t>etorikoksibo</w:t>
      </w:r>
      <w:proofErr w:type="spellEnd"/>
      <w:r>
        <w:rPr>
          <w:rFonts w:ascii="Times New Roman" w:eastAsia="Calibri" w:hAnsi="Times New Roman" w:cs="Times New Roman"/>
          <w:highlight w:val="lightGray"/>
        </w:rPr>
        <w:t>.</w:t>
      </w:r>
    </w:p>
    <w:p w14:paraId="2430DC0D" w14:textId="77777777" w:rsidR="00E021D7" w:rsidRDefault="00E021D7">
      <w:pPr>
        <w:widowControl w:val="0"/>
        <w:tabs>
          <w:tab w:val="left" w:pos="567"/>
        </w:tabs>
        <w:spacing w:after="0" w:line="240" w:lineRule="auto"/>
        <w:rPr>
          <w:rFonts w:ascii="Times New Roman" w:eastAsia="Calibri" w:hAnsi="Times New Roman" w:cs="Times New Roman"/>
        </w:rPr>
      </w:pPr>
    </w:p>
    <w:p w14:paraId="0176B38C" w14:textId="77777777" w:rsidR="00E021D7" w:rsidRDefault="00E021D7">
      <w:pPr>
        <w:widowControl w:val="0"/>
        <w:tabs>
          <w:tab w:val="left" w:pos="567"/>
        </w:tabs>
        <w:spacing w:after="0" w:line="240" w:lineRule="auto"/>
        <w:rPr>
          <w:rFonts w:ascii="Times New Roman" w:eastAsia="Calibri" w:hAnsi="Times New Roman" w:cs="Times New Roman"/>
        </w:rPr>
      </w:pPr>
    </w:p>
    <w:p w14:paraId="41D2A6A6"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49500F43" w14:textId="77777777" w:rsidR="00E021D7" w:rsidRDefault="00E021D7">
      <w:pPr>
        <w:widowControl w:val="0"/>
        <w:tabs>
          <w:tab w:val="left" w:pos="567"/>
        </w:tabs>
        <w:spacing w:after="0" w:line="240" w:lineRule="auto"/>
        <w:rPr>
          <w:rFonts w:ascii="Times New Roman" w:eastAsia="Calibri" w:hAnsi="Times New Roman" w:cs="Times New Roman"/>
        </w:rPr>
      </w:pPr>
    </w:p>
    <w:p w14:paraId="1F66644B" w14:textId="77777777" w:rsidR="00E021D7" w:rsidRDefault="00E021D7">
      <w:pPr>
        <w:widowControl w:val="0"/>
        <w:tabs>
          <w:tab w:val="left" w:pos="567"/>
        </w:tabs>
        <w:spacing w:after="0" w:line="240" w:lineRule="auto"/>
        <w:rPr>
          <w:rFonts w:ascii="Times New Roman" w:eastAsia="Calibri" w:hAnsi="Times New Roman" w:cs="Times New Roman"/>
        </w:rPr>
      </w:pPr>
    </w:p>
    <w:p w14:paraId="36225AC0"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5F0058DB" w14:textId="77777777" w:rsidR="00E021D7" w:rsidRDefault="00E021D7">
      <w:pPr>
        <w:widowControl w:val="0"/>
        <w:tabs>
          <w:tab w:val="left" w:pos="567"/>
          <w:tab w:val="left" w:pos="1296"/>
        </w:tabs>
        <w:spacing w:after="0" w:line="240" w:lineRule="auto"/>
        <w:rPr>
          <w:rFonts w:ascii="Times New Roman" w:eastAsia="Calibri" w:hAnsi="Times New Roman" w:cs="Times New Roman"/>
        </w:rPr>
      </w:pPr>
    </w:p>
    <w:p w14:paraId="2B5DB2FC" w14:textId="77777777" w:rsidR="00E021D7" w:rsidRDefault="009C1A2C">
      <w:pPr>
        <w:widowControl w:val="0"/>
        <w:tabs>
          <w:tab w:val="left" w:pos="567"/>
        </w:tabs>
        <w:autoSpaceDE w:val="0"/>
        <w:autoSpaceDN w:val="0"/>
        <w:adjustRightInd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Plėvele dengta tabletė</w:t>
      </w:r>
    </w:p>
    <w:p w14:paraId="44A836D4" w14:textId="77777777" w:rsidR="00E021D7" w:rsidRDefault="00E021D7">
      <w:pPr>
        <w:widowControl w:val="0"/>
        <w:tabs>
          <w:tab w:val="left" w:pos="567"/>
        </w:tabs>
        <w:autoSpaceDE w:val="0"/>
        <w:autoSpaceDN w:val="0"/>
        <w:adjustRightInd w:val="0"/>
        <w:spacing w:after="0" w:line="240" w:lineRule="auto"/>
        <w:rPr>
          <w:rFonts w:ascii="Times New Roman" w:eastAsia="Calibri" w:hAnsi="Times New Roman" w:cs="Times New Roman"/>
          <w:highlight w:val="lightGray"/>
        </w:rPr>
      </w:pPr>
    </w:p>
    <w:p w14:paraId="044C2F39" w14:textId="77777777" w:rsidR="00E021D7" w:rsidRDefault="009C1A2C">
      <w:pPr>
        <w:widowControl w:val="0"/>
        <w:tabs>
          <w:tab w:val="left" w:pos="1440"/>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w:t>
      </w:r>
      <w:r>
        <w:rPr>
          <w:rFonts w:ascii="Times New Roman" w:hAnsi="Times New Roman"/>
          <w:b/>
        </w:rPr>
        <w:t>30 mg</w:t>
      </w:r>
      <w:r>
        <w:rPr>
          <w:rFonts w:ascii="Times New Roman" w:eastAsia="Calibri" w:hAnsi="Times New Roman" w:cs="Times New Roman"/>
          <w:b/>
        </w:rPr>
        <w:t xml:space="preserve"> plėvele dengtos tabletės</w:t>
      </w:r>
    </w:p>
    <w:p w14:paraId="79BC46C4" w14:textId="77777777" w:rsidR="00E021D7" w:rsidRDefault="009C1A2C">
      <w:pPr>
        <w:widowControl w:val="0"/>
        <w:tabs>
          <w:tab w:val="left" w:pos="1440"/>
        </w:tabs>
        <w:spacing w:after="0" w:line="240" w:lineRule="auto"/>
        <w:rPr>
          <w:rFonts w:ascii="Times New Roman" w:eastAsia="Calibri" w:hAnsi="Times New Roman" w:cs="Times New Roman"/>
        </w:rPr>
      </w:pPr>
      <w:r>
        <w:rPr>
          <w:rFonts w:ascii="Times New Roman" w:eastAsia="Calibri" w:hAnsi="Times New Roman" w:cs="Times New Roman"/>
        </w:rPr>
        <w:t xml:space="preserve">7 </w:t>
      </w:r>
      <w:r>
        <w:rPr>
          <w:rFonts w:ascii="Times New Roman" w:eastAsia="Calibri" w:hAnsi="Times New Roman" w:cs="Times New Roman"/>
          <w:highlight w:val="lightGray"/>
        </w:rPr>
        <w:t>plėvele dengtos</w:t>
      </w:r>
      <w:r>
        <w:rPr>
          <w:rFonts w:ascii="Times New Roman" w:eastAsia="Calibri" w:hAnsi="Times New Roman" w:cs="Times New Roman"/>
        </w:rPr>
        <w:t xml:space="preserve"> tabletės</w:t>
      </w:r>
    </w:p>
    <w:p w14:paraId="46F3BBB9"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14 plėvele dengtų tablečių</w:t>
      </w:r>
    </w:p>
    <w:p w14:paraId="0F757F0D"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28 plėvele dengtos tabletės</w:t>
      </w:r>
    </w:p>
    <w:p w14:paraId="2997DD35"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30 plėvele dengtų tablečių</w:t>
      </w:r>
    </w:p>
    <w:p w14:paraId="420DF8AB"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56 plėvele dengtos tabletės</w:t>
      </w:r>
    </w:p>
    <w:p w14:paraId="2D099DBA"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60 plėvele dengtų tablečių</w:t>
      </w:r>
    </w:p>
    <w:p w14:paraId="64F4A7BC"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84 plėvele dengtos tabletės</w:t>
      </w:r>
    </w:p>
    <w:p w14:paraId="18D3B5DC"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98 plėvele dengtos tabletės</w:t>
      </w:r>
    </w:p>
    <w:p w14:paraId="0CF4753E"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100 plėvele dengtų tablečių</w:t>
      </w:r>
    </w:p>
    <w:p w14:paraId="19428778" w14:textId="77777777" w:rsidR="00E021D7" w:rsidRDefault="00E021D7">
      <w:pPr>
        <w:widowControl w:val="0"/>
        <w:spacing w:after="0" w:line="240" w:lineRule="auto"/>
        <w:rPr>
          <w:rFonts w:ascii="Times New Roman" w:eastAsia="Calibri" w:hAnsi="Times New Roman" w:cs="Times New Roman"/>
          <w:highlight w:val="lightGray"/>
        </w:rPr>
      </w:pPr>
    </w:p>
    <w:p w14:paraId="2853C60F" w14:textId="77777777" w:rsidR="00E021D7" w:rsidRDefault="009C1A2C">
      <w:pPr>
        <w:widowControl w:val="0"/>
        <w:tabs>
          <w:tab w:val="left" w:pos="1440"/>
        </w:tabs>
        <w:spacing w:after="0" w:line="240" w:lineRule="auto"/>
        <w:rPr>
          <w:rFonts w:ascii="Times New Roman" w:eastAsia="Calibri" w:hAnsi="Times New Roman" w:cs="Times New Roman"/>
          <w:b/>
          <w:highlight w:val="lightGray"/>
        </w:rPr>
      </w:pPr>
      <w:proofErr w:type="spellStart"/>
      <w:r>
        <w:rPr>
          <w:rFonts w:ascii="Times New Roman" w:eastAsia="Calibri" w:hAnsi="Times New Roman" w:cs="Times New Roman"/>
          <w:b/>
          <w:highlight w:val="lightGray"/>
        </w:rPr>
        <w:t>Bericox</w:t>
      </w:r>
      <w:proofErr w:type="spellEnd"/>
      <w:r>
        <w:rPr>
          <w:rFonts w:ascii="Times New Roman" w:eastAsia="Calibri" w:hAnsi="Times New Roman" w:cs="Times New Roman"/>
          <w:b/>
          <w:highlight w:val="lightGray"/>
        </w:rPr>
        <w:t xml:space="preserve"> 60 mg plėvele dengtos tabletės</w:t>
      </w:r>
    </w:p>
    <w:p w14:paraId="30E20185"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7 plėvele dengtos tabletės</w:t>
      </w:r>
    </w:p>
    <w:p w14:paraId="69611D83"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14 plėvele dengtų tablečių</w:t>
      </w:r>
    </w:p>
    <w:p w14:paraId="4DB60E65"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20 plėvele dengtų tablečių</w:t>
      </w:r>
    </w:p>
    <w:p w14:paraId="5C53106E"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28 plėvele dengtos tabletės</w:t>
      </w:r>
    </w:p>
    <w:p w14:paraId="79AA40B2"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30 plėvele dengtų tablečių</w:t>
      </w:r>
    </w:p>
    <w:p w14:paraId="1380ECB8"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50 plėvele dengtų tablečių</w:t>
      </w:r>
    </w:p>
    <w:p w14:paraId="540612A7"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56 plėvele dengtos tabletės</w:t>
      </w:r>
    </w:p>
    <w:p w14:paraId="08067946"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60 plėvele dengtų tablečių</w:t>
      </w:r>
    </w:p>
    <w:p w14:paraId="7B67156B"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84 plėvele dengtos tabletės</w:t>
      </w:r>
    </w:p>
    <w:p w14:paraId="3CADA368"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98 plėvele dengtos tabletės</w:t>
      </w:r>
    </w:p>
    <w:p w14:paraId="6C62983B"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100 plėvele dengtų tablečių</w:t>
      </w:r>
    </w:p>
    <w:p w14:paraId="1D770C44" w14:textId="77777777" w:rsidR="00E021D7" w:rsidRDefault="00E021D7">
      <w:pPr>
        <w:widowControl w:val="0"/>
        <w:spacing w:after="0" w:line="240" w:lineRule="auto"/>
        <w:rPr>
          <w:rFonts w:ascii="Times New Roman" w:eastAsia="Calibri" w:hAnsi="Times New Roman" w:cs="Times New Roman"/>
          <w:highlight w:val="lightGray"/>
        </w:rPr>
      </w:pPr>
    </w:p>
    <w:p w14:paraId="7B1E57DA" w14:textId="77777777" w:rsidR="00E021D7" w:rsidRDefault="009C1A2C">
      <w:pPr>
        <w:widowControl w:val="0"/>
        <w:tabs>
          <w:tab w:val="left" w:pos="1440"/>
        </w:tabs>
        <w:spacing w:after="0" w:line="240" w:lineRule="auto"/>
        <w:rPr>
          <w:rFonts w:ascii="Times New Roman" w:eastAsia="Calibri" w:hAnsi="Times New Roman" w:cs="Times New Roman"/>
          <w:b/>
          <w:highlight w:val="lightGray"/>
        </w:rPr>
      </w:pPr>
      <w:proofErr w:type="spellStart"/>
      <w:r>
        <w:rPr>
          <w:rFonts w:ascii="Times New Roman" w:eastAsia="Calibri" w:hAnsi="Times New Roman" w:cs="Times New Roman"/>
          <w:b/>
          <w:highlight w:val="lightGray"/>
        </w:rPr>
        <w:t>Bericox</w:t>
      </w:r>
      <w:proofErr w:type="spellEnd"/>
      <w:r>
        <w:rPr>
          <w:rFonts w:ascii="Times New Roman" w:eastAsia="Calibri" w:hAnsi="Times New Roman" w:cs="Times New Roman"/>
          <w:b/>
          <w:highlight w:val="lightGray"/>
        </w:rPr>
        <w:t xml:space="preserve"> 90 mg plėvele dengtos tabletės</w:t>
      </w:r>
    </w:p>
    <w:p w14:paraId="561D4D84"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 plėvele dengtos tabletės</w:t>
      </w:r>
    </w:p>
    <w:p w14:paraId="3D339C97"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lastRenderedPageBreak/>
        <w:t>7 plėvele dengtos tabletės</w:t>
      </w:r>
    </w:p>
    <w:p w14:paraId="000B2C51"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14 plėvele dengtų tablečių</w:t>
      </w:r>
    </w:p>
    <w:p w14:paraId="47AFE2A3"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20 plėvele dengtų tablečių</w:t>
      </w:r>
    </w:p>
    <w:p w14:paraId="41965E6F"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28 plėvele dengtos tabletės</w:t>
      </w:r>
    </w:p>
    <w:p w14:paraId="40B199EC"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30 plėvele dengtų tablečių</w:t>
      </w:r>
    </w:p>
    <w:p w14:paraId="786AC527"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50 plėvele dengtų tablečių</w:t>
      </w:r>
    </w:p>
    <w:p w14:paraId="331A61E1"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56 plėvele dengtos tabletės</w:t>
      </w:r>
    </w:p>
    <w:p w14:paraId="1629C032"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60 plėvele dengtų tablečių</w:t>
      </w:r>
    </w:p>
    <w:p w14:paraId="5ABEEE44"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84 plėvele dengtos tabletės</w:t>
      </w:r>
    </w:p>
    <w:p w14:paraId="69C79811"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98 plėvele dengtos tabletės</w:t>
      </w:r>
    </w:p>
    <w:p w14:paraId="2921BD90"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100 plėvele dengtų tablečių</w:t>
      </w:r>
    </w:p>
    <w:p w14:paraId="0E71FAAF" w14:textId="77777777" w:rsidR="00E021D7" w:rsidRDefault="00E021D7">
      <w:pPr>
        <w:widowControl w:val="0"/>
        <w:spacing w:after="0" w:line="240" w:lineRule="auto"/>
        <w:rPr>
          <w:rFonts w:ascii="Times New Roman" w:eastAsia="Calibri" w:hAnsi="Times New Roman" w:cs="Times New Roman"/>
          <w:highlight w:val="lightGray"/>
        </w:rPr>
      </w:pPr>
    </w:p>
    <w:p w14:paraId="45AAB5FC" w14:textId="77777777" w:rsidR="00E021D7" w:rsidRDefault="009C1A2C">
      <w:pPr>
        <w:widowControl w:val="0"/>
        <w:tabs>
          <w:tab w:val="left" w:pos="1440"/>
        </w:tabs>
        <w:spacing w:after="0" w:line="240" w:lineRule="auto"/>
        <w:rPr>
          <w:rFonts w:ascii="Times New Roman" w:eastAsia="Calibri" w:hAnsi="Times New Roman" w:cs="Times New Roman"/>
          <w:b/>
          <w:highlight w:val="lightGray"/>
        </w:rPr>
      </w:pPr>
      <w:proofErr w:type="spellStart"/>
      <w:r>
        <w:rPr>
          <w:rFonts w:ascii="Times New Roman" w:eastAsia="Calibri" w:hAnsi="Times New Roman" w:cs="Times New Roman"/>
          <w:b/>
          <w:highlight w:val="lightGray"/>
        </w:rPr>
        <w:t>Bericox</w:t>
      </w:r>
      <w:proofErr w:type="spellEnd"/>
      <w:r>
        <w:rPr>
          <w:rFonts w:ascii="Times New Roman" w:eastAsia="Calibri" w:hAnsi="Times New Roman" w:cs="Times New Roman"/>
          <w:b/>
          <w:highlight w:val="lightGray"/>
        </w:rPr>
        <w:t xml:space="preserve"> 120 mg plėvele dengtos tabletės</w:t>
      </w:r>
    </w:p>
    <w:p w14:paraId="4114570B"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 plėvele dengtos tabletės</w:t>
      </w:r>
    </w:p>
    <w:p w14:paraId="445C1A50"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7 plėvele dengtos tabletės</w:t>
      </w:r>
    </w:p>
    <w:p w14:paraId="1C6A3652"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14 plėvele dengtų tablečių</w:t>
      </w:r>
    </w:p>
    <w:p w14:paraId="31B2B7AA"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20 plėvele dengtų tablečių</w:t>
      </w:r>
    </w:p>
    <w:p w14:paraId="303CC05D"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28 plėvele dengtos tabletės</w:t>
      </w:r>
    </w:p>
    <w:p w14:paraId="25AC6DD4"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30 plėvele dengtų tablečių</w:t>
      </w:r>
    </w:p>
    <w:p w14:paraId="62FE20C6"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50 plėvele dengtų tablečių</w:t>
      </w:r>
    </w:p>
    <w:p w14:paraId="4A3C4610"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56 plėvele dengtos tabletės</w:t>
      </w:r>
    </w:p>
    <w:p w14:paraId="0558B081"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60 plėvele dengtų tablečių</w:t>
      </w:r>
    </w:p>
    <w:p w14:paraId="3677EC6D"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84 plėvele dengtos tabletės</w:t>
      </w:r>
    </w:p>
    <w:p w14:paraId="31B5E7D7"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98 plėvele dengtos tabletės</w:t>
      </w:r>
    </w:p>
    <w:p w14:paraId="2A8BFF92" w14:textId="77777777" w:rsidR="00E021D7" w:rsidRDefault="009C1A2C">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100 plėvele dengtų tablečių</w:t>
      </w:r>
    </w:p>
    <w:p w14:paraId="57D83D0F" w14:textId="77777777" w:rsidR="00E021D7" w:rsidRDefault="00E021D7">
      <w:pPr>
        <w:widowControl w:val="0"/>
        <w:tabs>
          <w:tab w:val="left" w:pos="567"/>
        </w:tabs>
        <w:autoSpaceDE w:val="0"/>
        <w:autoSpaceDN w:val="0"/>
        <w:adjustRightInd w:val="0"/>
        <w:spacing w:after="0" w:line="240" w:lineRule="auto"/>
        <w:rPr>
          <w:rFonts w:ascii="Times New Roman" w:eastAsia="Calibri" w:hAnsi="Times New Roman" w:cs="Times New Roman"/>
        </w:rPr>
      </w:pPr>
    </w:p>
    <w:p w14:paraId="1DAB4B0F" w14:textId="77777777" w:rsidR="00E021D7" w:rsidRDefault="00E021D7">
      <w:pPr>
        <w:widowControl w:val="0"/>
        <w:tabs>
          <w:tab w:val="left" w:pos="567"/>
        </w:tabs>
        <w:spacing w:after="0" w:line="240" w:lineRule="auto"/>
        <w:rPr>
          <w:rFonts w:ascii="Times New Roman" w:eastAsia="Calibri" w:hAnsi="Times New Roman" w:cs="Times New Roman"/>
        </w:rPr>
      </w:pPr>
    </w:p>
    <w:p w14:paraId="4F6B336C"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5EA0A02E" w14:textId="77777777" w:rsidR="00E021D7" w:rsidRDefault="00E021D7">
      <w:pPr>
        <w:widowControl w:val="0"/>
        <w:tabs>
          <w:tab w:val="left" w:pos="567"/>
        </w:tabs>
        <w:spacing w:after="0" w:line="240" w:lineRule="auto"/>
        <w:rPr>
          <w:rFonts w:ascii="Times New Roman" w:eastAsia="Calibri" w:hAnsi="Times New Roman" w:cs="Times New Roman"/>
          <w:i/>
        </w:rPr>
      </w:pPr>
    </w:p>
    <w:p w14:paraId="532DFEC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2693A14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089F3F92" w14:textId="77777777" w:rsidR="00E021D7" w:rsidRDefault="00E021D7">
      <w:pPr>
        <w:widowControl w:val="0"/>
        <w:tabs>
          <w:tab w:val="left" w:pos="567"/>
        </w:tabs>
        <w:spacing w:after="0" w:line="240" w:lineRule="auto"/>
        <w:rPr>
          <w:rFonts w:ascii="Times New Roman" w:eastAsia="Calibri" w:hAnsi="Times New Roman" w:cs="Times New Roman"/>
        </w:rPr>
      </w:pPr>
    </w:p>
    <w:p w14:paraId="6056738B" w14:textId="77777777" w:rsidR="00E021D7" w:rsidRDefault="00E021D7">
      <w:pPr>
        <w:widowControl w:val="0"/>
        <w:tabs>
          <w:tab w:val="left" w:pos="567"/>
        </w:tabs>
        <w:spacing w:after="0" w:line="240" w:lineRule="auto"/>
        <w:rPr>
          <w:rFonts w:ascii="Times New Roman" w:eastAsia="Calibri" w:hAnsi="Times New Roman" w:cs="Times New Roman"/>
        </w:rPr>
      </w:pPr>
    </w:p>
    <w:p w14:paraId="6F9B7B7A" w14:textId="77777777" w:rsidR="00E021D7" w:rsidRDefault="009C1A2C">
      <w:pPr>
        <w:widowControl w:val="0"/>
        <w:pBdr>
          <w:top w:val="single" w:sz="4" w:space="0"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3ADCEB4F" w14:textId="77777777" w:rsidR="00E021D7" w:rsidRDefault="00E021D7">
      <w:pPr>
        <w:widowControl w:val="0"/>
        <w:tabs>
          <w:tab w:val="left" w:pos="567"/>
        </w:tabs>
        <w:spacing w:after="0" w:line="240" w:lineRule="auto"/>
        <w:rPr>
          <w:rFonts w:ascii="Times New Roman" w:eastAsia="Calibri" w:hAnsi="Times New Roman" w:cs="Times New Roman"/>
        </w:rPr>
      </w:pPr>
    </w:p>
    <w:p w14:paraId="483C166E"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443566E8" w14:textId="77777777" w:rsidR="00E021D7" w:rsidRDefault="00E021D7">
      <w:pPr>
        <w:widowControl w:val="0"/>
        <w:tabs>
          <w:tab w:val="left" w:pos="567"/>
        </w:tabs>
        <w:spacing w:after="0" w:line="240" w:lineRule="auto"/>
        <w:rPr>
          <w:rFonts w:ascii="Times New Roman" w:eastAsia="Calibri" w:hAnsi="Times New Roman" w:cs="Times New Roman"/>
        </w:rPr>
      </w:pPr>
    </w:p>
    <w:p w14:paraId="4FB9B02A" w14:textId="77777777" w:rsidR="00E021D7" w:rsidRDefault="00E021D7">
      <w:pPr>
        <w:widowControl w:val="0"/>
        <w:tabs>
          <w:tab w:val="left" w:pos="567"/>
        </w:tabs>
        <w:spacing w:after="0" w:line="240" w:lineRule="auto"/>
        <w:rPr>
          <w:rFonts w:ascii="Times New Roman" w:eastAsia="Calibri" w:hAnsi="Times New Roman" w:cs="Times New Roman"/>
        </w:rPr>
      </w:pPr>
    </w:p>
    <w:p w14:paraId="21A82BF4"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4BAAEA4F" w14:textId="77777777" w:rsidR="00E021D7" w:rsidRDefault="00E021D7">
      <w:pPr>
        <w:widowControl w:val="0"/>
        <w:tabs>
          <w:tab w:val="left" w:pos="567"/>
        </w:tabs>
        <w:spacing w:after="0" w:line="240" w:lineRule="auto"/>
        <w:rPr>
          <w:rFonts w:ascii="Times New Roman" w:eastAsia="Calibri" w:hAnsi="Times New Roman" w:cs="Times New Roman"/>
        </w:rPr>
      </w:pPr>
    </w:p>
    <w:p w14:paraId="76EBBB27" w14:textId="77777777" w:rsidR="00E021D7" w:rsidRDefault="00E021D7">
      <w:pPr>
        <w:widowControl w:val="0"/>
        <w:tabs>
          <w:tab w:val="left" w:pos="567"/>
        </w:tabs>
        <w:spacing w:after="0" w:line="240" w:lineRule="auto"/>
        <w:rPr>
          <w:rFonts w:ascii="Times New Roman" w:eastAsia="Calibri" w:hAnsi="Times New Roman" w:cs="Times New Roman"/>
        </w:rPr>
      </w:pPr>
    </w:p>
    <w:p w14:paraId="4C77BAEF"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8.</w:t>
      </w:r>
      <w:r>
        <w:rPr>
          <w:rFonts w:ascii="Times New Roman" w:eastAsia="Calibri" w:hAnsi="Times New Roman" w:cs="Times New Roman"/>
          <w:b/>
        </w:rPr>
        <w:tab/>
        <w:t>TINKAMUMO LAIKAS</w:t>
      </w:r>
    </w:p>
    <w:p w14:paraId="284B2EBA" w14:textId="77777777" w:rsidR="00E021D7" w:rsidRDefault="00E021D7">
      <w:pPr>
        <w:widowControl w:val="0"/>
        <w:tabs>
          <w:tab w:val="left" w:pos="567"/>
        </w:tabs>
        <w:spacing w:after="0" w:line="240" w:lineRule="auto"/>
        <w:rPr>
          <w:rFonts w:ascii="Times New Roman" w:eastAsia="Calibri" w:hAnsi="Times New Roman" w:cs="Times New Roman"/>
        </w:rPr>
      </w:pPr>
    </w:p>
    <w:p w14:paraId="674C6F7B" w14:textId="77777777" w:rsidR="00E021D7" w:rsidRDefault="009C1A2C">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EXP &lt;mm/MMMM&gt;</w:t>
      </w:r>
    </w:p>
    <w:p w14:paraId="7A5DC0AF"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Tinka iki &lt;mm/MMMM&gt;</w:t>
      </w:r>
    </w:p>
    <w:p w14:paraId="79B5F534" w14:textId="77777777" w:rsidR="00E021D7" w:rsidRDefault="00E021D7">
      <w:pPr>
        <w:widowControl w:val="0"/>
        <w:tabs>
          <w:tab w:val="left" w:pos="567"/>
        </w:tabs>
        <w:spacing w:after="0" w:line="240" w:lineRule="auto"/>
        <w:rPr>
          <w:rFonts w:ascii="Times New Roman" w:eastAsia="Calibri" w:hAnsi="Times New Roman" w:cs="Times New Roman"/>
        </w:rPr>
      </w:pPr>
    </w:p>
    <w:p w14:paraId="548CC101" w14:textId="77777777" w:rsidR="00E021D7" w:rsidRDefault="00E021D7">
      <w:pPr>
        <w:widowControl w:val="0"/>
        <w:tabs>
          <w:tab w:val="left" w:pos="567"/>
        </w:tabs>
        <w:spacing w:after="0" w:line="240" w:lineRule="auto"/>
        <w:rPr>
          <w:rFonts w:ascii="Times New Roman" w:eastAsia="Calibri" w:hAnsi="Times New Roman" w:cs="Times New Roman"/>
        </w:rPr>
      </w:pPr>
    </w:p>
    <w:p w14:paraId="36D5199B"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b/>
        </w:rPr>
        <w:t>9.</w:t>
      </w:r>
      <w:r>
        <w:rPr>
          <w:rFonts w:ascii="Times New Roman" w:eastAsia="Calibri" w:hAnsi="Times New Roman" w:cs="Times New Roman"/>
          <w:b/>
        </w:rPr>
        <w:tab/>
      </w:r>
      <w:r>
        <w:rPr>
          <w:rFonts w:ascii="Times New Roman" w:eastAsia="Calibri" w:hAnsi="Times New Roman" w:cs="Times New Roman"/>
          <w:b/>
          <w:caps/>
        </w:rPr>
        <w:t>SPECIALIOS laikymo sąlygos</w:t>
      </w:r>
    </w:p>
    <w:p w14:paraId="28442BC6" w14:textId="77777777" w:rsidR="00E021D7" w:rsidRDefault="00E021D7">
      <w:pPr>
        <w:widowControl w:val="0"/>
        <w:tabs>
          <w:tab w:val="left" w:pos="567"/>
        </w:tabs>
        <w:spacing w:after="0" w:line="240" w:lineRule="auto"/>
        <w:rPr>
          <w:rFonts w:ascii="Times New Roman" w:eastAsia="Calibri" w:hAnsi="Times New Roman" w:cs="Times New Roman"/>
        </w:rPr>
      </w:pPr>
    </w:p>
    <w:p w14:paraId="5A5003F3"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4AB463E2"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r>
      <w:r>
        <w:rPr>
          <w:rFonts w:ascii="Times New Roman" w:eastAsia="Calibri" w:hAnsi="Times New Roman" w:cs="Times New Roman"/>
          <w:b/>
          <w:caps/>
        </w:rPr>
        <w:t>specialios atsargumo priemonės</w:t>
      </w:r>
      <w:r>
        <w:rPr>
          <w:rFonts w:ascii="Times New Roman" w:eastAsia="Calibri" w:hAnsi="Times New Roman" w:cs="Times New Roman"/>
          <w:b/>
        </w:rPr>
        <w:t xml:space="preserve"> DĖL NESUVARTOTO</w:t>
      </w:r>
      <w:r>
        <w:rPr>
          <w:rFonts w:ascii="Times New Roman" w:eastAsia="Calibri" w:hAnsi="Times New Roman" w:cs="Times New Roman"/>
          <w:b/>
          <w:caps/>
        </w:rPr>
        <w:t xml:space="preserve"> VAISTINIO PREPARATO AR JO ATLIEKŲ TVARKYMO</w:t>
      </w:r>
      <w:r>
        <w:rPr>
          <w:rFonts w:ascii="Times New Roman" w:eastAsia="Calibri" w:hAnsi="Times New Roman" w:cs="Times New Roman"/>
          <w:caps/>
        </w:rPr>
        <w:t xml:space="preserve"> </w:t>
      </w:r>
      <w:r>
        <w:rPr>
          <w:rFonts w:ascii="Times New Roman" w:eastAsia="Calibri" w:hAnsi="Times New Roman" w:cs="Times New Roman"/>
          <w:b/>
          <w:caps/>
        </w:rPr>
        <w:t>(jei reikia)</w:t>
      </w:r>
    </w:p>
    <w:p w14:paraId="0568B071" w14:textId="77777777" w:rsidR="00E021D7" w:rsidRDefault="00E021D7">
      <w:pPr>
        <w:widowControl w:val="0"/>
        <w:tabs>
          <w:tab w:val="left" w:pos="567"/>
        </w:tabs>
        <w:spacing w:after="0" w:line="240" w:lineRule="auto"/>
        <w:rPr>
          <w:rFonts w:ascii="Times New Roman" w:eastAsia="Calibri" w:hAnsi="Times New Roman" w:cs="Times New Roman"/>
        </w:rPr>
      </w:pPr>
    </w:p>
    <w:p w14:paraId="1C45A2A3" w14:textId="77777777" w:rsidR="00E021D7" w:rsidRDefault="00E021D7">
      <w:pPr>
        <w:widowControl w:val="0"/>
        <w:tabs>
          <w:tab w:val="left" w:pos="567"/>
        </w:tabs>
        <w:spacing w:after="0" w:line="240" w:lineRule="auto"/>
        <w:rPr>
          <w:rFonts w:ascii="Times New Roman" w:eastAsia="Calibri" w:hAnsi="Times New Roman" w:cs="Times New Roman"/>
        </w:rPr>
      </w:pPr>
    </w:p>
    <w:p w14:paraId="367D1AE9"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lastRenderedPageBreak/>
        <w:t>11.</w:t>
      </w:r>
      <w:r>
        <w:rPr>
          <w:rFonts w:ascii="Times New Roman" w:eastAsia="Calibri" w:hAnsi="Times New Roman" w:cs="Times New Roman"/>
          <w:b/>
        </w:rPr>
        <w:tab/>
      </w:r>
      <w:r>
        <w:rPr>
          <w:rFonts w:ascii="Times New Roman" w:eastAsia="Calibri" w:hAnsi="Times New Roman" w:cs="Times New Roman"/>
          <w:b/>
          <w:caps/>
        </w:rPr>
        <w:t>REGISTRUOTOJO pavadinimas ir adresas</w:t>
      </w:r>
    </w:p>
    <w:p w14:paraId="787E325C" w14:textId="77777777" w:rsidR="00E021D7" w:rsidRDefault="00E021D7">
      <w:pPr>
        <w:widowControl w:val="0"/>
        <w:tabs>
          <w:tab w:val="left" w:pos="567"/>
        </w:tabs>
        <w:spacing w:after="0" w:line="240" w:lineRule="auto"/>
        <w:rPr>
          <w:rFonts w:ascii="Times New Roman" w:eastAsia="Calibri" w:hAnsi="Times New Roman" w:cs="Times New Roman"/>
        </w:rPr>
      </w:pPr>
    </w:p>
    <w:p w14:paraId="1C5EEBD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008A2053"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4E06D0B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7682D28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Slovėnija</w:t>
      </w:r>
    </w:p>
    <w:p w14:paraId="13D3719E" w14:textId="77777777" w:rsidR="00E021D7" w:rsidRDefault="00E021D7">
      <w:pPr>
        <w:widowControl w:val="0"/>
        <w:tabs>
          <w:tab w:val="left" w:pos="567"/>
        </w:tabs>
        <w:spacing w:after="0" w:line="240" w:lineRule="auto"/>
        <w:rPr>
          <w:rFonts w:ascii="Times New Roman" w:eastAsia="Calibri" w:hAnsi="Times New Roman" w:cs="Times New Roman"/>
        </w:rPr>
      </w:pPr>
    </w:p>
    <w:p w14:paraId="31BA7585" w14:textId="77777777" w:rsidR="00E021D7" w:rsidRDefault="00E021D7">
      <w:pPr>
        <w:widowControl w:val="0"/>
        <w:tabs>
          <w:tab w:val="left" w:pos="567"/>
        </w:tabs>
        <w:spacing w:after="0" w:line="240" w:lineRule="auto"/>
        <w:rPr>
          <w:rFonts w:ascii="Times New Roman" w:eastAsia="Calibri" w:hAnsi="Times New Roman" w:cs="Times New Roman"/>
        </w:rPr>
      </w:pPr>
    </w:p>
    <w:p w14:paraId="593B2EDB"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r>
      <w:r>
        <w:rPr>
          <w:rFonts w:ascii="Times New Roman" w:eastAsia="Calibri" w:hAnsi="Times New Roman" w:cs="Times New Roman"/>
          <w:b/>
          <w:caps/>
        </w:rPr>
        <w:t>REGISTRACIJOS PAŽYMĖJIMO numeris (-IAI)</w:t>
      </w:r>
    </w:p>
    <w:p w14:paraId="4E816299" w14:textId="77777777" w:rsidR="00E021D7" w:rsidRDefault="00E021D7">
      <w:pPr>
        <w:widowControl w:val="0"/>
        <w:tabs>
          <w:tab w:val="left" w:pos="567"/>
        </w:tabs>
        <w:spacing w:after="0" w:line="240" w:lineRule="auto"/>
        <w:rPr>
          <w:rFonts w:ascii="Times New Roman" w:eastAsia="Calibri" w:hAnsi="Times New Roman" w:cs="Times New Roman"/>
        </w:rPr>
      </w:pPr>
    </w:p>
    <w:p w14:paraId="54B055A8" w14:textId="77777777" w:rsidR="00E021D7" w:rsidRDefault="009C1A2C">
      <w:pPr>
        <w:widowControl w:val="0"/>
        <w:spacing w:after="0" w:line="240" w:lineRule="auto"/>
        <w:rPr>
          <w:rFonts w:ascii="Times New Roman" w:hAnsi="Times New Roman"/>
          <w:u w:val="single"/>
        </w:rPr>
      </w:pPr>
      <w:r>
        <w:rPr>
          <w:rFonts w:ascii="Times New Roman" w:hAnsi="Times New Roman"/>
          <w:highlight w:val="lightGray"/>
          <w:u w:val="single"/>
        </w:rPr>
        <w:t>30 mg</w:t>
      </w:r>
    </w:p>
    <w:p w14:paraId="0BD2F237"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rPr>
        <w:t xml:space="preserve">LT/1/16/3998/001 </w:t>
      </w:r>
      <w:r>
        <w:rPr>
          <w:rFonts w:ascii="Times New Roman" w:hAnsi="Times New Roman"/>
          <w:shd w:val="clear" w:color="auto" w:fill="D9D9D9" w:themeFill="background1" w:themeFillShade="D9"/>
        </w:rPr>
        <w:t>– N7</w:t>
      </w:r>
    </w:p>
    <w:p w14:paraId="36A2D5D6"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LT/1/16/3998/002 – N14</w:t>
      </w:r>
    </w:p>
    <w:p w14:paraId="1FF252E1"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LT/1/16/3998/003 – N28</w:t>
      </w:r>
    </w:p>
    <w:p w14:paraId="2E6236F0"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LT/1/16/3998/004 – N30</w:t>
      </w:r>
    </w:p>
    <w:p w14:paraId="08E26DAE"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LT/1/16/3998/005 – N56</w:t>
      </w:r>
    </w:p>
    <w:p w14:paraId="7196738A"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LT/1/16/3998/006 – N60</w:t>
      </w:r>
    </w:p>
    <w:p w14:paraId="33DB7257"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LT/1/16/3998/007 – N84</w:t>
      </w:r>
    </w:p>
    <w:p w14:paraId="04BE3B2A"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LT/1/16/3998/008 – N98</w:t>
      </w:r>
    </w:p>
    <w:p w14:paraId="10F07FA5"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LT/1/16/3998/009 – N100</w:t>
      </w:r>
    </w:p>
    <w:p w14:paraId="755D980F" w14:textId="77777777" w:rsidR="00E021D7" w:rsidRDefault="00E021D7">
      <w:pPr>
        <w:widowControl w:val="0"/>
        <w:tabs>
          <w:tab w:val="left" w:pos="567"/>
        </w:tabs>
        <w:spacing w:after="0" w:line="240" w:lineRule="auto"/>
        <w:rPr>
          <w:rFonts w:ascii="Times New Roman" w:hAnsi="Times New Roman"/>
        </w:rPr>
      </w:pPr>
    </w:p>
    <w:p w14:paraId="229F5D5B" w14:textId="77777777" w:rsidR="00E021D7" w:rsidRDefault="009C1A2C">
      <w:pPr>
        <w:widowControl w:val="0"/>
        <w:tabs>
          <w:tab w:val="left" w:pos="567"/>
        </w:tabs>
        <w:spacing w:after="0" w:line="240" w:lineRule="auto"/>
        <w:rPr>
          <w:rFonts w:ascii="Times New Roman" w:hAnsi="Times New Roman"/>
          <w:highlight w:val="lightGray"/>
          <w:u w:val="single"/>
        </w:rPr>
      </w:pPr>
      <w:r>
        <w:rPr>
          <w:rFonts w:ascii="Times New Roman" w:hAnsi="Times New Roman"/>
          <w:highlight w:val="lightGray"/>
          <w:u w:val="single"/>
        </w:rPr>
        <w:t>60 mg</w:t>
      </w:r>
    </w:p>
    <w:p w14:paraId="56CD20BB"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rPr>
        <w:t xml:space="preserve">LT/1/16/3998/010 </w:t>
      </w:r>
      <w:r>
        <w:rPr>
          <w:rFonts w:ascii="Times New Roman" w:hAnsi="Times New Roman"/>
          <w:shd w:val="clear" w:color="auto" w:fill="D9D9D9" w:themeFill="background1" w:themeFillShade="D9"/>
        </w:rPr>
        <w:t>– N7</w:t>
      </w:r>
    </w:p>
    <w:p w14:paraId="166D9A60"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LT/1/16/3998/011 – N14</w:t>
      </w:r>
    </w:p>
    <w:p w14:paraId="05C812B2"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LT/1/16/3998/012 – N20</w:t>
      </w:r>
    </w:p>
    <w:p w14:paraId="6781E485"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LT/1/16/3998/013 – N28</w:t>
      </w:r>
    </w:p>
    <w:p w14:paraId="7D28A272"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LT/1/16/3998/014 – N30</w:t>
      </w:r>
    </w:p>
    <w:p w14:paraId="1AECF158"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LT/1/16/3998/015 – N50</w:t>
      </w:r>
    </w:p>
    <w:p w14:paraId="0EF36F40"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LT/1/16/3998/016 – N56</w:t>
      </w:r>
    </w:p>
    <w:p w14:paraId="2BFF9928"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LT/1/16/3998/017 – N60</w:t>
      </w:r>
    </w:p>
    <w:p w14:paraId="07A36223"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LT/1/16/3998/018 – N84</w:t>
      </w:r>
    </w:p>
    <w:p w14:paraId="21F87A96"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LT/1/16/3998/019 – N98</w:t>
      </w:r>
    </w:p>
    <w:p w14:paraId="548383DD"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LT/1/16/3998/020 – N100</w:t>
      </w:r>
    </w:p>
    <w:p w14:paraId="5466980A" w14:textId="77777777" w:rsidR="00E021D7" w:rsidRDefault="00E021D7">
      <w:pPr>
        <w:widowControl w:val="0"/>
        <w:tabs>
          <w:tab w:val="left" w:pos="567"/>
        </w:tabs>
        <w:spacing w:after="0" w:line="240" w:lineRule="auto"/>
        <w:rPr>
          <w:rFonts w:ascii="Times New Roman" w:hAnsi="Times New Roman"/>
        </w:rPr>
      </w:pPr>
    </w:p>
    <w:p w14:paraId="7EE3A0E7" w14:textId="77777777" w:rsidR="00E021D7" w:rsidRDefault="009C1A2C">
      <w:pPr>
        <w:widowControl w:val="0"/>
        <w:tabs>
          <w:tab w:val="left" w:pos="567"/>
        </w:tabs>
        <w:spacing w:after="0" w:line="240" w:lineRule="auto"/>
        <w:rPr>
          <w:rFonts w:ascii="Times New Roman" w:hAnsi="Times New Roman"/>
          <w:highlight w:val="lightGray"/>
          <w:u w:val="single"/>
        </w:rPr>
      </w:pPr>
      <w:r>
        <w:rPr>
          <w:rFonts w:ascii="Times New Roman" w:hAnsi="Times New Roman"/>
          <w:highlight w:val="lightGray"/>
          <w:u w:val="single"/>
        </w:rPr>
        <w:t>90 mg</w:t>
      </w:r>
    </w:p>
    <w:p w14:paraId="7DA0C5FC"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rPr>
        <w:t xml:space="preserve">LT/1/16/3998/021 </w:t>
      </w:r>
      <w:r>
        <w:rPr>
          <w:rFonts w:ascii="Times New Roman" w:hAnsi="Times New Roman"/>
          <w:shd w:val="clear" w:color="auto" w:fill="D9D9D9" w:themeFill="background1" w:themeFillShade="D9"/>
        </w:rPr>
        <w:t>– N5</w:t>
      </w:r>
    </w:p>
    <w:p w14:paraId="1BD84F5B"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LT/1/16/3998/022 – N7</w:t>
      </w:r>
    </w:p>
    <w:p w14:paraId="546924CF"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LT/1/16/3998/023 – N14</w:t>
      </w:r>
    </w:p>
    <w:p w14:paraId="60B5EF5D"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LT/1/16/3998/024 – N20</w:t>
      </w:r>
    </w:p>
    <w:p w14:paraId="3EACBEA4"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LT/1/16/3998/025 – N28</w:t>
      </w:r>
    </w:p>
    <w:p w14:paraId="041A7D16"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LT/1/16/3998/026 – N30</w:t>
      </w:r>
    </w:p>
    <w:p w14:paraId="073D70DD"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LT/1/16/3998/027 – N50</w:t>
      </w:r>
    </w:p>
    <w:p w14:paraId="5B1F86C8"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LT/1/16/3998/028 – N56</w:t>
      </w:r>
    </w:p>
    <w:p w14:paraId="63827ED8"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LT/1/16/3998/029 – N60</w:t>
      </w:r>
    </w:p>
    <w:p w14:paraId="20491CA8"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LT/1/16/3998/030 – N84</w:t>
      </w:r>
    </w:p>
    <w:p w14:paraId="2FDD19FF"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LT/1/16/3998/031 – N98</w:t>
      </w:r>
    </w:p>
    <w:p w14:paraId="503B119E"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LT/1/16/3998/032 – N100</w:t>
      </w:r>
    </w:p>
    <w:p w14:paraId="051FCD44" w14:textId="77777777" w:rsidR="00E021D7" w:rsidRDefault="00E021D7">
      <w:pPr>
        <w:widowControl w:val="0"/>
        <w:tabs>
          <w:tab w:val="left" w:pos="567"/>
        </w:tabs>
        <w:spacing w:after="0" w:line="240" w:lineRule="auto"/>
        <w:rPr>
          <w:rFonts w:ascii="Times New Roman" w:hAnsi="Times New Roman"/>
        </w:rPr>
      </w:pPr>
    </w:p>
    <w:p w14:paraId="30126EA3" w14:textId="77777777" w:rsidR="00E021D7" w:rsidRDefault="009C1A2C">
      <w:pPr>
        <w:widowControl w:val="0"/>
        <w:tabs>
          <w:tab w:val="left" w:pos="567"/>
        </w:tabs>
        <w:spacing w:after="0" w:line="240" w:lineRule="auto"/>
        <w:rPr>
          <w:rFonts w:ascii="Times New Roman" w:hAnsi="Times New Roman"/>
          <w:highlight w:val="lightGray"/>
          <w:u w:val="single"/>
        </w:rPr>
      </w:pPr>
      <w:r>
        <w:rPr>
          <w:rFonts w:ascii="Times New Roman" w:hAnsi="Times New Roman"/>
          <w:highlight w:val="lightGray"/>
          <w:u w:val="single"/>
        </w:rPr>
        <w:t>120 mg</w:t>
      </w:r>
    </w:p>
    <w:p w14:paraId="4E2B4140"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rPr>
        <w:t xml:space="preserve">LT/1/16/3998/033 </w:t>
      </w:r>
      <w:r>
        <w:rPr>
          <w:rFonts w:ascii="Times New Roman" w:hAnsi="Times New Roman"/>
          <w:shd w:val="clear" w:color="auto" w:fill="D9D9D9" w:themeFill="background1" w:themeFillShade="D9"/>
        </w:rPr>
        <w:t>– N5</w:t>
      </w:r>
    </w:p>
    <w:p w14:paraId="6C730C83"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LT/1/16/3998/034 – N7</w:t>
      </w:r>
    </w:p>
    <w:p w14:paraId="14B3FCBF"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LT/1/16/3998/035 – N14</w:t>
      </w:r>
    </w:p>
    <w:p w14:paraId="57F3E84D"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LT/1/16/3998/036 – N20</w:t>
      </w:r>
    </w:p>
    <w:p w14:paraId="4323C5A9"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LT/1/16/3998/037 – N28</w:t>
      </w:r>
    </w:p>
    <w:p w14:paraId="4E62CF9E"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LT/1/16/3998/038 – N30</w:t>
      </w:r>
    </w:p>
    <w:p w14:paraId="3FC3B777"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LT/1/16/3998/039 – N56</w:t>
      </w:r>
    </w:p>
    <w:p w14:paraId="52622C9E"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LT/1/16/3998/040 – N60</w:t>
      </w:r>
    </w:p>
    <w:p w14:paraId="1B5681D1"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lastRenderedPageBreak/>
        <w:t>LT/1/16/3998/041 – N84</w:t>
      </w:r>
    </w:p>
    <w:p w14:paraId="60BEEF4A"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LT/1/16/3998/042 – N98</w:t>
      </w:r>
    </w:p>
    <w:p w14:paraId="17EEC4D9"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LT/1/16/3998/043 – N100</w:t>
      </w:r>
    </w:p>
    <w:p w14:paraId="3E027FF0" w14:textId="77777777" w:rsidR="00E021D7" w:rsidRDefault="009C1A2C">
      <w:pPr>
        <w:widowControl w:val="0"/>
        <w:tabs>
          <w:tab w:val="left" w:pos="567"/>
        </w:tabs>
        <w:spacing w:after="0" w:line="240" w:lineRule="auto"/>
        <w:rPr>
          <w:rFonts w:ascii="Times New Roman" w:hAnsi="Times New Roman"/>
          <w:shd w:val="clear" w:color="auto" w:fill="D9D9D9" w:themeFill="background1" w:themeFillShade="D9"/>
        </w:rPr>
      </w:pPr>
      <w:r>
        <w:rPr>
          <w:rFonts w:ascii="Times New Roman" w:hAnsi="Times New Roman"/>
          <w:shd w:val="clear" w:color="auto" w:fill="D9D9D9" w:themeFill="background1" w:themeFillShade="D9"/>
        </w:rPr>
        <w:t>LT/1/16/3998/044 – N50</w:t>
      </w:r>
    </w:p>
    <w:p w14:paraId="00F3027E" w14:textId="77777777" w:rsidR="00E021D7" w:rsidRDefault="00E021D7">
      <w:pPr>
        <w:widowControl w:val="0"/>
        <w:tabs>
          <w:tab w:val="left" w:pos="567"/>
        </w:tabs>
        <w:spacing w:after="0" w:line="240" w:lineRule="auto"/>
        <w:rPr>
          <w:rFonts w:ascii="Times New Roman" w:hAnsi="Times New Roman"/>
          <w:shd w:val="clear" w:color="auto" w:fill="D9D9D9" w:themeFill="background1" w:themeFillShade="D9"/>
        </w:rPr>
      </w:pPr>
    </w:p>
    <w:p w14:paraId="05B34942" w14:textId="77777777" w:rsidR="00E021D7" w:rsidRDefault="00E021D7">
      <w:pPr>
        <w:widowControl w:val="0"/>
        <w:tabs>
          <w:tab w:val="left" w:pos="567"/>
        </w:tabs>
        <w:spacing w:after="0" w:line="240" w:lineRule="auto"/>
        <w:rPr>
          <w:rFonts w:ascii="Times New Roman" w:eastAsia="Calibri" w:hAnsi="Times New Roman" w:cs="Times New Roman"/>
        </w:rPr>
      </w:pPr>
    </w:p>
    <w:p w14:paraId="4A0E2645"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b/>
        </w:rPr>
        <w:t>13.</w:t>
      </w:r>
      <w:r>
        <w:rPr>
          <w:rFonts w:ascii="Times New Roman" w:eastAsia="Calibri" w:hAnsi="Times New Roman" w:cs="Times New Roman"/>
          <w:b/>
        </w:rPr>
        <w:tab/>
        <w:t>SERIJOS NUMERIS</w:t>
      </w:r>
    </w:p>
    <w:p w14:paraId="1BDEFA5F" w14:textId="77777777" w:rsidR="00E021D7" w:rsidRDefault="00E021D7">
      <w:pPr>
        <w:widowControl w:val="0"/>
        <w:tabs>
          <w:tab w:val="left" w:pos="567"/>
        </w:tabs>
        <w:spacing w:after="0" w:line="240" w:lineRule="auto"/>
        <w:rPr>
          <w:rFonts w:ascii="Times New Roman" w:eastAsia="Calibri" w:hAnsi="Times New Roman" w:cs="Times New Roman"/>
        </w:rPr>
      </w:pPr>
    </w:p>
    <w:p w14:paraId="5437C5CF" w14:textId="77777777" w:rsidR="00E021D7" w:rsidRDefault="009C1A2C">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7AAC71F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Serija</w:t>
      </w:r>
    </w:p>
    <w:p w14:paraId="449DBDF1" w14:textId="77777777" w:rsidR="00E021D7" w:rsidRDefault="00E021D7">
      <w:pPr>
        <w:widowControl w:val="0"/>
        <w:tabs>
          <w:tab w:val="left" w:pos="567"/>
        </w:tabs>
        <w:spacing w:after="0" w:line="240" w:lineRule="auto"/>
        <w:rPr>
          <w:rFonts w:ascii="Times New Roman" w:eastAsia="Calibri" w:hAnsi="Times New Roman" w:cs="Times New Roman"/>
        </w:rPr>
      </w:pPr>
    </w:p>
    <w:p w14:paraId="728CA7E1" w14:textId="77777777" w:rsidR="00E021D7" w:rsidRDefault="00E021D7">
      <w:pPr>
        <w:widowControl w:val="0"/>
        <w:tabs>
          <w:tab w:val="left" w:pos="567"/>
        </w:tabs>
        <w:spacing w:after="0" w:line="240" w:lineRule="auto"/>
        <w:rPr>
          <w:rFonts w:ascii="Times New Roman" w:eastAsia="Calibri" w:hAnsi="Times New Roman" w:cs="Times New Roman"/>
        </w:rPr>
      </w:pPr>
    </w:p>
    <w:p w14:paraId="19116112"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b/>
        </w:rPr>
        <w:t>14.</w:t>
      </w:r>
      <w:r>
        <w:rPr>
          <w:rFonts w:ascii="Times New Roman" w:eastAsia="Calibri" w:hAnsi="Times New Roman" w:cs="Times New Roman"/>
          <w:b/>
        </w:rPr>
        <w:tab/>
      </w:r>
      <w:r>
        <w:rPr>
          <w:rFonts w:ascii="Times New Roman" w:eastAsia="Calibri" w:hAnsi="Times New Roman" w:cs="Times New Roman"/>
          <w:b/>
          <w:caps/>
        </w:rPr>
        <w:t>PARDAVIMO (IŠDAVIMO) tvarka</w:t>
      </w:r>
    </w:p>
    <w:p w14:paraId="4AC5AC9B" w14:textId="77777777" w:rsidR="00E021D7" w:rsidRDefault="00E021D7">
      <w:pPr>
        <w:widowControl w:val="0"/>
        <w:tabs>
          <w:tab w:val="left" w:pos="567"/>
        </w:tabs>
        <w:spacing w:after="0" w:line="240" w:lineRule="auto"/>
        <w:rPr>
          <w:rFonts w:ascii="Times New Roman" w:eastAsia="Calibri" w:hAnsi="Times New Roman" w:cs="Times New Roman"/>
        </w:rPr>
      </w:pPr>
    </w:p>
    <w:p w14:paraId="1C7B9193" w14:textId="77777777" w:rsidR="00E021D7" w:rsidRDefault="009C1A2C">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Receptinis </w:t>
      </w:r>
      <w:r>
        <w:rPr>
          <w:rFonts w:ascii="Times New Roman" w:eastAsia="Times New Roman" w:hAnsi="Times New Roman" w:cs="Times New Roman"/>
        </w:rPr>
        <w:t>vaistas</w:t>
      </w:r>
      <w:r>
        <w:rPr>
          <w:rFonts w:ascii="Times New Roman" w:eastAsia="Calibri" w:hAnsi="Times New Roman" w:cs="Times New Roman"/>
        </w:rPr>
        <w:t>.</w:t>
      </w:r>
    </w:p>
    <w:p w14:paraId="4B8C7105" w14:textId="77777777" w:rsidR="00E021D7" w:rsidRDefault="00E021D7">
      <w:pPr>
        <w:widowControl w:val="0"/>
        <w:tabs>
          <w:tab w:val="left" w:pos="567"/>
        </w:tabs>
        <w:spacing w:after="0" w:line="240" w:lineRule="auto"/>
        <w:rPr>
          <w:rFonts w:ascii="Times New Roman" w:eastAsia="Calibri" w:hAnsi="Times New Roman" w:cs="Times New Roman"/>
        </w:rPr>
      </w:pPr>
    </w:p>
    <w:p w14:paraId="65D8A4A1" w14:textId="77777777" w:rsidR="00E021D7" w:rsidRDefault="00E021D7">
      <w:pPr>
        <w:widowControl w:val="0"/>
        <w:tabs>
          <w:tab w:val="left" w:pos="567"/>
        </w:tabs>
        <w:spacing w:after="0" w:line="240" w:lineRule="auto"/>
        <w:rPr>
          <w:rFonts w:ascii="Times New Roman" w:eastAsia="Calibri" w:hAnsi="Times New Roman" w:cs="Times New Roman"/>
        </w:rPr>
      </w:pPr>
    </w:p>
    <w:p w14:paraId="4330B032"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b/>
        </w:rPr>
        <w:t>15.</w:t>
      </w:r>
      <w:r>
        <w:rPr>
          <w:rFonts w:ascii="Times New Roman" w:eastAsia="Calibri" w:hAnsi="Times New Roman" w:cs="Times New Roman"/>
          <w:b/>
        </w:rPr>
        <w:tab/>
      </w:r>
      <w:r>
        <w:rPr>
          <w:rFonts w:ascii="Times New Roman" w:eastAsia="Calibri" w:hAnsi="Times New Roman" w:cs="Times New Roman"/>
          <w:b/>
          <w:caps/>
        </w:rPr>
        <w:t>vartojimo instrukcijA</w:t>
      </w:r>
    </w:p>
    <w:p w14:paraId="3DE443BC" w14:textId="77777777" w:rsidR="00E021D7" w:rsidRDefault="00E021D7">
      <w:pPr>
        <w:widowControl w:val="0"/>
        <w:tabs>
          <w:tab w:val="left" w:pos="567"/>
        </w:tabs>
        <w:spacing w:after="0" w:line="240" w:lineRule="auto"/>
        <w:rPr>
          <w:rFonts w:ascii="Times New Roman" w:eastAsia="Calibri" w:hAnsi="Times New Roman" w:cs="Times New Roman"/>
        </w:rPr>
      </w:pPr>
    </w:p>
    <w:p w14:paraId="79074767" w14:textId="77777777" w:rsidR="00E021D7" w:rsidRDefault="00E021D7">
      <w:pPr>
        <w:widowControl w:val="0"/>
        <w:tabs>
          <w:tab w:val="left" w:pos="567"/>
        </w:tabs>
        <w:spacing w:after="0" w:line="240" w:lineRule="auto"/>
        <w:rPr>
          <w:rFonts w:ascii="Times New Roman" w:eastAsia="Calibri" w:hAnsi="Times New Roman" w:cs="Times New Roman"/>
        </w:rPr>
      </w:pPr>
    </w:p>
    <w:p w14:paraId="274B3EE5"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0CB89011" w14:textId="77777777" w:rsidR="00E021D7" w:rsidRDefault="00E021D7">
      <w:pPr>
        <w:widowControl w:val="0"/>
        <w:tabs>
          <w:tab w:val="left" w:pos="567"/>
        </w:tabs>
        <w:spacing w:after="0" w:line="240" w:lineRule="auto"/>
        <w:rPr>
          <w:rFonts w:ascii="Times New Roman" w:eastAsia="Calibri" w:hAnsi="Times New Roman" w:cs="Times New Roman"/>
        </w:rPr>
      </w:pPr>
    </w:p>
    <w:p w14:paraId="1F7B8A7C"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30 mg</w:t>
      </w:r>
    </w:p>
    <w:p w14:paraId="617C7443"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60 mg</w:t>
      </w:r>
    </w:p>
    <w:p w14:paraId="7E851789"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90 mg</w:t>
      </w:r>
    </w:p>
    <w:p w14:paraId="52E4E3DF"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120 mg</w:t>
      </w:r>
    </w:p>
    <w:p w14:paraId="3206BAA7" w14:textId="77777777" w:rsidR="00E021D7" w:rsidRDefault="00E021D7">
      <w:pPr>
        <w:widowControl w:val="0"/>
        <w:tabs>
          <w:tab w:val="left" w:pos="567"/>
        </w:tabs>
        <w:spacing w:after="0" w:line="240" w:lineRule="auto"/>
        <w:rPr>
          <w:rFonts w:ascii="Times New Roman" w:eastAsia="Calibri" w:hAnsi="Times New Roman" w:cs="Times New Roman"/>
          <w:shd w:val="clear" w:color="auto" w:fill="CCCCCC"/>
        </w:rPr>
      </w:pPr>
    </w:p>
    <w:p w14:paraId="47336DF0" w14:textId="77777777" w:rsidR="00E021D7" w:rsidRDefault="00E021D7">
      <w:pPr>
        <w:widowControl w:val="0"/>
        <w:tabs>
          <w:tab w:val="left" w:pos="567"/>
        </w:tabs>
        <w:spacing w:after="0" w:line="240" w:lineRule="auto"/>
        <w:rPr>
          <w:rFonts w:ascii="Times New Roman" w:eastAsia="Calibri" w:hAnsi="Times New Roman" w:cs="Times New Roman"/>
          <w:shd w:val="clear" w:color="auto" w:fill="CCCCCC"/>
        </w:rPr>
      </w:pPr>
    </w:p>
    <w:p w14:paraId="1B0D5ECA"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val="sl-SI" w:eastAsia="sl-SI"/>
        </w:rPr>
      </w:pPr>
      <w:r>
        <w:rPr>
          <w:rFonts w:ascii="Times New Roman" w:eastAsia="Calibri" w:hAnsi="Times New Roman" w:cs="Times New Roman"/>
          <w:b/>
        </w:rPr>
        <w:t>17.</w:t>
      </w:r>
      <w:r>
        <w:rPr>
          <w:rFonts w:ascii="Times New Roman" w:eastAsia="Calibri" w:hAnsi="Times New Roman" w:cs="Times New Roman"/>
          <w:b/>
        </w:rPr>
        <w:tab/>
        <w:t>UNIKALUS IDENTIFIKATORIUS – 2D BRŪKŠNINIS KODAS</w:t>
      </w:r>
    </w:p>
    <w:p w14:paraId="6AFA339D" w14:textId="77777777" w:rsidR="00E021D7" w:rsidRDefault="00E021D7">
      <w:pPr>
        <w:widowControl w:val="0"/>
        <w:spacing w:after="0" w:line="240" w:lineRule="auto"/>
        <w:rPr>
          <w:rFonts w:ascii="Times New Roman" w:eastAsia="Calibri" w:hAnsi="Times New Roman" w:cs="Times New Roman"/>
        </w:rPr>
      </w:pPr>
    </w:p>
    <w:p w14:paraId="1B9AEBC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2D brūkšninis kodas su nurodytu unikaliu identifikatoriumi.</w:t>
      </w:r>
    </w:p>
    <w:p w14:paraId="2153C766" w14:textId="77777777" w:rsidR="00E021D7" w:rsidRDefault="00E021D7">
      <w:pPr>
        <w:widowControl w:val="0"/>
        <w:tabs>
          <w:tab w:val="left" w:pos="567"/>
        </w:tabs>
        <w:spacing w:after="0" w:line="240" w:lineRule="auto"/>
        <w:rPr>
          <w:rFonts w:ascii="Times New Roman" w:hAnsi="Times New Roman"/>
          <w:highlight w:val="lightGray"/>
        </w:rPr>
      </w:pPr>
    </w:p>
    <w:p w14:paraId="26155DF0" w14:textId="77777777" w:rsidR="00E021D7" w:rsidRDefault="00E021D7">
      <w:pPr>
        <w:widowControl w:val="0"/>
        <w:spacing w:after="0" w:line="240" w:lineRule="auto"/>
        <w:rPr>
          <w:rFonts w:ascii="Times New Roman" w:eastAsia="Calibri" w:hAnsi="Times New Roman" w:cs="Times New Roman"/>
        </w:rPr>
      </w:pPr>
    </w:p>
    <w:p w14:paraId="1CC1776A" w14:textId="77777777" w:rsidR="00E021D7" w:rsidRDefault="009C1A2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val="sl-SI" w:eastAsia="sl-SI"/>
        </w:rPr>
      </w:pPr>
      <w:r>
        <w:rPr>
          <w:rFonts w:ascii="Times New Roman" w:eastAsia="Calibri" w:hAnsi="Times New Roman" w:cs="Times New Roman"/>
          <w:b/>
        </w:rPr>
        <w:t>18.</w:t>
      </w:r>
      <w:r>
        <w:rPr>
          <w:rFonts w:ascii="Times New Roman" w:eastAsia="Calibri" w:hAnsi="Times New Roman" w:cs="Times New Roman"/>
          <w:b/>
        </w:rPr>
        <w:tab/>
        <w:t xml:space="preserve">UNIKALUS </w:t>
      </w:r>
      <w:r>
        <w:rPr>
          <w:rFonts w:ascii="Times New Roman" w:hAnsi="Times New Roman" w:cs="Times New Roman"/>
          <w:b/>
        </w:rPr>
        <w:t>IDENTIFIKATORIUS – ŽMONĖMS SUPRANTAMI DUOMENYS</w:t>
      </w:r>
    </w:p>
    <w:p w14:paraId="450ECBF7" w14:textId="77777777" w:rsidR="00E021D7" w:rsidRDefault="00E021D7">
      <w:pPr>
        <w:widowControl w:val="0"/>
        <w:spacing w:after="0" w:line="240" w:lineRule="auto"/>
        <w:rPr>
          <w:rFonts w:ascii="Times New Roman" w:eastAsia="Calibri" w:hAnsi="Times New Roman" w:cs="Times New Roman"/>
        </w:rPr>
      </w:pPr>
    </w:p>
    <w:p w14:paraId="63B38DE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PC</w:t>
      </w:r>
    </w:p>
    <w:p w14:paraId="7A56F80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SN</w:t>
      </w:r>
    </w:p>
    <w:p w14:paraId="757732EF"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r>
        <w:rPr>
          <w:rFonts w:ascii="Times New Roman" w:hAnsi="Times New Roman"/>
        </w:rPr>
        <w:t>NN</w:t>
      </w:r>
    </w:p>
    <w:p w14:paraId="78E9F2C8" w14:textId="77777777" w:rsidR="00E021D7" w:rsidRDefault="00E021D7">
      <w:pPr>
        <w:widowControl w:val="0"/>
        <w:tabs>
          <w:tab w:val="left" w:pos="567"/>
        </w:tabs>
        <w:spacing w:after="0" w:line="240" w:lineRule="auto"/>
        <w:rPr>
          <w:rFonts w:ascii="Times New Roman" w:eastAsia="Calibri" w:hAnsi="Times New Roman" w:cs="Times New Roman"/>
        </w:rPr>
      </w:pPr>
    </w:p>
    <w:p w14:paraId="4213DB84" w14:textId="77777777" w:rsidR="00E021D7" w:rsidRDefault="00E021D7">
      <w:pPr>
        <w:widowControl w:val="0"/>
        <w:pBdr>
          <w:bottom w:val="single" w:sz="12" w:space="1" w:color="auto"/>
        </w:pBdr>
        <w:spacing w:after="0" w:line="240" w:lineRule="auto"/>
        <w:rPr>
          <w:rFonts w:ascii="Times New Roman" w:eastAsia="Calibri" w:hAnsi="Times New Roman" w:cs="Times New Roman"/>
          <w:highlight w:val="lightGray"/>
          <w:lang w:val="en-GB"/>
        </w:rPr>
      </w:pPr>
    </w:p>
    <w:p w14:paraId="0ED93059" w14:textId="77777777" w:rsidR="00E021D7" w:rsidRDefault="009C1A2C">
      <w:pPr>
        <w:widowControl w:val="0"/>
        <w:spacing w:after="0" w:line="240" w:lineRule="auto"/>
        <w:rPr>
          <w:rFonts w:ascii="Times New Roman" w:eastAsia="Calibri" w:hAnsi="Times New Roman" w:cs="Times New Roman"/>
          <w:lang w:val="en-GB"/>
        </w:rPr>
      </w:pPr>
      <w:r>
        <w:rPr>
          <w:rFonts w:ascii="Times New Roman" w:eastAsia="Calibri" w:hAnsi="Times New Roman" w:cs="Times New Roman"/>
          <w:highlight w:val="lightGray"/>
          <w:lang w:val="en-GB"/>
        </w:rPr>
        <w:t>[</w:t>
      </w:r>
      <w:r>
        <w:rPr>
          <w:rFonts w:ascii="Times New Roman" w:eastAsia="Calibri" w:hAnsi="Times New Roman" w:cs="Times New Roman"/>
          <w:highlight w:val="lightGray"/>
        </w:rPr>
        <w:t>Jeigu išorinė pakuotė bus pagaminta Indijoje, pagal šalies reikalavimus ant dėžutės bus pateiktas, licencijos kodas</w:t>
      </w:r>
      <w:r>
        <w:rPr>
          <w:rFonts w:ascii="Times New Roman" w:eastAsia="Calibri" w:hAnsi="Times New Roman" w:cs="Times New Roman"/>
          <w:highlight w:val="lightGray"/>
          <w:lang w:val="sl-SI"/>
        </w:rPr>
        <w:t>.</w:t>
      </w:r>
      <w:r>
        <w:rPr>
          <w:rFonts w:ascii="Times New Roman" w:eastAsia="Calibri" w:hAnsi="Times New Roman" w:cs="Times New Roman"/>
          <w:highlight w:val="lightGray"/>
          <w:lang w:val="en-GB"/>
        </w:rPr>
        <w:t>]</w:t>
      </w:r>
    </w:p>
    <w:p w14:paraId="3D206E32" w14:textId="77777777" w:rsidR="00E021D7" w:rsidRDefault="00E021D7">
      <w:pPr>
        <w:widowControl w:val="0"/>
        <w:spacing w:after="0" w:line="240" w:lineRule="auto"/>
        <w:rPr>
          <w:rFonts w:ascii="Times New Roman" w:eastAsia="Calibri" w:hAnsi="Times New Roman" w:cs="Times New Roman"/>
        </w:rPr>
      </w:pPr>
    </w:p>
    <w:p w14:paraId="20303FEB" w14:textId="77777777" w:rsidR="00E021D7" w:rsidRDefault="009C1A2C">
      <w:pPr>
        <w:widowControl w:val="0"/>
        <w:shd w:val="clear" w:color="auto" w:fill="FFFFFF"/>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21D7" w14:paraId="51AB1B04"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610E658"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0161C538" w14:textId="77777777" w:rsidR="00E021D7" w:rsidRDefault="00E021D7">
            <w:pPr>
              <w:widowControl w:val="0"/>
              <w:tabs>
                <w:tab w:val="left" w:pos="567"/>
              </w:tabs>
              <w:spacing w:after="0" w:line="240" w:lineRule="auto"/>
              <w:rPr>
                <w:rFonts w:ascii="Times New Roman" w:eastAsia="Calibri" w:hAnsi="Times New Roman" w:cs="Times New Roman"/>
                <w:b/>
              </w:rPr>
            </w:pPr>
          </w:p>
          <w:p w14:paraId="1ED7A394"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LIZDINĖ PLOKŠTELĖ</w:t>
            </w:r>
          </w:p>
        </w:tc>
      </w:tr>
    </w:tbl>
    <w:p w14:paraId="2C383AEA" w14:textId="77777777" w:rsidR="00E021D7" w:rsidRDefault="00E021D7">
      <w:pPr>
        <w:widowControl w:val="0"/>
        <w:tabs>
          <w:tab w:val="left" w:pos="567"/>
        </w:tabs>
        <w:spacing w:after="0" w:line="240" w:lineRule="auto"/>
        <w:rPr>
          <w:rFonts w:ascii="Times New Roman" w:eastAsia="Calibri" w:hAnsi="Times New Roman" w:cs="Times New Roman"/>
          <w:b/>
        </w:rPr>
      </w:pPr>
    </w:p>
    <w:p w14:paraId="0438E5B3" w14:textId="77777777" w:rsidR="00E021D7" w:rsidRDefault="00E021D7">
      <w:pPr>
        <w:widowControl w:val="0"/>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21D7" w14:paraId="0128780B" w14:textId="77777777">
        <w:tc>
          <w:tcPr>
            <w:tcW w:w="9287" w:type="dxa"/>
            <w:tcBorders>
              <w:top w:val="single" w:sz="4" w:space="0" w:color="auto"/>
              <w:left w:val="single" w:sz="4" w:space="0" w:color="auto"/>
              <w:bottom w:val="single" w:sz="4" w:space="0" w:color="auto"/>
              <w:right w:val="single" w:sz="4" w:space="0" w:color="auto"/>
            </w:tcBorders>
            <w:hideMark/>
          </w:tcPr>
          <w:p w14:paraId="15D0AA78" w14:textId="77777777" w:rsidR="00E021D7" w:rsidRDefault="009C1A2C">
            <w:pPr>
              <w:widowControl w:val="0"/>
              <w:tabs>
                <w:tab w:val="left" w:pos="142"/>
                <w:tab w:val="left" w:pos="567"/>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r>
            <w:r>
              <w:rPr>
                <w:rFonts w:ascii="Times New Roman" w:eastAsia="Calibri" w:hAnsi="Times New Roman" w:cs="Times New Roman"/>
                <w:b/>
                <w:caps/>
              </w:rPr>
              <w:t>Vaistinio preparato pavadinimas</w:t>
            </w:r>
          </w:p>
        </w:tc>
      </w:tr>
    </w:tbl>
    <w:p w14:paraId="0891E530"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601215D6"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30 mg </w:t>
      </w:r>
      <w:r>
        <w:rPr>
          <w:rFonts w:ascii="Times New Roman" w:eastAsia="Calibri" w:hAnsi="Times New Roman" w:cs="Times New Roman"/>
          <w:highlight w:val="lightGray"/>
        </w:rPr>
        <w:t>plėvele dengtos</w:t>
      </w:r>
      <w:r>
        <w:rPr>
          <w:rFonts w:ascii="Times New Roman" w:eastAsia="Calibri" w:hAnsi="Times New Roman" w:cs="Times New Roman"/>
        </w:rPr>
        <w:t xml:space="preserve"> tabletės</w:t>
      </w:r>
    </w:p>
    <w:p w14:paraId="30DCAF50"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60 mg plėvele dengtos tabletės</w:t>
      </w:r>
    </w:p>
    <w:p w14:paraId="1D3E55E6" w14:textId="77777777" w:rsidR="00E021D7" w:rsidRDefault="009C1A2C">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90 mg plėvele dengtos tabletės</w:t>
      </w:r>
    </w:p>
    <w:p w14:paraId="7B72171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highlight w:val="lightGray"/>
        </w:rPr>
        <w:t>Bericox</w:t>
      </w:r>
      <w:proofErr w:type="spellEnd"/>
      <w:r>
        <w:rPr>
          <w:rFonts w:ascii="Times New Roman" w:eastAsia="Calibri" w:hAnsi="Times New Roman" w:cs="Times New Roman"/>
          <w:highlight w:val="lightGray"/>
        </w:rPr>
        <w:t xml:space="preserve"> 120 mg plėvele dengtos tabletės</w:t>
      </w:r>
    </w:p>
    <w:p w14:paraId="62EDCD70" w14:textId="77777777" w:rsidR="00E021D7" w:rsidRDefault="00E021D7">
      <w:pPr>
        <w:widowControl w:val="0"/>
        <w:spacing w:after="0" w:line="240" w:lineRule="auto"/>
        <w:rPr>
          <w:rFonts w:ascii="Times New Roman" w:eastAsia="Calibri" w:hAnsi="Times New Roman" w:cs="Times New Roman"/>
          <w:i/>
          <w:highlight w:val="lightGray"/>
          <w:u w:val="single"/>
          <w:lang w:val="sl-SI"/>
        </w:rPr>
      </w:pPr>
    </w:p>
    <w:p w14:paraId="57EF1F1F"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etoricoxibum</w:t>
      </w:r>
      <w:proofErr w:type="spellEnd"/>
    </w:p>
    <w:p w14:paraId="0B89D583" w14:textId="77777777" w:rsidR="00E021D7" w:rsidRDefault="00E021D7">
      <w:pPr>
        <w:widowControl w:val="0"/>
        <w:tabs>
          <w:tab w:val="left" w:pos="567"/>
        </w:tabs>
        <w:spacing w:after="0" w:line="240" w:lineRule="auto"/>
        <w:rPr>
          <w:rFonts w:ascii="Times New Roman" w:eastAsia="Calibri" w:hAnsi="Times New Roman" w:cs="Times New Roman"/>
        </w:rPr>
      </w:pPr>
    </w:p>
    <w:p w14:paraId="41D0AF9F" w14:textId="77777777" w:rsidR="00E021D7" w:rsidRDefault="00E021D7">
      <w:pPr>
        <w:widowControl w:val="0"/>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21D7" w14:paraId="39257AA0" w14:textId="77777777">
        <w:tc>
          <w:tcPr>
            <w:tcW w:w="9287" w:type="dxa"/>
            <w:tcBorders>
              <w:top w:val="single" w:sz="4" w:space="0" w:color="auto"/>
              <w:left w:val="single" w:sz="4" w:space="0" w:color="auto"/>
              <w:bottom w:val="single" w:sz="4" w:space="0" w:color="auto"/>
              <w:right w:val="single" w:sz="4" w:space="0" w:color="auto"/>
            </w:tcBorders>
            <w:hideMark/>
          </w:tcPr>
          <w:p w14:paraId="7DEE46F7" w14:textId="77777777" w:rsidR="00E021D7" w:rsidRDefault="009C1A2C">
            <w:pPr>
              <w:widowControl w:val="0"/>
              <w:tabs>
                <w:tab w:val="left" w:pos="142"/>
                <w:tab w:val="left" w:pos="567"/>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r>
            <w:r>
              <w:rPr>
                <w:rFonts w:ascii="Times New Roman" w:eastAsia="Calibri" w:hAnsi="Times New Roman" w:cs="Times New Roman"/>
                <w:b/>
                <w:caps/>
              </w:rPr>
              <w:t>REGISTRUOTOJO pavadinimas</w:t>
            </w:r>
          </w:p>
        </w:tc>
      </w:tr>
    </w:tbl>
    <w:p w14:paraId="6DDE2091" w14:textId="77777777" w:rsidR="00E021D7" w:rsidRDefault="00E021D7">
      <w:pPr>
        <w:widowControl w:val="0"/>
        <w:tabs>
          <w:tab w:val="left" w:pos="567"/>
        </w:tabs>
        <w:spacing w:after="0" w:line="240" w:lineRule="auto"/>
        <w:rPr>
          <w:rFonts w:ascii="Times New Roman" w:eastAsia="Calibri" w:hAnsi="Times New Roman" w:cs="Times New Roman"/>
          <w:b/>
        </w:rPr>
      </w:pPr>
    </w:p>
    <w:p w14:paraId="7D944FB6"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KRKA</w:t>
      </w:r>
    </w:p>
    <w:p w14:paraId="3DC2EED4" w14:textId="77777777" w:rsidR="00E021D7" w:rsidRDefault="00E021D7">
      <w:pPr>
        <w:widowControl w:val="0"/>
        <w:tabs>
          <w:tab w:val="left" w:pos="567"/>
        </w:tabs>
        <w:spacing w:after="0" w:line="240" w:lineRule="auto"/>
        <w:rPr>
          <w:rFonts w:ascii="Times New Roman" w:eastAsia="Calibri" w:hAnsi="Times New Roman" w:cs="Times New Roman"/>
          <w:b/>
        </w:rPr>
      </w:pPr>
    </w:p>
    <w:p w14:paraId="7A5122A3" w14:textId="77777777" w:rsidR="00E021D7" w:rsidRDefault="00E021D7">
      <w:pPr>
        <w:widowControl w:val="0"/>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21D7" w14:paraId="54E4B7DB" w14:textId="77777777">
        <w:tc>
          <w:tcPr>
            <w:tcW w:w="9287" w:type="dxa"/>
            <w:tcBorders>
              <w:top w:val="single" w:sz="4" w:space="0" w:color="auto"/>
              <w:left w:val="single" w:sz="4" w:space="0" w:color="auto"/>
              <w:bottom w:val="single" w:sz="4" w:space="0" w:color="auto"/>
              <w:right w:val="single" w:sz="4" w:space="0" w:color="auto"/>
            </w:tcBorders>
            <w:hideMark/>
          </w:tcPr>
          <w:p w14:paraId="15AACF70" w14:textId="77777777" w:rsidR="00E021D7" w:rsidRDefault="009C1A2C">
            <w:pPr>
              <w:widowControl w:val="0"/>
              <w:tabs>
                <w:tab w:val="left" w:pos="142"/>
                <w:tab w:val="left" w:pos="567"/>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r>
            <w:r>
              <w:rPr>
                <w:rFonts w:ascii="Times New Roman" w:eastAsia="Calibri" w:hAnsi="Times New Roman" w:cs="Times New Roman"/>
                <w:b/>
                <w:caps/>
              </w:rPr>
              <w:t>tinkamumo laikas</w:t>
            </w:r>
          </w:p>
        </w:tc>
      </w:tr>
    </w:tbl>
    <w:p w14:paraId="656E20ED" w14:textId="77777777" w:rsidR="00E021D7" w:rsidRDefault="00E021D7">
      <w:pPr>
        <w:widowControl w:val="0"/>
        <w:tabs>
          <w:tab w:val="left" w:pos="567"/>
        </w:tabs>
        <w:spacing w:after="0" w:line="240" w:lineRule="auto"/>
        <w:rPr>
          <w:rFonts w:ascii="Times New Roman" w:eastAsia="Calibri" w:hAnsi="Times New Roman" w:cs="Times New Roman"/>
          <w:b/>
        </w:rPr>
      </w:pPr>
    </w:p>
    <w:p w14:paraId="4CF2122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EXP &lt;mm/MMMM&gt;</w:t>
      </w:r>
    </w:p>
    <w:p w14:paraId="7DAFCEF0" w14:textId="77777777" w:rsidR="00E021D7" w:rsidRDefault="00E021D7">
      <w:pPr>
        <w:widowControl w:val="0"/>
        <w:tabs>
          <w:tab w:val="left" w:pos="567"/>
        </w:tabs>
        <w:spacing w:after="0" w:line="240" w:lineRule="auto"/>
        <w:rPr>
          <w:rFonts w:ascii="Times New Roman" w:eastAsia="Calibri" w:hAnsi="Times New Roman" w:cs="Times New Roman"/>
          <w:b/>
        </w:rPr>
      </w:pPr>
    </w:p>
    <w:p w14:paraId="5CA2CCCA" w14:textId="77777777" w:rsidR="00E021D7" w:rsidRDefault="00E021D7">
      <w:pPr>
        <w:widowControl w:val="0"/>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21D7" w14:paraId="02B63524" w14:textId="77777777">
        <w:tc>
          <w:tcPr>
            <w:tcW w:w="9287" w:type="dxa"/>
            <w:tcBorders>
              <w:top w:val="single" w:sz="4" w:space="0" w:color="auto"/>
              <w:left w:val="single" w:sz="4" w:space="0" w:color="auto"/>
              <w:bottom w:val="single" w:sz="4" w:space="0" w:color="auto"/>
              <w:right w:val="single" w:sz="4" w:space="0" w:color="auto"/>
            </w:tcBorders>
            <w:hideMark/>
          </w:tcPr>
          <w:p w14:paraId="6C97481B" w14:textId="77777777" w:rsidR="00E021D7" w:rsidRDefault="009C1A2C">
            <w:pPr>
              <w:widowControl w:val="0"/>
              <w:tabs>
                <w:tab w:val="left" w:pos="142"/>
                <w:tab w:val="left" w:pos="567"/>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r>
            <w:r>
              <w:rPr>
                <w:rFonts w:ascii="Times New Roman" w:eastAsia="Calibri" w:hAnsi="Times New Roman" w:cs="Times New Roman"/>
                <w:b/>
                <w:caps/>
              </w:rPr>
              <w:t>serijos numeris</w:t>
            </w:r>
          </w:p>
        </w:tc>
      </w:tr>
    </w:tbl>
    <w:p w14:paraId="232146F9" w14:textId="77777777" w:rsidR="00E021D7" w:rsidRDefault="00E021D7">
      <w:pPr>
        <w:widowControl w:val="0"/>
        <w:tabs>
          <w:tab w:val="left" w:pos="567"/>
        </w:tabs>
        <w:spacing w:after="0" w:line="240" w:lineRule="auto"/>
        <w:ind w:right="113"/>
        <w:rPr>
          <w:rFonts w:ascii="Times New Roman" w:eastAsia="Calibri" w:hAnsi="Times New Roman" w:cs="Times New Roman"/>
        </w:rPr>
      </w:pPr>
    </w:p>
    <w:p w14:paraId="4EAC8E55" w14:textId="77777777" w:rsidR="00E021D7" w:rsidRDefault="009C1A2C">
      <w:pPr>
        <w:widowControl w:val="0"/>
        <w:tabs>
          <w:tab w:val="left" w:pos="567"/>
        </w:tabs>
        <w:spacing w:after="0" w:line="240" w:lineRule="auto"/>
        <w:ind w:right="113"/>
        <w:rPr>
          <w:rFonts w:ascii="Times New Roman" w:eastAsia="Calibri" w:hAnsi="Times New Roman" w:cs="Times New Roman"/>
        </w:rPr>
      </w:pPr>
      <w:r>
        <w:rPr>
          <w:rFonts w:ascii="Times New Roman" w:eastAsia="Calibri" w:hAnsi="Times New Roman" w:cs="Times New Roman"/>
        </w:rPr>
        <w:t>Lot</w:t>
      </w:r>
    </w:p>
    <w:p w14:paraId="4CDD357C" w14:textId="77777777" w:rsidR="00E021D7" w:rsidRDefault="00E021D7">
      <w:pPr>
        <w:widowControl w:val="0"/>
        <w:tabs>
          <w:tab w:val="left" w:pos="567"/>
        </w:tabs>
        <w:spacing w:after="0" w:line="240" w:lineRule="auto"/>
        <w:ind w:right="113"/>
        <w:rPr>
          <w:rFonts w:ascii="Times New Roman" w:eastAsia="Calibri" w:hAnsi="Times New Roman" w:cs="Times New Roman"/>
        </w:rPr>
      </w:pPr>
    </w:p>
    <w:p w14:paraId="5D59B162" w14:textId="77777777" w:rsidR="00E021D7" w:rsidRDefault="00E021D7">
      <w:pPr>
        <w:widowControl w:val="0"/>
        <w:tabs>
          <w:tab w:val="left" w:pos="567"/>
        </w:tabs>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021D7" w14:paraId="1EF782EB" w14:textId="77777777">
        <w:tc>
          <w:tcPr>
            <w:tcW w:w="9287" w:type="dxa"/>
            <w:tcBorders>
              <w:top w:val="single" w:sz="4" w:space="0" w:color="auto"/>
              <w:left w:val="single" w:sz="4" w:space="0" w:color="auto"/>
              <w:bottom w:val="single" w:sz="4" w:space="0" w:color="auto"/>
              <w:right w:val="single" w:sz="4" w:space="0" w:color="auto"/>
            </w:tcBorders>
            <w:hideMark/>
          </w:tcPr>
          <w:p w14:paraId="54F6E68D" w14:textId="77777777" w:rsidR="00E021D7" w:rsidRDefault="009C1A2C">
            <w:pPr>
              <w:widowControl w:val="0"/>
              <w:tabs>
                <w:tab w:val="left" w:pos="142"/>
                <w:tab w:val="left" w:pos="567"/>
              </w:tabs>
              <w:spacing w:after="0" w:line="240" w:lineRule="auto"/>
              <w:ind w:left="567" w:hanging="567"/>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tc>
      </w:tr>
    </w:tbl>
    <w:p w14:paraId="18664718" w14:textId="77777777" w:rsidR="00E021D7" w:rsidRDefault="00E021D7">
      <w:pPr>
        <w:widowControl w:val="0"/>
        <w:tabs>
          <w:tab w:val="left" w:pos="567"/>
        </w:tabs>
        <w:spacing w:after="0" w:line="240" w:lineRule="auto"/>
        <w:ind w:right="113"/>
        <w:rPr>
          <w:rFonts w:ascii="Times New Roman" w:eastAsia="Calibri" w:hAnsi="Times New Roman" w:cs="Times New Roman"/>
        </w:rPr>
      </w:pPr>
    </w:p>
    <w:p w14:paraId="26C20F67" w14:textId="77777777" w:rsidR="00E021D7" w:rsidRDefault="00E021D7">
      <w:pPr>
        <w:widowControl w:val="0"/>
        <w:pBdr>
          <w:bottom w:val="single" w:sz="12" w:space="1" w:color="auto"/>
        </w:pBdr>
        <w:spacing w:after="0" w:line="240" w:lineRule="auto"/>
        <w:ind w:right="113"/>
        <w:rPr>
          <w:rFonts w:ascii="Times New Roman" w:eastAsia="Calibri" w:hAnsi="Times New Roman" w:cs="Times New Roman"/>
          <w:lang w:val="en-GB"/>
        </w:rPr>
      </w:pPr>
    </w:p>
    <w:p w14:paraId="7DD5B848" w14:textId="77777777" w:rsidR="00E021D7" w:rsidRDefault="009C1A2C">
      <w:pPr>
        <w:widowControl w:val="0"/>
        <w:tabs>
          <w:tab w:val="left" w:pos="567"/>
        </w:tabs>
        <w:spacing w:after="0" w:line="240" w:lineRule="auto"/>
        <w:rPr>
          <w:rFonts w:ascii="Times New Roman" w:eastAsia="Calibri" w:hAnsi="Times New Roman" w:cs="Times New Roman"/>
          <w:highlight w:val="lightGray"/>
          <w:lang w:val="en-GB"/>
        </w:rPr>
      </w:pPr>
      <w:r>
        <w:rPr>
          <w:rFonts w:ascii="Times New Roman" w:eastAsia="Calibri" w:hAnsi="Times New Roman" w:cs="Times New Roman"/>
          <w:highlight w:val="lightGray"/>
          <w:lang w:val="en-GB"/>
        </w:rPr>
        <w:t>[</w:t>
      </w:r>
      <w:r>
        <w:rPr>
          <w:rFonts w:ascii="Times New Roman" w:eastAsia="Calibri" w:hAnsi="Times New Roman" w:cs="Times New Roman"/>
          <w:highlight w:val="lightGray"/>
        </w:rPr>
        <w:t>Jeigu išorinė pakuotė bus pagaminta Indijoje, pagal šalies reikalavimus ant dėžutės bus pateiktas, licencijos kodas</w:t>
      </w:r>
      <w:r>
        <w:rPr>
          <w:rFonts w:ascii="Times New Roman" w:eastAsia="Calibri" w:hAnsi="Times New Roman" w:cs="Times New Roman"/>
          <w:highlight w:val="lightGray"/>
          <w:lang w:val="sl-SI"/>
        </w:rPr>
        <w:t>.</w:t>
      </w:r>
      <w:r>
        <w:rPr>
          <w:rFonts w:ascii="Times New Roman" w:eastAsia="Calibri" w:hAnsi="Times New Roman" w:cs="Times New Roman"/>
          <w:highlight w:val="lightGray"/>
          <w:lang w:val="en-GB"/>
        </w:rPr>
        <w:t>]]</w:t>
      </w:r>
    </w:p>
    <w:p w14:paraId="0B0BA882" w14:textId="77777777" w:rsidR="00E021D7" w:rsidRDefault="009C1A2C">
      <w:pPr>
        <w:widowControl w:val="0"/>
        <w:tabs>
          <w:tab w:val="left" w:pos="567"/>
        </w:tabs>
        <w:spacing w:after="0" w:line="240" w:lineRule="auto"/>
        <w:ind w:right="113"/>
        <w:rPr>
          <w:rFonts w:ascii="Times New Roman" w:eastAsia="Calibri" w:hAnsi="Times New Roman" w:cs="Times New Roman"/>
        </w:rPr>
      </w:pPr>
      <w:r>
        <w:rPr>
          <w:rFonts w:ascii="Times New Roman" w:eastAsia="Calibri" w:hAnsi="Times New Roman" w:cs="Times New Roman"/>
        </w:rPr>
        <w:br w:type="page"/>
      </w:r>
    </w:p>
    <w:p w14:paraId="594C2A90"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5A09BE03"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42CB61EA"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0F782C45"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104719E0"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12B872CE"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491906CD"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6026C8A1"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4AEBA061"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4C74858D"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2D3443AC"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4914E1F8"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412DC1AF"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136C2135"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36429E6F"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34C4DA4C"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7EF76481"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73D7B354"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35079122"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7E578350"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7E559C94"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3564D82C"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78C5D3F1" w14:textId="77777777" w:rsidR="00E021D7" w:rsidRDefault="00E021D7">
      <w:pPr>
        <w:widowControl w:val="0"/>
        <w:tabs>
          <w:tab w:val="left" w:pos="567"/>
        </w:tabs>
        <w:spacing w:after="0" w:line="240" w:lineRule="auto"/>
        <w:jc w:val="center"/>
        <w:outlineLvl w:val="0"/>
        <w:rPr>
          <w:rFonts w:ascii="Times New Roman" w:eastAsia="Calibri" w:hAnsi="Times New Roman" w:cs="Times New Roman"/>
          <w:b/>
          <w:kern w:val="28"/>
        </w:rPr>
      </w:pPr>
    </w:p>
    <w:p w14:paraId="5860BB16" w14:textId="77777777" w:rsidR="00E021D7" w:rsidRDefault="009C1A2C">
      <w:pPr>
        <w:widowControl w:val="0"/>
        <w:tabs>
          <w:tab w:val="left" w:pos="567"/>
        </w:tabs>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B. PAKUOTĖS LAPELIS</w:t>
      </w:r>
    </w:p>
    <w:p w14:paraId="11F6229F" w14:textId="77777777" w:rsidR="00E021D7" w:rsidRDefault="009C1A2C">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Pakuotės lapelis: informacija pacientui</w:t>
      </w:r>
    </w:p>
    <w:p w14:paraId="2A9AE942" w14:textId="77777777" w:rsidR="00E021D7" w:rsidRDefault="00E021D7">
      <w:pPr>
        <w:widowControl w:val="0"/>
        <w:tabs>
          <w:tab w:val="left" w:pos="567"/>
        </w:tabs>
        <w:spacing w:after="0" w:line="240" w:lineRule="auto"/>
        <w:jc w:val="center"/>
        <w:rPr>
          <w:rFonts w:ascii="Times New Roman" w:eastAsia="Calibri" w:hAnsi="Times New Roman" w:cs="Times New Roman"/>
          <w:b/>
        </w:rPr>
      </w:pPr>
    </w:p>
    <w:p w14:paraId="13F344FF" w14:textId="77777777" w:rsidR="00E021D7" w:rsidRDefault="009C1A2C">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30 mg plėvele dengtos tabletės</w:t>
      </w:r>
    </w:p>
    <w:p w14:paraId="76AAB111" w14:textId="77777777" w:rsidR="00E021D7" w:rsidRDefault="009C1A2C">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60 mg plėvele dengtos tabletės</w:t>
      </w:r>
    </w:p>
    <w:p w14:paraId="0D57CF7E" w14:textId="77777777" w:rsidR="00E021D7" w:rsidRDefault="009C1A2C">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90 mg plėvele dengtos tabletės</w:t>
      </w:r>
    </w:p>
    <w:p w14:paraId="7CBFC10D" w14:textId="77777777" w:rsidR="00E021D7" w:rsidRDefault="009C1A2C">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120 mg plėvele dengtos tabletės</w:t>
      </w:r>
    </w:p>
    <w:p w14:paraId="635E1D56"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C9851C6" w14:textId="77777777" w:rsidR="00E021D7" w:rsidRDefault="009C1A2C">
      <w:pPr>
        <w:widowControl w:val="0"/>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etorikoksibas</w:t>
      </w:r>
      <w:proofErr w:type="spellEnd"/>
    </w:p>
    <w:p w14:paraId="6A85D120" w14:textId="77777777" w:rsidR="00E021D7" w:rsidRDefault="00E021D7">
      <w:pPr>
        <w:widowControl w:val="0"/>
        <w:tabs>
          <w:tab w:val="left" w:pos="567"/>
        </w:tabs>
        <w:spacing w:after="0" w:line="240" w:lineRule="auto"/>
        <w:jc w:val="center"/>
        <w:rPr>
          <w:rFonts w:ascii="Times New Roman" w:eastAsia="Calibri" w:hAnsi="Times New Roman" w:cs="Times New Roman"/>
        </w:rPr>
      </w:pPr>
    </w:p>
    <w:p w14:paraId="2AB49B4F"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14:paraId="6DB6E1A4" w14:textId="77777777" w:rsidR="00E021D7" w:rsidRDefault="009C1A2C">
      <w:pPr>
        <w:widowControl w:val="0"/>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1BFB3669" w14:textId="77777777" w:rsidR="00E021D7" w:rsidRDefault="009C1A2C">
      <w:pPr>
        <w:widowControl w:val="0"/>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14:paraId="0F6307EE" w14:textId="77777777" w:rsidR="00E021D7" w:rsidRDefault="009C1A2C">
      <w:pPr>
        <w:widowControl w:val="0"/>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6533E843" w14:textId="77777777" w:rsidR="00E021D7" w:rsidRDefault="009C1A2C">
      <w:pPr>
        <w:widowControl w:val="0"/>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13623207" w14:textId="77777777" w:rsidR="00E021D7" w:rsidRDefault="00E021D7">
      <w:pPr>
        <w:widowControl w:val="0"/>
        <w:tabs>
          <w:tab w:val="left" w:pos="567"/>
        </w:tabs>
        <w:spacing w:after="0" w:line="240" w:lineRule="auto"/>
        <w:ind w:right="-2"/>
        <w:rPr>
          <w:rFonts w:ascii="Times New Roman" w:eastAsia="Calibri" w:hAnsi="Times New Roman" w:cs="Times New Roman"/>
        </w:rPr>
      </w:pPr>
    </w:p>
    <w:p w14:paraId="3925E84C" w14:textId="77777777" w:rsidR="00E021D7" w:rsidRDefault="009C1A2C">
      <w:pPr>
        <w:widowControl w:val="0"/>
        <w:tabs>
          <w:tab w:val="left" w:pos="567"/>
        </w:tabs>
        <w:spacing w:after="0" w:line="240" w:lineRule="auto"/>
        <w:jc w:val="both"/>
        <w:rPr>
          <w:rFonts w:ascii="Times New Roman" w:eastAsia="Calibri" w:hAnsi="Times New Roman" w:cs="Times New Roman"/>
          <w:b/>
        </w:rPr>
      </w:pPr>
      <w:r>
        <w:rPr>
          <w:rFonts w:ascii="Times New Roman" w:eastAsia="Calibri" w:hAnsi="Times New Roman" w:cs="Times New Roman"/>
          <w:b/>
        </w:rPr>
        <w:t>Apie ką rašoma šiame lapelyje?</w:t>
      </w:r>
    </w:p>
    <w:p w14:paraId="7E4D7676" w14:textId="77777777" w:rsidR="00E021D7" w:rsidRDefault="009C1A2C">
      <w:pPr>
        <w:widowControl w:val="0"/>
        <w:tabs>
          <w:tab w:val="left" w:pos="567"/>
        </w:tabs>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ir kam jis vartojamas</w:t>
      </w:r>
    </w:p>
    <w:p w14:paraId="7CC67850" w14:textId="77777777" w:rsidR="00E021D7" w:rsidRDefault="009C1A2C">
      <w:pPr>
        <w:widowControl w:val="0"/>
        <w:tabs>
          <w:tab w:val="left" w:pos="567"/>
        </w:tabs>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Bericox</w:t>
      </w:r>
      <w:proofErr w:type="spellEnd"/>
    </w:p>
    <w:p w14:paraId="6502812F" w14:textId="77777777" w:rsidR="00E021D7" w:rsidRDefault="009C1A2C">
      <w:pPr>
        <w:widowControl w:val="0"/>
        <w:tabs>
          <w:tab w:val="left" w:pos="567"/>
        </w:tabs>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rPr>
        <w:t>Bericox</w:t>
      </w:r>
      <w:proofErr w:type="spellEnd"/>
    </w:p>
    <w:p w14:paraId="2C22C61C" w14:textId="77777777" w:rsidR="00E021D7" w:rsidRDefault="009C1A2C">
      <w:pPr>
        <w:widowControl w:val="0"/>
        <w:tabs>
          <w:tab w:val="left" w:pos="567"/>
        </w:tabs>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4D16F870" w14:textId="77777777" w:rsidR="00E021D7" w:rsidRDefault="009C1A2C">
      <w:pPr>
        <w:widowControl w:val="0"/>
        <w:tabs>
          <w:tab w:val="left" w:pos="567"/>
        </w:tabs>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rPr>
        <w:t>Bericox</w:t>
      </w:r>
      <w:proofErr w:type="spellEnd"/>
    </w:p>
    <w:p w14:paraId="0545B97B" w14:textId="77777777" w:rsidR="00E021D7" w:rsidRDefault="009C1A2C">
      <w:pPr>
        <w:widowControl w:val="0"/>
        <w:tabs>
          <w:tab w:val="left" w:pos="567"/>
        </w:tabs>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5EE96086" w14:textId="77777777" w:rsidR="00E021D7" w:rsidRDefault="00E021D7">
      <w:pPr>
        <w:widowControl w:val="0"/>
        <w:tabs>
          <w:tab w:val="left" w:pos="567"/>
        </w:tabs>
        <w:spacing w:after="0" w:line="240" w:lineRule="auto"/>
        <w:rPr>
          <w:rFonts w:ascii="Times New Roman" w:eastAsia="Calibri" w:hAnsi="Times New Roman" w:cs="Times New Roman"/>
        </w:rPr>
      </w:pPr>
    </w:p>
    <w:p w14:paraId="3A28E167" w14:textId="77777777" w:rsidR="00E021D7" w:rsidRDefault="00E021D7">
      <w:pPr>
        <w:widowControl w:val="0"/>
        <w:tabs>
          <w:tab w:val="left" w:pos="567"/>
        </w:tabs>
        <w:spacing w:after="0" w:line="240" w:lineRule="auto"/>
        <w:rPr>
          <w:rFonts w:ascii="Times New Roman" w:eastAsia="Calibri" w:hAnsi="Times New Roman" w:cs="Times New Roman"/>
        </w:rPr>
      </w:pPr>
    </w:p>
    <w:p w14:paraId="4D5BF566"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Bericox</w:t>
      </w:r>
      <w:proofErr w:type="spellEnd"/>
      <w:r>
        <w:rPr>
          <w:rFonts w:ascii="Times New Roman" w:eastAsia="Calibri" w:hAnsi="Times New Roman" w:cs="Times New Roman"/>
        </w:rPr>
        <w:t xml:space="preserve"> </w:t>
      </w:r>
      <w:r>
        <w:rPr>
          <w:rFonts w:ascii="Times New Roman" w:eastAsia="Calibri" w:hAnsi="Times New Roman" w:cs="Times New Roman"/>
          <w:b/>
        </w:rPr>
        <w:t>ir kam jis vartojamas</w:t>
      </w:r>
    </w:p>
    <w:p w14:paraId="5BE220BF" w14:textId="77777777" w:rsidR="00E021D7" w:rsidRDefault="00E021D7">
      <w:pPr>
        <w:widowControl w:val="0"/>
        <w:tabs>
          <w:tab w:val="left" w:pos="567"/>
        </w:tabs>
        <w:spacing w:after="0" w:line="240" w:lineRule="auto"/>
        <w:rPr>
          <w:rFonts w:ascii="Times New Roman" w:eastAsia="Calibri" w:hAnsi="Times New Roman" w:cs="Times New Roman"/>
        </w:rPr>
      </w:pPr>
    </w:p>
    <w:p w14:paraId="0D0F1F4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Kas yra </w:t>
      </w:r>
      <w:proofErr w:type="spellStart"/>
      <w:r>
        <w:rPr>
          <w:rFonts w:ascii="Times New Roman" w:eastAsia="Calibri" w:hAnsi="Times New Roman" w:cs="Times New Roman"/>
          <w:b/>
        </w:rPr>
        <w:t>Bericox</w:t>
      </w:r>
      <w:proofErr w:type="spellEnd"/>
      <w:r>
        <w:rPr>
          <w:rFonts w:ascii="Times New Roman" w:eastAsia="Calibri" w:hAnsi="Times New Roman" w:cs="Times New Roman"/>
        </w:rPr>
        <w:t xml:space="preserve"> </w:t>
      </w:r>
      <w:r>
        <w:rPr>
          <w:rFonts w:ascii="Times New Roman" w:eastAsia="Calibri" w:hAnsi="Times New Roman" w:cs="Times New Roman"/>
          <w:b/>
        </w:rPr>
        <w:t>ir kam jis vartojamas</w:t>
      </w:r>
    </w:p>
    <w:p w14:paraId="18306D45" w14:textId="77777777" w:rsidR="00E021D7" w:rsidRDefault="009C1A2C">
      <w:pPr>
        <w:widowControl w:val="0"/>
        <w:numPr>
          <w:ilvl w:val="0"/>
          <w:numId w:val="4"/>
        </w:numPr>
        <w:tabs>
          <w:tab w:val="left" w:pos="-1843"/>
        </w:tabs>
        <w:spacing w:after="0" w:line="240" w:lineRule="auto"/>
        <w:ind w:right="62" w:hanging="567"/>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sudėtyje yra veikliosios medžiagos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yra vienas iš grupės vaistų, vadinamų selektyviais COX-2 inhibitoriais. Jie priklauso vaistų, vadinamų nesteroidiniais vaistais nuo uždegimo (NVNU), grupei.</w:t>
      </w:r>
    </w:p>
    <w:p w14:paraId="14DCAE8F" w14:textId="77777777" w:rsidR="00E021D7" w:rsidRDefault="00E021D7">
      <w:pPr>
        <w:widowControl w:val="0"/>
        <w:tabs>
          <w:tab w:val="left" w:pos="567"/>
        </w:tabs>
        <w:spacing w:after="0" w:line="240" w:lineRule="auto"/>
        <w:rPr>
          <w:rFonts w:ascii="Times New Roman" w:eastAsia="Calibri" w:hAnsi="Times New Roman" w:cs="Times New Roman"/>
        </w:rPr>
      </w:pPr>
    </w:p>
    <w:p w14:paraId="71216A2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b/>
        </w:rPr>
        <w:t xml:space="preserve">Kas yra </w:t>
      </w:r>
      <w:proofErr w:type="spellStart"/>
      <w:r>
        <w:rPr>
          <w:rFonts w:ascii="Times New Roman" w:eastAsia="Calibri" w:hAnsi="Times New Roman" w:cs="Times New Roman"/>
          <w:b/>
        </w:rPr>
        <w:t>Bericox</w:t>
      </w:r>
      <w:proofErr w:type="spellEnd"/>
      <w:r>
        <w:rPr>
          <w:rFonts w:ascii="Times New Roman" w:eastAsia="Calibri" w:hAnsi="Times New Roman" w:cs="Times New Roman"/>
        </w:rPr>
        <w:t xml:space="preserve"> </w:t>
      </w:r>
      <w:r>
        <w:rPr>
          <w:rFonts w:ascii="Times New Roman" w:eastAsia="Calibri" w:hAnsi="Times New Roman" w:cs="Times New Roman"/>
          <w:b/>
        </w:rPr>
        <w:t>ir kam jis vartojamas</w:t>
      </w:r>
    </w:p>
    <w:p w14:paraId="29F261F1" w14:textId="77777777" w:rsidR="00E021D7" w:rsidRDefault="009C1A2C">
      <w:pPr>
        <w:widowControl w:val="0"/>
        <w:numPr>
          <w:ilvl w:val="0"/>
          <w:numId w:val="4"/>
        </w:numPr>
        <w:tabs>
          <w:tab w:val="left" w:pos="-1843"/>
        </w:tabs>
        <w:spacing w:after="0" w:line="240" w:lineRule="auto"/>
        <w:ind w:left="567" w:right="62" w:hanging="567"/>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padeda sumažinti sąnarių ir raumenų skausmą ir patinimą (uždegimą) </w:t>
      </w:r>
      <w:proofErr w:type="spellStart"/>
      <w:r>
        <w:rPr>
          <w:rFonts w:ascii="Times New Roman" w:eastAsia="Calibri" w:hAnsi="Times New Roman" w:cs="Times New Roman"/>
        </w:rPr>
        <w:t>osteoartritu</w:t>
      </w:r>
      <w:proofErr w:type="spellEnd"/>
      <w:r>
        <w:rPr>
          <w:rFonts w:ascii="Times New Roman" w:eastAsia="Calibri" w:hAnsi="Times New Roman" w:cs="Times New Roman"/>
        </w:rPr>
        <w:t xml:space="preserve">, reumatoidiniu artritu, </w:t>
      </w:r>
      <w:proofErr w:type="spellStart"/>
      <w:r>
        <w:rPr>
          <w:rFonts w:ascii="Times New Roman" w:eastAsia="Calibri" w:hAnsi="Times New Roman" w:cs="Times New Roman"/>
        </w:rPr>
        <w:t>ankiloziniu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spondilitu</w:t>
      </w:r>
      <w:proofErr w:type="spellEnd"/>
      <w:r>
        <w:rPr>
          <w:rFonts w:ascii="Times New Roman" w:eastAsia="Calibri" w:hAnsi="Times New Roman" w:cs="Times New Roman"/>
        </w:rPr>
        <w:t xml:space="preserve"> ir podagra sergantiems 16 metų bei vyresniems žmonėms.</w:t>
      </w:r>
    </w:p>
    <w:p w14:paraId="52A4131F" w14:textId="77777777" w:rsidR="00E021D7" w:rsidRDefault="00E021D7">
      <w:pPr>
        <w:widowControl w:val="0"/>
        <w:tabs>
          <w:tab w:val="left" w:pos="-1843"/>
        </w:tabs>
        <w:spacing w:after="0" w:line="240" w:lineRule="auto"/>
        <w:ind w:left="567" w:right="62" w:hanging="567"/>
        <w:rPr>
          <w:rFonts w:ascii="Times New Roman" w:eastAsia="Calibri" w:hAnsi="Times New Roman" w:cs="Times New Roman"/>
        </w:rPr>
      </w:pPr>
    </w:p>
    <w:p w14:paraId="7B7E6B6B" w14:textId="77777777" w:rsidR="00E021D7" w:rsidRDefault="009C1A2C">
      <w:pPr>
        <w:widowControl w:val="0"/>
        <w:numPr>
          <w:ilvl w:val="0"/>
          <w:numId w:val="4"/>
        </w:numPr>
        <w:tabs>
          <w:tab w:val="left" w:pos="-1843"/>
        </w:tabs>
        <w:spacing w:after="0" w:line="240" w:lineRule="auto"/>
        <w:ind w:left="567" w:right="62" w:hanging="567"/>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taip pat trumpai vartojamas vidutinio stiprumo dantų skausmui po operacijos malšinti 16 metų bei vyresniems žmonėms.</w:t>
      </w:r>
    </w:p>
    <w:p w14:paraId="3BEBDBF0" w14:textId="77777777" w:rsidR="00E021D7" w:rsidRDefault="00E021D7">
      <w:pPr>
        <w:widowControl w:val="0"/>
        <w:tabs>
          <w:tab w:val="left" w:pos="567"/>
        </w:tabs>
        <w:spacing w:after="0" w:line="240" w:lineRule="auto"/>
        <w:rPr>
          <w:rFonts w:ascii="Times New Roman" w:eastAsia="Calibri" w:hAnsi="Times New Roman" w:cs="Times New Roman"/>
        </w:rPr>
      </w:pPr>
    </w:p>
    <w:p w14:paraId="62614799"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Kas yra </w:t>
      </w:r>
      <w:proofErr w:type="spellStart"/>
      <w:r>
        <w:rPr>
          <w:rFonts w:ascii="Times New Roman" w:eastAsia="Calibri" w:hAnsi="Times New Roman" w:cs="Times New Roman"/>
          <w:b/>
        </w:rPr>
        <w:t>osteoartritas</w:t>
      </w:r>
      <w:proofErr w:type="spellEnd"/>
      <w:r>
        <w:rPr>
          <w:rFonts w:ascii="Times New Roman" w:eastAsia="Calibri" w:hAnsi="Times New Roman" w:cs="Times New Roman"/>
          <w:b/>
        </w:rPr>
        <w:t>?</w:t>
      </w:r>
    </w:p>
    <w:p w14:paraId="4904A860"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Osteoartritas</w:t>
      </w:r>
      <w:proofErr w:type="spellEnd"/>
      <w:r>
        <w:rPr>
          <w:rFonts w:ascii="Times New Roman" w:eastAsia="Calibri" w:hAnsi="Times New Roman" w:cs="Times New Roman"/>
        </w:rPr>
        <w:t xml:space="preserve"> yra sąnarių liga. Ji pasireiškia laipsniškai yrant kremzlei, dengiančiai kaulų galus. Tai sukelia patinimą (uždegimą), skausmą, jautrumą, sąstingį ir neįgalumą.</w:t>
      </w:r>
    </w:p>
    <w:p w14:paraId="52BC4503" w14:textId="77777777" w:rsidR="00E021D7" w:rsidRDefault="00E021D7">
      <w:pPr>
        <w:widowControl w:val="0"/>
        <w:tabs>
          <w:tab w:val="left" w:pos="567"/>
        </w:tabs>
        <w:spacing w:after="0" w:line="240" w:lineRule="auto"/>
        <w:rPr>
          <w:rFonts w:ascii="Times New Roman" w:eastAsia="Calibri" w:hAnsi="Times New Roman" w:cs="Times New Roman"/>
        </w:rPr>
      </w:pPr>
    </w:p>
    <w:p w14:paraId="1BB071A3"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Kas yra reumatoidinis artritas?</w:t>
      </w:r>
    </w:p>
    <w:p w14:paraId="5B04431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Reumatoidinis artritas yra ilgalaikė uždegiminė sąnarių liga, sukelianti sąnarių skausmą, sąstingį, patinimą ir progresuojantį ligos pažeistų sąnarių judrumo netekimą. Be to, dėl šios ligos gali pasireikšti uždegimas kitose kūno srityse.</w:t>
      </w:r>
    </w:p>
    <w:p w14:paraId="4D8FCBFC" w14:textId="77777777" w:rsidR="00E021D7" w:rsidRDefault="00E021D7">
      <w:pPr>
        <w:widowControl w:val="0"/>
        <w:tabs>
          <w:tab w:val="left" w:pos="567"/>
        </w:tabs>
        <w:spacing w:after="0" w:line="240" w:lineRule="auto"/>
        <w:rPr>
          <w:rFonts w:ascii="Times New Roman" w:eastAsia="Calibri" w:hAnsi="Times New Roman" w:cs="Times New Roman"/>
        </w:rPr>
      </w:pPr>
    </w:p>
    <w:p w14:paraId="2091669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b/>
        </w:rPr>
        <w:t>Kas yra podagra?</w:t>
      </w:r>
    </w:p>
    <w:p w14:paraId="0519020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Podagra yra liga, pasireiškianti staigiais, pasikartojančiais labai skausmingo sąnarių uždegimo ir paraudimo priepuoliais. Ją sukelia sąnaryje susikaupę mineralų kristalai.</w:t>
      </w:r>
    </w:p>
    <w:p w14:paraId="2B706EBC" w14:textId="77777777" w:rsidR="00E021D7" w:rsidRDefault="00E021D7">
      <w:pPr>
        <w:widowControl w:val="0"/>
        <w:tabs>
          <w:tab w:val="left" w:pos="567"/>
        </w:tabs>
        <w:spacing w:after="0" w:line="240" w:lineRule="auto"/>
        <w:rPr>
          <w:rFonts w:ascii="Times New Roman" w:eastAsia="Calibri" w:hAnsi="Times New Roman" w:cs="Times New Roman"/>
        </w:rPr>
      </w:pPr>
    </w:p>
    <w:p w14:paraId="1354FD1D"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Kas yra </w:t>
      </w:r>
      <w:proofErr w:type="spellStart"/>
      <w:r>
        <w:rPr>
          <w:rFonts w:ascii="Times New Roman" w:eastAsia="Calibri" w:hAnsi="Times New Roman" w:cs="Times New Roman"/>
          <w:b/>
        </w:rPr>
        <w:t>ankilozinis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spondilitas</w:t>
      </w:r>
      <w:proofErr w:type="spellEnd"/>
      <w:r>
        <w:rPr>
          <w:rFonts w:ascii="Times New Roman" w:eastAsia="Calibri" w:hAnsi="Times New Roman" w:cs="Times New Roman"/>
          <w:b/>
        </w:rPr>
        <w:t>?</w:t>
      </w:r>
    </w:p>
    <w:p w14:paraId="3E7EFAB5"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Ankilozinis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spondilitas</w:t>
      </w:r>
      <w:proofErr w:type="spellEnd"/>
      <w:r>
        <w:rPr>
          <w:rFonts w:ascii="Times New Roman" w:eastAsia="Calibri" w:hAnsi="Times New Roman" w:cs="Times New Roman"/>
        </w:rPr>
        <w:t xml:space="preserve"> yra uždegiminė stuburo ir stambiųjų sąnarių liga.</w:t>
      </w:r>
    </w:p>
    <w:p w14:paraId="2864BBEF" w14:textId="77777777" w:rsidR="00E021D7" w:rsidRDefault="00E021D7">
      <w:pPr>
        <w:widowControl w:val="0"/>
        <w:tabs>
          <w:tab w:val="left" w:pos="567"/>
        </w:tabs>
        <w:spacing w:after="0" w:line="240" w:lineRule="auto"/>
        <w:jc w:val="both"/>
        <w:rPr>
          <w:rFonts w:ascii="Times New Roman" w:eastAsia="Calibri" w:hAnsi="Times New Roman" w:cs="Times New Roman"/>
        </w:rPr>
      </w:pPr>
    </w:p>
    <w:p w14:paraId="3B8A92EC" w14:textId="77777777" w:rsidR="00E021D7" w:rsidRDefault="00E021D7">
      <w:pPr>
        <w:widowControl w:val="0"/>
        <w:tabs>
          <w:tab w:val="left" w:pos="567"/>
        </w:tabs>
        <w:spacing w:after="0" w:line="240" w:lineRule="auto"/>
        <w:rPr>
          <w:rFonts w:ascii="Times New Roman" w:eastAsia="Calibri" w:hAnsi="Times New Roman" w:cs="Times New Roman"/>
        </w:rPr>
      </w:pPr>
    </w:p>
    <w:p w14:paraId="4E332C12"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Bericox</w:t>
      </w:r>
      <w:proofErr w:type="spellEnd"/>
    </w:p>
    <w:p w14:paraId="1C2E7B31" w14:textId="77777777" w:rsidR="00E021D7" w:rsidRDefault="00E021D7">
      <w:pPr>
        <w:widowControl w:val="0"/>
        <w:tabs>
          <w:tab w:val="left" w:pos="567"/>
        </w:tabs>
        <w:spacing w:after="0" w:line="240" w:lineRule="auto"/>
        <w:rPr>
          <w:rFonts w:ascii="Times New Roman" w:eastAsia="Calibri" w:hAnsi="Times New Roman" w:cs="Times New Roman"/>
        </w:rPr>
      </w:pPr>
    </w:p>
    <w:p w14:paraId="3E38D9AC" w14:textId="77777777" w:rsidR="00E021D7" w:rsidRDefault="009C1A2C">
      <w:pPr>
        <w:widowControl w:val="0"/>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caps/>
        </w:rPr>
        <w:t xml:space="preserve"> </w:t>
      </w:r>
      <w:r>
        <w:rPr>
          <w:rFonts w:ascii="Times New Roman" w:eastAsia="Calibri" w:hAnsi="Times New Roman" w:cs="Times New Roman"/>
          <w:b/>
        </w:rPr>
        <w:t>vartoti draudžiama</w:t>
      </w:r>
    </w:p>
    <w:p w14:paraId="26037147"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yra alergija </w:t>
      </w:r>
      <w:proofErr w:type="spellStart"/>
      <w:r>
        <w:rPr>
          <w:rFonts w:ascii="Times New Roman" w:eastAsia="Calibri" w:hAnsi="Times New Roman" w:cs="Times New Roman"/>
        </w:rPr>
        <w:t>etorikoksibui</w:t>
      </w:r>
      <w:proofErr w:type="spellEnd"/>
      <w:r>
        <w:rPr>
          <w:rFonts w:ascii="Times New Roman" w:eastAsia="Calibri" w:hAnsi="Times New Roman" w:cs="Times New Roman"/>
        </w:rPr>
        <w:t xml:space="preserve"> arba bet kuriai pagalbinei šio vaisto medžiagai (jos išvardytos 6 skyriuje);</w:t>
      </w:r>
    </w:p>
    <w:p w14:paraId="6D1D89CE"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yra alergija nesteroidiniams vaistams nuo uždegimo (NVNU), įskaitant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rūgštį ir COX-2 inhibitorius (žr. 4 skyrių „Galimas šalutinis poveikis“);</w:t>
      </w:r>
    </w:p>
    <w:p w14:paraId="213C9BF3"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šiuo metu Jums yra skrandžio opa ar kraujavimas skrandyje arba žarnose;</w:t>
      </w:r>
    </w:p>
    <w:p w14:paraId="2D377359"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sergate sunkia kepenų liga;</w:t>
      </w:r>
    </w:p>
    <w:p w14:paraId="4350EE68"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sergate sunkia inkstų liga;</w:t>
      </w:r>
    </w:p>
    <w:p w14:paraId="12D6D3CA"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esate arba manote, kad galite būti nėščia, arba žindote (žr. „Nėštumas, žindymo laikotarpis ir vaisingumas“);</w:t>
      </w:r>
    </w:p>
    <w:p w14:paraId="5687B536"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Jums mažiau nei 16 metų;</w:t>
      </w:r>
    </w:p>
    <w:p w14:paraId="2F3FC7BD"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sergate uždegimine žarnų liga, tokia, kaip Krono liga, opinis kolitas arba kolitas;</w:t>
      </w:r>
    </w:p>
    <w:p w14:paraId="3CDE5F73"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yra padidėjęs kraujospūdis, kuris nėra kontroliuojamas gydymu (pasitikrinkite pas savo gydytoją arba slaugytoją, jeigu abejojate, ar Jūsų kraujospūdis pakankamai kontroliuojamas);</w:t>
      </w:r>
    </w:p>
    <w:p w14:paraId="3A0084B0"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gydytojas Jums nustatė širdies ligą, įskaitant širdies nepakankamumą (vidutinio sunkumo arba sunkaus tipo), krūtinės anginą (krūtinės skausmą);</w:t>
      </w:r>
    </w:p>
    <w:p w14:paraId="40EF1979"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Jums yra buvęs širdies priepuolis, atlikta šuntavimo operacija, buvo periferinių arterijų liga (nepakankama kraujotaka kojose arba rankose dėl susiaurėjusių arba užsikimšusių arterijų);</w:t>
      </w:r>
    </w:p>
    <w:p w14:paraId="2FB10003" w14:textId="77777777" w:rsidR="00E021D7" w:rsidRDefault="009C1A2C">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Jums buvo bet kokios rūšies insultas (įskaitant </w:t>
      </w:r>
      <w:proofErr w:type="spellStart"/>
      <w:r>
        <w:rPr>
          <w:rFonts w:ascii="Times New Roman" w:eastAsia="Calibri" w:hAnsi="Times New Roman" w:cs="Times New Roman"/>
        </w:rPr>
        <w:t>mikroinsultą</w:t>
      </w:r>
      <w:proofErr w:type="spellEnd"/>
      <w:r>
        <w:rPr>
          <w:rFonts w:ascii="Times New Roman" w:eastAsia="Calibri" w:hAnsi="Times New Roman" w:cs="Times New Roman"/>
        </w:rPr>
        <w:t xml:space="preserve">, praeinantį smegenų išemijos priepuolį arba PSIP).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 xml:space="preserve"> gali šiek tiek padidinti širdies priepuolio ir insulto riziką, todėl jo negalima vartoti suaugusiesiems, kuriems buvo širdies ligų arba insultas.</w:t>
      </w:r>
    </w:p>
    <w:p w14:paraId="345A50C0" w14:textId="77777777" w:rsidR="00E021D7" w:rsidRDefault="00E021D7">
      <w:pPr>
        <w:widowControl w:val="0"/>
        <w:tabs>
          <w:tab w:val="left" w:pos="567"/>
        </w:tabs>
        <w:spacing w:after="0" w:line="240" w:lineRule="auto"/>
        <w:ind w:left="567" w:hanging="720"/>
        <w:rPr>
          <w:rFonts w:ascii="Times New Roman" w:eastAsia="Calibri" w:hAnsi="Times New Roman" w:cs="Times New Roman"/>
        </w:rPr>
      </w:pPr>
    </w:p>
    <w:p w14:paraId="07D8B18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manote, kad kuris nors iš šių atvejų Jums yra aktualus, negerkite tablečių, nepasitarę su gydytoju.</w:t>
      </w:r>
    </w:p>
    <w:p w14:paraId="1F1FC22B" w14:textId="77777777" w:rsidR="00E021D7" w:rsidRDefault="00E021D7">
      <w:pPr>
        <w:widowControl w:val="0"/>
        <w:tabs>
          <w:tab w:val="left" w:pos="567"/>
        </w:tabs>
        <w:spacing w:after="0" w:line="240" w:lineRule="auto"/>
        <w:rPr>
          <w:rFonts w:ascii="Times New Roman" w:eastAsia="Calibri" w:hAnsi="Times New Roman" w:cs="Times New Roman"/>
        </w:rPr>
      </w:pPr>
    </w:p>
    <w:p w14:paraId="2068A698"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14:paraId="69CBC6D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Pasitarkite su gydytoju arba vaistininku, prieš pradėdami vartoti </w:t>
      </w:r>
      <w:proofErr w:type="spellStart"/>
      <w:r>
        <w:rPr>
          <w:rFonts w:ascii="Times New Roman" w:eastAsia="Calibri" w:hAnsi="Times New Roman" w:cs="Times New Roman"/>
        </w:rPr>
        <w:t>Bericox</w:t>
      </w:r>
      <w:proofErr w:type="spellEnd"/>
      <w:r>
        <w:rPr>
          <w:rFonts w:ascii="Times New Roman" w:eastAsia="Calibri" w:hAnsi="Times New Roman" w:cs="Times New Roman"/>
        </w:rPr>
        <w:t>, jeigu:</w:t>
      </w:r>
    </w:p>
    <w:p w14:paraId="49974992"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buvo kraujavimas iš skrandžio arba skrandžio opų;</w:t>
      </w:r>
    </w:p>
    <w:p w14:paraId="4BEE335D"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organizme trūksta skysčių, pvz., po užsitęsusio vėmimo arba viduriavimo;</w:t>
      </w:r>
    </w:p>
    <w:p w14:paraId="0C356203"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yra patinimų dėl skysčių susilaikymo;</w:t>
      </w:r>
    </w:p>
    <w:p w14:paraId="76FDBDCA"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buvo širdies nepakankamumas arba kokia nors kita širdies liga;</w:t>
      </w:r>
    </w:p>
    <w:p w14:paraId="7F66F121"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buvo padidėjęs kraujospūdis. Kai kuriems žmonėms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gali didinti kraujospūdį, ypač vartojant dideles dozes, todėl gydytojas retkarčiais norės patikrinti Jūsų kraujospūdį;</w:t>
      </w:r>
    </w:p>
    <w:p w14:paraId="2B3D7DD8"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esate sirgęs kokia nors kepenų arba inkstų liga;</w:t>
      </w:r>
    </w:p>
    <w:p w14:paraId="71118EDF"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esate gydomas nuo infekcinės ligos.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gali maskuoti arba paslėpti karščiavimą, kuris yra infekcinės ligos požymis;</w:t>
      </w:r>
    </w:p>
    <w:p w14:paraId="49A3052F"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sergate cukriniu diabetu, yra padidėjęs cholesterolio kiekis arba esate rūkalius. Tai gali padidinti širdies ligų riziką;</w:t>
      </w:r>
    </w:p>
    <w:p w14:paraId="0E0AC5CD"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esate mėginanti pastoti moteris;</w:t>
      </w:r>
    </w:p>
    <w:p w14:paraId="4E530843" w14:textId="77777777" w:rsidR="00E021D7" w:rsidRDefault="009C1A2C">
      <w:pPr>
        <w:widowControl w:val="0"/>
        <w:numPr>
          <w:ilvl w:val="0"/>
          <w:numId w:val="6"/>
        </w:numPr>
        <w:tabs>
          <w:tab w:val="clear" w:pos="35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esate vyresnis nei 65 metų.</w:t>
      </w:r>
    </w:p>
    <w:p w14:paraId="6270D46B"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1D92042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Jeigu nesate tikri, ar Jums tinka kuris nors iš minėtų atvejų, </w:t>
      </w:r>
      <w:r>
        <w:rPr>
          <w:rFonts w:ascii="Times New Roman" w:eastAsia="Calibri" w:hAnsi="Times New Roman" w:cs="Times New Roman"/>
          <w:b/>
        </w:rPr>
        <w:t xml:space="preserve">pasitarkite su gydytoju prieš pradedant vartoti </w:t>
      </w: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w:t>
      </w:r>
      <w:r>
        <w:rPr>
          <w:rFonts w:ascii="Times New Roman" w:eastAsia="Calibri" w:hAnsi="Times New Roman" w:cs="Times New Roman"/>
        </w:rPr>
        <w:t>kad įsitikintumėte, ar šis vaistas Jums tinka.</w:t>
      </w:r>
    </w:p>
    <w:p w14:paraId="05B652F8" w14:textId="77777777" w:rsidR="00E021D7" w:rsidRDefault="00E021D7">
      <w:pPr>
        <w:widowControl w:val="0"/>
        <w:tabs>
          <w:tab w:val="left" w:pos="567"/>
        </w:tabs>
        <w:spacing w:after="0" w:line="240" w:lineRule="auto"/>
        <w:ind w:left="133"/>
        <w:rPr>
          <w:rFonts w:ascii="Times New Roman" w:eastAsia="Calibri" w:hAnsi="Times New Roman" w:cs="Times New Roman"/>
        </w:rPr>
      </w:pPr>
    </w:p>
    <w:p w14:paraId="3E999EC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vienodai gerai veikia vyresnius ir jaunesnius suaugusius pacientus. Jeigu esate vyresnis nei 65 metų, gydytojas norės toliau atitinkamai tikrinti Jūsų būklę. Vyresniems nei 65 metų pacientams dozės koreguoti nereikia.</w:t>
      </w:r>
    </w:p>
    <w:p w14:paraId="266E0CD8" w14:textId="77777777" w:rsidR="00E021D7" w:rsidRDefault="00E021D7">
      <w:pPr>
        <w:widowControl w:val="0"/>
        <w:tabs>
          <w:tab w:val="left" w:pos="567"/>
        </w:tabs>
        <w:spacing w:after="0" w:line="240" w:lineRule="auto"/>
        <w:rPr>
          <w:rFonts w:ascii="Times New Roman" w:eastAsia="Calibri" w:hAnsi="Times New Roman" w:cs="Times New Roman"/>
          <w:b/>
        </w:rPr>
      </w:pPr>
    </w:p>
    <w:p w14:paraId="66EF834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14:paraId="0D8CE9B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vaisto neduokite vaikams ir jaunesniems nei 16 metų paaugliams.</w:t>
      </w:r>
    </w:p>
    <w:p w14:paraId="71EF6CB8" w14:textId="77777777" w:rsidR="00E021D7" w:rsidRDefault="00E021D7">
      <w:pPr>
        <w:widowControl w:val="0"/>
        <w:tabs>
          <w:tab w:val="left" w:pos="567"/>
        </w:tabs>
        <w:spacing w:after="0" w:line="240" w:lineRule="auto"/>
        <w:rPr>
          <w:rFonts w:ascii="Times New Roman" w:eastAsia="Calibri" w:hAnsi="Times New Roman" w:cs="Times New Roman"/>
        </w:rPr>
      </w:pPr>
    </w:p>
    <w:p w14:paraId="092ABB1E"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Bericox</w:t>
      </w:r>
      <w:proofErr w:type="spellEnd"/>
    </w:p>
    <w:p w14:paraId="4759338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Jeigu vartojate ar neseniai vartojote kitų vaistų arba dėl to nesate tikri, apie tai pasakykite gydytojui </w:t>
      </w:r>
      <w:r>
        <w:rPr>
          <w:rFonts w:ascii="Times New Roman" w:eastAsia="Calibri" w:hAnsi="Times New Roman" w:cs="Times New Roman"/>
        </w:rPr>
        <w:lastRenderedPageBreak/>
        <w:t>arba vaistininkui.</w:t>
      </w:r>
    </w:p>
    <w:p w14:paraId="4419D240" w14:textId="77777777" w:rsidR="00E021D7" w:rsidRDefault="00E021D7">
      <w:pPr>
        <w:widowControl w:val="0"/>
        <w:tabs>
          <w:tab w:val="left" w:pos="567"/>
        </w:tabs>
        <w:spacing w:after="0" w:line="240" w:lineRule="auto"/>
        <w:rPr>
          <w:rFonts w:ascii="Times New Roman" w:eastAsia="Calibri" w:hAnsi="Times New Roman" w:cs="Times New Roman"/>
        </w:rPr>
      </w:pPr>
    </w:p>
    <w:p w14:paraId="2DA3BACA"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Pradėjus vartoti </w:t>
      </w:r>
      <w:proofErr w:type="spellStart"/>
      <w:r>
        <w:rPr>
          <w:rFonts w:ascii="Times New Roman" w:eastAsia="Calibri" w:hAnsi="Times New Roman" w:cs="Times New Roman"/>
        </w:rPr>
        <w:t>Bericox</w:t>
      </w:r>
      <w:proofErr w:type="spellEnd"/>
      <w:r>
        <w:rPr>
          <w:rFonts w:ascii="Times New Roman" w:eastAsia="Calibri" w:hAnsi="Times New Roman" w:cs="Times New Roman"/>
        </w:rPr>
        <w:t>, gydytojas gali norėti stebėti, ar tinkamai veikia Jūsų vartojami vaistai, ypač jeigu vartojate bet kurį iš toliau išvardytų vaistų:</w:t>
      </w:r>
    </w:p>
    <w:p w14:paraId="7D41B38B"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kraują skystinančių vaistų (antikoaguliantų), pavyzdžiui, varfarino;</w:t>
      </w:r>
    </w:p>
    <w:p w14:paraId="5C91C55E"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(antibiotiko);</w:t>
      </w:r>
    </w:p>
    <w:p w14:paraId="5F4D9A50"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(vaisto, vartojamo imuninei sistemai slopinti ir dažnai vartojamo reumatoidiniam artritui gydyti);</w:t>
      </w:r>
    </w:p>
    <w:p w14:paraId="3F25CFDF"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ciklosporino</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takrolimuzo</w:t>
      </w:r>
      <w:proofErr w:type="spellEnd"/>
      <w:r>
        <w:rPr>
          <w:rFonts w:ascii="Times New Roman" w:eastAsia="Calibri" w:hAnsi="Times New Roman" w:cs="Times New Roman"/>
        </w:rPr>
        <w:t xml:space="preserve"> (vaistų, vartojamų imuninei sistemai slopinti);</w:t>
      </w:r>
    </w:p>
    <w:p w14:paraId="28A46B90"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ličio (vaisto, vartojamo tam tikrų tipų depresijai gydyti);</w:t>
      </w:r>
    </w:p>
    <w:p w14:paraId="46BF4D14"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AKF inhibitoriais ir </w:t>
      </w:r>
      <w:proofErr w:type="spellStart"/>
      <w:r>
        <w:rPr>
          <w:rFonts w:ascii="Times New Roman" w:eastAsia="Calibri" w:hAnsi="Times New Roman" w:cs="Times New Roman"/>
        </w:rPr>
        <w:t>angiotenzino</w:t>
      </w:r>
      <w:proofErr w:type="spellEnd"/>
      <w:r>
        <w:rPr>
          <w:rFonts w:ascii="Times New Roman" w:eastAsia="Calibri" w:hAnsi="Times New Roman" w:cs="Times New Roman"/>
        </w:rPr>
        <w:t xml:space="preserve"> receptorių blokatoriais vadinamų vaistų, kurie vartojami, kad padėtų kontroliuoti aukštą kraujospūdį ir širdies nepakankamumą, pavyzdžiui, </w:t>
      </w:r>
      <w:proofErr w:type="spellStart"/>
      <w:r>
        <w:rPr>
          <w:rFonts w:ascii="Times New Roman" w:eastAsia="Calibri" w:hAnsi="Times New Roman" w:cs="Times New Roman"/>
        </w:rPr>
        <w:t>enalaprilio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ramiprilio</w:t>
      </w:r>
      <w:proofErr w:type="spellEnd"/>
      <w:r>
        <w:rPr>
          <w:rFonts w:ascii="Times New Roman" w:eastAsia="Calibri" w:hAnsi="Times New Roman" w:cs="Times New Roman"/>
        </w:rPr>
        <w:t xml:space="preserve"> bei </w:t>
      </w:r>
      <w:proofErr w:type="spellStart"/>
      <w:r>
        <w:rPr>
          <w:rFonts w:ascii="Times New Roman" w:eastAsia="Calibri" w:hAnsi="Times New Roman" w:cs="Times New Roman"/>
        </w:rPr>
        <w:t>losartano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valsartano</w:t>
      </w:r>
      <w:proofErr w:type="spellEnd"/>
      <w:r>
        <w:rPr>
          <w:rFonts w:ascii="Times New Roman" w:eastAsia="Calibri" w:hAnsi="Times New Roman" w:cs="Times New Roman"/>
        </w:rPr>
        <w:t>;</w:t>
      </w:r>
    </w:p>
    <w:p w14:paraId="33FCC2F8"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diuretikų (šlapimo išsiskyrimą skatinančių vaistų);</w:t>
      </w:r>
    </w:p>
    <w:p w14:paraId="02D0819C"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(vaisto, vartojamo širdies nepakankamumui ir nereguliariam širdies ritmui gydyti);</w:t>
      </w:r>
    </w:p>
    <w:p w14:paraId="1408E529"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minoksidilio</w:t>
      </w:r>
      <w:proofErr w:type="spellEnd"/>
      <w:r>
        <w:rPr>
          <w:rFonts w:ascii="Times New Roman" w:eastAsia="Calibri" w:hAnsi="Times New Roman" w:cs="Times New Roman"/>
        </w:rPr>
        <w:t xml:space="preserve"> (vaisto, vartojamo aukštam kraujospūdžiui gydyti);</w:t>
      </w:r>
    </w:p>
    <w:p w14:paraId="344C252C"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salbutamolio</w:t>
      </w:r>
      <w:proofErr w:type="spellEnd"/>
      <w:r>
        <w:rPr>
          <w:rFonts w:ascii="Times New Roman" w:eastAsia="Calibri" w:hAnsi="Times New Roman" w:cs="Times New Roman"/>
        </w:rPr>
        <w:t xml:space="preserve"> tablečių arba geriamojo tirpalo (vaisto, vartojamo astmai gydyti);</w:t>
      </w:r>
    </w:p>
    <w:p w14:paraId="683ADA34"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nuo pastojimo apsaugančių tablečių (šių vaistų derinys gali padidinti šalutinio poveikio pasireiškimo riziką);</w:t>
      </w:r>
    </w:p>
    <w:p w14:paraId="34D1F933"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pakeičiamosios hormonų terapijos vaistų (šių vaistų derinys gali padidinti šalutinio poveikio pasireiškimo riziką);</w:t>
      </w:r>
    </w:p>
    <w:p w14:paraId="7651DA1D" w14:textId="77777777" w:rsidR="00E021D7" w:rsidRDefault="009C1A2C">
      <w:pPr>
        <w:widowControl w:val="0"/>
        <w:numPr>
          <w:ilvl w:val="0"/>
          <w:numId w:val="7"/>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kadangi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vartojant kartu su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rūgštimi būna didesnė skrandžio opų rizika;</w:t>
      </w:r>
    </w:p>
    <w:p w14:paraId="3D297A67" w14:textId="77777777" w:rsidR="00E021D7" w:rsidRDefault="009C1A2C">
      <w:pPr>
        <w:widowControl w:val="0"/>
        <w:numPr>
          <w:ilvl w:val="0"/>
          <w:numId w:val="8"/>
        </w:numPr>
        <w:tabs>
          <w:tab w:val="left" w:pos="-1843"/>
          <w:tab w:val="left" w:pos="1134"/>
        </w:tabs>
        <w:spacing w:after="0" w:line="240" w:lineRule="auto"/>
        <w:ind w:left="1134" w:hanging="567"/>
        <w:rPr>
          <w:rFonts w:ascii="Times New Roman" w:eastAsia="Times New Roman" w:hAnsi="Times New Roman" w:cs="Times New Roman"/>
          <w:lang w:val="en-GB" w:eastAsia="sl-SI"/>
        </w:rPr>
      </w:pP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rūgštis širdies priepuolių arba insulto profilaktikai:</w:t>
      </w:r>
    </w:p>
    <w:p w14:paraId="7B49A299" w14:textId="77777777" w:rsidR="00E021D7" w:rsidRDefault="009C1A2C">
      <w:pPr>
        <w:widowControl w:val="0"/>
        <w:spacing w:after="0" w:line="240" w:lineRule="auto"/>
        <w:ind w:left="1134"/>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galima vartoti kartu su maža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doze. Jeigu vartojate mažą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dozę širdies priepuolio arba insulto profilaktikai, nepasitarę su gydytoju, jos vartojimo nenutraukite;</w:t>
      </w:r>
    </w:p>
    <w:p w14:paraId="52EFB7F9" w14:textId="77777777" w:rsidR="00E021D7" w:rsidRDefault="009C1A2C">
      <w:pPr>
        <w:widowControl w:val="0"/>
        <w:numPr>
          <w:ilvl w:val="0"/>
          <w:numId w:val="8"/>
        </w:numPr>
        <w:tabs>
          <w:tab w:val="left" w:pos="-1843"/>
          <w:tab w:val="left" w:pos="1134"/>
        </w:tabs>
        <w:spacing w:after="0" w:line="240" w:lineRule="auto"/>
        <w:ind w:left="1134" w:hanging="567"/>
        <w:rPr>
          <w:rFonts w:ascii="Times New Roman" w:eastAsia="Times New Roman" w:hAnsi="Times New Roman" w:cs="Times New Roman"/>
          <w:lang w:val="sl-SI" w:eastAsia="sl-SI"/>
        </w:rPr>
      </w:pP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rūgštis ir kiti nesteroidiniai vaistai nuo uždegimo (NVNU):</w:t>
      </w:r>
    </w:p>
    <w:p w14:paraId="5171B6FA" w14:textId="77777777" w:rsidR="00E021D7" w:rsidRDefault="009C1A2C">
      <w:pPr>
        <w:widowControl w:val="0"/>
        <w:spacing w:after="0" w:line="240" w:lineRule="auto"/>
        <w:ind w:left="1134"/>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vartojimo metu nevartokite </w:t>
      </w:r>
      <w:r>
        <w:rPr>
          <w:rFonts w:ascii="Times New Roman" w:eastAsia="Calibri" w:hAnsi="Times New Roman" w:cs="Times New Roman"/>
          <w:b/>
        </w:rPr>
        <w:t>didelės</w:t>
      </w:r>
      <w:r>
        <w:rPr>
          <w:rFonts w:ascii="Times New Roman" w:eastAsia="Calibri" w:hAnsi="Times New Roman" w:cs="Times New Roman"/>
        </w:rPr>
        <w:t xml:space="preserve">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rūgšties </w:t>
      </w:r>
      <w:r>
        <w:rPr>
          <w:rFonts w:ascii="Times New Roman" w:eastAsia="Calibri" w:hAnsi="Times New Roman" w:cs="Times New Roman"/>
          <w:b/>
        </w:rPr>
        <w:t>dozės</w:t>
      </w:r>
      <w:r>
        <w:rPr>
          <w:rFonts w:ascii="Times New Roman" w:eastAsia="Calibri" w:hAnsi="Times New Roman" w:cs="Times New Roman"/>
        </w:rPr>
        <w:t xml:space="preserve"> arba kitų vaistų nuo uždegimo.</w:t>
      </w:r>
    </w:p>
    <w:p w14:paraId="128587C3"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27B60FBE" w14:textId="77777777" w:rsidR="00E021D7" w:rsidRDefault="009C1A2C">
      <w:pPr>
        <w:widowControl w:val="0"/>
        <w:tabs>
          <w:tab w:val="left" w:pos="567"/>
        </w:tabs>
        <w:spacing w:after="0" w:line="240" w:lineRule="auto"/>
        <w:ind w:left="567" w:hanging="567"/>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vartojimas su maistu ir gėrimais</w:t>
      </w:r>
    </w:p>
    <w:p w14:paraId="0E86C5F1" w14:textId="77777777" w:rsidR="00E021D7" w:rsidRDefault="009C1A2C">
      <w:pPr>
        <w:widowControl w:val="0"/>
        <w:tabs>
          <w:tab w:val="left"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poveikio pradžia gali būti greitesnė, jeigu vaisto išgeriama nevalgius.</w:t>
      </w:r>
    </w:p>
    <w:p w14:paraId="636460D3"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1CE37A49"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Nėštumas, žindymo laikotarpis ir vaisingumas</w:t>
      </w:r>
    </w:p>
    <w:p w14:paraId="5DD7111E" w14:textId="77777777" w:rsidR="00E021D7" w:rsidRDefault="00E021D7">
      <w:pPr>
        <w:widowControl w:val="0"/>
        <w:tabs>
          <w:tab w:val="left" w:pos="567"/>
        </w:tabs>
        <w:spacing w:after="0" w:line="240" w:lineRule="auto"/>
        <w:rPr>
          <w:rFonts w:ascii="Times New Roman" w:eastAsia="Calibri" w:hAnsi="Times New Roman" w:cs="Times New Roman"/>
        </w:rPr>
      </w:pPr>
    </w:p>
    <w:p w14:paraId="1EB89A7F"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Nėštumas</w:t>
      </w:r>
    </w:p>
    <w:p w14:paraId="2B0BB183" w14:textId="77777777" w:rsidR="00E021D7" w:rsidRDefault="00E021D7">
      <w:pPr>
        <w:widowControl w:val="0"/>
        <w:tabs>
          <w:tab w:val="left" w:pos="567"/>
        </w:tabs>
        <w:spacing w:after="0" w:line="240" w:lineRule="auto"/>
        <w:rPr>
          <w:rFonts w:ascii="Times New Roman" w:eastAsia="Calibri" w:hAnsi="Times New Roman" w:cs="Times New Roman"/>
        </w:rPr>
      </w:pPr>
    </w:p>
    <w:p w14:paraId="7AA5AAF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Nėštumo metu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14:paraId="409D4875" w14:textId="77777777" w:rsidR="00E021D7" w:rsidRDefault="00E021D7">
      <w:pPr>
        <w:widowControl w:val="0"/>
        <w:tabs>
          <w:tab w:val="left" w:pos="567"/>
        </w:tabs>
        <w:spacing w:after="0" w:line="240" w:lineRule="auto"/>
        <w:rPr>
          <w:rFonts w:ascii="Times New Roman" w:eastAsia="Calibri" w:hAnsi="Times New Roman" w:cs="Times New Roman"/>
        </w:rPr>
      </w:pPr>
    </w:p>
    <w:p w14:paraId="6CF19248"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Žindymas</w:t>
      </w:r>
    </w:p>
    <w:p w14:paraId="0A85D5F0" w14:textId="77777777" w:rsidR="00E021D7" w:rsidRDefault="00E021D7">
      <w:pPr>
        <w:widowControl w:val="0"/>
        <w:tabs>
          <w:tab w:val="left" w:pos="567"/>
        </w:tabs>
        <w:spacing w:after="0" w:line="240" w:lineRule="auto"/>
        <w:rPr>
          <w:rFonts w:ascii="Times New Roman" w:eastAsia="Calibri" w:hAnsi="Times New Roman" w:cs="Times New Roman"/>
        </w:rPr>
      </w:pPr>
    </w:p>
    <w:p w14:paraId="4B6CFC6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Nežinoma, ar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išsiskiria į motinos pieną. Jeigu esate žindyvė arba planuojate žindyti, prieš pradedant vartoti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pasitarkite su gydytoju. Jeigu vartojate </w:t>
      </w:r>
      <w:proofErr w:type="spellStart"/>
      <w:r>
        <w:rPr>
          <w:rFonts w:ascii="Times New Roman" w:eastAsia="Calibri" w:hAnsi="Times New Roman" w:cs="Times New Roman"/>
        </w:rPr>
        <w:t>Bericox</w:t>
      </w:r>
      <w:proofErr w:type="spellEnd"/>
      <w:r>
        <w:rPr>
          <w:rFonts w:ascii="Times New Roman" w:eastAsia="Calibri" w:hAnsi="Times New Roman" w:cs="Times New Roman"/>
        </w:rPr>
        <w:t>, žindyti negalima.</w:t>
      </w:r>
    </w:p>
    <w:p w14:paraId="2F1AE4D0" w14:textId="77777777" w:rsidR="00E021D7" w:rsidRDefault="00E021D7">
      <w:pPr>
        <w:widowControl w:val="0"/>
        <w:tabs>
          <w:tab w:val="left" w:pos="567"/>
        </w:tabs>
        <w:spacing w:after="0" w:line="240" w:lineRule="auto"/>
        <w:rPr>
          <w:rFonts w:ascii="Times New Roman" w:eastAsia="Calibri" w:hAnsi="Times New Roman" w:cs="Times New Roman"/>
        </w:rPr>
      </w:pPr>
    </w:p>
    <w:p w14:paraId="35C8D5A8"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Vaisingumas</w:t>
      </w:r>
    </w:p>
    <w:p w14:paraId="74B95C8E" w14:textId="77777777" w:rsidR="00E021D7" w:rsidRDefault="00E021D7">
      <w:pPr>
        <w:widowControl w:val="0"/>
        <w:tabs>
          <w:tab w:val="left" w:pos="567"/>
        </w:tabs>
        <w:spacing w:after="0" w:line="240" w:lineRule="auto"/>
        <w:rPr>
          <w:rFonts w:ascii="Times New Roman" w:eastAsia="Calibri" w:hAnsi="Times New Roman" w:cs="Times New Roman"/>
        </w:rPr>
      </w:pPr>
    </w:p>
    <w:p w14:paraId="06209B3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Planuojančiai pastoti moteriai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vartoti nerekomenduojama.</w:t>
      </w:r>
    </w:p>
    <w:p w14:paraId="2BEF488D" w14:textId="77777777" w:rsidR="00E021D7" w:rsidRDefault="00E021D7">
      <w:pPr>
        <w:widowControl w:val="0"/>
        <w:tabs>
          <w:tab w:val="left" w:pos="567"/>
        </w:tabs>
        <w:spacing w:after="0" w:line="240" w:lineRule="auto"/>
        <w:rPr>
          <w:rFonts w:ascii="Times New Roman" w:eastAsia="Calibri" w:hAnsi="Times New Roman" w:cs="Times New Roman"/>
          <w:b/>
          <w:i/>
        </w:rPr>
      </w:pPr>
    </w:p>
    <w:p w14:paraId="15BF0C36"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Vairavimas ir mechanizmų valdymas</w:t>
      </w:r>
    </w:p>
    <w:p w14:paraId="5D4435E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Gauta pranešimų, kad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vartojimo metu kai kuriems pacientams pasireiškė svaigulys ir mieguistumas.</w:t>
      </w:r>
    </w:p>
    <w:p w14:paraId="1CD5BBC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Nevairuokite, jeigu Jums svaigsta galva arba esate apsnūdęs.</w:t>
      </w:r>
    </w:p>
    <w:p w14:paraId="4E91DD1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Nedirbkite su įrankiais arba mechanizmais, jeigu Jums svaigsta galva arba esate apsnūdęs.</w:t>
      </w:r>
    </w:p>
    <w:p w14:paraId="4CDAC737" w14:textId="77777777" w:rsidR="00E021D7" w:rsidRDefault="00E021D7">
      <w:pPr>
        <w:widowControl w:val="0"/>
        <w:tabs>
          <w:tab w:val="left" w:pos="567"/>
        </w:tabs>
        <w:spacing w:after="0" w:line="240" w:lineRule="auto"/>
        <w:rPr>
          <w:rFonts w:ascii="Times New Roman" w:eastAsia="Calibri" w:hAnsi="Times New Roman" w:cs="Times New Roman"/>
        </w:rPr>
      </w:pPr>
    </w:p>
    <w:p w14:paraId="0019745B" w14:textId="77777777" w:rsidR="00E021D7" w:rsidRDefault="009C1A2C">
      <w:pPr>
        <w:widowControl w:val="0"/>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sudėtyje yra natrio</w:t>
      </w:r>
    </w:p>
    <w:p w14:paraId="6B9185B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vaisto tabletėje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14:paraId="48C2F82C" w14:textId="77777777" w:rsidR="00E021D7" w:rsidRDefault="00E021D7">
      <w:pPr>
        <w:widowControl w:val="0"/>
        <w:tabs>
          <w:tab w:val="left" w:pos="567"/>
        </w:tabs>
        <w:spacing w:after="0" w:line="240" w:lineRule="auto"/>
        <w:rPr>
          <w:rFonts w:ascii="Times New Roman" w:eastAsia="Calibri" w:hAnsi="Times New Roman" w:cs="Times New Roman"/>
        </w:rPr>
      </w:pPr>
    </w:p>
    <w:p w14:paraId="7AB796DC" w14:textId="77777777" w:rsidR="00E021D7" w:rsidRDefault="00E021D7">
      <w:pPr>
        <w:widowControl w:val="0"/>
        <w:tabs>
          <w:tab w:val="left" w:pos="567"/>
        </w:tabs>
        <w:spacing w:after="0" w:line="240" w:lineRule="auto"/>
        <w:rPr>
          <w:rFonts w:ascii="Times New Roman" w:eastAsia="Calibri" w:hAnsi="Times New Roman" w:cs="Times New Roman"/>
        </w:rPr>
      </w:pPr>
    </w:p>
    <w:p w14:paraId="70235ED2" w14:textId="77777777" w:rsidR="00E021D7" w:rsidRDefault="009C1A2C">
      <w:pPr>
        <w:widowControl w:val="0"/>
        <w:tabs>
          <w:tab w:val="left" w:pos="567"/>
          <w:tab w:val="left" w:pos="3969"/>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Bericox</w:t>
      </w:r>
      <w:proofErr w:type="spellEnd"/>
    </w:p>
    <w:p w14:paraId="17F98385" w14:textId="77777777" w:rsidR="00E021D7" w:rsidRDefault="00E021D7">
      <w:pPr>
        <w:widowControl w:val="0"/>
        <w:tabs>
          <w:tab w:val="left" w:pos="567"/>
        </w:tabs>
        <w:spacing w:after="0" w:line="240" w:lineRule="auto"/>
        <w:rPr>
          <w:rFonts w:ascii="Times New Roman" w:eastAsia="Calibri" w:hAnsi="Times New Roman" w:cs="Times New Roman"/>
        </w:rPr>
      </w:pPr>
    </w:p>
    <w:p w14:paraId="5A37481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 Jeigu abejojate, kreipkitės į gydytoją arba vaistininką.</w:t>
      </w:r>
    </w:p>
    <w:p w14:paraId="15D4FB0A" w14:textId="77777777" w:rsidR="00E021D7" w:rsidRDefault="00E021D7">
      <w:pPr>
        <w:widowControl w:val="0"/>
        <w:tabs>
          <w:tab w:val="left" w:pos="567"/>
        </w:tabs>
        <w:spacing w:after="0" w:line="240" w:lineRule="auto"/>
        <w:rPr>
          <w:rFonts w:ascii="Times New Roman" w:eastAsia="Calibri" w:hAnsi="Times New Roman" w:cs="Times New Roman"/>
        </w:rPr>
      </w:pPr>
    </w:p>
    <w:p w14:paraId="26AF64F5"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Nevartokite didesnės negu rekomenduojama dozės Jūsų ligai gydyti. Gydytojas retkarčiais norės aptarti Jūsų gydymą. Svarbu, kad vartotumėte mažiausią dozę, kuri kontroliuoja Jūsų skausmą. Negalima vartoti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ilgiau nei būtina, kadangi po užsitęsusio gydymo, ypač didelėmis dozėmis, gali padidėti širdies priepuolio ir insulto rizika.</w:t>
      </w:r>
    </w:p>
    <w:p w14:paraId="31C0D8EE" w14:textId="77777777" w:rsidR="00E021D7" w:rsidRDefault="00E021D7">
      <w:pPr>
        <w:widowControl w:val="0"/>
        <w:tabs>
          <w:tab w:val="left" w:pos="567"/>
        </w:tabs>
        <w:spacing w:after="0" w:line="240" w:lineRule="auto"/>
        <w:rPr>
          <w:rFonts w:ascii="Times New Roman" w:eastAsia="Calibri" w:hAnsi="Times New Roman" w:cs="Times New Roman"/>
        </w:rPr>
      </w:pPr>
    </w:p>
    <w:p w14:paraId="4E4EF8B4"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Šis vaistas yra tiekiamas įvairaus stiprumo, todėl gydytojas, atsižvelgdamas į Jūsų ligą, išrašys Jums tinkamo stiprumo tablečių.</w:t>
      </w:r>
    </w:p>
    <w:p w14:paraId="46A7EDDA" w14:textId="77777777" w:rsidR="00E021D7" w:rsidRDefault="00E021D7">
      <w:pPr>
        <w:widowControl w:val="0"/>
        <w:tabs>
          <w:tab w:val="left" w:pos="567"/>
        </w:tabs>
        <w:spacing w:after="0" w:line="240" w:lineRule="auto"/>
        <w:rPr>
          <w:rFonts w:ascii="Times New Roman" w:eastAsia="Calibri" w:hAnsi="Times New Roman" w:cs="Times New Roman"/>
        </w:rPr>
      </w:pPr>
    </w:p>
    <w:p w14:paraId="335CA395"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Rekomenduojama dozė yra:</w:t>
      </w:r>
    </w:p>
    <w:p w14:paraId="03FC4760" w14:textId="77777777" w:rsidR="00E021D7" w:rsidRDefault="00E021D7">
      <w:pPr>
        <w:widowControl w:val="0"/>
        <w:tabs>
          <w:tab w:val="left" w:pos="567"/>
        </w:tabs>
        <w:spacing w:after="0" w:line="240" w:lineRule="auto"/>
        <w:rPr>
          <w:rFonts w:ascii="Times New Roman" w:eastAsia="Calibri" w:hAnsi="Times New Roman" w:cs="Times New Roman"/>
        </w:rPr>
      </w:pPr>
    </w:p>
    <w:p w14:paraId="004AE2DB"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Osteoartritas</w:t>
      </w:r>
      <w:proofErr w:type="spellEnd"/>
    </w:p>
    <w:p w14:paraId="53ED88C8"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Rekomenduojama dozė yra 30 mg kartą per parą, jeigu reikia, ją galima padidinti iki didžiausios 60 mg dozės kartą per parą.</w:t>
      </w:r>
    </w:p>
    <w:p w14:paraId="5AA5345A" w14:textId="77777777" w:rsidR="00E021D7" w:rsidRDefault="00E021D7">
      <w:pPr>
        <w:widowControl w:val="0"/>
        <w:tabs>
          <w:tab w:val="left" w:pos="567"/>
        </w:tabs>
        <w:spacing w:after="0" w:line="240" w:lineRule="auto"/>
        <w:rPr>
          <w:rFonts w:ascii="Times New Roman" w:eastAsia="Calibri" w:hAnsi="Times New Roman" w:cs="Times New Roman"/>
        </w:rPr>
      </w:pPr>
    </w:p>
    <w:p w14:paraId="0ED644CE"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Reumatoidinis artritas</w:t>
      </w:r>
    </w:p>
    <w:p w14:paraId="4D1A39B9"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Rekomenduojama dozė yra 60 mg kartą per parą, jeigu reikia, ją galima padidinti iki didžiausios 90 mg dozės kartą per parą.</w:t>
      </w:r>
    </w:p>
    <w:p w14:paraId="02255277" w14:textId="77777777" w:rsidR="00E021D7" w:rsidRDefault="00E021D7">
      <w:pPr>
        <w:widowControl w:val="0"/>
        <w:tabs>
          <w:tab w:val="left" w:pos="567"/>
        </w:tabs>
        <w:spacing w:after="0" w:line="240" w:lineRule="auto"/>
        <w:rPr>
          <w:rFonts w:ascii="Times New Roman" w:eastAsia="Calibri" w:hAnsi="Times New Roman" w:cs="Times New Roman"/>
        </w:rPr>
      </w:pPr>
    </w:p>
    <w:p w14:paraId="6CD9540D"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Ankilozinis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spondilitas</w:t>
      </w:r>
      <w:proofErr w:type="spellEnd"/>
    </w:p>
    <w:p w14:paraId="687A7919"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Rekomenduojama dozė yra 60 mg kartą per parą, jeigu reikia, ją galima padidinti iki didžiausios 90 mg dozės kartą per parą.</w:t>
      </w:r>
    </w:p>
    <w:p w14:paraId="3D84A719" w14:textId="77777777" w:rsidR="00E021D7" w:rsidRDefault="00E021D7">
      <w:pPr>
        <w:widowControl w:val="0"/>
        <w:tabs>
          <w:tab w:val="left" w:pos="567"/>
        </w:tabs>
        <w:spacing w:after="0" w:line="240" w:lineRule="auto"/>
        <w:rPr>
          <w:rFonts w:ascii="Times New Roman" w:eastAsia="Calibri" w:hAnsi="Times New Roman" w:cs="Times New Roman"/>
        </w:rPr>
      </w:pPr>
    </w:p>
    <w:p w14:paraId="250B3CF4" w14:textId="77777777" w:rsidR="00E021D7" w:rsidRDefault="009C1A2C">
      <w:pPr>
        <w:widowControl w:val="0"/>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Ūminio skausmingumo būklės</w:t>
      </w:r>
    </w:p>
    <w:p w14:paraId="3B2E326F"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Etorikoksibo</w:t>
      </w:r>
      <w:proofErr w:type="spellEnd"/>
      <w:r>
        <w:rPr>
          <w:rFonts w:ascii="Times New Roman" w:eastAsia="Calibri" w:hAnsi="Times New Roman" w:cs="Times New Roman"/>
        </w:rPr>
        <w:t xml:space="preserve"> turi būti vartojama tik ūminio skausmingumo laikotarpiu.</w:t>
      </w:r>
    </w:p>
    <w:p w14:paraId="7651A556" w14:textId="77777777" w:rsidR="00E021D7" w:rsidRDefault="00E021D7">
      <w:pPr>
        <w:widowControl w:val="0"/>
        <w:tabs>
          <w:tab w:val="left" w:pos="567"/>
        </w:tabs>
        <w:spacing w:after="0" w:line="240" w:lineRule="auto"/>
        <w:rPr>
          <w:rFonts w:ascii="Times New Roman" w:eastAsia="Calibri" w:hAnsi="Times New Roman" w:cs="Times New Roman"/>
        </w:rPr>
      </w:pPr>
    </w:p>
    <w:p w14:paraId="3540CC5A" w14:textId="77777777" w:rsidR="00E021D7" w:rsidRDefault="009C1A2C">
      <w:pPr>
        <w:widowControl w:val="0"/>
        <w:numPr>
          <w:ilvl w:val="0"/>
          <w:numId w:val="9"/>
        </w:numPr>
        <w:spacing w:after="0" w:line="240" w:lineRule="auto"/>
        <w:ind w:left="567" w:hanging="567"/>
        <w:rPr>
          <w:rFonts w:ascii="Times New Roman" w:eastAsia="Calibri" w:hAnsi="Times New Roman" w:cs="Times New Roman"/>
          <w:i/>
        </w:rPr>
      </w:pPr>
      <w:r>
        <w:rPr>
          <w:rFonts w:ascii="Times New Roman" w:eastAsia="Calibri" w:hAnsi="Times New Roman" w:cs="Times New Roman"/>
          <w:i/>
        </w:rPr>
        <w:t>Podagra</w:t>
      </w:r>
    </w:p>
    <w:p w14:paraId="11EC7922" w14:textId="77777777" w:rsidR="00E021D7" w:rsidRDefault="009C1A2C">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Rekomenduojama dozė yra 120 mg kartą per parą tik ūminio skausmingumo laikotarpiu, neviršijant maksimalios 8 dienų gydymo trukmės.</w:t>
      </w:r>
    </w:p>
    <w:p w14:paraId="37EFB810" w14:textId="77777777" w:rsidR="00E021D7" w:rsidRDefault="00E021D7">
      <w:pPr>
        <w:widowControl w:val="0"/>
        <w:spacing w:after="0" w:line="240" w:lineRule="auto"/>
        <w:ind w:left="567"/>
        <w:rPr>
          <w:rFonts w:ascii="Times New Roman" w:eastAsia="Calibri" w:hAnsi="Times New Roman" w:cs="Times New Roman"/>
        </w:rPr>
      </w:pPr>
    </w:p>
    <w:p w14:paraId="027505D3" w14:textId="77777777" w:rsidR="00E021D7" w:rsidRDefault="009C1A2C">
      <w:pPr>
        <w:widowControl w:val="0"/>
        <w:numPr>
          <w:ilvl w:val="0"/>
          <w:numId w:val="9"/>
        </w:numPr>
        <w:spacing w:after="0" w:line="240" w:lineRule="auto"/>
        <w:ind w:left="567" w:hanging="567"/>
        <w:rPr>
          <w:rFonts w:ascii="Times New Roman" w:eastAsia="Calibri" w:hAnsi="Times New Roman" w:cs="Times New Roman"/>
          <w:i/>
        </w:rPr>
      </w:pPr>
      <w:r>
        <w:rPr>
          <w:rFonts w:ascii="Times New Roman" w:eastAsia="Calibri" w:hAnsi="Times New Roman" w:cs="Times New Roman"/>
          <w:i/>
        </w:rPr>
        <w:t>Skausmas po dantų operacijos</w:t>
      </w:r>
    </w:p>
    <w:p w14:paraId="5E6D121E" w14:textId="77777777" w:rsidR="00E021D7" w:rsidRDefault="009C1A2C">
      <w:pPr>
        <w:widowControl w:val="0"/>
        <w:tabs>
          <w:tab w:val="left" w:pos="-1560"/>
        </w:tabs>
        <w:spacing w:after="0" w:line="240" w:lineRule="auto"/>
        <w:ind w:left="567" w:right="46"/>
        <w:rPr>
          <w:rFonts w:ascii="Times New Roman" w:eastAsia="Calibri" w:hAnsi="Times New Roman" w:cs="Times New Roman"/>
        </w:rPr>
      </w:pPr>
      <w:r>
        <w:rPr>
          <w:rFonts w:ascii="Times New Roman" w:eastAsia="Calibri" w:hAnsi="Times New Roman" w:cs="Times New Roman"/>
        </w:rPr>
        <w:t>Rekomenduojama dozė yra 90 mg kartą per parą, neviršijant maksimalios 3 dienų gydymo trukmės.</w:t>
      </w:r>
    </w:p>
    <w:p w14:paraId="195CF806" w14:textId="77777777" w:rsidR="00E021D7" w:rsidRDefault="00E021D7">
      <w:pPr>
        <w:widowControl w:val="0"/>
        <w:tabs>
          <w:tab w:val="left" w:pos="567"/>
        </w:tabs>
        <w:spacing w:after="0" w:line="240" w:lineRule="auto"/>
        <w:rPr>
          <w:rFonts w:ascii="Times New Roman" w:eastAsia="Calibri" w:hAnsi="Times New Roman" w:cs="Times New Roman"/>
          <w:b/>
        </w:rPr>
      </w:pPr>
    </w:p>
    <w:p w14:paraId="1EA3B09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Žmonės, kuriems yra kepenų funkcijos sutrikimų</w:t>
      </w:r>
    </w:p>
    <w:p w14:paraId="08BB0D84" w14:textId="77777777" w:rsidR="00E021D7" w:rsidRDefault="009C1A2C">
      <w:pPr>
        <w:widowControl w:val="0"/>
        <w:numPr>
          <w:ilvl w:val="0"/>
          <w:numId w:val="10"/>
        </w:numPr>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Jeigu sergate lengva kepenų liga, turite vartoti ne daugiau kaip 60 mg per parą.</w:t>
      </w:r>
    </w:p>
    <w:p w14:paraId="0B024750" w14:textId="77777777" w:rsidR="00E021D7" w:rsidRDefault="009C1A2C">
      <w:pPr>
        <w:widowControl w:val="0"/>
        <w:numPr>
          <w:ilvl w:val="0"/>
          <w:numId w:val="10"/>
        </w:numPr>
        <w:spacing w:after="0" w:line="240" w:lineRule="auto"/>
        <w:ind w:left="567" w:hanging="567"/>
        <w:jc w:val="both"/>
        <w:rPr>
          <w:rFonts w:ascii="Times New Roman" w:eastAsia="Calibri" w:hAnsi="Times New Roman" w:cs="Times New Roman"/>
          <w:b/>
        </w:rPr>
      </w:pPr>
      <w:r>
        <w:rPr>
          <w:rFonts w:ascii="Times New Roman" w:eastAsia="Calibri" w:hAnsi="Times New Roman" w:cs="Times New Roman"/>
        </w:rPr>
        <w:t xml:space="preserve">Jeigu sergate </w:t>
      </w:r>
      <w:r>
        <w:rPr>
          <w:rFonts w:ascii="Times New Roman" w:eastAsia="Calibri" w:hAnsi="Times New Roman" w:cs="Times New Roman"/>
          <w:b/>
        </w:rPr>
        <w:t>vidutinio sunkumo</w:t>
      </w:r>
      <w:r>
        <w:rPr>
          <w:rFonts w:ascii="Times New Roman" w:eastAsia="Calibri" w:hAnsi="Times New Roman" w:cs="Times New Roman"/>
        </w:rPr>
        <w:t xml:space="preserve"> kepenų liga, turite vartoti ne daugiau kaip </w:t>
      </w:r>
      <w:r>
        <w:rPr>
          <w:rFonts w:ascii="Times New Roman" w:eastAsia="Calibri" w:hAnsi="Times New Roman" w:cs="Times New Roman"/>
          <w:b/>
        </w:rPr>
        <w:t>30 mg per parą.</w:t>
      </w:r>
    </w:p>
    <w:p w14:paraId="7176910A" w14:textId="77777777" w:rsidR="00E021D7" w:rsidRDefault="00E021D7">
      <w:pPr>
        <w:widowControl w:val="0"/>
        <w:tabs>
          <w:tab w:val="left" w:pos="567"/>
        </w:tabs>
        <w:spacing w:after="0" w:line="240" w:lineRule="auto"/>
        <w:rPr>
          <w:rFonts w:ascii="Times New Roman" w:eastAsia="Calibri" w:hAnsi="Times New Roman" w:cs="Times New Roman"/>
          <w:b/>
        </w:rPr>
      </w:pPr>
    </w:p>
    <w:p w14:paraId="6CA729B0"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Vartojimas vaikams ir paaugliams</w:t>
      </w:r>
    </w:p>
    <w:p w14:paraId="63F724EB"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tablečių negalima vartoti vaikams ir jaunesniems nei 16 metų paaugliams.</w:t>
      </w:r>
    </w:p>
    <w:p w14:paraId="1B503F70" w14:textId="77777777" w:rsidR="00E021D7" w:rsidRDefault="00E021D7">
      <w:pPr>
        <w:widowControl w:val="0"/>
        <w:tabs>
          <w:tab w:val="left" w:pos="567"/>
        </w:tabs>
        <w:spacing w:after="0" w:line="240" w:lineRule="auto"/>
        <w:rPr>
          <w:rFonts w:ascii="Times New Roman" w:eastAsia="Calibri" w:hAnsi="Times New Roman" w:cs="Times New Roman"/>
        </w:rPr>
      </w:pPr>
    </w:p>
    <w:p w14:paraId="709E6D06"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Senyviems pacientams</w:t>
      </w:r>
    </w:p>
    <w:p w14:paraId="08C9680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Senyviems pacientams dozės koreguoti nereikia. Kaip ir vartojant kitų vaistų, senyviems pacientams reikia laikytis atsargumo.</w:t>
      </w:r>
    </w:p>
    <w:p w14:paraId="31A7CCB3" w14:textId="77777777" w:rsidR="00E021D7" w:rsidRDefault="00E021D7">
      <w:pPr>
        <w:widowControl w:val="0"/>
        <w:tabs>
          <w:tab w:val="left" w:pos="567"/>
        </w:tabs>
        <w:spacing w:after="0" w:line="240" w:lineRule="auto"/>
        <w:rPr>
          <w:rFonts w:ascii="Times New Roman" w:eastAsia="Calibri" w:hAnsi="Times New Roman" w:cs="Times New Roman"/>
          <w:b/>
        </w:rPr>
      </w:pPr>
    </w:p>
    <w:p w14:paraId="0D64BCCE" w14:textId="77777777" w:rsidR="00E021D7" w:rsidRDefault="009C1A2C">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6CABF324" w14:textId="77777777" w:rsidR="00E021D7" w:rsidRDefault="00E021D7">
      <w:pPr>
        <w:widowControl w:val="0"/>
        <w:tabs>
          <w:tab w:val="left" w:pos="567"/>
        </w:tabs>
        <w:spacing w:after="0" w:line="240" w:lineRule="auto"/>
        <w:rPr>
          <w:rFonts w:ascii="Times New Roman" w:eastAsia="Calibri" w:hAnsi="Times New Roman" w:cs="Times New Roman"/>
          <w:u w:val="single"/>
        </w:rPr>
      </w:pPr>
    </w:p>
    <w:p w14:paraId="1B9B90C9"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skirtas vartoti per burną. Tabletes vartokite kartą per parą.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galima vartoti valgio metu </w:t>
      </w:r>
      <w:r>
        <w:rPr>
          <w:rFonts w:ascii="Times New Roman" w:eastAsia="Calibri" w:hAnsi="Times New Roman" w:cs="Times New Roman"/>
        </w:rPr>
        <w:lastRenderedPageBreak/>
        <w:t>arba nevalgius.</w:t>
      </w:r>
    </w:p>
    <w:p w14:paraId="3A0E274B" w14:textId="77777777" w:rsidR="00E021D7" w:rsidRDefault="00E021D7">
      <w:pPr>
        <w:widowControl w:val="0"/>
        <w:tabs>
          <w:tab w:val="left" w:pos="567"/>
        </w:tabs>
        <w:spacing w:after="0" w:line="240" w:lineRule="auto"/>
        <w:rPr>
          <w:rFonts w:ascii="Times New Roman" w:eastAsia="Calibri" w:hAnsi="Times New Roman" w:cs="Times New Roman"/>
          <w:b/>
        </w:rPr>
      </w:pPr>
    </w:p>
    <w:p w14:paraId="4C062B88"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dozę?</w:t>
      </w:r>
    </w:p>
    <w:p w14:paraId="23C0DE9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Niekada nevartokite daugiau tablečių negu rekomenduoja Jūsų gydytojas. Jeigu išgėrėte per daug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tablečių, turite nedelsiant kreiptis į medikus.</w:t>
      </w:r>
    </w:p>
    <w:p w14:paraId="39282D0F" w14:textId="77777777" w:rsidR="00E021D7" w:rsidRDefault="00E021D7">
      <w:pPr>
        <w:widowControl w:val="0"/>
        <w:tabs>
          <w:tab w:val="left" w:pos="567"/>
        </w:tabs>
        <w:spacing w:after="0" w:line="240" w:lineRule="auto"/>
        <w:rPr>
          <w:rFonts w:ascii="Times New Roman" w:eastAsia="Calibri" w:hAnsi="Times New Roman" w:cs="Times New Roman"/>
          <w:b/>
        </w:rPr>
      </w:pPr>
    </w:p>
    <w:p w14:paraId="555568FF"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Pamiršus pavartoti </w:t>
      </w:r>
      <w:proofErr w:type="spellStart"/>
      <w:r>
        <w:rPr>
          <w:rFonts w:ascii="Times New Roman" w:eastAsia="Calibri" w:hAnsi="Times New Roman" w:cs="Times New Roman"/>
          <w:b/>
        </w:rPr>
        <w:t>Bericox</w:t>
      </w:r>
      <w:proofErr w:type="spellEnd"/>
    </w:p>
    <w:p w14:paraId="48A9E297"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svarbu vartoti taip, kaip paskirta gydytojo. Jeigu praleidote dozę, tiesiog toliau vartokite vaistą pagal įprastą grafiką kitą dieną. Negalima vartoti dvigubos dozės norint kompensuoti praleistą tabletę.</w:t>
      </w:r>
    </w:p>
    <w:p w14:paraId="3866A089" w14:textId="77777777" w:rsidR="00E021D7" w:rsidRDefault="00E021D7">
      <w:pPr>
        <w:widowControl w:val="0"/>
        <w:tabs>
          <w:tab w:val="left" w:pos="567"/>
        </w:tabs>
        <w:spacing w:after="0" w:line="240" w:lineRule="auto"/>
        <w:rPr>
          <w:rFonts w:ascii="Times New Roman" w:eastAsia="Calibri" w:hAnsi="Times New Roman" w:cs="Times New Roman"/>
        </w:rPr>
      </w:pPr>
    </w:p>
    <w:p w14:paraId="54296DE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546A115B" w14:textId="77777777" w:rsidR="00E021D7" w:rsidRDefault="00E021D7">
      <w:pPr>
        <w:widowControl w:val="0"/>
        <w:tabs>
          <w:tab w:val="left" w:pos="567"/>
        </w:tabs>
        <w:spacing w:after="0" w:line="240" w:lineRule="auto"/>
        <w:rPr>
          <w:rFonts w:ascii="Times New Roman" w:eastAsia="Calibri" w:hAnsi="Times New Roman" w:cs="Times New Roman"/>
        </w:rPr>
      </w:pPr>
    </w:p>
    <w:p w14:paraId="0428B31E" w14:textId="77777777" w:rsidR="00E021D7" w:rsidRDefault="00E021D7">
      <w:pPr>
        <w:widowControl w:val="0"/>
        <w:tabs>
          <w:tab w:val="left" w:pos="567"/>
        </w:tabs>
        <w:spacing w:after="0" w:line="240" w:lineRule="auto"/>
        <w:rPr>
          <w:rFonts w:ascii="Times New Roman" w:eastAsia="Calibri" w:hAnsi="Times New Roman" w:cs="Times New Roman"/>
        </w:rPr>
      </w:pPr>
    </w:p>
    <w:p w14:paraId="286C3E52" w14:textId="77777777" w:rsidR="00E021D7" w:rsidRDefault="009C1A2C">
      <w:pPr>
        <w:widowControl w:val="0"/>
        <w:tabs>
          <w:tab w:val="left" w:pos="567"/>
        </w:tabs>
        <w:spacing w:after="0" w:line="240" w:lineRule="auto"/>
        <w:rPr>
          <w:rFonts w:ascii="Times New Roman" w:eastAsia="Calibri" w:hAnsi="Times New Roman" w:cs="Times New Roman"/>
          <w:b/>
          <w:caps/>
        </w:rPr>
      </w:pPr>
      <w:r>
        <w:rPr>
          <w:rFonts w:ascii="Times New Roman" w:eastAsia="Calibri" w:hAnsi="Times New Roman" w:cs="Times New Roman"/>
          <w:b/>
        </w:rPr>
        <w:t>4.</w:t>
      </w:r>
      <w:r>
        <w:rPr>
          <w:rFonts w:ascii="Times New Roman" w:eastAsia="Calibri" w:hAnsi="Times New Roman" w:cs="Times New Roman"/>
          <w:b/>
        </w:rPr>
        <w:tab/>
        <w:t>Galimas šalutinis poveikis</w:t>
      </w:r>
    </w:p>
    <w:p w14:paraId="5B9FA103" w14:textId="77777777" w:rsidR="00E021D7" w:rsidRDefault="00E021D7">
      <w:pPr>
        <w:widowControl w:val="0"/>
        <w:tabs>
          <w:tab w:val="left" w:pos="567"/>
        </w:tabs>
        <w:spacing w:after="0" w:line="240" w:lineRule="auto"/>
        <w:rPr>
          <w:rFonts w:ascii="Times New Roman" w:eastAsia="Calibri" w:hAnsi="Times New Roman" w:cs="Times New Roman"/>
          <w:b/>
        </w:rPr>
      </w:pPr>
    </w:p>
    <w:p w14:paraId="15F0C60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50EA07DB" w14:textId="77777777" w:rsidR="00E021D7" w:rsidRDefault="00E021D7">
      <w:pPr>
        <w:widowControl w:val="0"/>
        <w:tabs>
          <w:tab w:val="left" w:pos="567"/>
        </w:tabs>
        <w:spacing w:after="0" w:line="240" w:lineRule="auto"/>
        <w:rPr>
          <w:rFonts w:ascii="Times New Roman" w:eastAsia="Calibri" w:hAnsi="Times New Roman" w:cs="Times New Roman"/>
        </w:rPr>
      </w:pPr>
    </w:p>
    <w:p w14:paraId="3D3C4C6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b/>
        </w:rPr>
        <w:t xml:space="preserve">Jeigu Jums pasireiškia bet kuris iš toliau išvardytų požymių, nutraukite </w:t>
      </w: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vartojimą ir nedelsiant kreipkitės į gydytoją </w:t>
      </w:r>
      <w:r>
        <w:rPr>
          <w:rFonts w:ascii="Times New Roman" w:eastAsia="Calibri" w:hAnsi="Times New Roman" w:cs="Times New Roman"/>
        </w:rPr>
        <w:t xml:space="preserve">(žr. 2 skyrių „Kas žinotina prieš vartojant </w:t>
      </w:r>
      <w:proofErr w:type="spellStart"/>
      <w:r>
        <w:rPr>
          <w:rFonts w:ascii="Times New Roman" w:eastAsia="Calibri" w:hAnsi="Times New Roman" w:cs="Times New Roman"/>
        </w:rPr>
        <w:t>Bericox</w:t>
      </w:r>
      <w:proofErr w:type="spellEnd"/>
      <w:r>
        <w:rPr>
          <w:rFonts w:ascii="Times New Roman" w:eastAsia="Calibri" w:hAnsi="Times New Roman" w:cs="Times New Roman"/>
        </w:rPr>
        <w:t>“)</w:t>
      </w:r>
      <w:r>
        <w:rPr>
          <w:rFonts w:ascii="Times New Roman" w:eastAsia="Calibri" w:hAnsi="Times New Roman" w:cs="Times New Roman"/>
          <w:b/>
        </w:rPr>
        <w:t>:</w:t>
      </w:r>
    </w:p>
    <w:p w14:paraId="4D4CD2B4" w14:textId="77777777" w:rsidR="00E021D7" w:rsidRDefault="009C1A2C">
      <w:pPr>
        <w:widowControl w:val="0"/>
        <w:numPr>
          <w:ilvl w:val="0"/>
          <w:numId w:val="11"/>
        </w:numPr>
        <w:tabs>
          <w:tab w:val="clear" w:pos="1005"/>
        </w:tabs>
        <w:spacing w:after="0" w:line="240" w:lineRule="auto"/>
        <w:ind w:left="567" w:hanging="566"/>
        <w:jc w:val="both"/>
        <w:rPr>
          <w:rFonts w:ascii="Times New Roman" w:eastAsia="Times New Roman" w:hAnsi="Times New Roman" w:cs="Times New Roman"/>
          <w:lang w:val="sl-SI" w:eastAsia="sl-SI"/>
        </w:rPr>
      </w:pPr>
      <w:r>
        <w:rPr>
          <w:rFonts w:ascii="Times New Roman" w:eastAsia="Calibri" w:hAnsi="Times New Roman" w:cs="Times New Roman"/>
        </w:rPr>
        <w:t>pasireiškia arba pasunkėja dusulys, krūtinės skausmas arba kulkšnių tinimas;</w:t>
      </w:r>
    </w:p>
    <w:p w14:paraId="173C2CD1" w14:textId="77777777" w:rsidR="00E021D7" w:rsidRDefault="009C1A2C">
      <w:pPr>
        <w:widowControl w:val="0"/>
        <w:numPr>
          <w:ilvl w:val="0"/>
          <w:numId w:val="11"/>
        </w:numPr>
        <w:tabs>
          <w:tab w:val="clear" w:pos="1005"/>
          <w:tab w:val="num" w:pos="851"/>
        </w:tabs>
        <w:spacing w:after="0" w:line="240" w:lineRule="auto"/>
        <w:ind w:left="567" w:hanging="566"/>
        <w:jc w:val="both"/>
        <w:rPr>
          <w:rFonts w:ascii="Times New Roman" w:eastAsia="Calibri" w:hAnsi="Times New Roman" w:cs="Times New Roman"/>
        </w:rPr>
      </w:pPr>
      <w:r>
        <w:rPr>
          <w:rFonts w:ascii="Times New Roman" w:eastAsia="Calibri" w:hAnsi="Times New Roman" w:cs="Times New Roman"/>
        </w:rPr>
        <w:t>pagelsta oda ir akys (gelta): tai kepenų veiklos sutrikimų požymiai;</w:t>
      </w:r>
    </w:p>
    <w:p w14:paraId="7A901734" w14:textId="77777777" w:rsidR="00E021D7" w:rsidRDefault="009C1A2C">
      <w:pPr>
        <w:widowControl w:val="0"/>
        <w:numPr>
          <w:ilvl w:val="0"/>
          <w:numId w:val="11"/>
        </w:numPr>
        <w:tabs>
          <w:tab w:val="clear" w:pos="1005"/>
          <w:tab w:val="num" w:pos="851"/>
        </w:tabs>
        <w:spacing w:after="0" w:line="240" w:lineRule="auto"/>
        <w:ind w:left="567" w:hanging="566"/>
        <w:jc w:val="both"/>
        <w:rPr>
          <w:rFonts w:ascii="Times New Roman" w:eastAsia="Calibri" w:hAnsi="Times New Roman" w:cs="Times New Roman"/>
        </w:rPr>
      </w:pPr>
      <w:r>
        <w:rPr>
          <w:rFonts w:ascii="Times New Roman" w:eastAsia="Calibri" w:hAnsi="Times New Roman" w:cs="Times New Roman"/>
        </w:rPr>
        <w:t>pasireiškia stiprus arba nuolatinis skrandžio skausmas arba išmatos tampa juodos;</w:t>
      </w:r>
    </w:p>
    <w:p w14:paraId="04D71876" w14:textId="77777777" w:rsidR="00E021D7" w:rsidRDefault="009C1A2C">
      <w:pPr>
        <w:widowControl w:val="0"/>
        <w:numPr>
          <w:ilvl w:val="0"/>
          <w:numId w:val="11"/>
        </w:numPr>
        <w:tabs>
          <w:tab w:val="clear" w:pos="1005"/>
          <w:tab w:val="num" w:pos="851"/>
        </w:tabs>
        <w:spacing w:after="0" w:line="240" w:lineRule="auto"/>
        <w:ind w:left="567" w:hanging="566"/>
        <w:jc w:val="both"/>
        <w:rPr>
          <w:rFonts w:ascii="Times New Roman" w:eastAsia="Calibri" w:hAnsi="Times New Roman" w:cs="Times New Roman"/>
        </w:rPr>
      </w:pPr>
      <w:r>
        <w:rPr>
          <w:rFonts w:ascii="Times New Roman" w:eastAsia="Calibri" w:hAnsi="Times New Roman" w:cs="Times New Roman"/>
        </w:rPr>
        <w:t xml:space="preserve">pasireiškia alerginė reakcija, kuri gali pasireikšti odos sutrikimais, tokiais kaip opos arba </w:t>
      </w:r>
      <w:proofErr w:type="spellStart"/>
      <w:r>
        <w:rPr>
          <w:rFonts w:ascii="Times New Roman" w:eastAsia="Calibri" w:hAnsi="Times New Roman" w:cs="Times New Roman"/>
        </w:rPr>
        <w:t>pūslėtumas</w:t>
      </w:r>
      <w:proofErr w:type="spellEnd"/>
      <w:r>
        <w:rPr>
          <w:rFonts w:ascii="Times New Roman" w:eastAsia="Calibri" w:hAnsi="Times New Roman" w:cs="Times New Roman"/>
        </w:rPr>
        <w:t>, arba veido, lūpų, liežuvio ar gerklų patinimu, dėl kurio gali pasunkėti kvėpavimas.</w:t>
      </w:r>
    </w:p>
    <w:p w14:paraId="4AD21001" w14:textId="77777777" w:rsidR="00E021D7" w:rsidRDefault="00E021D7">
      <w:pPr>
        <w:widowControl w:val="0"/>
        <w:tabs>
          <w:tab w:val="num" w:pos="567"/>
        </w:tabs>
        <w:spacing w:after="0" w:line="240" w:lineRule="auto"/>
        <w:ind w:left="567" w:hanging="566"/>
        <w:rPr>
          <w:rFonts w:ascii="Times New Roman" w:eastAsia="Calibri" w:hAnsi="Times New Roman" w:cs="Times New Roman"/>
        </w:rPr>
      </w:pPr>
    </w:p>
    <w:p w14:paraId="77BCC57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Gydymo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metu gali pasireikšti toliau išvardytas šalutinis poveikis.</w:t>
      </w:r>
    </w:p>
    <w:p w14:paraId="1FF11F0F" w14:textId="77777777" w:rsidR="00E021D7" w:rsidRDefault="00E021D7">
      <w:pPr>
        <w:widowControl w:val="0"/>
        <w:tabs>
          <w:tab w:val="left" w:pos="567"/>
        </w:tabs>
        <w:spacing w:after="0" w:line="240" w:lineRule="auto"/>
        <w:rPr>
          <w:rFonts w:ascii="Times New Roman" w:eastAsia="Calibri" w:hAnsi="Times New Roman" w:cs="Times New Roman"/>
        </w:rPr>
      </w:pPr>
    </w:p>
    <w:p w14:paraId="0041436B" w14:textId="77777777" w:rsidR="00E021D7" w:rsidRDefault="009C1A2C">
      <w:pPr>
        <w:widowControl w:val="0"/>
        <w:tabs>
          <w:tab w:val="left" w:pos="567"/>
        </w:tabs>
        <w:spacing w:after="0" w:line="240" w:lineRule="auto"/>
        <w:rPr>
          <w:rFonts w:ascii="Times New Roman" w:eastAsia="Calibri" w:hAnsi="Times New Roman" w:cs="Times New Roman"/>
          <w:b/>
          <w:i/>
        </w:rPr>
      </w:pPr>
      <w:r>
        <w:rPr>
          <w:rFonts w:ascii="Times New Roman" w:eastAsia="Calibri" w:hAnsi="Times New Roman" w:cs="Times New Roman"/>
          <w:b/>
          <w:i/>
        </w:rPr>
        <w:t>Labai dažnas (gali pasireikšti ne rečiau kaip 1 iš 10 asmenų):</w:t>
      </w:r>
    </w:p>
    <w:p w14:paraId="62C3FF7D"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pilvo skausmas.</w:t>
      </w:r>
    </w:p>
    <w:p w14:paraId="142D5148"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2993E41D" w14:textId="77777777" w:rsidR="00E021D7" w:rsidRDefault="009C1A2C">
      <w:pPr>
        <w:widowControl w:val="0"/>
        <w:tabs>
          <w:tab w:val="left" w:pos="567"/>
        </w:tabs>
        <w:spacing w:after="0" w:line="240" w:lineRule="auto"/>
        <w:rPr>
          <w:rFonts w:ascii="Times New Roman" w:eastAsia="Calibri" w:hAnsi="Times New Roman" w:cs="Times New Roman"/>
          <w:b/>
          <w:i/>
        </w:rPr>
      </w:pPr>
      <w:r>
        <w:rPr>
          <w:rFonts w:ascii="Times New Roman" w:eastAsia="Calibri" w:hAnsi="Times New Roman" w:cs="Times New Roman"/>
          <w:b/>
          <w:i/>
        </w:rPr>
        <w:t>Dažnas (gali pasireikšti rečiau kaip 1 iš 10 asmenų):</w:t>
      </w:r>
    </w:p>
    <w:p w14:paraId="29A305C7"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sausa įduba (uždegimas ir skausmas po danties ištraukimo);</w:t>
      </w:r>
    </w:p>
    <w:p w14:paraId="6E216394"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kojų ir (arba) pėdų patinimas dėl susilaikiusio skysčio (edema);</w:t>
      </w:r>
    </w:p>
    <w:p w14:paraId="11F61F20"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svaigulys, galvos skausmas;</w:t>
      </w:r>
    </w:p>
    <w:p w14:paraId="2A14D9EE"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palpitacijos</w:t>
      </w:r>
      <w:proofErr w:type="spellEnd"/>
      <w:r>
        <w:rPr>
          <w:rFonts w:ascii="Times New Roman" w:eastAsia="Calibri" w:hAnsi="Times New Roman" w:cs="Times New Roman"/>
        </w:rPr>
        <w:t xml:space="preserve"> (greitas arba nereguliarus širdies plakimas), nereguliarus širdies ritmas (aritmija);</w:t>
      </w:r>
    </w:p>
    <w:p w14:paraId="7CF947FD"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kraujospūdis;</w:t>
      </w:r>
    </w:p>
    <w:p w14:paraId="024BAE86"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švokštimas arba dusulys (bronchų spazmas);</w:t>
      </w:r>
    </w:p>
    <w:p w14:paraId="2C72F6AA"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vidurių užkietėjimas, pilvo pūtimas (gausus dujų išėjimas), gastritas (skrandžio gleivinės uždegimas), rėmuo, viduriavimas, </w:t>
      </w:r>
      <w:proofErr w:type="spellStart"/>
      <w:r>
        <w:rPr>
          <w:rFonts w:ascii="Times New Roman" w:eastAsia="Calibri" w:hAnsi="Times New Roman" w:cs="Times New Roman"/>
        </w:rPr>
        <w:t>nevirškinimas</w:t>
      </w:r>
      <w:proofErr w:type="spellEnd"/>
      <w:r>
        <w:rPr>
          <w:rFonts w:ascii="Times New Roman" w:eastAsia="Calibri" w:hAnsi="Times New Roman" w:cs="Times New Roman"/>
        </w:rPr>
        <w:t xml:space="preserve"> (dispepsija) arba skrandžio diskomfortas, pykinimas, vėmimas, stemplės uždegimas, burnos opos;</w:t>
      </w:r>
    </w:p>
    <w:p w14:paraId="516DA323"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kepenų veiklą rodančių kraujo tyrimų rodmenų pokyčiai;</w:t>
      </w:r>
    </w:p>
    <w:p w14:paraId="76185C37"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kraujosruvos;</w:t>
      </w:r>
    </w:p>
    <w:p w14:paraId="1F969667"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silpnumas ir nuovargis, į gripą panašus negalavimas.</w:t>
      </w:r>
    </w:p>
    <w:p w14:paraId="6F14C0F6"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0A3B8B84" w14:textId="77777777" w:rsidR="00E021D7" w:rsidRDefault="009C1A2C">
      <w:pPr>
        <w:widowControl w:val="0"/>
        <w:tabs>
          <w:tab w:val="left" w:pos="567"/>
        </w:tabs>
        <w:spacing w:after="0" w:line="240" w:lineRule="auto"/>
        <w:rPr>
          <w:rFonts w:ascii="Times New Roman" w:eastAsia="Calibri" w:hAnsi="Times New Roman" w:cs="Times New Roman"/>
          <w:b/>
          <w:i/>
        </w:rPr>
      </w:pPr>
      <w:r>
        <w:rPr>
          <w:rFonts w:ascii="Times New Roman" w:eastAsia="Calibri" w:hAnsi="Times New Roman" w:cs="Times New Roman"/>
          <w:b/>
          <w:i/>
        </w:rPr>
        <w:t>Nedažnas (gali pasireikšti rečiau kaip 1 iš 100 asmenų):</w:t>
      </w:r>
    </w:p>
    <w:p w14:paraId="2963FB08"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gastroenteritas</w:t>
      </w:r>
      <w:proofErr w:type="spellEnd"/>
      <w:r>
        <w:rPr>
          <w:rFonts w:ascii="Times New Roman" w:eastAsia="Calibri" w:hAnsi="Times New Roman" w:cs="Times New Roman"/>
        </w:rPr>
        <w:t xml:space="preserve"> (virškinimo trakto gleivinės uždegimas, apimantis ir skrandį, ir plonąjį žarnyną („skrandžio gripas“)), viršutinių kvėpavimo takų infekcija, šlapimo takų infekcija;</w:t>
      </w:r>
    </w:p>
    <w:p w14:paraId="7BA21E98"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laboratorinių tyrimų rodmenų pokyčiai (sumažėjęs raudonųjų kraujo kūnelių skaičius, sumažėjęs baltųjų kraujo kūnelių skaičius, sumažėjęs trombocitų skaičius);</w:t>
      </w:r>
    </w:p>
    <w:p w14:paraId="157CB25F"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jautrumas (alerginė reakcija, įskaitant dilgėlinę, kuri gali būti tiek sunki, kad ją reikėtų nedelsiant gydyti);</w:t>
      </w:r>
    </w:p>
    <w:p w14:paraId="6BD39171"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apetito padidėjimas arba sumažėjimas, kūno svorio padidėjimas;</w:t>
      </w:r>
    </w:p>
    <w:p w14:paraId="2E7F9F54"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nerimas, depresija, sumažėjęs mąstymo aiškumas, nesamų dalykų matymas, jautimas arba girdėjimas (haliucinacijos);</w:t>
      </w:r>
    </w:p>
    <w:p w14:paraId="711015FB"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skonio pokytis, negalėjimas užmigti, nutirpimas arba dilgsėjimas, mieguistumas;</w:t>
      </w:r>
    </w:p>
    <w:p w14:paraId="11282E6E"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matomo vaizdo </w:t>
      </w:r>
      <w:proofErr w:type="spellStart"/>
      <w:r>
        <w:rPr>
          <w:rFonts w:ascii="Times New Roman" w:eastAsia="Calibri" w:hAnsi="Times New Roman" w:cs="Times New Roman"/>
        </w:rPr>
        <w:t>neryškumas</w:t>
      </w:r>
      <w:proofErr w:type="spellEnd"/>
      <w:r>
        <w:rPr>
          <w:rFonts w:ascii="Times New Roman" w:eastAsia="Calibri" w:hAnsi="Times New Roman" w:cs="Times New Roman"/>
        </w:rPr>
        <w:t>, akių sudirginimas ir paraudimas;</w:t>
      </w:r>
    </w:p>
    <w:p w14:paraId="4D89E955"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skambėjimas ausyse, </w:t>
      </w:r>
      <w:proofErr w:type="spellStart"/>
      <w:r>
        <w:rPr>
          <w:rFonts w:ascii="Times New Roman" w:eastAsia="Calibri" w:hAnsi="Times New Roman" w:cs="Times New Roman"/>
        </w:rPr>
        <w:t>vertigo</w:t>
      </w:r>
      <w:proofErr w:type="spellEnd"/>
      <w:r>
        <w:rPr>
          <w:rFonts w:ascii="Times New Roman" w:eastAsia="Calibri" w:hAnsi="Times New Roman" w:cs="Times New Roman"/>
        </w:rPr>
        <w:t xml:space="preserve"> (sukimosi jausmas ramybės būsenoje);</w:t>
      </w:r>
    </w:p>
    <w:p w14:paraId="3EC944A3"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nenormalus širdies ritmas (prieširdžių virpėjimas), dažnas širdies plakimas, širdies nepakankamumas, veržimo, spaudimo arba sunkumo jausmas krūtinėje (krūtinės angina), širdies priepuolis;</w:t>
      </w:r>
    </w:p>
    <w:p w14:paraId="4A5AE420"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paraudimas, insultas, </w:t>
      </w:r>
      <w:proofErr w:type="spellStart"/>
      <w:r>
        <w:rPr>
          <w:rFonts w:ascii="Times New Roman" w:eastAsia="Calibri" w:hAnsi="Times New Roman" w:cs="Times New Roman"/>
        </w:rPr>
        <w:t>priešinsultinė</w:t>
      </w:r>
      <w:proofErr w:type="spellEnd"/>
      <w:r>
        <w:rPr>
          <w:rFonts w:ascii="Times New Roman" w:eastAsia="Calibri" w:hAnsi="Times New Roman" w:cs="Times New Roman"/>
        </w:rPr>
        <w:t xml:space="preserve"> būklė (praeinantis smegenų išemijos priepuolis), labai padidėjęs kraujospūdis, kraujagyslių uždegimas;</w:t>
      </w:r>
    </w:p>
    <w:p w14:paraId="1BEE8156"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kosulys, dusulys, kraujavimas iš nosies;</w:t>
      </w:r>
    </w:p>
    <w:p w14:paraId="27E46E53"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skrandžio arba žarnų pūtimas, tuštinimosi pobūdžio pokyčiai, burnos sausmė, skrandžio opa, skrandžio gleivinės uždegimas, kuris gali būti stiprus ir sukelti kraujavimą, dirgliosios žarnos sindromas, kasos uždegimas;</w:t>
      </w:r>
    </w:p>
    <w:p w14:paraId="016934D5"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veido patinimas, odos išbėrimas arba niežėjimas, odos paraudimas;</w:t>
      </w:r>
    </w:p>
    <w:p w14:paraId="3C1C7837"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raumenų mėšlungis arba spazmai, raumenų skausmas arba stingulys;</w:t>
      </w:r>
    </w:p>
    <w:p w14:paraId="2B3CAF99"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didelis kalio kiekis kraujyje, kraujo ir šlapimo tyrimų rodmenų pokyčiai, susiję su inkstų veikla, sunkūs inkstų veiklos sutrikimai;</w:t>
      </w:r>
    </w:p>
    <w:p w14:paraId="522948D0"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krūtinės skausmas.</w:t>
      </w:r>
    </w:p>
    <w:p w14:paraId="14DB314D" w14:textId="77777777" w:rsidR="00E021D7" w:rsidRDefault="00E021D7">
      <w:pPr>
        <w:widowControl w:val="0"/>
        <w:tabs>
          <w:tab w:val="left" w:pos="567"/>
        </w:tabs>
        <w:spacing w:after="0" w:line="240" w:lineRule="auto"/>
        <w:ind w:left="567" w:hanging="567"/>
        <w:rPr>
          <w:rFonts w:ascii="Times New Roman" w:eastAsia="Calibri" w:hAnsi="Times New Roman" w:cs="Times New Roman"/>
        </w:rPr>
      </w:pPr>
    </w:p>
    <w:p w14:paraId="37FF135E" w14:textId="77777777" w:rsidR="00E021D7" w:rsidRDefault="009C1A2C">
      <w:pPr>
        <w:widowControl w:val="0"/>
        <w:tabs>
          <w:tab w:val="left" w:pos="567"/>
        </w:tabs>
        <w:spacing w:after="0" w:line="240" w:lineRule="auto"/>
        <w:rPr>
          <w:rFonts w:ascii="Times New Roman" w:eastAsia="Calibri" w:hAnsi="Times New Roman" w:cs="Times New Roman"/>
          <w:b/>
          <w:i/>
        </w:rPr>
      </w:pPr>
      <w:r>
        <w:rPr>
          <w:rFonts w:ascii="Times New Roman" w:eastAsia="Calibri" w:hAnsi="Times New Roman" w:cs="Times New Roman"/>
          <w:b/>
          <w:i/>
        </w:rPr>
        <w:t>Retas (gali pasireikšti rečiau kaip 1 iš 1 000 asmenų):</w:t>
      </w:r>
    </w:p>
    <w:p w14:paraId="4F96C00F"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(alerginė reakcija, įskaitant veido, lūpų, liežuvio ir (arba) gerklės patinimą, dėl kurio gali pasunkėti kvėpavimas arba rijimas, kuria gali būti tiek sunkus, kad gali prireikti skubios medicininės pagalbos), anafilaksinės arba </w:t>
      </w:r>
      <w:proofErr w:type="spellStart"/>
      <w:r>
        <w:rPr>
          <w:rFonts w:ascii="Times New Roman" w:eastAsia="Calibri" w:hAnsi="Times New Roman" w:cs="Times New Roman"/>
        </w:rPr>
        <w:t>anafilaktoidinės</w:t>
      </w:r>
      <w:proofErr w:type="spellEnd"/>
      <w:r>
        <w:rPr>
          <w:rFonts w:ascii="Times New Roman" w:eastAsia="Calibri" w:hAnsi="Times New Roman" w:cs="Times New Roman"/>
        </w:rPr>
        <w:t xml:space="preserve"> reakcijos, įskaitant šoką (sunki alerginė reakcija, dėl kurios gali prireikti skubios medicininės pagalbos);</w:t>
      </w:r>
    </w:p>
    <w:p w14:paraId="6552E127"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minčių susipainiojimas, neramumas;</w:t>
      </w:r>
    </w:p>
    <w:p w14:paraId="37948FFA"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kepenų funkcijos sutrikimai (hepatitas);</w:t>
      </w:r>
    </w:p>
    <w:p w14:paraId="5964387E"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mažas natrio kiekis kraujyje;</w:t>
      </w:r>
    </w:p>
    <w:p w14:paraId="74D82F55"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kepenų nepakankamumas, odos ir (arba) akių pageltimas (gelta);</w:t>
      </w:r>
    </w:p>
    <w:p w14:paraId="249CCFDC" w14:textId="77777777" w:rsidR="00E021D7" w:rsidRDefault="009C1A2C">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sunkios odos reakcijos.</w:t>
      </w:r>
    </w:p>
    <w:p w14:paraId="2EDEE7B1" w14:textId="77777777" w:rsidR="00E021D7" w:rsidRDefault="00E021D7">
      <w:pPr>
        <w:widowControl w:val="0"/>
        <w:tabs>
          <w:tab w:val="left" w:pos="567"/>
        </w:tabs>
        <w:spacing w:after="0" w:line="240" w:lineRule="auto"/>
        <w:rPr>
          <w:rFonts w:ascii="Times New Roman" w:eastAsia="Calibri" w:hAnsi="Times New Roman" w:cs="Times New Roman"/>
        </w:rPr>
      </w:pPr>
    </w:p>
    <w:p w14:paraId="386B30B1"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14:paraId="0337C368" w14:textId="77777777" w:rsidR="00E021D7" w:rsidRDefault="009C1A2C">
      <w:pPr>
        <w:widowControl w:val="0"/>
        <w:tabs>
          <w:tab w:val="left" w:pos="567"/>
        </w:tabs>
        <w:spacing w:after="0" w:line="240" w:lineRule="auto"/>
        <w:ind w:right="-449"/>
        <w:rPr>
          <w:rFonts w:ascii="Times New Roman" w:eastAsia="Calibri" w:hAnsi="Times New Roman" w:cs="Times New Roman"/>
        </w:rPr>
      </w:pPr>
      <w:r>
        <w:rPr>
          <w:rFonts w:ascii="Times New Roman" w:eastAsia="Calibri" w:hAnsi="Times New Roman" w:cs="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Pr>
          <w:rFonts w:ascii="Times New Roman" w:eastAsia="Calibri" w:hAnsi="Times New Roman" w:cs="Times New Roman"/>
        </w:rPr>
        <w:t>NepageidaujamaR@vvkt.lt</w:t>
      </w:r>
      <w:proofErr w:type="spellEnd"/>
      <w:r>
        <w:rPr>
          <w:rFonts w:ascii="Times New Roman" w:eastAsia="Calibri" w:hAnsi="Times New Roman" w:cs="Times New Roman"/>
        </w:rPr>
        <w:t>) arba nemokamu telefonu 8 800 73 568. Pranešdami apie šalutinį poveikį galite mums padėti gauti daugiau informacijos apie šio vaisto saugumą.</w:t>
      </w:r>
    </w:p>
    <w:p w14:paraId="0D501CBD" w14:textId="77777777" w:rsidR="00E021D7" w:rsidRDefault="00E021D7">
      <w:pPr>
        <w:widowControl w:val="0"/>
        <w:tabs>
          <w:tab w:val="left" w:pos="567"/>
        </w:tabs>
        <w:spacing w:after="0" w:line="240" w:lineRule="auto"/>
        <w:rPr>
          <w:rFonts w:ascii="Times New Roman" w:eastAsia="Calibri" w:hAnsi="Times New Roman" w:cs="Times New Roman"/>
        </w:rPr>
      </w:pPr>
    </w:p>
    <w:p w14:paraId="556B3BBA" w14:textId="77777777" w:rsidR="00E021D7" w:rsidRDefault="00E021D7">
      <w:pPr>
        <w:widowControl w:val="0"/>
        <w:tabs>
          <w:tab w:val="left" w:pos="567"/>
        </w:tabs>
        <w:spacing w:after="0" w:line="240" w:lineRule="auto"/>
        <w:rPr>
          <w:rFonts w:ascii="Times New Roman" w:eastAsia="Calibri" w:hAnsi="Times New Roman" w:cs="Times New Roman"/>
        </w:rPr>
      </w:pPr>
    </w:p>
    <w:p w14:paraId="0DDF40D4"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Bericox</w:t>
      </w:r>
      <w:proofErr w:type="spellEnd"/>
    </w:p>
    <w:p w14:paraId="48C6CFA5" w14:textId="77777777" w:rsidR="00E021D7" w:rsidRDefault="00E021D7">
      <w:pPr>
        <w:widowControl w:val="0"/>
        <w:tabs>
          <w:tab w:val="left" w:pos="567"/>
        </w:tabs>
        <w:spacing w:after="0" w:line="240" w:lineRule="auto"/>
        <w:rPr>
          <w:rFonts w:ascii="Times New Roman" w:eastAsia="Calibri" w:hAnsi="Times New Roman" w:cs="Times New Roman"/>
        </w:rPr>
      </w:pPr>
    </w:p>
    <w:p w14:paraId="0E18C37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67103E04" w14:textId="77777777" w:rsidR="00E021D7" w:rsidRDefault="00E021D7">
      <w:pPr>
        <w:widowControl w:val="0"/>
        <w:tabs>
          <w:tab w:val="left" w:pos="567"/>
        </w:tabs>
        <w:spacing w:after="0" w:line="240" w:lineRule="auto"/>
        <w:rPr>
          <w:rFonts w:ascii="Times New Roman" w:eastAsia="Calibri" w:hAnsi="Times New Roman" w:cs="Times New Roman"/>
        </w:rPr>
      </w:pPr>
    </w:p>
    <w:p w14:paraId="752814B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Ant pakuotės po „Tinka iki“ arba „EXP“ nurodytam tinkamumo laikui pasibaigus, šio vaisto vartoti negalima. Vaistas tinkamas vartoti iki paskutinės nurodyto mėnesio dienos.</w:t>
      </w:r>
    </w:p>
    <w:p w14:paraId="1DAF9496" w14:textId="77777777" w:rsidR="00E021D7" w:rsidRDefault="00E021D7">
      <w:pPr>
        <w:widowControl w:val="0"/>
        <w:tabs>
          <w:tab w:val="left" w:pos="567"/>
        </w:tabs>
        <w:spacing w:after="0" w:line="240" w:lineRule="auto"/>
        <w:rPr>
          <w:rFonts w:ascii="Times New Roman" w:eastAsia="Calibri" w:hAnsi="Times New Roman" w:cs="Times New Roman"/>
          <w:highlight w:val="yellow"/>
        </w:rPr>
      </w:pPr>
    </w:p>
    <w:p w14:paraId="73E40BB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14:paraId="0EA35C48" w14:textId="77777777" w:rsidR="00E021D7" w:rsidRDefault="00E021D7">
      <w:pPr>
        <w:widowControl w:val="0"/>
        <w:tabs>
          <w:tab w:val="left" w:pos="567"/>
        </w:tabs>
        <w:spacing w:after="0" w:line="240" w:lineRule="auto"/>
        <w:rPr>
          <w:rFonts w:ascii="Times New Roman" w:eastAsia="Calibri" w:hAnsi="Times New Roman" w:cs="Times New Roman"/>
        </w:rPr>
      </w:pPr>
    </w:p>
    <w:p w14:paraId="2C17EB2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2CA43AF0" w14:textId="77777777" w:rsidR="00E021D7" w:rsidRDefault="00E021D7">
      <w:pPr>
        <w:widowControl w:val="0"/>
        <w:tabs>
          <w:tab w:val="left" w:pos="567"/>
        </w:tabs>
        <w:spacing w:after="0" w:line="240" w:lineRule="auto"/>
        <w:rPr>
          <w:rFonts w:ascii="Times New Roman" w:eastAsia="Calibri" w:hAnsi="Times New Roman" w:cs="Times New Roman"/>
        </w:rPr>
      </w:pPr>
    </w:p>
    <w:p w14:paraId="3375DCE2" w14:textId="77777777" w:rsidR="00E021D7" w:rsidRDefault="00E021D7">
      <w:pPr>
        <w:widowControl w:val="0"/>
        <w:tabs>
          <w:tab w:val="left" w:pos="567"/>
        </w:tabs>
        <w:spacing w:after="0" w:line="240" w:lineRule="auto"/>
        <w:rPr>
          <w:rFonts w:ascii="Times New Roman" w:eastAsia="Calibri" w:hAnsi="Times New Roman" w:cs="Times New Roman"/>
        </w:rPr>
      </w:pPr>
    </w:p>
    <w:p w14:paraId="4BA79FD2" w14:textId="77777777" w:rsidR="00E021D7" w:rsidRDefault="009C1A2C">
      <w:pPr>
        <w:widowControl w:val="0"/>
        <w:tabs>
          <w:tab w:val="left" w:pos="567"/>
        </w:tabs>
        <w:spacing w:after="0" w:line="240" w:lineRule="auto"/>
        <w:rPr>
          <w:rFonts w:ascii="Times New Roman" w:eastAsia="Calibri" w:hAnsi="Times New Roman" w:cs="Times New Roman"/>
          <w:caps/>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14:paraId="78AB0D55" w14:textId="77777777" w:rsidR="00E021D7" w:rsidRDefault="00E021D7">
      <w:pPr>
        <w:widowControl w:val="0"/>
        <w:tabs>
          <w:tab w:val="left" w:pos="567"/>
        </w:tabs>
        <w:spacing w:after="0" w:line="240" w:lineRule="auto"/>
        <w:rPr>
          <w:rFonts w:ascii="Times New Roman" w:eastAsia="Calibri" w:hAnsi="Times New Roman" w:cs="Times New Roman"/>
        </w:rPr>
      </w:pPr>
    </w:p>
    <w:p w14:paraId="552B721C" w14:textId="77777777" w:rsidR="00E021D7" w:rsidRDefault="009C1A2C">
      <w:pPr>
        <w:widowControl w:val="0"/>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sudėtis</w:t>
      </w:r>
    </w:p>
    <w:p w14:paraId="7EC57C4D" w14:textId="77777777" w:rsidR="00E021D7" w:rsidRDefault="009C1A2C">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Veiklioji medžiaga yra </w:t>
      </w:r>
      <w:proofErr w:type="spellStart"/>
      <w:r>
        <w:rPr>
          <w:rFonts w:ascii="Times New Roman" w:eastAsia="Calibri" w:hAnsi="Times New Roman" w:cs="Times New Roman"/>
        </w:rPr>
        <w:t>etorikoksibas</w:t>
      </w:r>
      <w:proofErr w:type="spellEnd"/>
      <w:r>
        <w:rPr>
          <w:rFonts w:ascii="Times New Roman" w:eastAsia="Calibri" w:hAnsi="Times New Roman" w:cs="Times New Roman"/>
        </w:rPr>
        <w:t>.</w:t>
      </w:r>
    </w:p>
    <w:p w14:paraId="793E97E5" w14:textId="77777777" w:rsidR="00E021D7" w:rsidRDefault="009C1A2C">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 xml:space="preserve">Kiekvienoje plėvele dengtoje tabletėje yra 30 mg, 60 mg, 90 mg arba 120 mg </w:t>
      </w:r>
      <w:proofErr w:type="spellStart"/>
      <w:r>
        <w:rPr>
          <w:rFonts w:ascii="Times New Roman" w:eastAsia="Calibri" w:hAnsi="Times New Roman" w:cs="Times New Roman"/>
        </w:rPr>
        <w:t>etorikoksibo</w:t>
      </w:r>
      <w:proofErr w:type="spellEnd"/>
      <w:r>
        <w:rPr>
          <w:rFonts w:ascii="Times New Roman" w:eastAsia="Calibri" w:hAnsi="Times New Roman" w:cs="Times New Roman"/>
        </w:rPr>
        <w:t>.</w:t>
      </w:r>
    </w:p>
    <w:p w14:paraId="71562B31" w14:textId="77777777" w:rsidR="00E021D7" w:rsidRDefault="009C1A2C">
      <w:pPr>
        <w:widowControl w:val="0"/>
        <w:tabs>
          <w:tab w:val="left" w:pos="567"/>
        </w:tabs>
        <w:spacing w:after="0" w:line="240" w:lineRule="auto"/>
        <w:rPr>
          <w:rFonts w:ascii="Times New Roman" w:hAnsi="Times New Roman"/>
          <w:b/>
        </w:rPr>
      </w:pPr>
      <w:r>
        <w:rPr>
          <w:rFonts w:ascii="Times New Roman" w:eastAsia="Calibri" w:hAnsi="Times New Roman" w:cs="Times New Roman"/>
        </w:rPr>
        <w:t xml:space="preserve">Pagalbinės medžiagos yra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kalcio-vandenilio fosfatas, </w:t>
      </w:r>
      <w:proofErr w:type="spellStart"/>
      <w:r>
        <w:rPr>
          <w:rFonts w:ascii="Times New Roman" w:eastAsia="Calibri" w:hAnsi="Times New Roman" w:cs="Times New Roman"/>
        </w:rPr>
        <w:t>kroskarmeliozės</w:t>
      </w:r>
      <w:proofErr w:type="spellEnd"/>
      <w:r>
        <w:rPr>
          <w:rFonts w:ascii="Times New Roman" w:eastAsia="Calibri" w:hAnsi="Times New Roman" w:cs="Times New Roman"/>
        </w:rPr>
        <w:t xml:space="preserve"> natrio druska, natrio </w:t>
      </w:r>
      <w:proofErr w:type="spellStart"/>
      <w:r>
        <w:rPr>
          <w:rFonts w:ascii="Times New Roman" w:eastAsia="Calibri" w:hAnsi="Times New Roman" w:cs="Times New Roman"/>
        </w:rPr>
        <w:t>stearilfumaratas</w:t>
      </w:r>
      <w:proofErr w:type="spellEnd"/>
      <w:r>
        <w:rPr>
          <w:rFonts w:ascii="Times New Roman" w:eastAsia="Calibri" w:hAnsi="Times New Roman" w:cs="Times New Roman"/>
        </w:rPr>
        <w:t xml:space="preserve">, bevandenis koloidinis silicio dioksidas (tabletės branduolys) ir </w:t>
      </w:r>
      <w:r>
        <w:rPr>
          <w:rFonts w:ascii="Times New Roman" w:eastAsia="Calibri" w:hAnsi="Times New Roman" w:cs="Times New Roman"/>
        </w:rPr>
        <w:lastRenderedPageBreak/>
        <w:t xml:space="preserve">polivinilo alkoholis, titano dioksidas (E171),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3000, talkas, geltonasis geležies oksidas (E172) (</w:t>
      </w:r>
      <w:proofErr w:type="spellStart"/>
      <w:r>
        <w:rPr>
          <w:rFonts w:ascii="Times New Roman" w:eastAsia="Calibri" w:hAnsi="Times New Roman" w:cs="Times New Roman"/>
          <w:i/>
        </w:rPr>
        <w:t>Bericox</w:t>
      </w:r>
      <w:proofErr w:type="spellEnd"/>
      <w:r>
        <w:rPr>
          <w:rFonts w:ascii="Times New Roman" w:eastAsia="Calibri" w:hAnsi="Times New Roman" w:cs="Times New Roman"/>
        </w:rPr>
        <w:t xml:space="preserve"> </w:t>
      </w:r>
      <w:r>
        <w:rPr>
          <w:rFonts w:ascii="Times New Roman" w:eastAsia="Calibri" w:hAnsi="Times New Roman" w:cs="Times New Roman"/>
          <w:i/>
        </w:rPr>
        <w:t>60 mg plėvele dengtų tablečių sudėtyje</w:t>
      </w:r>
      <w:r>
        <w:rPr>
          <w:rFonts w:ascii="Times New Roman" w:eastAsia="Calibri" w:hAnsi="Times New Roman" w:cs="Times New Roman"/>
        </w:rPr>
        <w:t>) ir raudonasis geležies oksidas (E172) (</w:t>
      </w:r>
      <w:proofErr w:type="spellStart"/>
      <w:r>
        <w:rPr>
          <w:rFonts w:ascii="Times New Roman" w:eastAsia="Calibri" w:hAnsi="Times New Roman" w:cs="Times New Roman"/>
          <w:i/>
        </w:rPr>
        <w:t>Bericox</w:t>
      </w:r>
      <w:proofErr w:type="spellEnd"/>
      <w:r>
        <w:rPr>
          <w:rFonts w:ascii="Times New Roman" w:eastAsia="Calibri" w:hAnsi="Times New Roman" w:cs="Times New Roman"/>
        </w:rPr>
        <w:t xml:space="preserve"> </w:t>
      </w:r>
      <w:r>
        <w:rPr>
          <w:rFonts w:ascii="Times New Roman" w:eastAsia="Calibri" w:hAnsi="Times New Roman" w:cs="Times New Roman"/>
          <w:i/>
        </w:rPr>
        <w:t>90 mg ir 120 mg plėvele dengtų tablečių sudėtyje</w:t>
      </w:r>
      <w:r>
        <w:rPr>
          <w:rFonts w:ascii="Times New Roman" w:eastAsia="Calibri" w:hAnsi="Times New Roman" w:cs="Times New Roman"/>
        </w:rPr>
        <w:t>) (tabletės plėvelė). Žr. 2 skyrių „</w:t>
      </w: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sudėtyje yra natrio“.</w:t>
      </w:r>
    </w:p>
    <w:p w14:paraId="11C3F283" w14:textId="77777777" w:rsidR="00E021D7" w:rsidRDefault="00E021D7">
      <w:pPr>
        <w:widowControl w:val="0"/>
        <w:tabs>
          <w:tab w:val="left" w:pos="567"/>
        </w:tabs>
        <w:spacing w:after="0" w:line="240" w:lineRule="auto"/>
        <w:jc w:val="both"/>
        <w:rPr>
          <w:rFonts w:ascii="Times New Roman" w:eastAsia="Calibri" w:hAnsi="Times New Roman" w:cs="Times New Roman"/>
          <w:strike/>
        </w:rPr>
      </w:pPr>
    </w:p>
    <w:p w14:paraId="253B3ADF" w14:textId="77777777" w:rsidR="00E021D7" w:rsidRDefault="009C1A2C">
      <w:pPr>
        <w:widowControl w:val="0"/>
        <w:numPr>
          <w:ilvl w:val="12"/>
          <w:numId w:val="0"/>
        </w:numPr>
        <w:tabs>
          <w:tab w:val="left" w:pos="567"/>
        </w:tabs>
        <w:spacing w:after="0" w:line="240" w:lineRule="auto"/>
        <w:ind w:right="-2"/>
        <w:rPr>
          <w:rFonts w:ascii="Times New Roman" w:eastAsia="Times New Roman" w:hAnsi="Times New Roman" w:cs="Times New Roman"/>
          <w:b/>
          <w:lang w:val="sl-SI" w:eastAsia="sl-SI"/>
        </w:rPr>
      </w:pPr>
      <w:proofErr w:type="spellStart"/>
      <w:r>
        <w:rPr>
          <w:rFonts w:ascii="Times New Roman" w:eastAsia="Calibri" w:hAnsi="Times New Roman" w:cs="Times New Roman"/>
          <w:b/>
        </w:rPr>
        <w:t>Bericox</w:t>
      </w:r>
      <w:proofErr w:type="spellEnd"/>
      <w:r>
        <w:rPr>
          <w:rFonts w:ascii="Times New Roman" w:eastAsia="Calibri" w:hAnsi="Times New Roman" w:cs="Times New Roman"/>
          <w:b/>
        </w:rPr>
        <w:t xml:space="preserve"> išvaizda ir kiekis pakuotėje</w:t>
      </w:r>
    </w:p>
    <w:p w14:paraId="6C4E4816"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Bericox</w:t>
      </w:r>
      <w:proofErr w:type="spellEnd"/>
      <w:r>
        <w:rPr>
          <w:rFonts w:ascii="Times New Roman" w:eastAsia="Calibri" w:hAnsi="Times New Roman" w:cs="Times New Roman"/>
        </w:rPr>
        <w:t xml:space="preserve"> plėvele dengtos tabletės tiekiamos keturių stiprumų.</w:t>
      </w:r>
    </w:p>
    <w:p w14:paraId="12307459"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hAnsi="Times New Roman"/>
          <w:u w:val="single"/>
        </w:rPr>
        <w:t>Bericox</w:t>
      </w:r>
      <w:proofErr w:type="spellEnd"/>
      <w:r>
        <w:rPr>
          <w:rFonts w:ascii="Times New Roman" w:eastAsia="Calibri" w:hAnsi="Times New Roman" w:cs="Times New Roman"/>
        </w:rPr>
        <w:t xml:space="preserve"> 30 mg plėvele dengtos tabletės yra baltos arba beveik baltos, apvalios (skersmuo 6 mm), šiek tiek abipus išgaubtos plėvele dengtos tabletės nuožulniais kraštais.</w:t>
      </w:r>
    </w:p>
    <w:p w14:paraId="67EC33A6"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hAnsi="Times New Roman"/>
          <w:u w:val="single"/>
        </w:rPr>
        <w:t>Bericox</w:t>
      </w:r>
      <w:proofErr w:type="spellEnd"/>
      <w:r>
        <w:rPr>
          <w:rFonts w:ascii="Times New Roman" w:eastAsia="Calibri" w:hAnsi="Times New Roman" w:cs="Times New Roman"/>
        </w:rPr>
        <w:t xml:space="preserve"> 60 mg plėvele dengtos tabletės yra šiek tiek rusvai geltonos, apvalios (skersmuo 8 mm), abipus išgaubtos plėvele dengtos tabletės nuožulniais kraštais, vienoje tabletės pusėje įspausta „60“.</w:t>
      </w:r>
    </w:p>
    <w:p w14:paraId="6B8665C8"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hAnsi="Times New Roman"/>
          <w:u w:val="single"/>
        </w:rPr>
        <w:t>Bericox</w:t>
      </w:r>
      <w:proofErr w:type="spellEnd"/>
      <w:r>
        <w:rPr>
          <w:rFonts w:ascii="Times New Roman" w:eastAsia="Calibri" w:hAnsi="Times New Roman" w:cs="Times New Roman"/>
        </w:rPr>
        <w:t xml:space="preserve"> 90 mg plėvele dengtos tabletės yra rausvos, apvalios (skersmuo 9 mm), abipus išgaubtos plėvele dengtos tabletės nuožulniais kraštais, vienoje tabletės pusėje įspausta „90“.</w:t>
      </w:r>
    </w:p>
    <w:p w14:paraId="1DFB9AE0" w14:textId="77777777" w:rsidR="00E021D7" w:rsidRDefault="009C1A2C">
      <w:pPr>
        <w:widowControl w:val="0"/>
        <w:tabs>
          <w:tab w:val="left" w:pos="567"/>
        </w:tabs>
        <w:spacing w:after="0" w:line="240" w:lineRule="auto"/>
        <w:jc w:val="both"/>
        <w:rPr>
          <w:rFonts w:ascii="Times New Roman" w:eastAsia="Calibri" w:hAnsi="Times New Roman" w:cs="Times New Roman"/>
        </w:rPr>
      </w:pPr>
      <w:proofErr w:type="spellStart"/>
      <w:r>
        <w:rPr>
          <w:rFonts w:ascii="Times New Roman" w:hAnsi="Times New Roman"/>
          <w:u w:val="single"/>
        </w:rPr>
        <w:t>Bericox</w:t>
      </w:r>
      <w:proofErr w:type="spellEnd"/>
      <w:r>
        <w:rPr>
          <w:rFonts w:ascii="Times New Roman" w:eastAsia="Calibri" w:hAnsi="Times New Roman" w:cs="Times New Roman"/>
        </w:rPr>
        <w:t xml:space="preserve"> 120 mg plėvele dengtos tabletės (tabletės) yra rusvai raudonos, apvalios (skersmuo 10 mm), šiek tiek abipus išgaubtos plėvele dengtos tabletės su vagele vienoje pusėje. Vagelė nėra skirta tabletei perlaužti.</w:t>
      </w:r>
    </w:p>
    <w:p w14:paraId="58714888" w14:textId="77777777" w:rsidR="00E021D7" w:rsidRDefault="00E021D7">
      <w:pPr>
        <w:widowControl w:val="0"/>
        <w:tabs>
          <w:tab w:val="left" w:pos="567"/>
        </w:tabs>
        <w:spacing w:after="0" w:line="240" w:lineRule="auto"/>
        <w:rPr>
          <w:rFonts w:ascii="Times New Roman" w:eastAsia="Calibri" w:hAnsi="Times New Roman" w:cs="Times New Roman"/>
        </w:rPr>
      </w:pPr>
    </w:p>
    <w:p w14:paraId="0CF87C5A"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Bericox</w:t>
      </w:r>
      <w:proofErr w:type="spellEnd"/>
      <w:r>
        <w:rPr>
          <w:rFonts w:ascii="Times New Roman" w:eastAsia="Calibri" w:hAnsi="Times New Roman" w:cs="Times New Roman"/>
          <w:i/>
        </w:rPr>
        <w:t xml:space="preserve"> 30 mg plėvele dengtos tabletės</w:t>
      </w:r>
    </w:p>
    <w:p w14:paraId="33C72E3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Dėžutėje yra 7, 14, 28, 30, 56, 60, 84, 98 arba 100 tablečių lizdinėse plokštelėse.</w:t>
      </w:r>
    </w:p>
    <w:p w14:paraId="7B458DB5"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Bericox</w:t>
      </w:r>
      <w:proofErr w:type="spellEnd"/>
      <w:r>
        <w:rPr>
          <w:rFonts w:ascii="Times New Roman" w:eastAsia="Calibri" w:hAnsi="Times New Roman" w:cs="Times New Roman"/>
          <w:i/>
        </w:rPr>
        <w:t xml:space="preserve"> 60 mg plėvele dengtos tabletės</w:t>
      </w:r>
    </w:p>
    <w:p w14:paraId="365A57C2"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Dėžutėje yra 7, 14, 20, 28, 30, 50, 56, 60, 84, 98 arba 100 tablečių lizdinėse plokštelėse.</w:t>
      </w:r>
    </w:p>
    <w:p w14:paraId="42E582D2"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Bericox</w:t>
      </w:r>
      <w:proofErr w:type="spellEnd"/>
      <w:r>
        <w:rPr>
          <w:rFonts w:ascii="Times New Roman" w:eastAsia="Calibri" w:hAnsi="Times New Roman" w:cs="Times New Roman"/>
          <w:i/>
        </w:rPr>
        <w:t xml:space="preserve"> 90 mg plėvele dengtos tabletės</w:t>
      </w:r>
    </w:p>
    <w:p w14:paraId="79D887D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Dėžutėje yra 5, 7, 14, 20, 28, 30, 50, 56, 60, 84, 98 arba 100 tablečių lizdinėse plokštelėse.</w:t>
      </w:r>
    </w:p>
    <w:p w14:paraId="02E0C709" w14:textId="77777777" w:rsidR="00E021D7" w:rsidRDefault="009C1A2C">
      <w:pPr>
        <w:widowControl w:val="0"/>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Bericox</w:t>
      </w:r>
      <w:proofErr w:type="spellEnd"/>
      <w:r>
        <w:rPr>
          <w:rFonts w:ascii="Times New Roman" w:eastAsia="Calibri" w:hAnsi="Times New Roman" w:cs="Times New Roman"/>
          <w:i/>
        </w:rPr>
        <w:t xml:space="preserve"> 120 mg plėvele dengtos tabletės</w:t>
      </w:r>
    </w:p>
    <w:p w14:paraId="04405C1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Dėžutėje yra 5, 7, 14, 20, 28, 30, 50, 56, 60, 84, 98 arba 100 tablečių lizdinėse plokštelėse.</w:t>
      </w:r>
    </w:p>
    <w:p w14:paraId="3419C490" w14:textId="77777777" w:rsidR="00E021D7" w:rsidRDefault="00E021D7">
      <w:pPr>
        <w:widowControl w:val="0"/>
        <w:tabs>
          <w:tab w:val="left" w:pos="567"/>
        </w:tabs>
        <w:spacing w:after="0" w:line="240" w:lineRule="auto"/>
        <w:rPr>
          <w:rFonts w:ascii="Times New Roman" w:eastAsia="Calibri" w:hAnsi="Times New Roman" w:cs="Times New Roman"/>
        </w:rPr>
      </w:pPr>
    </w:p>
    <w:p w14:paraId="5B96897D" w14:textId="77777777" w:rsidR="00E021D7" w:rsidRDefault="009C1A2C">
      <w:pPr>
        <w:widowControl w:val="0"/>
        <w:tabs>
          <w:tab w:val="left" w:pos="567"/>
          <w:tab w:val="left" w:pos="4995"/>
        </w:tabs>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3925726A" w14:textId="77777777" w:rsidR="00E021D7" w:rsidRDefault="00E021D7">
      <w:pPr>
        <w:widowControl w:val="0"/>
        <w:tabs>
          <w:tab w:val="left" w:pos="567"/>
        </w:tabs>
        <w:spacing w:after="0" w:line="240" w:lineRule="auto"/>
        <w:rPr>
          <w:rFonts w:ascii="Times New Roman" w:eastAsia="Calibri" w:hAnsi="Times New Roman" w:cs="Times New Roman"/>
        </w:rPr>
      </w:pPr>
    </w:p>
    <w:p w14:paraId="6CA3212D"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Registruotojas ir gamintojas</w:t>
      </w:r>
    </w:p>
    <w:p w14:paraId="493C9EED" w14:textId="77777777" w:rsidR="00E021D7" w:rsidRDefault="00E021D7">
      <w:pPr>
        <w:widowControl w:val="0"/>
        <w:tabs>
          <w:tab w:val="left" w:pos="567"/>
        </w:tabs>
        <w:spacing w:after="0" w:line="240" w:lineRule="auto"/>
        <w:rPr>
          <w:rFonts w:ascii="Times New Roman" w:eastAsia="Calibri" w:hAnsi="Times New Roman" w:cs="Times New Roman"/>
        </w:rPr>
      </w:pPr>
    </w:p>
    <w:p w14:paraId="35A9D35F" w14:textId="77777777" w:rsidR="00E021D7" w:rsidRDefault="009C1A2C">
      <w:pPr>
        <w:widowControl w:val="0"/>
        <w:tabs>
          <w:tab w:val="left" w:pos="567"/>
        </w:tabs>
        <w:spacing w:after="0" w:line="240" w:lineRule="auto"/>
        <w:rPr>
          <w:rFonts w:ascii="Times New Roman" w:hAnsi="Times New Roman"/>
        </w:rPr>
      </w:pPr>
      <w:r>
        <w:rPr>
          <w:rFonts w:ascii="Times New Roman" w:hAnsi="Times New Roman"/>
        </w:rPr>
        <w:t>Registruotojas</w:t>
      </w:r>
    </w:p>
    <w:p w14:paraId="4F1EC538"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6A80C9C9"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69CA190E"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093023A7"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Slovėnija</w:t>
      </w:r>
    </w:p>
    <w:p w14:paraId="16D470EC" w14:textId="77777777" w:rsidR="00E021D7" w:rsidRDefault="00E021D7">
      <w:pPr>
        <w:widowControl w:val="0"/>
        <w:tabs>
          <w:tab w:val="left" w:pos="567"/>
        </w:tabs>
        <w:spacing w:after="0" w:line="240" w:lineRule="auto"/>
        <w:rPr>
          <w:rFonts w:ascii="Times New Roman" w:eastAsia="Calibri" w:hAnsi="Times New Roman" w:cs="Times New Roman"/>
        </w:rPr>
      </w:pPr>
    </w:p>
    <w:p w14:paraId="6EFCCA80" w14:textId="77777777" w:rsidR="00E021D7" w:rsidRDefault="009C1A2C">
      <w:pPr>
        <w:widowControl w:val="0"/>
        <w:spacing w:after="0" w:line="240" w:lineRule="auto"/>
        <w:rPr>
          <w:rFonts w:ascii="Times New Roman" w:hAnsi="Times New Roman"/>
        </w:rPr>
      </w:pPr>
      <w:r>
        <w:rPr>
          <w:rFonts w:ascii="Times New Roman" w:hAnsi="Times New Roman"/>
        </w:rPr>
        <w:t>Gamintojas</w:t>
      </w:r>
    </w:p>
    <w:p w14:paraId="72F17640"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345268D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588DCA9D"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52A2CB31"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Slovėnija</w:t>
      </w:r>
    </w:p>
    <w:p w14:paraId="4A59EEB1" w14:textId="77777777" w:rsidR="00E021D7" w:rsidRDefault="00E021D7">
      <w:pPr>
        <w:widowControl w:val="0"/>
        <w:tabs>
          <w:tab w:val="left" w:pos="567"/>
        </w:tabs>
        <w:spacing w:after="0" w:line="240" w:lineRule="auto"/>
        <w:rPr>
          <w:rFonts w:ascii="Times New Roman" w:eastAsia="Calibri" w:hAnsi="Times New Roman" w:cs="Times New Roman"/>
        </w:rPr>
      </w:pPr>
    </w:p>
    <w:p w14:paraId="7726D89C"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arba</w:t>
      </w:r>
    </w:p>
    <w:p w14:paraId="2850D07C" w14:textId="77777777" w:rsidR="00E021D7" w:rsidRDefault="00E021D7">
      <w:pPr>
        <w:widowControl w:val="0"/>
        <w:tabs>
          <w:tab w:val="left" w:pos="567"/>
        </w:tabs>
        <w:spacing w:after="0" w:line="240" w:lineRule="auto"/>
        <w:rPr>
          <w:rFonts w:ascii="Times New Roman" w:eastAsia="Calibri" w:hAnsi="Times New Roman" w:cs="Times New Roman"/>
        </w:rPr>
      </w:pPr>
    </w:p>
    <w:p w14:paraId="3F5AE99B"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TAD Pharma </w:t>
      </w:r>
      <w:proofErr w:type="spellStart"/>
      <w:r>
        <w:rPr>
          <w:rFonts w:ascii="Times New Roman" w:eastAsia="Calibri" w:hAnsi="Times New Roman" w:cs="Times New Roman"/>
        </w:rPr>
        <w:t>GmbH</w:t>
      </w:r>
      <w:proofErr w:type="spellEnd"/>
    </w:p>
    <w:p w14:paraId="1DC0C0DE" w14:textId="77777777" w:rsidR="00E021D7" w:rsidRDefault="009C1A2C">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Heinz-Lohmann-Straße</w:t>
      </w:r>
      <w:proofErr w:type="spellEnd"/>
      <w:r>
        <w:rPr>
          <w:rFonts w:ascii="Times New Roman" w:eastAsia="Calibri" w:hAnsi="Times New Roman" w:cs="Times New Roman"/>
        </w:rPr>
        <w:t xml:space="preserve"> 5</w:t>
      </w:r>
    </w:p>
    <w:p w14:paraId="06B3CB29"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27472 </w:t>
      </w:r>
      <w:proofErr w:type="spellStart"/>
      <w:r>
        <w:rPr>
          <w:rFonts w:ascii="Times New Roman" w:eastAsia="Calibri" w:hAnsi="Times New Roman" w:cs="Times New Roman"/>
        </w:rPr>
        <w:t>Cuxhaven</w:t>
      </w:r>
      <w:proofErr w:type="spellEnd"/>
    </w:p>
    <w:p w14:paraId="3A859473" w14:textId="77777777" w:rsidR="00E021D7" w:rsidRDefault="009C1A2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Vokietija</w:t>
      </w:r>
    </w:p>
    <w:p w14:paraId="319CCE3A" w14:textId="77777777" w:rsidR="00E021D7" w:rsidRDefault="00E021D7">
      <w:pPr>
        <w:widowControl w:val="0"/>
        <w:numPr>
          <w:ilvl w:val="12"/>
          <w:numId w:val="0"/>
        </w:numPr>
        <w:tabs>
          <w:tab w:val="left" w:pos="567"/>
        </w:tabs>
        <w:spacing w:after="0" w:line="240" w:lineRule="auto"/>
        <w:ind w:right="-2"/>
        <w:rPr>
          <w:rFonts w:ascii="Times New Roman" w:eastAsia="Calibri" w:hAnsi="Times New Roman" w:cs="Times New Roman"/>
        </w:rPr>
      </w:pPr>
    </w:p>
    <w:p w14:paraId="67A067BA" w14:textId="77777777" w:rsidR="00E021D7" w:rsidRDefault="009C1A2C">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rPr>
        <w:t>Jeigu apie šį vaistą norite sužinoti daugiau, kreipkitės į vietinį registruotojo atstovą.</w:t>
      </w:r>
    </w:p>
    <w:p w14:paraId="0FB8308D" w14:textId="77777777" w:rsidR="00E021D7" w:rsidRDefault="00E021D7">
      <w:pPr>
        <w:widowControl w:val="0"/>
        <w:tabs>
          <w:tab w:val="left" w:pos="567"/>
        </w:tabs>
        <w:spacing w:after="0" w:line="240" w:lineRule="auto"/>
        <w:rPr>
          <w:rFonts w:ascii="Times New Roman" w:eastAsia="Calibri" w:hAnsi="Times New Roman" w:cs="Times New Roman"/>
        </w:rPr>
      </w:pPr>
    </w:p>
    <w:p w14:paraId="282B4CDE"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UAB KRKA Lietuva</w:t>
      </w:r>
    </w:p>
    <w:p w14:paraId="2030AA9B"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Senasis Ukmergės kelias 4</w:t>
      </w:r>
    </w:p>
    <w:p w14:paraId="060DBA81"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Vilniaus raj., </w:t>
      </w:r>
      <w:proofErr w:type="spellStart"/>
      <w:r>
        <w:rPr>
          <w:rFonts w:ascii="Times New Roman" w:eastAsia="Calibri" w:hAnsi="Times New Roman" w:cs="Times New Roman"/>
        </w:rPr>
        <w:t>Užubalių</w:t>
      </w:r>
      <w:proofErr w:type="spellEnd"/>
      <w:r>
        <w:rPr>
          <w:rFonts w:ascii="Times New Roman" w:eastAsia="Calibri" w:hAnsi="Times New Roman" w:cs="Times New Roman"/>
        </w:rPr>
        <w:t xml:space="preserve"> k.</w:t>
      </w:r>
    </w:p>
    <w:p w14:paraId="57B89132"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LT - 14013</w:t>
      </w:r>
    </w:p>
    <w:p w14:paraId="5EA71D0E" w14:textId="77777777" w:rsidR="00E021D7" w:rsidRDefault="009C1A2C">
      <w:pPr>
        <w:widowControl w:val="0"/>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t>Tel. + 370 5 236 27 40</w:t>
      </w:r>
    </w:p>
    <w:p w14:paraId="4C127F85" w14:textId="77777777" w:rsidR="00E021D7" w:rsidRDefault="00E021D7">
      <w:pPr>
        <w:widowControl w:val="0"/>
        <w:tabs>
          <w:tab w:val="left" w:pos="567"/>
        </w:tabs>
        <w:spacing w:after="0" w:line="240" w:lineRule="auto"/>
        <w:jc w:val="both"/>
        <w:rPr>
          <w:rFonts w:ascii="Times New Roman" w:eastAsia="Calibri" w:hAnsi="Times New Roman" w:cs="Times New Roman"/>
        </w:rPr>
      </w:pPr>
    </w:p>
    <w:p w14:paraId="7CB2FE8F" w14:textId="77777777" w:rsidR="00E021D7" w:rsidRDefault="009C1A2C">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b/>
        </w:rPr>
        <w:lastRenderedPageBreak/>
        <w:t>Šis vaistas Europos ekonominės erdvės valstybėse narėse ir Jungtinėje Karalystėje (Šiaurės Airijoje) registruotas tokiais pavadinimais</w:t>
      </w:r>
      <w:r>
        <w:rPr>
          <w:rFonts w:ascii="Times New Roman" w:eastAsia="Calibri" w:hAnsi="Times New Roman" w:cs="Times New Roman"/>
        </w:rPr>
        <w:t>:</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4590"/>
      </w:tblGrid>
      <w:tr w:rsidR="00E021D7" w14:paraId="159317D9" w14:textId="77777777">
        <w:tc>
          <w:tcPr>
            <w:tcW w:w="4589" w:type="dxa"/>
            <w:tcBorders>
              <w:top w:val="single" w:sz="8" w:space="0" w:color="auto"/>
              <w:left w:val="single" w:sz="8" w:space="0" w:color="auto"/>
              <w:bottom w:val="single" w:sz="8" w:space="0" w:color="auto"/>
              <w:right w:val="single" w:sz="8" w:space="0" w:color="auto"/>
            </w:tcBorders>
            <w:hideMark/>
          </w:tcPr>
          <w:p w14:paraId="79DCADB4" w14:textId="77777777" w:rsidR="00E021D7" w:rsidRDefault="009C1A2C">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Valstybės narės pavadinimas</w:t>
            </w:r>
          </w:p>
        </w:tc>
        <w:tc>
          <w:tcPr>
            <w:tcW w:w="4590" w:type="dxa"/>
            <w:tcBorders>
              <w:top w:val="single" w:sz="8" w:space="0" w:color="auto"/>
              <w:left w:val="single" w:sz="8" w:space="0" w:color="auto"/>
              <w:bottom w:val="single" w:sz="8" w:space="0" w:color="auto"/>
              <w:right w:val="single" w:sz="8" w:space="0" w:color="auto"/>
            </w:tcBorders>
            <w:hideMark/>
          </w:tcPr>
          <w:p w14:paraId="2200D90A" w14:textId="77777777" w:rsidR="00E021D7" w:rsidRDefault="009C1A2C">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lang w:val="sl-SI"/>
              </w:rPr>
              <w:t>Vaisto pavadinimas</w:t>
            </w:r>
          </w:p>
        </w:tc>
      </w:tr>
      <w:tr w:rsidR="00E021D7" w14:paraId="54100EBA" w14:textId="77777777">
        <w:tc>
          <w:tcPr>
            <w:tcW w:w="4589" w:type="dxa"/>
            <w:tcBorders>
              <w:top w:val="single" w:sz="4" w:space="0" w:color="auto"/>
              <w:left w:val="single" w:sz="4" w:space="0" w:color="auto"/>
              <w:bottom w:val="single" w:sz="4" w:space="0" w:color="auto"/>
              <w:right w:val="single" w:sz="4" w:space="0" w:color="auto"/>
            </w:tcBorders>
            <w:hideMark/>
          </w:tcPr>
          <w:p w14:paraId="470690AF" w14:textId="77777777" w:rsidR="00E021D7" w:rsidRDefault="009C1A2C">
            <w:pPr>
              <w:widowControl w:val="0"/>
              <w:numPr>
                <w:ilvl w:val="12"/>
                <w:numId w:val="0"/>
              </w:numPr>
              <w:spacing w:after="0" w:line="240" w:lineRule="auto"/>
              <w:ind w:right="-2"/>
              <w:rPr>
                <w:rFonts w:ascii="Times New Roman" w:hAnsi="Times New Roman"/>
                <w:highlight w:val="yellow"/>
                <w:lang w:val="en-US"/>
              </w:rPr>
            </w:pPr>
            <w:r>
              <w:rPr>
                <w:rFonts w:ascii="Times New Roman" w:eastAsia="Calibri" w:hAnsi="Times New Roman" w:cs="Times New Roman"/>
                <w:lang w:val="sl-SI"/>
              </w:rPr>
              <w:t>Belgija, Danija, Ispanija, Suomija, Airija, Islandija, Norvegija, Švedija</w:t>
            </w:r>
          </w:p>
        </w:tc>
        <w:tc>
          <w:tcPr>
            <w:tcW w:w="4590" w:type="dxa"/>
            <w:tcBorders>
              <w:top w:val="single" w:sz="4" w:space="0" w:color="auto"/>
              <w:left w:val="single" w:sz="4" w:space="0" w:color="auto"/>
              <w:bottom w:val="single" w:sz="4" w:space="0" w:color="auto"/>
              <w:right w:val="single" w:sz="4" w:space="0" w:color="auto"/>
            </w:tcBorders>
            <w:hideMark/>
          </w:tcPr>
          <w:p w14:paraId="61E973E5" w14:textId="77777777" w:rsidR="00E021D7" w:rsidRDefault="009C1A2C">
            <w:pPr>
              <w:widowControl w:val="0"/>
              <w:numPr>
                <w:ilvl w:val="12"/>
                <w:numId w:val="0"/>
              </w:numPr>
              <w:spacing w:after="0" w:line="240" w:lineRule="auto"/>
              <w:ind w:right="-2"/>
              <w:rPr>
                <w:rFonts w:ascii="Times New Roman" w:eastAsia="Times New Roman" w:hAnsi="Times New Roman" w:cs="Times New Roman"/>
                <w:highlight w:val="yellow"/>
                <w:lang w:val="sl-SI" w:eastAsia="sl-SI"/>
              </w:rPr>
            </w:pPr>
            <w:r>
              <w:rPr>
                <w:rFonts w:ascii="Times New Roman" w:eastAsia="Calibri" w:hAnsi="Times New Roman" w:cs="Times New Roman"/>
                <w:lang w:val="sl-SI"/>
              </w:rPr>
              <w:t>Etoricoxib Krka</w:t>
            </w:r>
          </w:p>
        </w:tc>
      </w:tr>
      <w:tr w:rsidR="00E021D7" w14:paraId="3B57336B" w14:textId="77777777">
        <w:tc>
          <w:tcPr>
            <w:tcW w:w="4589" w:type="dxa"/>
            <w:tcBorders>
              <w:top w:val="single" w:sz="4" w:space="0" w:color="auto"/>
              <w:left w:val="single" w:sz="4" w:space="0" w:color="auto"/>
              <w:bottom w:val="single" w:sz="4" w:space="0" w:color="auto"/>
              <w:right w:val="single" w:sz="4" w:space="0" w:color="auto"/>
            </w:tcBorders>
            <w:hideMark/>
          </w:tcPr>
          <w:p w14:paraId="0711DD0D" w14:textId="77777777" w:rsidR="00E021D7" w:rsidRDefault="009C1A2C">
            <w:pPr>
              <w:widowControl w:val="0"/>
              <w:numPr>
                <w:ilvl w:val="12"/>
                <w:numId w:val="0"/>
              </w:numPr>
              <w:spacing w:after="0" w:line="240" w:lineRule="auto"/>
              <w:ind w:right="-2"/>
              <w:rPr>
                <w:rFonts w:ascii="Times New Roman" w:hAnsi="Times New Roman"/>
                <w:highlight w:val="yellow"/>
              </w:rPr>
            </w:pPr>
            <w:r>
              <w:rPr>
                <w:rFonts w:ascii="Times New Roman" w:eastAsia="Calibri" w:hAnsi="Times New Roman" w:cs="Times New Roman"/>
                <w:lang w:val="sl-SI"/>
              </w:rPr>
              <w:t xml:space="preserve">Bulgarija, </w:t>
            </w:r>
            <w:r>
              <w:rPr>
                <w:rFonts w:ascii="Times New Roman" w:eastAsia="Calibri" w:hAnsi="Times New Roman" w:cs="Times New Roman"/>
              </w:rPr>
              <w:t>Čekija, Vengrija, Lenkija, Rumunija, Slovėnija, Slovakija</w:t>
            </w:r>
          </w:p>
        </w:tc>
        <w:tc>
          <w:tcPr>
            <w:tcW w:w="4590" w:type="dxa"/>
            <w:tcBorders>
              <w:top w:val="single" w:sz="4" w:space="0" w:color="auto"/>
              <w:left w:val="single" w:sz="4" w:space="0" w:color="auto"/>
              <w:bottom w:val="single" w:sz="4" w:space="0" w:color="auto"/>
              <w:right w:val="single" w:sz="4" w:space="0" w:color="auto"/>
            </w:tcBorders>
            <w:hideMark/>
          </w:tcPr>
          <w:p w14:paraId="5359E947" w14:textId="77777777" w:rsidR="00E021D7" w:rsidRDefault="009C1A2C">
            <w:pPr>
              <w:widowControl w:val="0"/>
              <w:numPr>
                <w:ilvl w:val="12"/>
                <w:numId w:val="0"/>
              </w:numPr>
              <w:spacing w:after="0" w:line="240" w:lineRule="auto"/>
              <w:ind w:right="-2"/>
              <w:rPr>
                <w:rFonts w:ascii="Times New Roman" w:hAnsi="Times New Roman"/>
                <w:highlight w:val="yellow"/>
                <w:lang w:val="sl-SI"/>
              </w:rPr>
            </w:pPr>
            <w:r>
              <w:rPr>
                <w:rFonts w:ascii="Times New Roman" w:eastAsia="Calibri" w:hAnsi="Times New Roman" w:cs="Times New Roman"/>
                <w:lang w:val="sl-SI"/>
              </w:rPr>
              <w:t>Roticox</w:t>
            </w:r>
          </w:p>
        </w:tc>
      </w:tr>
      <w:tr w:rsidR="00E021D7" w14:paraId="183BA630" w14:textId="77777777">
        <w:tc>
          <w:tcPr>
            <w:tcW w:w="4589" w:type="dxa"/>
            <w:tcBorders>
              <w:top w:val="single" w:sz="4" w:space="0" w:color="auto"/>
              <w:left w:val="single" w:sz="4" w:space="0" w:color="auto"/>
              <w:bottom w:val="single" w:sz="4" w:space="0" w:color="auto"/>
              <w:right w:val="single" w:sz="4" w:space="0" w:color="auto"/>
            </w:tcBorders>
            <w:hideMark/>
          </w:tcPr>
          <w:p w14:paraId="1B5C558F" w14:textId="77777777" w:rsidR="00E021D7" w:rsidRDefault="009C1A2C">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Estija, Kroatija</w:t>
            </w:r>
          </w:p>
        </w:tc>
        <w:tc>
          <w:tcPr>
            <w:tcW w:w="4590" w:type="dxa"/>
            <w:tcBorders>
              <w:top w:val="single" w:sz="4" w:space="0" w:color="auto"/>
              <w:left w:val="single" w:sz="4" w:space="0" w:color="auto"/>
              <w:bottom w:val="single" w:sz="4" w:space="0" w:color="auto"/>
              <w:right w:val="single" w:sz="4" w:space="0" w:color="auto"/>
            </w:tcBorders>
            <w:hideMark/>
          </w:tcPr>
          <w:p w14:paraId="404AFF94" w14:textId="77777777" w:rsidR="00E021D7" w:rsidRDefault="009C1A2C">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lang w:val="sl-SI"/>
              </w:rPr>
              <w:t>Etoxib</w:t>
            </w:r>
          </w:p>
        </w:tc>
      </w:tr>
      <w:tr w:rsidR="00E021D7" w14:paraId="0BCB2CAB" w14:textId="77777777">
        <w:tc>
          <w:tcPr>
            <w:tcW w:w="4589" w:type="dxa"/>
            <w:tcBorders>
              <w:top w:val="single" w:sz="4" w:space="0" w:color="auto"/>
              <w:left w:val="single" w:sz="4" w:space="0" w:color="auto"/>
              <w:bottom w:val="single" w:sz="4" w:space="0" w:color="auto"/>
              <w:right w:val="single" w:sz="4" w:space="0" w:color="auto"/>
            </w:tcBorders>
            <w:hideMark/>
          </w:tcPr>
          <w:p w14:paraId="4363359C" w14:textId="77777777" w:rsidR="00E021D7" w:rsidRDefault="009C1A2C">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Vokietija</w:t>
            </w:r>
          </w:p>
        </w:tc>
        <w:tc>
          <w:tcPr>
            <w:tcW w:w="4590" w:type="dxa"/>
            <w:tcBorders>
              <w:top w:val="single" w:sz="4" w:space="0" w:color="auto"/>
              <w:left w:val="single" w:sz="4" w:space="0" w:color="auto"/>
              <w:bottom w:val="single" w:sz="4" w:space="0" w:color="auto"/>
              <w:right w:val="single" w:sz="4" w:space="0" w:color="auto"/>
            </w:tcBorders>
            <w:hideMark/>
          </w:tcPr>
          <w:p w14:paraId="500C8806" w14:textId="77777777" w:rsidR="00E021D7" w:rsidRDefault="009C1A2C">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lang w:val="sl-SI"/>
              </w:rPr>
              <w:t>Etoriax</w:t>
            </w:r>
          </w:p>
        </w:tc>
      </w:tr>
      <w:tr w:rsidR="00E021D7" w14:paraId="4D035845" w14:textId="77777777">
        <w:tc>
          <w:tcPr>
            <w:tcW w:w="4589" w:type="dxa"/>
            <w:tcBorders>
              <w:top w:val="single" w:sz="4" w:space="0" w:color="auto"/>
              <w:left w:val="single" w:sz="4" w:space="0" w:color="auto"/>
              <w:bottom w:val="single" w:sz="4" w:space="0" w:color="auto"/>
              <w:right w:val="single" w:sz="4" w:space="0" w:color="auto"/>
            </w:tcBorders>
            <w:hideMark/>
          </w:tcPr>
          <w:p w14:paraId="0C7D5179" w14:textId="77777777" w:rsidR="00E021D7" w:rsidRDefault="009C1A2C">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Lietuva, Latvija</w:t>
            </w:r>
          </w:p>
        </w:tc>
        <w:tc>
          <w:tcPr>
            <w:tcW w:w="4590" w:type="dxa"/>
            <w:tcBorders>
              <w:top w:val="single" w:sz="4" w:space="0" w:color="auto"/>
              <w:left w:val="single" w:sz="4" w:space="0" w:color="auto"/>
              <w:bottom w:val="single" w:sz="4" w:space="0" w:color="auto"/>
              <w:right w:val="single" w:sz="4" w:space="0" w:color="auto"/>
            </w:tcBorders>
            <w:hideMark/>
          </w:tcPr>
          <w:p w14:paraId="3EAB4F05" w14:textId="77777777" w:rsidR="00E021D7" w:rsidRDefault="009C1A2C">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lang w:val="sl-SI"/>
              </w:rPr>
              <w:t>Bericox</w:t>
            </w:r>
          </w:p>
        </w:tc>
      </w:tr>
      <w:tr w:rsidR="00E021D7" w14:paraId="78CD8A4F" w14:textId="77777777">
        <w:tc>
          <w:tcPr>
            <w:tcW w:w="4589" w:type="dxa"/>
            <w:tcBorders>
              <w:top w:val="single" w:sz="4" w:space="0" w:color="auto"/>
              <w:left w:val="single" w:sz="4" w:space="0" w:color="auto"/>
              <w:bottom w:val="single" w:sz="4" w:space="0" w:color="auto"/>
              <w:right w:val="single" w:sz="4" w:space="0" w:color="auto"/>
            </w:tcBorders>
            <w:hideMark/>
          </w:tcPr>
          <w:p w14:paraId="145E26A9" w14:textId="77777777" w:rsidR="00E021D7" w:rsidRDefault="009C1A2C">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Portugalija</w:t>
            </w:r>
          </w:p>
        </w:tc>
        <w:tc>
          <w:tcPr>
            <w:tcW w:w="4590" w:type="dxa"/>
            <w:tcBorders>
              <w:top w:val="single" w:sz="4" w:space="0" w:color="auto"/>
              <w:left w:val="single" w:sz="4" w:space="0" w:color="auto"/>
              <w:bottom w:val="single" w:sz="4" w:space="0" w:color="auto"/>
              <w:right w:val="single" w:sz="4" w:space="0" w:color="auto"/>
            </w:tcBorders>
            <w:hideMark/>
          </w:tcPr>
          <w:p w14:paraId="7AFDE1D4" w14:textId="77777777" w:rsidR="00E021D7" w:rsidRDefault="009C1A2C">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lang w:val="sl-SI"/>
              </w:rPr>
              <w:t xml:space="preserve">Etoricoxib </w:t>
            </w:r>
            <w:r>
              <w:rPr>
                <w:rFonts w:ascii="Times New Roman" w:eastAsia="Times New Roman" w:hAnsi="Times New Roman" w:cs="Times New Roman"/>
                <w:lang w:val="sl-SI" w:eastAsia="sl-SI"/>
              </w:rPr>
              <w:t>TAD</w:t>
            </w:r>
          </w:p>
        </w:tc>
      </w:tr>
      <w:tr w:rsidR="00E021D7" w14:paraId="068FA65C" w14:textId="77777777">
        <w:tc>
          <w:tcPr>
            <w:tcW w:w="4589" w:type="dxa"/>
            <w:tcBorders>
              <w:top w:val="single" w:sz="4" w:space="0" w:color="auto"/>
              <w:left w:val="single" w:sz="4" w:space="0" w:color="auto"/>
              <w:bottom w:val="single" w:sz="4" w:space="0" w:color="auto"/>
              <w:right w:val="single" w:sz="4" w:space="0" w:color="auto"/>
            </w:tcBorders>
            <w:hideMark/>
          </w:tcPr>
          <w:p w14:paraId="003FE221" w14:textId="77777777" w:rsidR="00E021D7" w:rsidRDefault="009C1A2C">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Jungtinė Karalystė (Šiaurės Airija)</w:t>
            </w:r>
          </w:p>
        </w:tc>
        <w:tc>
          <w:tcPr>
            <w:tcW w:w="4590" w:type="dxa"/>
            <w:tcBorders>
              <w:top w:val="single" w:sz="4" w:space="0" w:color="auto"/>
              <w:left w:val="single" w:sz="4" w:space="0" w:color="auto"/>
              <w:bottom w:val="single" w:sz="4" w:space="0" w:color="auto"/>
              <w:right w:val="single" w:sz="4" w:space="0" w:color="auto"/>
            </w:tcBorders>
            <w:hideMark/>
          </w:tcPr>
          <w:p w14:paraId="2DD2AEFB" w14:textId="77777777" w:rsidR="00E021D7" w:rsidRDefault="009C1A2C">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lang w:val="sl-SI"/>
              </w:rPr>
              <w:t>Etoricoxib</w:t>
            </w:r>
          </w:p>
        </w:tc>
      </w:tr>
    </w:tbl>
    <w:p w14:paraId="4FEDCABF" w14:textId="77777777" w:rsidR="00E021D7" w:rsidRDefault="00E021D7">
      <w:pPr>
        <w:widowControl w:val="0"/>
        <w:spacing w:after="0" w:line="240" w:lineRule="auto"/>
        <w:rPr>
          <w:rFonts w:ascii="Times New Roman" w:eastAsia="Calibri" w:hAnsi="Times New Roman" w:cs="Times New Roman"/>
          <w:lang w:val="sl-SI"/>
        </w:rPr>
      </w:pPr>
    </w:p>
    <w:p w14:paraId="7087EB7C" w14:textId="77777777" w:rsidR="00E021D7" w:rsidRDefault="009C1A2C">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Šis pakuotės lapelis paskutinį kartą peržiūrėtas 2024-01-01.</w:t>
      </w:r>
    </w:p>
    <w:p w14:paraId="2961D5AE" w14:textId="77777777" w:rsidR="00E021D7" w:rsidRDefault="00E021D7">
      <w:pPr>
        <w:widowControl w:val="0"/>
        <w:numPr>
          <w:ilvl w:val="12"/>
          <w:numId w:val="0"/>
        </w:numPr>
        <w:tabs>
          <w:tab w:val="left" w:pos="567"/>
        </w:tabs>
        <w:spacing w:after="0" w:line="240" w:lineRule="auto"/>
        <w:ind w:right="-2"/>
        <w:rPr>
          <w:rFonts w:ascii="Times New Roman" w:eastAsia="Calibri" w:hAnsi="Times New Roman" w:cs="Times New Roman"/>
        </w:rPr>
      </w:pPr>
    </w:p>
    <w:p w14:paraId="294F41C3" w14:textId="77777777" w:rsidR="00E021D7" w:rsidRDefault="00E021D7">
      <w:pPr>
        <w:widowControl w:val="0"/>
        <w:numPr>
          <w:ilvl w:val="12"/>
          <w:numId w:val="0"/>
        </w:numPr>
        <w:tabs>
          <w:tab w:val="left" w:pos="567"/>
        </w:tabs>
        <w:spacing w:after="0" w:line="240" w:lineRule="auto"/>
        <w:ind w:right="-2"/>
        <w:rPr>
          <w:rFonts w:ascii="Times New Roman" w:eastAsia="Calibri" w:hAnsi="Times New Roman" w:cs="Times New Roman"/>
        </w:rPr>
      </w:pPr>
    </w:p>
    <w:p w14:paraId="609AAF9A" w14:textId="77777777" w:rsidR="00E021D7" w:rsidRDefault="009C1A2C">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10" w:history="1">
        <w:r>
          <w:rPr>
            <w:rFonts w:ascii="Times New Roman" w:eastAsia="Calibri" w:hAnsi="Times New Roman" w:cs="Times New Roman"/>
            <w:color w:val="0000FF"/>
            <w:u w:val="single"/>
          </w:rPr>
          <w:t>http://www.vvkt.lt/</w:t>
        </w:r>
      </w:hyperlink>
      <w:r>
        <w:rPr>
          <w:rFonts w:ascii="Times New Roman" w:eastAsia="Calibri" w:hAnsi="Times New Roman" w:cs="Times New Roman"/>
        </w:rPr>
        <w:t>.</w:t>
      </w:r>
    </w:p>
    <w:p w14:paraId="294F9804" w14:textId="77777777" w:rsidR="00E021D7" w:rsidRDefault="00E021D7">
      <w:pPr>
        <w:widowControl w:val="0"/>
        <w:spacing w:after="0" w:line="240" w:lineRule="auto"/>
        <w:ind w:left="567" w:hanging="567"/>
        <w:rPr>
          <w:rFonts w:ascii="Times New Roman" w:hAnsi="Times New Roman" w:cs="Times New Roman"/>
        </w:rPr>
      </w:pPr>
    </w:p>
    <w:p w14:paraId="6D878899" w14:textId="77777777" w:rsidR="00E021D7" w:rsidRDefault="00E021D7">
      <w:pPr>
        <w:widowControl w:val="0"/>
        <w:spacing w:after="0" w:line="240" w:lineRule="auto"/>
        <w:rPr>
          <w:rFonts w:ascii="Times New Roman" w:hAnsi="Times New Roman" w:cs="Times New Roman"/>
        </w:rPr>
      </w:pPr>
    </w:p>
    <w:sectPr w:rsidR="00E021D7">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96E4" w14:textId="77777777" w:rsidR="00C76B3F" w:rsidRDefault="00C76B3F">
      <w:pPr>
        <w:spacing w:after="0" w:line="240" w:lineRule="auto"/>
      </w:pPr>
      <w:r>
        <w:separator/>
      </w:r>
    </w:p>
  </w:endnote>
  <w:endnote w:type="continuationSeparator" w:id="0">
    <w:p w14:paraId="75B60B25" w14:textId="77777777" w:rsidR="00C76B3F" w:rsidRDefault="00C76B3F">
      <w:pPr>
        <w:spacing w:after="0" w:line="240" w:lineRule="auto"/>
      </w:pPr>
      <w:r>
        <w:continuationSeparator/>
      </w:r>
    </w:p>
  </w:endnote>
  <w:endnote w:type="continuationNotice" w:id="1">
    <w:p w14:paraId="3569F21B" w14:textId="77777777" w:rsidR="00C76B3F" w:rsidRDefault="00C76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C27A" w14:textId="77777777" w:rsidR="00E021D7" w:rsidRDefault="00E021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3386" w14:textId="77777777" w:rsidR="00E021D7" w:rsidRDefault="00E021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C746" w14:textId="77777777" w:rsidR="00E021D7" w:rsidRDefault="00E021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9A77" w14:textId="77777777" w:rsidR="00C76B3F" w:rsidRDefault="00C76B3F">
      <w:pPr>
        <w:spacing w:after="0" w:line="240" w:lineRule="auto"/>
      </w:pPr>
      <w:r>
        <w:separator/>
      </w:r>
    </w:p>
  </w:footnote>
  <w:footnote w:type="continuationSeparator" w:id="0">
    <w:p w14:paraId="5C3BE632" w14:textId="77777777" w:rsidR="00C76B3F" w:rsidRDefault="00C76B3F">
      <w:pPr>
        <w:spacing w:after="0" w:line="240" w:lineRule="auto"/>
      </w:pPr>
      <w:r>
        <w:continuationSeparator/>
      </w:r>
    </w:p>
  </w:footnote>
  <w:footnote w:type="continuationNotice" w:id="1">
    <w:p w14:paraId="386CD6F6" w14:textId="77777777" w:rsidR="00C76B3F" w:rsidRDefault="00C76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A9BC" w14:textId="77777777" w:rsidR="00E021D7" w:rsidRDefault="00E021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0940" w14:textId="77777777" w:rsidR="00E021D7" w:rsidRDefault="00E021D7">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3178" w14:textId="77777777" w:rsidR="00E021D7" w:rsidRDefault="00E021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CC4D46"/>
    <w:multiLevelType w:val="hybridMultilevel"/>
    <w:tmpl w:val="955C5544"/>
    <w:lvl w:ilvl="0" w:tplc="E5AC820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BB117E2"/>
    <w:multiLevelType w:val="hybridMultilevel"/>
    <w:tmpl w:val="F85C636C"/>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217F"/>
    <w:multiLevelType w:val="hybridMultilevel"/>
    <w:tmpl w:val="9E7443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9507EA"/>
    <w:multiLevelType w:val="hybridMultilevel"/>
    <w:tmpl w:val="7D5A70A8"/>
    <w:lvl w:ilvl="0" w:tplc="E5AC820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672F18"/>
    <w:multiLevelType w:val="hybridMultilevel"/>
    <w:tmpl w:val="E3EC6F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E531E5"/>
    <w:multiLevelType w:val="hybridMultilevel"/>
    <w:tmpl w:val="CBAC017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61341C"/>
    <w:multiLevelType w:val="hybridMultilevel"/>
    <w:tmpl w:val="848C85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9B3365"/>
    <w:multiLevelType w:val="hybridMultilevel"/>
    <w:tmpl w:val="AD2E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A6BB0"/>
    <w:multiLevelType w:val="hybridMultilevel"/>
    <w:tmpl w:val="268EA1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922E9"/>
    <w:multiLevelType w:val="hybridMultilevel"/>
    <w:tmpl w:val="15FA70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0276305"/>
    <w:multiLevelType w:val="hybridMultilevel"/>
    <w:tmpl w:val="25E04FEA"/>
    <w:lvl w:ilvl="0" w:tplc="FFFFFFFF">
      <w:start w:val="1"/>
      <w:numFmt w:val="bullet"/>
      <w:lvlText w:val="-"/>
      <w:lvlJc w:val="left"/>
      <w:pPr>
        <w:tabs>
          <w:tab w:val="num" w:pos="1005"/>
        </w:tabs>
        <w:ind w:left="1005" w:hanging="360"/>
      </w:p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8469D"/>
    <w:multiLevelType w:val="hybridMultilevel"/>
    <w:tmpl w:val="87E854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365448"/>
    <w:multiLevelType w:val="hybridMultilevel"/>
    <w:tmpl w:val="33C453A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AD7D87"/>
    <w:multiLevelType w:val="multilevel"/>
    <w:tmpl w:val="ECCE4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6E124A7"/>
    <w:multiLevelType w:val="hybridMultilevel"/>
    <w:tmpl w:val="B61E26B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9C62BB1"/>
    <w:multiLevelType w:val="hybridMultilevel"/>
    <w:tmpl w:val="DB68D4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44" w15:restartNumberingAfterBreak="0">
    <w:nsid w:val="75657CFC"/>
    <w:multiLevelType w:val="hybridMultilevel"/>
    <w:tmpl w:val="2B94225C"/>
    <w:lvl w:ilvl="0" w:tplc="FFFFFFFF">
      <w:start w:val="1"/>
      <w:numFmt w:val="bullet"/>
      <w:lvlText w:val="-"/>
      <w:lvlJc w:val="left"/>
      <w:pPr>
        <w:tabs>
          <w:tab w:val="num" w:pos="357"/>
        </w:tabs>
        <w:ind w:left="357" w:hanging="357"/>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1227F"/>
    <w:multiLevelType w:val="hybridMultilevel"/>
    <w:tmpl w:val="4D8EBB5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974675698">
    <w:abstractNumId w:val="17"/>
  </w:num>
  <w:num w:numId="2" w16cid:durableId="614677204">
    <w:abstractNumId w:val="11"/>
  </w:num>
  <w:num w:numId="3" w16cid:durableId="62028606">
    <w:abstractNumId w:val="12"/>
  </w:num>
  <w:num w:numId="4" w16cid:durableId="106199840">
    <w:abstractNumId w:val="23"/>
  </w:num>
  <w:num w:numId="5" w16cid:durableId="143664889">
    <w:abstractNumId w:val="16"/>
  </w:num>
  <w:num w:numId="6" w16cid:durableId="78909223">
    <w:abstractNumId w:val="44"/>
  </w:num>
  <w:num w:numId="7" w16cid:durableId="296108312">
    <w:abstractNumId w:val="36"/>
  </w:num>
  <w:num w:numId="8" w16cid:durableId="1805850238">
    <w:abstractNumId w:val="45"/>
  </w:num>
  <w:num w:numId="9" w16cid:durableId="1397582007">
    <w:abstractNumId w:val="25"/>
  </w:num>
  <w:num w:numId="10" w16cid:durableId="1935088806">
    <w:abstractNumId w:val="3"/>
  </w:num>
  <w:num w:numId="11" w16cid:durableId="2009558515">
    <w:abstractNumId w:val="26"/>
  </w:num>
  <w:num w:numId="12" w16cid:durableId="1438478067">
    <w:abstractNumId w:val="28"/>
  </w:num>
  <w:num w:numId="13" w16cid:durableId="1715540142">
    <w:abstractNumId w:val="10"/>
  </w:num>
  <w:num w:numId="14" w16cid:durableId="1636982926">
    <w:abstractNumId w:val="35"/>
  </w:num>
  <w:num w:numId="15" w16cid:durableId="19667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4706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700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7611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6822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0224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4703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09777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7065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8062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35106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49952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8140678">
    <w:abstractNumId w:val="29"/>
  </w:num>
  <w:num w:numId="28" w16cid:durableId="1800997779">
    <w:abstractNumId w:val="6"/>
  </w:num>
  <w:num w:numId="29" w16cid:durableId="1421288999">
    <w:abstractNumId w:val="4"/>
  </w:num>
  <w:num w:numId="30" w16cid:durableId="171456919">
    <w:abstractNumId w:val="0"/>
    <w:lvlOverride w:ilvl="0">
      <w:lvl w:ilvl="0">
        <w:start w:val="1"/>
        <w:numFmt w:val="bullet"/>
        <w:lvlText w:val="-"/>
        <w:legacy w:legacy="1" w:legacySpace="0" w:legacyIndent="360"/>
        <w:lvlJc w:val="left"/>
        <w:pPr>
          <w:ind w:left="360" w:hanging="360"/>
        </w:pPr>
      </w:lvl>
    </w:lvlOverride>
  </w:num>
  <w:num w:numId="31" w16cid:durableId="1508062021">
    <w:abstractNumId w:val="38"/>
  </w:num>
  <w:num w:numId="32" w16cid:durableId="1490290540">
    <w:abstractNumId w:val="40"/>
  </w:num>
  <w:num w:numId="33" w16cid:durableId="37510746">
    <w:abstractNumId w:val="18"/>
  </w:num>
  <w:num w:numId="34" w16cid:durableId="779761810">
    <w:abstractNumId w:val="33"/>
  </w:num>
  <w:num w:numId="35" w16cid:durableId="504175165">
    <w:abstractNumId w:val="13"/>
  </w:num>
  <w:num w:numId="36" w16cid:durableId="158230492">
    <w:abstractNumId w:val="19"/>
  </w:num>
  <w:num w:numId="37" w16cid:durableId="1713529428">
    <w:abstractNumId w:val="1"/>
  </w:num>
  <w:num w:numId="38" w16cid:durableId="767584941">
    <w:abstractNumId w:val="42"/>
  </w:num>
  <w:num w:numId="39" w16cid:durableId="1982224150">
    <w:abstractNumId w:val="0"/>
    <w:lvlOverride w:ilvl="0">
      <w:lvl w:ilvl="0">
        <w:start w:val="1"/>
        <w:numFmt w:val="bullet"/>
        <w:lvlText w:val="-"/>
        <w:lvlJc w:val="left"/>
        <w:pPr>
          <w:ind w:left="360" w:hanging="360"/>
        </w:pPr>
      </w:lvl>
    </w:lvlOverride>
  </w:num>
  <w:num w:numId="40" w16cid:durableId="1540817875">
    <w:abstractNumId w:val="0"/>
    <w:lvlOverride w:ilvl="0">
      <w:lvl w:ilvl="0">
        <w:start w:val="1"/>
        <w:numFmt w:val="bullet"/>
        <w:lvlText w:val=""/>
        <w:lvlJc w:val="left"/>
        <w:pPr>
          <w:ind w:left="360" w:hanging="360"/>
        </w:pPr>
        <w:rPr>
          <w:rFonts w:ascii="Symbol" w:hAnsi="Symbol" w:hint="default"/>
        </w:rPr>
      </w:lvl>
    </w:lvlOverride>
  </w:num>
  <w:num w:numId="41" w16cid:durableId="986860818">
    <w:abstractNumId w:val="0"/>
    <w:lvlOverride w:ilvl="0">
      <w:lvl w:ilvl="0">
        <w:start w:val="1"/>
        <w:numFmt w:val="bullet"/>
        <w:lvlText w:val="-"/>
        <w:lvlJc w:val="left"/>
        <w:pPr>
          <w:ind w:left="360" w:hanging="360"/>
        </w:pPr>
      </w:lvl>
    </w:lvlOverride>
  </w:num>
  <w:num w:numId="42" w16cid:durableId="1968925038">
    <w:abstractNumId w:val="22"/>
  </w:num>
  <w:num w:numId="43" w16cid:durableId="875430851">
    <w:abstractNumId w:val="43"/>
  </w:num>
  <w:num w:numId="44" w16cid:durableId="251548528">
    <w:abstractNumId w:val="32"/>
  </w:num>
  <w:num w:numId="45" w16cid:durableId="810367381">
    <w:abstractNumId w:val="24"/>
  </w:num>
  <w:num w:numId="46" w16cid:durableId="2035032647">
    <w:abstractNumId w:val="30"/>
  </w:num>
  <w:num w:numId="47" w16cid:durableId="1273396057">
    <w:abstractNumId w:val="31"/>
  </w:num>
  <w:num w:numId="48" w16cid:durableId="1385955380">
    <w:abstractNumId w:val="7"/>
  </w:num>
  <w:num w:numId="49" w16cid:durableId="104277343">
    <w:abstractNumId w:val="14"/>
  </w:num>
  <w:num w:numId="50" w16cid:durableId="261231232">
    <w:abstractNumId w:val="2"/>
  </w:num>
  <w:num w:numId="51" w16cid:durableId="508176891">
    <w:abstractNumId w:val="41"/>
  </w:num>
  <w:num w:numId="52" w16cid:durableId="1931962910">
    <w:abstractNumId w:val="9"/>
  </w:num>
  <w:num w:numId="53" w16cid:durableId="1786266637">
    <w:abstractNumId w:val="20"/>
  </w:num>
  <w:num w:numId="54" w16cid:durableId="1721711577">
    <w:abstractNumId w:val="8"/>
  </w:num>
  <w:num w:numId="55" w16cid:durableId="2135365806">
    <w:abstractNumId w:val="15"/>
  </w:num>
  <w:num w:numId="56" w16cid:durableId="1300070380">
    <w:abstractNumId w:val="37"/>
  </w:num>
  <w:num w:numId="57" w16cid:durableId="1555194051">
    <w:abstractNumId w:val="34"/>
  </w:num>
  <w:num w:numId="58" w16cid:durableId="169762076">
    <w:abstractNumId w:val="27"/>
  </w:num>
  <w:num w:numId="59" w16cid:durableId="1578708974">
    <w:abstractNumId w:val="5"/>
  </w:num>
  <w:num w:numId="60" w16cid:durableId="1063795959">
    <w:abstractNumId w:val="21"/>
  </w:num>
  <w:num w:numId="61" w16cid:durableId="1488937934">
    <w:abstractNumId w:val="3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D7"/>
    <w:rsid w:val="00006F55"/>
    <w:rsid w:val="0003240F"/>
    <w:rsid w:val="00055A9A"/>
    <w:rsid w:val="0008039B"/>
    <w:rsid w:val="000B31EC"/>
    <w:rsid w:val="000C30C0"/>
    <w:rsid w:val="00150D8C"/>
    <w:rsid w:val="00181C1E"/>
    <w:rsid w:val="001852F8"/>
    <w:rsid w:val="00195126"/>
    <w:rsid w:val="001B5279"/>
    <w:rsid w:val="001E0CEA"/>
    <w:rsid w:val="001F2DBF"/>
    <w:rsid w:val="00215021"/>
    <w:rsid w:val="00221064"/>
    <w:rsid w:val="002531BE"/>
    <w:rsid w:val="0029259B"/>
    <w:rsid w:val="002B1A17"/>
    <w:rsid w:val="002D3D6A"/>
    <w:rsid w:val="003525AD"/>
    <w:rsid w:val="003723A9"/>
    <w:rsid w:val="003A32AE"/>
    <w:rsid w:val="003F2BFE"/>
    <w:rsid w:val="00405FB8"/>
    <w:rsid w:val="004064B3"/>
    <w:rsid w:val="00410DB7"/>
    <w:rsid w:val="0042484E"/>
    <w:rsid w:val="00440677"/>
    <w:rsid w:val="00446B06"/>
    <w:rsid w:val="00466CC2"/>
    <w:rsid w:val="00470AD3"/>
    <w:rsid w:val="00473DFB"/>
    <w:rsid w:val="0048601F"/>
    <w:rsid w:val="00532017"/>
    <w:rsid w:val="005456C8"/>
    <w:rsid w:val="00580A55"/>
    <w:rsid w:val="00583716"/>
    <w:rsid w:val="005952FF"/>
    <w:rsid w:val="0059557C"/>
    <w:rsid w:val="005A68FE"/>
    <w:rsid w:val="005C7604"/>
    <w:rsid w:val="00611FB3"/>
    <w:rsid w:val="00656603"/>
    <w:rsid w:val="006713D2"/>
    <w:rsid w:val="006745AF"/>
    <w:rsid w:val="00692479"/>
    <w:rsid w:val="006A0096"/>
    <w:rsid w:val="006F1B9F"/>
    <w:rsid w:val="0074407D"/>
    <w:rsid w:val="0075680D"/>
    <w:rsid w:val="007C0DFE"/>
    <w:rsid w:val="007E1BD6"/>
    <w:rsid w:val="00860AB0"/>
    <w:rsid w:val="008873F6"/>
    <w:rsid w:val="00892E60"/>
    <w:rsid w:val="008C42F0"/>
    <w:rsid w:val="00905803"/>
    <w:rsid w:val="00905B1B"/>
    <w:rsid w:val="00917551"/>
    <w:rsid w:val="00960000"/>
    <w:rsid w:val="009926B4"/>
    <w:rsid w:val="009C1A2C"/>
    <w:rsid w:val="00A12EC3"/>
    <w:rsid w:val="00A13E0F"/>
    <w:rsid w:val="00A553D6"/>
    <w:rsid w:val="00AB0D16"/>
    <w:rsid w:val="00AE3A5B"/>
    <w:rsid w:val="00B24760"/>
    <w:rsid w:val="00B262DB"/>
    <w:rsid w:val="00B547F2"/>
    <w:rsid w:val="00B64383"/>
    <w:rsid w:val="00BA02D0"/>
    <w:rsid w:val="00BA196A"/>
    <w:rsid w:val="00C01B40"/>
    <w:rsid w:val="00C034F1"/>
    <w:rsid w:val="00C34ACA"/>
    <w:rsid w:val="00C4194A"/>
    <w:rsid w:val="00C440D7"/>
    <w:rsid w:val="00C60B15"/>
    <w:rsid w:val="00C6503E"/>
    <w:rsid w:val="00C76B3F"/>
    <w:rsid w:val="00CA60EF"/>
    <w:rsid w:val="00D27B40"/>
    <w:rsid w:val="00D4789C"/>
    <w:rsid w:val="00D53C83"/>
    <w:rsid w:val="00D85F44"/>
    <w:rsid w:val="00DA0014"/>
    <w:rsid w:val="00DD67CF"/>
    <w:rsid w:val="00E021D7"/>
    <w:rsid w:val="00E268DC"/>
    <w:rsid w:val="00E412AE"/>
    <w:rsid w:val="00E43115"/>
    <w:rsid w:val="00E55387"/>
    <w:rsid w:val="00E80371"/>
    <w:rsid w:val="00E80E51"/>
    <w:rsid w:val="00EA5FB1"/>
    <w:rsid w:val="00EE1C50"/>
    <w:rsid w:val="00F02A35"/>
    <w:rsid w:val="00F12A41"/>
    <w:rsid w:val="00F20E81"/>
    <w:rsid w:val="00F25C7A"/>
    <w:rsid w:val="00F32579"/>
    <w:rsid w:val="00F84C55"/>
    <w:rsid w:val="00FE6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1D1F"/>
  <w15:docId w15:val="{413F7FBF-CC8C-404F-9E5E-D800C5FB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unhideWhenUsed/>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character" w:styleId="Hipersaitas">
    <w:name w:val="Hyperlink"/>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Pr>
      <w:color w:val="800080"/>
      <w:u w:val="single"/>
    </w:rPr>
  </w:style>
  <w:style w:type="character" w:styleId="Grietas">
    <w:name w:val="Strong"/>
    <w:uiPriority w:val="99"/>
    <w:qFormat/>
    <w:rPr>
      <w:rFonts w:ascii="Times New Roman" w:hAnsi="Times New Roman" w:cs="Times New Roman" w:hint="default"/>
      <w:b/>
      <w:bCs/>
    </w:rPr>
  </w:style>
  <w:style w:type="paragraph" w:styleId="Turinys1">
    <w:name w:val="toc 1"/>
    <w:basedOn w:val="prastasis"/>
    <w:next w:val="prastasis"/>
    <w:autoRedefine/>
    <w:semiHidden/>
    <w:unhideWhenUsed/>
    <w:pPr>
      <w:spacing w:before="120" w:after="0" w:line="240" w:lineRule="auto"/>
    </w:pPr>
    <w:rPr>
      <w:rFonts w:ascii="Times New Roman" w:eastAsia="Times New Roman" w:hAnsi="Times New Roman" w:cs="Times New Roman"/>
      <w:b/>
      <w:bCs/>
      <w:i/>
      <w:iCs/>
      <w:sz w:val="24"/>
      <w:szCs w:val="28"/>
      <w:lang w:val="sl-SI" w:eastAsia="sl-SI"/>
    </w:rPr>
  </w:style>
  <w:style w:type="paragraph" w:styleId="Puslapioinaostekstas">
    <w:name w:val="footnote text"/>
    <w:basedOn w:val="prastasis"/>
    <w:next w:val="prastasis"/>
    <w:link w:val="PuslapioinaostekstasDiagrama"/>
    <w:uiPriority w:val="99"/>
    <w:unhideWhenUsed/>
    <w:pPr>
      <w:spacing w:after="0" w:line="240" w:lineRule="auto"/>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rPr>
      <w:rFonts w:ascii="TimesLT" w:eastAsia="Times New Roman" w:hAnsi="TimesLT" w:cs="Arial Unicode MS"/>
      <w:sz w:val="20"/>
      <w:szCs w:val="20"/>
      <w:lang w:val="en-GB" w:eastAsia="lt-LT" w:bidi="bo-CN"/>
    </w:rPr>
  </w:style>
  <w:style w:type="paragraph" w:styleId="Komentarotekstas">
    <w:name w:val="annotation text"/>
    <w:basedOn w:val="prastasis"/>
    <w:link w:val="KomentarotekstasDiagrama"/>
    <w:uiPriority w:val="99"/>
    <w:unhideWhenUsed/>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unhideWhenUsed/>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styleId="Pavadinimas">
    <w:name w:val="Title"/>
    <w:basedOn w:val="prastasis"/>
    <w:link w:val="PavadinimasDiagrama"/>
    <w:uiPriority w:val="99"/>
    <w:qFormat/>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unhideWhenUsed/>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unhideWhenUse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pPr>
      <w:tabs>
        <w:tab w:val="left" w:pos="567"/>
      </w:tabs>
      <w:snapToGrid w:val="0"/>
      <w:spacing w:after="0" w:line="240" w:lineRule="auto"/>
    </w:pPr>
    <w:rPr>
      <w:rFonts w:ascii="Tahoma" w:eastAsia="Times New Roman" w:hAnsi="Tahoma" w:cs="Times New Roman"/>
      <w:sz w:val="16"/>
      <w:szCs w:val="16"/>
      <w:lang w:val="en-GB" w:eastAsia="sl-SI"/>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z w:val="16"/>
      <w:szCs w:val="16"/>
      <w:lang w:val="en-GB" w:eastAsia="sl-SI"/>
    </w:rPr>
  </w:style>
  <w:style w:type="paragraph" w:styleId="Pataisymai">
    <w:name w:val="Revision"/>
    <w:uiPriority w:val="99"/>
    <w:semiHidden/>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pPr>
      <w:tabs>
        <w:tab w:val="left" w:pos="567"/>
      </w:tabs>
      <w:snapToGrid w:val="0"/>
      <w:spacing w:after="0" w:line="260" w:lineRule="exact"/>
      <w:ind w:left="720"/>
    </w:pPr>
    <w:rPr>
      <w:rFonts w:ascii="Times New Roman" w:eastAsia="Times New Roman" w:hAnsi="Times New Roman" w:cs="Times New Roman"/>
      <w:szCs w:val="20"/>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Pr>
      <w:rFonts w:ascii="Verdana" w:hAnsi="Verdana"/>
      <w:sz w:val="18"/>
      <w:lang w:val="en-GB" w:eastAsia="sl-SI"/>
    </w:rPr>
  </w:style>
  <w:style w:type="paragraph" w:customStyle="1" w:styleId="BodytextAgency">
    <w:name w:val="Body text (Agency)"/>
    <w:basedOn w:val="prastasis"/>
    <w:link w:val="BodytextAgencyChar"/>
    <w:uiPriority w:val="99"/>
    <w:pPr>
      <w:snapToGrid w:val="0"/>
      <w:spacing w:after="140" w:line="280" w:lineRule="atLeast"/>
    </w:pPr>
    <w:rPr>
      <w:rFonts w:ascii="Verdana" w:hAnsi="Verdana"/>
      <w:sz w:val="18"/>
      <w:lang w:val="en-GB" w:eastAsia="sl-SI"/>
    </w:rPr>
  </w:style>
  <w:style w:type="character" w:customStyle="1" w:styleId="NormalAgencyChar">
    <w:name w:val="Normal (Agency) Char"/>
    <w:link w:val="NormalAgency"/>
    <w:uiPriority w:val="99"/>
    <w:locked/>
    <w:rPr>
      <w:rFonts w:ascii="Verdana" w:hAnsi="Verdana"/>
      <w:sz w:val="18"/>
      <w:lang w:val="en-GB"/>
    </w:rPr>
  </w:style>
  <w:style w:type="paragraph" w:customStyle="1" w:styleId="NormalAgency">
    <w:name w:val="Normal (Agency)"/>
    <w:link w:val="NormalAgencyChar"/>
    <w:uiPriority w:val="99"/>
    <w:pPr>
      <w:snapToGrid w:val="0"/>
      <w:spacing w:after="0" w:line="240" w:lineRule="auto"/>
    </w:pPr>
    <w:rPr>
      <w:rFonts w:ascii="Verdana" w:hAnsi="Verdana"/>
      <w:sz w:val="18"/>
      <w:lang w:val="en-GB"/>
    </w:rPr>
  </w:style>
  <w:style w:type="paragraph" w:customStyle="1" w:styleId="TabletextrowsAgency">
    <w:name w:val="Table text rows (Agency)"/>
    <w:basedOn w:val="prastasis"/>
    <w:uiPriority w:val="99"/>
    <w:pPr>
      <w:snapToGrid w:val="0"/>
      <w:spacing w:after="0" w:line="280" w:lineRule="exact"/>
    </w:pPr>
    <w:rPr>
      <w:rFonts w:ascii="Verdana" w:eastAsia="Times New Roman" w:hAnsi="Verdana" w:cs="Times New Roman"/>
      <w:sz w:val="18"/>
      <w:szCs w:val="20"/>
      <w:lang w:val="en-GB"/>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character" w:customStyle="1" w:styleId="BTEMEASMCAChar">
    <w:name w:val="BT EMEA_SMCA Char"/>
    <w:link w:val="BTEMEASMCA"/>
    <w:uiPriority w:val="99"/>
    <w:locked/>
    <w:rPr>
      <w:rFonts w:ascii="SimSun" w:eastAsia="SimSun" w:hAnsi="SimSun"/>
      <w:noProof/>
      <w:lang w:val="sl-SI" w:eastAsia="sl-SI"/>
    </w:rPr>
  </w:style>
  <w:style w:type="paragraph" w:customStyle="1" w:styleId="BTEMEASMCA">
    <w:name w:val="BT EMEA_SMCA"/>
    <w:basedOn w:val="prastasis"/>
    <w:link w:val="BTEMEASMCAChar"/>
    <w:autoRedefine/>
    <w:uiPriority w:val="99"/>
    <w:pPr>
      <w:spacing w:after="0" w:line="240" w:lineRule="auto"/>
    </w:pPr>
    <w:rPr>
      <w:rFonts w:ascii="SimSun" w:eastAsia="SimSun" w:hAnsi="SimSun"/>
      <w:noProof/>
      <w:lang w:val="sl-SI" w:eastAsia="sl-SI"/>
    </w:rPr>
  </w:style>
  <w:style w:type="character" w:customStyle="1" w:styleId="EMEABodyTextChar">
    <w:name w:val="EMEA Body Text Char"/>
    <w:link w:val="EMEABodyText"/>
    <w:locked/>
    <w:rPr>
      <w:lang w:val="en-GB"/>
    </w:rPr>
  </w:style>
  <w:style w:type="paragraph" w:customStyle="1" w:styleId="EMEABodyText">
    <w:name w:val="EMEA Body Text"/>
    <w:basedOn w:val="prastasis"/>
    <w:link w:val="EMEABodyTextChar"/>
    <w:pPr>
      <w:spacing w:after="0" w:line="240" w:lineRule="auto"/>
    </w:pPr>
    <w:rPr>
      <w:lang w:val="en-GB"/>
    </w:rPr>
  </w:style>
  <w:style w:type="paragraph" w:customStyle="1" w:styleId="BTbEMEASMCA">
    <w:name w:val="BT(b) EMEA_SMCA"/>
    <w:basedOn w:val="BTEMEASMCA"/>
    <w:autoRedefine/>
    <w:pPr>
      <w:tabs>
        <w:tab w:val="left" w:pos="0"/>
        <w:tab w:val="left" w:pos="180"/>
        <w:tab w:val="num" w:pos="360"/>
        <w:tab w:val="left" w:pos="1260"/>
      </w:tabs>
    </w:pPr>
    <w:rPr>
      <w:rFonts w:eastAsia="Times New Roman"/>
      <w:b/>
      <w:lang w:val="lt-LT" w:eastAsia="en-US"/>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character" w:customStyle="1" w:styleId="TTEMEASMCAChar">
    <w:name w:val="TT EMEA_SMCA Char"/>
    <w:link w:val="TTEMEASMCA"/>
    <w:uiPriority w:val="99"/>
    <w:locked/>
    <w:rPr>
      <w:b/>
      <w:caps/>
      <w:lang w:val="en-U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uiPriority w:val="99"/>
    <w:pPr>
      <w:tabs>
        <w:tab w:val="clear" w:pos="567"/>
        <w:tab w:val="left" w:pos="1701"/>
      </w:tabs>
      <w:snapToGrid/>
      <w:ind w:left="1701" w:hanging="567"/>
    </w:pPr>
    <w:rPr>
      <w:rFonts w:ascii="Times New Roman" w:hAnsi="Times New Roman" w:cs="Tahoma"/>
      <w:b/>
      <w:sz w:val="22"/>
      <w:szCs w:val="22"/>
      <w:lang w:eastAsia="en-US"/>
    </w:rPr>
  </w:style>
  <w:style w:type="paragraph" w:customStyle="1" w:styleId="BTuEMEASMCA">
    <w:name w:val="BT(u) EMEA_SMCA"/>
    <w:basedOn w:val="BTEMEASMCA"/>
    <w:autoRedefine/>
    <w:uiPriority w:val="99"/>
    <w:rPr>
      <w:rFonts w:eastAsia="Times New Roman"/>
      <w:u w:val="single"/>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character" w:customStyle="1" w:styleId="PI-1EMEASMCAChar">
    <w:name w:val="PI-1 EMEA_SMCA Char"/>
    <w:link w:val="PI-1EMEASMCA"/>
    <w:uiPriority w:val="99"/>
    <w:locked/>
    <w:rPr>
      <w:b/>
    </w:rPr>
  </w:style>
  <w:style w:type="paragraph" w:customStyle="1" w:styleId="PI-1EMEASMCA">
    <w:name w:val="PI-1 EMEA_SMCA"/>
    <w:basedOn w:val="Antrat2"/>
    <w:link w:val="PI-1EMEASMCAChar"/>
    <w:autoRedefine/>
    <w:uiPriority w:val="99"/>
    <w:pPr>
      <w:tabs>
        <w:tab w:val="clear" w:pos="4300"/>
        <w:tab w:val="clear" w:pos="5940"/>
        <w:tab w:val="clear" w:pos="8180"/>
        <w:tab w:val="left" w:pos="567"/>
      </w:tabs>
      <w:spacing w:line="240" w:lineRule="auto"/>
      <w:ind w:left="567" w:hanging="567"/>
    </w:pPr>
    <w:rPr>
      <w:rFonts w:asciiTheme="minorHAnsi" w:eastAsiaTheme="minorHAnsi" w:hAnsiTheme="minorHAnsi" w:cstheme="minorBidi"/>
      <w:sz w:val="22"/>
      <w:szCs w:val="22"/>
      <w:u w:val="none"/>
      <w:lang w:val="lt-LT" w:eastAsia="en-US"/>
    </w:rPr>
  </w:style>
  <w:style w:type="paragraph" w:customStyle="1" w:styleId="EnvelopeAddress1">
    <w:name w:val="Envelope Address1"/>
    <w:basedOn w:val="prastasis"/>
    <w:uiPriority w:val="99"/>
    <w:pPr>
      <w:framePr w:w="7920" w:h="1980" w:hSpace="180" w:wrap="auto" w:hAnchor="page" w:xAlign="center" w:yAlign="bottom"/>
      <w:spacing w:after="0" w:line="240" w:lineRule="auto"/>
      <w:ind w:left="2880"/>
    </w:pPr>
    <w:rPr>
      <w:rFonts w:ascii="TimesLT" w:eastAsia="Times New Roman" w:hAnsi="TimesLT" w:cs="Times New Roman"/>
      <w:sz w:val="24"/>
      <w:szCs w:val="20"/>
      <w:lang w:val="en-GB" w:eastAsia="lt-LT"/>
    </w:rPr>
  </w:style>
  <w:style w:type="paragraph" w:customStyle="1" w:styleId="EnvelopeReturn1">
    <w:name w:val="Envelope Return1"/>
    <w:basedOn w:val="prastasis"/>
    <w:uiPriority w:val="99"/>
    <w:pPr>
      <w:spacing w:after="0" w:line="240" w:lineRule="auto"/>
    </w:pPr>
    <w:rPr>
      <w:rFonts w:ascii="TimesLT" w:eastAsia="Times New Roman" w:hAnsi="TimesLT" w:cs="Times New Roman"/>
      <w:sz w:val="24"/>
      <w:szCs w:val="20"/>
      <w:lang w:val="en-GB" w:eastAsia="lt-LT"/>
    </w:rPr>
  </w:style>
  <w:style w:type="paragraph" w:customStyle="1" w:styleId="EndnoteText1">
    <w:name w:val="Endnote Text1"/>
    <w:basedOn w:val="prastasis"/>
    <w:uiPriority w:val="99"/>
    <w:pPr>
      <w:spacing w:after="0" w:line="240" w:lineRule="auto"/>
    </w:pPr>
    <w:rPr>
      <w:rFonts w:ascii="TimesLT" w:eastAsia="Times New Roman" w:hAnsi="TimesLT" w:cs="Times New Roman"/>
      <w:sz w:val="20"/>
      <w:szCs w:val="20"/>
      <w:lang w:val="en-US" w:eastAsia="lt-LT"/>
    </w:rPr>
  </w:style>
  <w:style w:type="paragraph" w:customStyle="1" w:styleId="EMEAHeading1NoIndent">
    <w:name w:val="EMEA Heading 1 No Indent"/>
    <w:basedOn w:val="prastasis"/>
    <w:next w:val="prastasis"/>
    <w:uiPriority w:val="99"/>
    <w:pPr>
      <w:keepNext/>
      <w:keepLines/>
      <w:spacing w:after="0" w:line="240" w:lineRule="auto"/>
      <w:outlineLvl w:val="0"/>
    </w:pPr>
    <w:rPr>
      <w:rFonts w:ascii="Times New Roman" w:eastAsia="Times New Roman" w:hAnsi="Times New Roman" w:cs="Times New Roman"/>
      <w:b/>
      <w:caps/>
      <w:szCs w:val="20"/>
      <w:lang w:val="en-GB"/>
    </w:rPr>
  </w:style>
  <w:style w:type="paragraph" w:customStyle="1" w:styleId="EMEAHeading1">
    <w:name w:val="EMEA Heading 1"/>
    <w:basedOn w:val="prastasis"/>
    <w:next w:val="prastasis"/>
    <w:uiPriority w:val="99"/>
    <w:pPr>
      <w:keepNext/>
      <w:keepLines/>
      <w:spacing w:after="0" w:line="240" w:lineRule="auto"/>
      <w:ind w:left="567" w:hanging="567"/>
      <w:outlineLvl w:val="0"/>
    </w:pPr>
    <w:rPr>
      <w:rFonts w:ascii="Times New Roman" w:eastAsia="Times New Roman" w:hAnsi="Times New Roman" w:cs="Times New Roman"/>
      <w:b/>
      <w:caps/>
      <w:szCs w:val="20"/>
      <w:lang w:val="en-GB"/>
    </w:rPr>
  </w:style>
  <w:style w:type="paragraph" w:customStyle="1" w:styleId="TitleA">
    <w:name w:val="Title A"/>
    <w:basedOn w:val="prastasis"/>
    <w:uiPriority w:val="99"/>
    <w:pPr>
      <w:widowControl w:val="0"/>
      <w:spacing w:after="0" w:line="240" w:lineRule="auto"/>
      <w:jc w:val="center"/>
    </w:pPr>
    <w:rPr>
      <w:rFonts w:ascii="Times New Roman" w:eastAsia="Times New Roman" w:hAnsi="Times New Roman" w:cs="Times New Roman"/>
      <w:b/>
      <w:szCs w:val="20"/>
      <w:lang w:val="en-GB"/>
    </w:rPr>
  </w:style>
  <w:style w:type="paragraph" w:customStyle="1" w:styleId="ListParagraph1">
    <w:name w:val="List Paragraph1"/>
    <w:basedOn w:val="prastasis"/>
    <w:next w:val="Sraopastraipa"/>
    <w:uiPriority w:val="34"/>
    <w:qFormat/>
    <w:pPr>
      <w:spacing w:line="256" w:lineRule="auto"/>
      <w:ind w:left="720"/>
      <w:contextualSpacing/>
    </w:pPr>
    <w:rPr>
      <w:rFonts w:ascii="Calibri" w:eastAsia="Times New Roman" w:hAnsi="Calibri" w:cs="Times New Roman"/>
    </w:rPr>
  </w:style>
  <w:style w:type="character" w:styleId="Puslapioinaosnuoroda">
    <w:name w:val="footnote reference"/>
    <w:uiPriority w:val="99"/>
    <w:unhideWhenUsed/>
    <w:rPr>
      <w:vertAlign w:val="superscript"/>
    </w:rPr>
  </w:style>
  <w:style w:type="character" w:styleId="Komentaronuoroda">
    <w:name w:val="annotation reference"/>
    <w:uiPriority w:val="99"/>
    <w:unhideWhenUsed/>
    <w:rPr>
      <w:sz w:val="16"/>
      <w:szCs w:val="16"/>
    </w:rPr>
  </w:style>
  <w:style w:type="character" w:customStyle="1" w:styleId="HeaderChar">
    <w:name w:val="Header Char"/>
    <w:uiPriority w:val="99"/>
    <w:rPr>
      <w:snapToGrid/>
      <w:sz w:val="22"/>
      <w:lang w:val="en-GB" w:eastAsia="en-US"/>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lang w:val="en-GB" w:eastAsia="en-US" w:bidi="ar-SA"/>
    </w:rPr>
  </w:style>
  <w:style w:type="character" w:customStyle="1" w:styleId="CharChar10">
    <w:name w:val="Char Char10"/>
    <w:uiPriority w:val="99"/>
    <w:locked/>
    <w:rPr>
      <w:i/>
      <w:iCs w:val="0"/>
      <w:sz w:val="22"/>
      <w:lang w:val="en-US" w:eastAsia="lt-LT"/>
    </w:rPr>
  </w:style>
  <w:style w:type="character" w:customStyle="1" w:styleId="CharChar9">
    <w:name w:val="Char Char9"/>
    <w:uiPriority w:val="99"/>
    <w:locked/>
    <w:rPr>
      <w:i/>
      <w:iCs w:val="0"/>
      <w:sz w:val="22"/>
      <w:lang w:val="lt-LT" w:eastAsia="lt-LT"/>
    </w:rPr>
  </w:style>
  <w:style w:type="character" w:customStyle="1" w:styleId="CharChar8">
    <w:name w:val="Char Char8"/>
    <w:uiPriority w:val="99"/>
    <w:locked/>
    <w:rPr>
      <w:b/>
      <w:bCs w:val="0"/>
      <w:sz w:val="22"/>
      <w:u w:val="single"/>
      <w:lang w:val="lt-LT" w:eastAsia="lt-LT"/>
    </w:rPr>
  </w:style>
  <w:style w:type="character" w:customStyle="1" w:styleId="CharChar7">
    <w:name w:val="Char Char7"/>
    <w:uiPriority w:val="99"/>
    <w:locked/>
    <w:rPr>
      <w:rFonts w:ascii="TimesLT" w:hAnsi="TimesLT" w:hint="default"/>
      <w:sz w:val="24"/>
      <w:lang w:val="en-GB" w:eastAsia="lt-LT"/>
    </w:rPr>
  </w:style>
  <w:style w:type="character" w:customStyle="1" w:styleId="CharChar6">
    <w:name w:val="Char Char6"/>
    <w:uiPriority w:val="99"/>
    <w:locked/>
    <w:rPr>
      <w:rFonts w:ascii="TimesLT" w:hAnsi="TimesLT" w:hint="default"/>
      <w:sz w:val="24"/>
      <w:lang w:val="en-GB" w:eastAsia="lt-LT"/>
    </w:rPr>
  </w:style>
  <w:style w:type="character" w:customStyle="1" w:styleId="CharChar5">
    <w:name w:val="Char Char5"/>
    <w:uiPriority w:val="99"/>
    <w:semiHidden/>
    <w:locked/>
    <w:rPr>
      <w:rFonts w:ascii="TimesLT" w:hAnsi="TimesLT" w:hint="default"/>
      <w:lang w:val="en-GB" w:eastAsia="lt-LT"/>
    </w:rPr>
  </w:style>
  <w:style w:type="character" w:customStyle="1" w:styleId="CharChar4">
    <w:name w:val="Char Char4"/>
    <w:uiPriority w:val="99"/>
    <w:locked/>
    <w:rPr>
      <w:sz w:val="22"/>
      <w:lang w:val="en-US" w:eastAsia="lt-LT"/>
    </w:rPr>
  </w:style>
  <w:style w:type="character" w:customStyle="1" w:styleId="CharChar3">
    <w:name w:val="Char Char3"/>
    <w:uiPriority w:val="99"/>
    <w:semiHidden/>
    <w:locked/>
    <w:rPr>
      <w:rFonts w:ascii="Tahoma" w:hAnsi="Tahoma" w:cs="Tahoma" w:hint="default"/>
      <w:sz w:val="16"/>
      <w:lang w:val="en-US" w:eastAsia="lt-LT"/>
    </w:rPr>
  </w:style>
  <w:style w:type="character" w:customStyle="1" w:styleId="CharChar2">
    <w:name w:val="Char Char2"/>
    <w:uiPriority w:val="99"/>
    <w:locked/>
    <w:rPr>
      <w:b/>
      <w:bCs w:val="0"/>
      <w:kern w:val="28"/>
      <w:sz w:val="22"/>
      <w:lang w:val="lt-LT" w:eastAsia="lt-LT"/>
    </w:rPr>
  </w:style>
  <w:style w:type="character" w:customStyle="1" w:styleId="CharChar1">
    <w:name w:val="Char Char1"/>
    <w:uiPriority w:val="99"/>
    <w:semiHidden/>
    <w:locked/>
    <w:rPr>
      <w:rFonts w:ascii="TimesLT" w:hAnsi="TimesLT" w:hint="default"/>
      <w:lang w:val="en-US" w:eastAsia="lt-LT"/>
    </w:rPr>
  </w:style>
  <w:style w:type="character" w:customStyle="1" w:styleId="CharChar">
    <w:name w:val="Char Char"/>
    <w:uiPriority w:val="99"/>
    <w:semiHidden/>
    <w:locked/>
    <w:rPr>
      <w:rFonts w:ascii="TimesLT" w:hAnsi="TimesLT" w:hint="default"/>
      <w:b/>
      <w:bCs w:val="0"/>
      <w:lang w:val="en-US" w:eastAsia="lt-LT"/>
    </w:rPr>
  </w:style>
  <w:style w:type="character" w:customStyle="1" w:styleId="CharChar71">
    <w:name w:val="Char Char71"/>
    <w:uiPriority w:val="99"/>
    <w:rPr>
      <w:rFonts w:ascii="TimesLT" w:hAnsi="TimesLT" w:hint="default"/>
      <w:sz w:val="24"/>
      <w:lang w:val="en-GB" w:eastAsia="lt-LT"/>
    </w:rPr>
  </w:style>
  <w:style w:type="character" w:customStyle="1" w:styleId="CharChar61">
    <w:name w:val="Char Char61"/>
    <w:uiPriority w:val="99"/>
    <w:rPr>
      <w:rFonts w:ascii="TimesLT" w:hAnsi="TimesLT" w:hint="default"/>
      <w:sz w:val="24"/>
      <w:lang w:val="en-GB" w:eastAsia="lt-LT"/>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numbering" w:customStyle="1" w:styleId="Brezseznama1">
    <w:name w:val="Brez seznama1"/>
    <w:next w:val="Sraonra"/>
    <w:uiPriority w:val="99"/>
    <w:semiHidden/>
    <w:unhideWhenUsed/>
  </w:style>
  <w:style w:type="numbering" w:customStyle="1" w:styleId="NoList1">
    <w:name w:val="No List1"/>
    <w:next w:val="Sraonra"/>
    <w:uiPriority w:val="99"/>
    <w:semiHidden/>
    <w:unhideWhenUsed/>
  </w:style>
  <w:style w:type="numbering" w:customStyle="1" w:styleId="Sraonra2">
    <w:name w:val="Sąrašo nėra2"/>
    <w:next w:val="Sraonra"/>
    <w:uiPriority w:val="99"/>
    <w:semiHidden/>
    <w:unhideWhenUsed/>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uiPriority w:val="99"/>
    <w:semiHidden/>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1">
    <w:name w:val="Tabela – mreža11"/>
    <w:basedOn w:val="prastojilentel"/>
    <w:uiPriority w:val="59"/>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4178">
      <w:bodyDiv w:val="1"/>
      <w:marLeft w:val="0"/>
      <w:marRight w:val="0"/>
      <w:marTop w:val="0"/>
      <w:marBottom w:val="0"/>
      <w:divBdr>
        <w:top w:val="none" w:sz="0" w:space="0" w:color="auto"/>
        <w:left w:val="none" w:sz="0" w:space="0" w:color="auto"/>
        <w:bottom w:val="none" w:sz="0" w:space="0" w:color="auto"/>
        <w:right w:val="none" w:sz="0" w:space="0" w:color="auto"/>
      </w:divBdr>
    </w:div>
    <w:div w:id="14249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94BB-E3E4-4370-87A8-CAB710C7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54223</Words>
  <Characters>30908</Characters>
  <Application>Microsoft Office Word</Application>
  <DocSecurity>4</DocSecurity>
  <Lines>257</Lines>
  <Paragraphs>169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84962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2026-05-20T09:30:00Z</dcterms:created>
  <dcterms:modified xsi:type="dcterms:W3CDTF">2026-05-20T09:30:00Z</dcterms:modified>
</cp:coreProperties>
</file>