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8F384" w14:textId="77777777" w:rsidR="00653262" w:rsidRPr="003E3BFD" w:rsidRDefault="00653262" w:rsidP="00653262">
      <w:pPr>
        <w:widowControl w:val="0"/>
        <w:ind w:left="0" w:firstLine="0"/>
        <w:rPr>
          <w:rFonts w:ascii="Times New Roman" w:eastAsia="SimSun" w:hAnsi="Times New Roman" w:cs="Times New Roman"/>
          <w:color w:val="000000"/>
        </w:rPr>
      </w:pPr>
      <w:bookmarkStart w:id="0" w:name="_GoBack"/>
      <w:bookmarkEnd w:id="0"/>
    </w:p>
    <w:p w14:paraId="6262FB13" w14:textId="77777777" w:rsidR="00653262" w:rsidRPr="003E3BFD" w:rsidRDefault="00653262" w:rsidP="00653262">
      <w:pPr>
        <w:widowControl w:val="0"/>
        <w:ind w:left="0" w:firstLine="0"/>
        <w:rPr>
          <w:rFonts w:ascii="Times New Roman" w:eastAsia="SimSun" w:hAnsi="Times New Roman" w:cs="Times New Roman"/>
          <w:color w:val="000000"/>
        </w:rPr>
      </w:pPr>
    </w:p>
    <w:p w14:paraId="0A46E5DE" w14:textId="77777777" w:rsidR="00653262" w:rsidRPr="003E3BFD" w:rsidRDefault="00653262" w:rsidP="00653262">
      <w:pPr>
        <w:widowControl w:val="0"/>
        <w:ind w:left="0" w:firstLine="0"/>
        <w:rPr>
          <w:rFonts w:ascii="Times New Roman" w:eastAsia="SimSun" w:hAnsi="Times New Roman" w:cs="Times New Roman"/>
          <w:color w:val="000000"/>
        </w:rPr>
      </w:pPr>
    </w:p>
    <w:p w14:paraId="5CED2095"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007D10B"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16EB4F77"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5C54521C"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29DED9C2"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6554BC4B"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7EC87AC2"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6C1A6BCB"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4CA64CBF"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22DB1AEC"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4AA499EA"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27B1791B"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5E7FC524"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66BAE917"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2B8D1097"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5DC246A6"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011D2753"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567A4689"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2BF0D621"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5153858E" w14:textId="77777777" w:rsidR="00653262" w:rsidRPr="003E3BFD" w:rsidRDefault="00653262" w:rsidP="00653262">
      <w:pPr>
        <w:widowControl w:val="0"/>
        <w:tabs>
          <w:tab w:val="left" w:pos="-1440"/>
          <w:tab w:val="left" w:pos="-720"/>
          <w:tab w:val="left" w:pos="567"/>
        </w:tabs>
        <w:ind w:left="0" w:firstLine="0"/>
        <w:rPr>
          <w:rFonts w:ascii="Times New Roman" w:eastAsia="Times New Roman" w:hAnsi="Times New Roman" w:cs="Times New Roman"/>
          <w:b/>
          <w:snapToGrid w:val="0"/>
        </w:rPr>
      </w:pPr>
    </w:p>
    <w:p w14:paraId="0C378310"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t>I PRIEDAS</w:t>
      </w:r>
    </w:p>
    <w:p w14:paraId="48ABB48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E3AB12E" w14:textId="77777777" w:rsidR="00653262" w:rsidRPr="003E3BFD" w:rsidRDefault="00653262" w:rsidP="00653262">
      <w:pPr>
        <w:widowControl w:val="0"/>
        <w:tabs>
          <w:tab w:val="left" w:pos="-1440"/>
          <w:tab w:val="left" w:pos="-720"/>
          <w:tab w:val="left" w:pos="567"/>
        </w:tabs>
        <w:ind w:left="0" w:firstLine="0"/>
        <w:jc w:val="center"/>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PREPARATO CHARAKTERISTIKŲ SANTRAUKA</w:t>
      </w:r>
    </w:p>
    <w:p w14:paraId="2CAC2CBF" w14:textId="77777777" w:rsidR="00653262" w:rsidRPr="003E3BFD" w:rsidRDefault="00653262" w:rsidP="00653262">
      <w:pPr>
        <w:widowControl w:val="0"/>
        <w:tabs>
          <w:tab w:val="left" w:pos="-1440"/>
          <w:tab w:val="left" w:pos="-720"/>
          <w:tab w:val="left" w:pos="567"/>
        </w:tabs>
        <w:ind w:left="0" w:firstLine="0"/>
        <w:jc w:val="center"/>
        <w:rPr>
          <w:rFonts w:ascii="Times New Roman" w:eastAsia="Times New Roman" w:hAnsi="Times New Roman" w:cs="Times New Roman"/>
          <w:snapToGrid w:val="0"/>
        </w:rPr>
      </w:pPr>
      <w:r w:rsidRPr="003E3BFD">
        <w:rPr>
          <w:rFonts w:ascii="Times New Roman" w:eastAsia="Times New Roman" w:hAnsi="Times New Roman" w:cs="Times New Roman"/>
          <w:snapToGrid w:val="0"/>
          <w:lang w:eastAsia="zh-CN"/>
        </w:rPr>
        <w:br w:type="page"/>
      </w:r>
    </w:p>
    <w:p w14:paraId="643D58C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082B4E3"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1.</w:t>
      </w:r>
      <w:r w:rsidRPr="003E3BFD">
        <w:rPr>
          <w:rFonts w:ascii="Times New Roman" w:eastAsia="Times New Roman" w:hAnsi="Times New Roman" w:cs="Times New Roman"/>
          <w:b/>
          <w:bCs/>
          <w:snapToGrid w:val="0"/>
          <w:lang w:eastAsia="x-none"/>
        </w:rPr>
        <w:tab/>
        <w:t>VAISTINIO PREPARATO PAVADINIMAS</w:t>
      </w:r>
    </w:p>
    <w:p w14:paraId="51623AF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07CC8A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Bixebra 5 mg plėvele dengtos tabletės</w:t>
      </w:r>
    </w:p>
    <w:p w14:paraId="0E2BA8D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D879D6">
        <w:rPr>
          <w:rFonts w:ascii="Times New Roman" w:eastAsia="Times New Roman" w:hAnsi="Times New Roman" w:cs="Times New Roman"/>
          <w:noProof/>
          <w:snapToGrid w:val="0"/>
        </w:rPr>
        <w:t>Bixebra 7,5 mg plėvele dengtos tabletės</w:t>
      </w:r>
    </w:p>
    <w:p w14:paraId="3BF8C34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167603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5E30263"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2.</w:t>
      </w:r>
      <w:r w:rsidRPr="003E3BFD">
        <w:rPr>
          <w:rFonts w:ascii="Times New Roman" w:eastAsia="Times New Roman" w:hAnsi="Times New Roman" w:cs="Times New Roman"/>
          <w:b/>
          <w:bCs/>
          <w:snapToGrid w:val="0"/>
          <w:lang w:eastAsia="x-none"/>
        </w:rPr>
        <w:tab/>
        <w:t>KOKYBINĖ IR KIEKYBINĖ SUDĖTIS</w:t>
      </w:r>
    </w:p>
    <w:p w14:paraId="70DF52B9" w14:textId="77777777" w:rsidR="00653262" w:rsidRDefault="00653262" w:rsidP="00653262">
      <w:pPr>
        <w:widowControl w:val="0"/>
        <w:tabs>
          <w:tab w:val="left" w:pos="567"/>
        </w:tabs>
        <w:ind w:left="0" w:firstLine="0"/>
        <w:rPr>
          <w:rFonts w:ascii="Times New Roman" w:eastAsia="Times New Roman" w:hAnsi="Times New Roman" w:cs="Times New Roman"/>
          <w:snapToGrid w:val="0"/>
        </w:rPr>
      </w:pPr>
    </w:p>
    <w:p w14:paraId="42757D57" w14:textId="77777777" w:rsidR="00A23238" w:rsidRPr="00D879D6" w:rsidRDefault="00A23238" w:rsidP="00653262">
      <w:pPr>
        <w:widowControl w:val="0"/>
        <w:tabs>
          <w:tab w:val="left" w:pos="567"/>
        </w:tabs>
        <w:ind w:left="0" w:firstLine="0"/>
        <w:rPr>
          <w:rFonts w:ascii="Times New Roman" w:eastAsia="Times New Roman" w:hAnsi="Times New Roman" w:cs="Times New Roman"/>
          <w:snapToGrid w:val="0"/>
          <w:u w:val="single"/>
        </w:rPr>
      </w:pPr>
      <w:r w:rsidRPr="00D879D6">
        <w:rPr>
          <w:rFonts w:ascii="Times New Roman" w:eastAsia="Times New Roman" w:hAnsi="Times New Roman" w:cs="Times New Roman"/>
          <w:noProof/>
          <w:snapToGrid w:val="0"/>
          <w:u w:val="single"/>
        </w:rPr>
        <w:t>Bixebra 5 mg plėvele dengtos tabletės</w:t>
      </w:r>
    </w:p>
    <w:p w14:paraId="30564F71" w14:textId="77777777" w:rsidR="00653262"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Kiekvienoje plėvele dengtoje tabletėje yra 5 mg ivabradino (atitinka 5,390 mg ivabradino hidrochlorido).</w:t>
      </w:r>
    </w:p>
    <w:p w14:paraId="7A327DE9" w14:textId="77777777" w:rsidR="00A23238" w:rsidRPr="00D879D6" w:rsidRDefault="00A23238"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D879D6">
        <w:rPr>
          <w:rFonts w:ascii="Times New Roman" w:eastAsia="Times New Roman" w:hAnsi="Times New Roman" w:cs="Times New Roman"/>
          <w:noProof/>
          <w:snapToGrid w:val="0"/>
          <w:u w:val="single"/>
        </w:rPr>
        <w:t>Bixebra 7,5 mg plėvele dengtos tabletės</w:t>
      </w:r>
    </w:p>
    <w:p w14:paraId="7E15480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D879D6">
        <w:rPr>
          <w:rFonts w:ascii="Times New Roman" w:eastAsia="Calibri" w:hAnsi="Times New Roman" w:cs="Times New Roman"/>
          <w:color w:val="000000"/>
          <w:lang w:eastAsia="lt-LT"/>
        </w:rPr>
        <w:t>Kiekvienoje plėvele dengtoje tabletėje yra 7,5 mg ivabradino (atitinka 8,085 mg ivabradino hidrochlorido).</w:t>
      </w:r>
    </w:p>
    <w:p w14:paraId="1178520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4FEF1C79" w14:textId="77777777" w:rsidR="00653262"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Pagalbinė medžiaga, kurios poveikis žinomas</w:t>
      </w:r>
    </w:p>
    <w:p w14:paraId="23243091" w14:textId="77777777" w:rsidR="00A23238" w:rsidRPr="00D879D6" w:rsidRDefault="00A23238" w:rsidP="00D879D6">
      <w:pPr>
        <w:widowControl w:val="0"/>
        <w:tabs>
          <w:tab w:val="left" w:pos="567"/>
        </w:tabs>
        <w:ind w:left="0" w:firstLine="0"/>
        <w:rPr>
          <w:rFonts w:ascii="Times New Roman" w:eastAsia="Times New Roman" w:hAnsi="Times New Roman" w:cs="Times New Roman"/>
          <w:snapToGrid w:val="0"/>
          <w:u w:val="single"/>
        </w:rPr>
      </w:pPr>
      <w:r w:rsidRPr="00576333">
        <w:rPr>
          <w:rFonts w:ascii="Times New Roman" w:eastAsia="Times New Roman" w:hAnsi="Times New Roman" w:cs="Times New Roman"/>
          <w:noProof/>
          <w:snapToGrid w:val="0"/>
          <w:u w:val="single"/>
        </w:rPr>
        <w:t>Bixebra 5 mg plėvele dengtos tabletės</w:t>
      </w:r>
    </w:p>
    <w:p w14:paraId="3E67DFA7" w14:textId="77777777" w:rsidR="00653262" w:rsidRPr="00A23238"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Kiekvienoje </w:t>
      </w:r>
      <w:r w:rsidRPr="00D879D6">
        <w:rPr>
          <w:rFonts w:ascii="Times New Roman" w:eastAsia="Calibri" w:hAnsi="Times New Roman" w:cs="Times New Roman"/>
          <w:color w:val="000000"/>
          <w:lang w:eastAsia="lt-LT"/>
        </w:rPr>
        <w:t>5 mg</w:t>
      </w:r>
      <w:r w:rsidRPr="00A23238">
        <w:rPr>
          <w:rFonts w:ascii="Times New Roman" w:eastAsia="Calibri" w:hAnsi="Times New Roman" w:cs="Times New Roman"/>
          <w:color w:val="000000"/>
          <w:lang w:eastAsia="lt-LT"/>
        </w:rPr>
        <w:t xml:space="preserve"> plėvele dengtoje tabletėje yra 45,36 mg laktozės.</w:t>
      </w:r>
    </w:p>
    <w:p w14:paraId="31FBCD41" w14:textId="77777777" w:rsidR="00A23238" w:rsidRPr="00D879D6" w:rsidRDefault="00A23238" w:rsidP="00D879D6">
      <w:pPr>
        <w:widowControl w:val="0"/>
        <w:tabs>
          <w:tab w:val="left" w:pos="567"/>
        </w:tabs>
        <w:ind w:left="0" w:firstLine="0"/>
        <w:rPr>
          <w:rFonts w:ascii="Times New Roman" w:eastAsia="Times New Roman" w:hAnsi="Times New Roman" w:cs="Times New Roman"/>
          <w:snapToGrid w:val="0"/>
          <w:u w:val="single"/>
        </w:rPr>
      </w:pPr>
      <w:r w:rsidRPr="00A23238">
        <w:rPr>
          <w:rFonts w:ascii="Times New Roman" w:eastAsia="Times New Roman" w:hAnsi="Times New Roman" w:cs="Times New Roman"/>
          <w:noProof/>
          <w:snapToGrid w:val="0"/>
          <w:u w:val="single"/>
        </w:rPr>
        <w:t>Bixebra 7,5 mg plėvele dengtos tabletės</w:t>
      </w:r>
    </w:p>
    <w:p w14:paraId="23FE0A4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D879D6">
        <w:rPr>
          <w:rFonts w:ascii="Times New Roman" w:eastAsia="Calibri" w:hAnsi="Times New Roman" w:cs="Times New Roman"/>
          <w:color w:val="000000"/>
          <w:lang w:eastAsia="lt-LT"/>
        </w:rPr>
        <w:t>Kiekvienoje 7,5 mg plėvele dengtoje tabletėje yra 68,04 mg laktozės.</w:t>
      </w:r>
    </w:p>
    <w:p w14:paraId="63DE4E6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27330EA"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Visos pagalbinės medžiagos išvardytos 6.1 skyriuje.</w:t>
      </w:r>
    </w:p>
    <w:p w14:paraId="78287D3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4596D2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5BCF225"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3.</w:t>
      </w:r>
      <w:r w:rsidRPr="003E3BFD">
        <w:rPr>
          <w:rFonts w:ascii="Times New Roman" w:eastAsia="Times New Roman" w:hAnsi="Times New Roman" w:cs="Times New Roman"/>
          <w:b/>
          <w:bCs/>
          <w:snapToGrid w:val="0"/>
          <w:lang w:eastAsia="x-none"/>
        </w:rPr>
        <w:tab/>
        <w:t>FARMACINĖ FORMA</w:t>
      </w:r>
    </w:p>
    <w:p w14:paraId="2CA236C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61C591E"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Plėvele dengta tabletė (tabletė)</w:t>
      </w:r>
    </w:p>
    <w:p w14:paraId="6893B228" w14:textId="77777777" w:rsidR="00653262" w:rsidRDefault="00653262" w:rsidP="00653262">
      <w:pPr>
        <w:widowControl w:val="0"/>
        <w:tabs>
          <w:tab w:val="left" w:pos="567"/>
        </w:tabs>
        <w:ind w:left="0" w:firstLine="0"/>
        <w:rPr>
          <w:rFonts w:ascii="Times New Roman" w:eastAsia="Times New Roman" w:hAnsi="Times New Roman" w:cs="Times New Roman"/>
          <w:snapToGrid w:val="0"/>
        </w:rPr>
      </w:pPr>
    </w:p>
    <w:p w14:paraId="052695B5" w14:textId="77777777" w:rsidR="00A23238" w:rsidRPr="00576333" w:rsidRDefault="00A23238" w:rsidP="00A23238">
      <w:pPr>
        <w:widowControl w:val="0"/>
        <w:tabs>
          <w:tab w:val="left" w:pos="567"/>
        </w:tabs>
        <w:ind w:left="0" w:firstLine="0"/>
        <w:rPr>
          <w:rFonts w:ascii="Times New Roman" w:eastAsia="Times New Roman" w:hAnsi="Times New Roman" w:cs="Times New Roman"/>
          <w:snapToGrid w:val="0"/>
          <w:u w:val="single"/>
        </w:rPr>
      </w:pPr>
      <w:r w:rsidRPr="00576333">
        <w:rPr>
          <w:rFonts w:ascii="Times New Roman" w:eastAsia="Times New Roman" w:hAnsi="Times New Roman" w:cs="Times New Roman"/>
          <w:noProof/>
          <w:snapToGrid w:val="0"/>
          <w:u w:val="single"/>
        </w:rPr>
        <w:t>Bixebra 5 mg plėvele dengtos tabletės</w:t>
      </w:r>
    </w:p>
    <w:p w14:paraId="3449E6D2"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Šviesiai rausvai oranžinės, stačiakampio formos, šiek tiek abipus išgaubtos, plėvele dengtos tabletės su vagele vienoje pusėje, kurių matmenys 8 mm x 4,5 mm. Tabletę galima padalyti į lygias dozes.</w:t>
      </w:r>
    </w:p>
    <w:p w14:paraId="1228C442" w14:textId="77777777" w:rsidR="00653262" w:rsidRDefault="00653262" w:rsidP="00653262">
      <w:pPr>
        <w:widowControl w:val="0"/>
        <w:tabs>
          <w:tab w:val="left" w:pos="567"/>
        </w:tabs>
        <w:ind w:left="0" w:firstLine="0"/>
        <w:rPr>
          <w:rFonts w:ascii="Times New Roman" w:eastAsia="Times New Roman" w:hAnsi="Times New Roman" w:cs="Times New Roman"/>
          <w:noProof/>
          <w:snapToGrid w:val="0"/>
        </w:rPr>
      </w:pPr>
    </w:p>
    <w:p w14:paraId="40FDD3C5" w14:textId="77777777" w:rsidR="00A23238" w:rsidRPr="00D879D6" w:rsidRDefault="00A23238" w:rsidP="00653262">
      <w:pPr>
        <w:widowControl w:val="0"/>
        <w:tabs>
          <w:tab w:val="left" w:pos="567"/>
        </w:tabs>
        <w:ind w:left="0" w:firstLine="0"/>
        <w:rPr>
          <w:rFonts w:ascii="Times New Roman" w:eastAsia="Times New Roman" w:hAnsi="Times New Roman" w:cs="Times New Roman"/>
          <w:snapToGrid w:val="0"/>
          <w:u w:val="single"/>
        </w:rPr>
      </w:pPr>
      <w:r w:rsidRPr="00576333">
        <w:rPr>
          <w:rFonts w:ascii="Times New Roman" w:eastAsia="Times New Roman" w:hAnsi="Times New Roman" w:cs="Times New Roman"/>
          <w:noProof/>
          <w:snapToGrid w:val="0"/>
          <w:u w:val="single"/>
        </w:rPr>
        <w:t xml:space="preserve">Bixebra </w:t>
      </w:r>
      <w:r>
        <w:rPr>
          <w:rFonts w:ascii="Times New Roman" w:eastAsia="Times New Roman" w:hAnsi="Times New Roman" w:cs="Times New Roman"/>
          <w:noProof/>
          <w:snapToGrid w:val="0"/>
          <w:u w:val="single"/>
        </w:rPr>
        <w:t>7,</w:t>
      </w:r>
      <w:r w:rsidRPr="00576333">
        <w:rPr>
          <w:rFonts w:ascii="Times New Roman" w:eastAsia="Times New Roman" w:hAnsi="Times New Roman" w:cs="Times New Roman"/>
          <w:noProof/>
          <w:snapToGrid w:val="0"/>
          <w:u w:val="single"/>
        </w:rPr>
        <w:t>5 mg plėvele dengtos tabletės</w:t>
      </w:r>
    </w:p>
    <w:p w14:paraId="64B2047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D879D6">
        <w:rPr>
          <w:rFonts w:ascii="Times New Roman" w:eastAsia="Times New Roman" w:hAnsi="Times New Roman" w:cs="Times New Roman"/>
          <w:noProof/>
          <w:snapToGrid w:val="0"/>
        </w:rPr>
        <w:t>Šviesiai rausvai oranžinės, apvalios, šiek tiek abipus išgaubtos, plėvele dengtos tabletės nuožulniais kraštais, 7 mm skersmens.</w:t>
      </w:r>
    </w:p>
    <w:p w14:paraId="1C61D8D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0C79B5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4A0765C"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w:t>
      </w:r>
      <w:r w:rsidRPr="003E3BFD">
        <w:rPr>
          <w:rFonts w:ascii="Times New Roman" w:eastAsia="Times New Roman" w:hAnsi="Times New Roman" w:cs="Times New Roman"/>
          <w:b/>
          <w:bCs/>
          <w:snapToGrid w:val="0"/>
          <w:lang w:eastAsia="x-none"/>
        </w:rPr>
        <w:tab/>
        <w:t>KLINIKINĖ INFORMACIJA</w:t>
      </w:r>
    </w:p>
    <w:p w14:paraId="0AE9822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B333776"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4.1</w:t>
      </w:r>
      <w:r w:rsidRPr="003E3BFD">
        <w:rPr>
          <w:rFonts w:ascii="Times New Roman" w:eastAsia="Times New Roman" w:hAnsi="Times New Roman" w:cs="Times New Roman"/>
          <w:b/>
          <w:bCs/>
          <w:snapToGrid w:val="0"/>
          <w:lang w:eastAsia="x-none"/>
        </w:rPr>
        <w:tab/>
        <w:t>Terapinės indikacijos</w:t>
      </w:r>
    </w:p>
    <w:p w14:paraId="36E3782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F85DC57" w14:textId="77777777" w:rsidR="00653262" w:rsidRPr="001A54FC"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1A54FC">
        <w:rPr>
          <w:rFonts w:ascii="Times New Roman" w:eastAsia="Calibri" w:hAnsi="Times New Roman" w:cs="Times New Roman"/>
          <w:color w:val="000000"/>
          <w:u w:val="single"/>
          <w:lang w:eastAsia="lt-LT"/>
        </w:rPr>
        <w:t>Simptominis lėtinės stabiliosios krūtinės anginos gydymas</w:t>
      </w:r>
    </w:p>
    <w:p w14:paraId="5D62E3D3" w14:textId="0570E27F"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Ivabradinas skirtas simptominiam stabiliosios krūtinės anginos gydymui išemine (koronarine) širdies liga sergantiems suaugusiems pacientams, kurių sinusinis ritmas yra normalus ir širdies susitraukimų dažnis yra ≥</w:t>
      </w:r>
      <w:r w:rsidR="001B18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70 susitraukimų per minutę. Ivabradinas šiuo atveju skiriamas:</w:t>
      </w:r>
    </w:p>
    <w:p w14:paraId="35CAF6E9" w14:textId="56ADD3E3" w:rsidR="00653262" w:rsidRPr="003E3BFD" w:rsidRDefault="00653262" w:rsidP="00D879D6">
      <w:pPr>
        <w:widowControl w:val="0"/>
        <w:numPr>
          <w:ilvl w:val="0"/>
          <w:numId w:val="27"/>
        </w:numPr>
        <w:ind w:left="567" w:hanging="567"/>
        <w:rPr>
          <w:rFonts w:ascii="Times New Roman" w:eastAsia="Times New Roman" w:hAnsi="Times New Roman" w:cs="Times New Roman"/>
          <w:lang w:val="en-GB"/>
        </w:rPr>
      </w:pPr>
      <w:r w:rsidRPr="003E3BFD">
        <w:rPr>
          <w:rFonts w:ascii="Times New Roman" w:eastAsia="Calibri" w:hAnsi="Times New Roman" w:cs="Times New Roman"/>
          <w:color w:val="000000"/>
          <w:lang w:eastAsia="lt-LT"/>
        </w:rPr>
        <w:t>suaugusiems pacientams, kurie netoleruoja beta adrenoblokatorių arba kuriems j</w:t>
      </w:r>
      <w:r w:rsidR="00781E4A">
        <w:rPr>
          <w:rFonts w:ascii="Times New Roman" w:eastAsia="Calibri" w:hAnsi="Times New Roman" w:cs="Times New Roman"/>
          <w:color w:val="000000"/>
          <w:lang w:eastAsia="lt-LT"/>
        </w:rPr>
        <w:t>ų</w:t>
      </w:r>
      <w:r w:rsidRPr="003E3BFD">
        <w:rPr>
          <w:rFonts w:ascii="Times New Roman" w:eastAsia="Calibri" w:hAnsi="Times New Roman" w:cs="Times New Roman"/>
          <w:color w:val="000000"/>
          <w:lang w:eastAsia="lt-LT"/>
        </w:rPr>
        <w:t xml:space="preserve"> vartoti draudžiama;</w:t>
      </w:r>
    </w:p>
    <w:p w14:paraId="466F19A4" w14:textId="77777777" w:rsidR="00653262" w:rsidRPr="003E3BFD" w:rsidRDefault="00653262" w:rsidP="00D879D6">
      <w:pPr>
        <w:widowControl w:val="0"/>
        <w:numPr>
          <w:ilvl w:val="0"/>
          <w:numId w:val="27"/>
        </w:numPr>
        <w:ind w:left="567" w:hanging="567"/>
        <w:rPr>
          <w:rFonts w:ascii="Times New Roman" w:eastAsia="Times New Roman" w:hAnsi="Times New Roman" w:cs="Times New Roman"/>
          <w:lang w:val="en-GB"/>
        </w:rPr>
      </w:pPr>
      <w:r w:rsidRPr="003E3BFD">
        <w:rPr>
          <w:rFonts w:ascii="Times New Roman" w:eastAsia="Calibri" w:hAnsi="Times New Roman" w:cs="Times New Roman"/>
          <w:color w:val="000000"/>
          <w:lang w:eastAsia="lt-LT"/>
        </w:rPr>
        <w:t>derinyje su beta adrenoblokatoriais tiems pacientams, kuriems gydymas vien beta adrenoblokatorių optimaliomis dozėmis nepakankamai veiksmingas.</w:t>
      </w:r>
    </w:p>
    <w:p w14:paraId="2F378FFB" w14:textId="77777777" w:rsidR="00653262" w:rsidRPr="003E3BFD" w:rsidRDefault="00653262" w:rsidP="00653262">
      <w:pPr>
        <w:widowControl w:val="0"/>
        <w:ind w:left="0" w:firstLine="0"/>
        <w:rPr>
          <w:rFonts w:ascii="Times New Roman" w:eastAsia="Times New Roman" w:hAnsi="Times New Roman" w:cs="Times New Roman"/>
          <w:lang w:val="en-GB"/>
        </w:rPr>
      </w:pPr>
    </w:p>
    <w:p w14:paraId="019B5D24" w14:textId="77777777" w:rsidR="00653262" w:rsidRPr="001A54FC"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1A54FC">
        <w:rPr>
          <w:rFonts w:ascii="Times New Roman" w:eastAsia="Calibri" w:hAnsi="Times New Roman" w:cs="Times New Roman"/>
          <w:color w:val="000000"/>
          <w:u w:val="single"/>
          <w:lang w:eastAsia="lt-LT"/>
        </w:rPr>
        <w:t>Lėtinio širdies nepakankamumo gydymas</w:t>
      </w:r>
    </w:p>
    <w:p w14:paraId="4050D019" w14:textId="636BD653"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 xml:space="preserve">Ivabradinas skirtas lėtiniam širdies nepakankamumui </w:t>
      </w:r>
      <w:r w:rsidR="00781E4A">
        <w:rPr>
          <w:rFonts w:ascii="Times New Roman" w:eastAsia="Calibri" w:hAnsi="Times New Roman" w:cs="Times New Roman"/>
          <w:color w:val="000000"/>
          <w:lang w:eastAsia="lt-LT"/>
        </w:rPr>
        <w:t>(</w:t>
      </w:r>
      <w:r w:rsidR="00781E4A" w:rsidRPr="002F1CBA">
        <w:rPr>
          <w:rFonts w:ascii="Times New Roman" w:eastAsia="Times New Roman" w:hAnsi="Times New Roman"/>
          <w:iCs/>
        </w:rPr>
        <w:t>II</w:t>
      </w:r>
      <w:r w:rsidR="00781E4A" w:rsidRPr="002F1CBA">
        <w:rPr>
          <w:rFonts w:ascii="Times New Roman" w:eastAsia="Times New Roman" w:hAnsi="Times New Roman"/>
          <w:iCs/>
        </w:rPr>
        <w:noBreakHyphen/>
        <w:t xml:space="preserve">IV funkcinės klasės pagal </w:t>
      </w:r>
      <w:r w:rsidR="00781E4A" w:rsidRPr="002F1CBA">
        <w:rPr>
          <w:rFonts w:ascii="Times New Roman" w:eastAsia="Times New Roman" w:hAnsi="Times New Roman"/>
        </w:rPr>
        <w:t xml:space="preserve">NYHA [angl. </w:t>
      </w:r>
      <w:r w:rsidR="00781E4A" w:rsidRPr="002F1CBA">
        <w:rPr>
          <w:rFonts w:ascii="Times New Roman" w:eastAsia="Times New Roman" w:hAnsi="Times New Roman"/>
          <w:i/>
          <w:iCs/>
        </w:rPr>
        <w:t>New York Heart Association</w:t>
      </w:r>
      <w:r w:rsidR="00781E4A" w:rsidRPr="002F1CBA">
        <w:rPr>
          <w:rFonts w:ascii="Times New Roman" w:eastAsia="Times New Roman" w:hAnsi="Times New Roman"/>
          <w:i/>
        </w:rPr>
        <w:t xml:space="preserve"> – </w:t>
      </w:r>
      <w:r w:rsidR="00781E4A" w:rsidRPr="002F1CBA">
        <w:rPr>
          <w:rFonts w:ascii="Times New Roman" w:eastAsia="Times New Roman" w:hAnsi="Times New Roman"/>
        </w:rPr>
        <w:t>Širdies ir kraujagyslių Niujorko širdies asociacija]</w:t>
      </w:r>
      <w:r w:rsidR="00781E4A">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xml:space="preserve"> su sistoline disfunkcija gydyti</w:t>
      </w:r>
      <w:r w:rsidR="00816F21">
        <w:rPr>
          <w:rFonts w:ascii="Times New Roman" w:eastAsia="Calibri" w:hAnsi="Times New Roman" w:cs="Times New Roman"/>
          <w:color w:val="000000"/>
          <w:lang w:eastAsia="lt-LT"/>
        </w:rPr>
        <w:t xml:space="preserve"> suaugusiems</w:t>
      </w:r>
      <w:r w:rsidRPr="003E3BFD">
        <w:rPr>
          <w:rFonts w:ascii="Times New Roman" w:eastAsia="Calibri" w:hAnsi="Times New Roman" w:cs="Times New Roman"/>
          <w:color w:val="000000"/>
          <w:lang w:eastAsia="lt-LT"/>
        </w:rPr>
        <w:t xml:space="preserve"> pacientams, kuriems yra sinusinis ritmas ir širdies susitraukimų dažnis yra ≥ 75 susitraukimai per minutę, kartu skiriant standartinį gydymą, įskaitant gydymą beta adrenoblokatoriais, </w:t>
      </w:r>
      <w:r w:rsidRPr="003E3BFD">
        <w:rPr>
          <w:rFonts w:ascii="Times New Roman" w:eastAsia="Calibri" w:hAnsi="Times New Roman" w:cs="Times New Roman"/>
          <w:color w:val="000000"/>
          <w:lang w:eastAsia="lt-LT"/>
        </w:rPr>
        <w:lastRenderedPageBreak/>
        <w:t>arba kai gydymas beta adrenoblokatoriais yra kontraindikuotinas ar netoleruojamas (žr. 5.1 skyrių).</w:t>
      </w:r>
    </w:p>
    <w:p w14:paraId="774C146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p>
    <w:p w14:paraId="3CB7264E"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4.2</w:t>
      </w:r>
      <w:r w:rsidRPr="003E3BFD">
        <w:rPr>
          <w:rFonts w:ascii="Times New Roman" w:eastAsia="Times New Roman" w:hAnsi="Times New Roman" w:cs="Times New Roman"/>
          <w:b/>
          <w:bCs/>
          <w:snapToGrid w:val="0"/>
          <w:lang w:eastAsia="x-none"/>
        </w:rPr>
        <w:tab/>
        <w:t>Dozavimas ir vartojimo metodas</w:t>
      </w:r>
    </w:p>
    <w:p w14:paraId="5945606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590B9C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u w:val="single"/>
        </w:rPr>
      </w:pPr>
      <w:r w:rsidRPr="003E3BFD">
        <w:rPr>
          <w:rFonts w:ascii="Times New Roman" w:eastAsia="Times New Roman" w:hAnsi="Times New Roman" w:cs="Times New Roman"/>
          <w:noProof/>
          <w:snapToGrid w:val="0"/>
          <w:u w:val="single"/>
        </w:rPr>
        <w:t>Dozavimas</w:t>
      </w:r>
    </w:p>
    <w:p w14:paraId="2C34812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54C92C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Kad patogu būtų dozuoti, tiekiamos dviejų skirtingų dozių, t. y. 5 mg ir 7,5 mg, ivabradino tabletės.</w:t>
      </w:r>
    </w:p>
    <w:p w14:paraId="15A7F10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6D66272"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Simptominis lėtinės stabilios krūtinės anginos gydymas</w:t>
      </w:r>
    </w:p>
    <w:p w14:paraId="498BA58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Rekomenduojama, kad sprendimas pradėti gydymą ar keisti vaistinio preparato dozę būtų priimtas esant keletui paeiliui atliktų širdies susitraukimų dažnio matavimų, EKG arba ambulatorinei 24 valandų trukmės stebėsenai.</w:t>
      </w:r>
    </w:p>
    <w:p w14:paraId="0D59038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Jaunesniems kaip 75 metų pacientams pradinė ivabradino dozė neturėtų viršyti 5 mg du kartus per parą. Po trijų keturių gydymo savaičių, jeigu pacientui vis dar išlieka simptomai, o pradinė vaistinio preparato dozė yra gerai toleruojama ir širdies susitraukimų dažnis ramybės būsenoje išlieka didesnis kaip 60 kartų per minutę, pacientams, vartojantiems 2,5 mg vaistinio preparato du kartus per parą arba 5 mg vaistinio preparato du kartus per parą, dozę galima padidinti iki kitos didesnės dozės. Palaikomoji dozė neturėtų viršyti 7,5 mg du kartus per parą. Jeigu krūtinės anginos simptomai nesusilpnėja per 3 mėnesius nuo gydymo pradžios, gydymą ivabradinu būtina nutraukti.</w:t>
      </w:r>
    </w:p>
    <w:p w14:paraId="2AE93EB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Be to, apie gydymo nutraukimo galimybę reikėtų pagalvoti ir tada, kai per 3 mėnesius simptomai palengvėja tik iš dalies ir kai nėra kliniškai reikšmingo širdies susitraukimų dažnio ramybės būsenoje sumažėjimo.</w:t>
      </w:r>
    </w:p>
    <w:p w14:paraId="5116CE50"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gydymo metu širdies ritmas ramybės būklėje yra retesnis negu 50 tvinksnių per minutę arba atsiranda bradikardijos simptomų, pvz., svaigulys, nuovargis ar hipotenzija, 2 kartus per parą geriamą dozę būtina palaipsniui sumažinti iki mažiausios 2,5 mg (pusės 5 mg tabletės) dozės. Sumažinus dozę reikia stebėti širdies susitraukimų dažnį (žr. 4.4 skyrių). Jeigu ir sumažinus dozę išsilaiko retesnis negu 50 tvinksnių per minutę širdies ritmas arba bradikardijos simptomai, gydymą šiuo vaistiniu preparatu būtina nutraukti.</w:t>
      </w:r>
    </w:p>
    <w:p w14:paraId="72F5ADD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61C49E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Lėtinio širdies nepakankamumo gydymas</w:t>
      </w:r>
    </w:p>
    <w:p w14:paraId="164C39E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Gydymą galima pradėti tik tiems pacientams, kuriems širdies nepakankamumas yra stabilus. Rekomenduojama, kad gydantysis gydytojas turėtų lėtinio širdies nepakankamumo gydymo patirties.</w:t>
      </w:r>
    </w:p>
    <w:p w14:paraId="0556069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Įprastinė rekomenduojama pradinė ivabradino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pastovus širdies susitraukimų dažnis ramybės būsenoje yra mažiau negu  50 susitraukimų per minutę, arba tuo atveju, jei simptomai yra susiję su bradikardijos simptomais, tokiais kaip svaigulys, nuovargis arba hipotenzija. Jeigu širdies susitraukimų dažnis yra tarp 50 ir 60 susitraukimų per minutę, turi būti palaikoma 5 mg du kartus per parą dozė.</w:t>
      </w:r>
    </w:p>
    <w:p w14:paraId="5048C1F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gydymo metu pastovus širdies susitraukimų dažnis yra mažesnis negu  50 susitraukimų per minutę ramybės būsenoje arba pacientui pasireiškia simptomai, susiję su bradikardija, dozę būtina mažinti iki sekančios mažesnės dozės pacientams, kurie vartoja 7,5 mg dozę du kartus per parą arba  5 mg dozę du kartus per parą. Jeigu pastovus širdies susitraukimų dažnis padidėja virš 60 susitraukimų per minutę ramybės būsenoje, dozę galima didinti iki sekančios didesnės dozės pacientams, kurie vartoja 2,5 mg dozę du kartus per parą arba  5 mg dozę du kartus per parą.</w:t>
      </w:r>
    </w:p>
    <w:p w14:paraId="124660DA"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Gydymą reikia nutraukti, jei širdies susitraukimų dažnis išlieka lėtesnis negu  50 susitraukimų per minutę arba išlieka bradikardijos simptomai (žr. 4.4 skyrių).</w:t>
      </w:r>
    </w:p>
    <w:p w14:paraId="30FE342F"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2324B04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 xml:space="preserve">Ypatingos populiacijos </w:t>
      </w:r>
    </w:p>
    <w:p w14:paraId="518AD53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p>
    <w:p w14:paraId="5622F89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Senyviems</w:t>
      </w:r>
    </w:p>
    <w:p w14:paraId="16A6E57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75 metų ir vyresniems pacientams pradžioje reikia vartoti mažesnę dozę (gerti po 2,5 mg, t. y. pusę 5 mg tabletės, 2 kartus per parą). Prireikus dozę galima didinti.</w:t>
      </w:r>
    </w:p>
    <w:p w14:paraId="1BBDB35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5795D16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Inkstų funkcijos sutrikimas</w:t>
      </w:r>
    </w:p>
    <w:p w14:paraId="298FD44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lastRenderedPageBreak/>
        <w:t>Inkstų nepakankamumu sergantiems pacientams, kurių kreatinino klirensas yra didesnis negu 15 ml/min., dozės keisti nereikia (žr. 5.2 skyrių).</w:t>
      </w:r>
    </w:p>
    <w:p w14:paraId="0DCFA2E7"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Kaip vaistinio preparato dozuoti ligoniams, kurių kreatinino klirensas yra mažesnis negu 15 ml/min., nežinoma, todėl tokius žmones ivabradinu reikia gydyti atsargiai.</w:t>
      </w:r>
    </w:p>
    <w:p w14:paraId="71A93C1A"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04739687" w14:textId="77777777" w:rsidR="00653262" w:rsidRPr="003E3BFD" w:rsidRDefault="00653262" w:rsidP="00653262">
      <w:pPr>
        <w:widowControl w:val="0"/>
        <w:tabs>
          <w:tab w:val="left" w:pos="567"/>
        </w:tabs>
        <w:ind w:left="0" w:firstLine="0"/>
        <w:rPr>
          <w:rFonts w:ascii="Times New Roman" w:eastAsia="Times New Roman" w:hAnsi="Times New Roman" w:cs="Times New Roman"/>
          <w:i/>
          <w:iCs/>
          <w:snapToGrid w:val="0"/>
        </w:rPr>
      </w:pPr>
      <w:r w:rsidRPr="003E3BFD">
        <w:rPr>
          <w:rFonts w:ascii="Times New Roman" w:eastAsia="Times New Roman" w:hAnsi="Times New Roman" w:cs="Times New Roman"/>
          <w:i/>
          <w:iCs/>
          <w:snapToGrid w:val="0"/>
        </w:rPr>
        <w:t>Kepenų funkcijos sutrikimas</w:t>
      </w:r>
    </w:p>
    <w:p w14:paraId="61626DD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yra lengvas kepenų funkcijos sutrikimas, dozės keisti nereikia, jeigu vidutinio sunkumo − ivabradinu būtina gydyti atsargiai. Sunkiu kepenų nepakankamumu sergančius ligonius šiuo vaistiniu preparatu gydyti draudžiama, kadangi poveikis tokiems žmonėms netirtas ir tikėtina, kad jų organizme sisteminė vaistinio preparato ekspozicija būna daug didesnė (žr. 4.3 ir 5.2 skyrius).</w:t>
      </w:r>
    </w:p>
    <w:p w14:paraId="181DB9A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7686455" w14:textId="77777777" w:rsidR="00653262" w:rsidRPr="003E3BFD" w:rsidRDefault="00653262" w:rsidP="00653262">
      <w:pPr>
        <w:widowControl w:val="0"/>
        <w:tabs>
          <w:tab w:val="left" w:pos="567"/>
        </w:tabs>
        <w:ind w:left="0" w:firstLine="0"/>
        <w:rPr>
          <w:rFonts w:ascii="Times New Roman" w:eastAsia="Times New Roman" w:hAnsi="Times New Roman" w:cs="Times New Roman"/>
          <w:i/>
          <w:snapToGrid w:val="0"/>
        </w:rPr>
      </w:pPr>
      <w:r w:rsidRPr="003E3BFD">
        <w:rPr>
          <w:rFonts w:ascii="Times New Roman" w:eastAsia="Times New Roman" w:hAnsi="Times New Roman" w:cs="Times New Roman"/>
          <w:i/>
          <w:noProof/>
          <w:snapToGrid w:val="0"/>
        </w:rPr>
        <w:t>Vaikų populiacija</w:t>
      </w:r>
    </w:p>
    <w:p w14:paraId="0ADDE5D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Ivabradino saugumas ir veiksmingumas, taikant jį lėtiniam širdies nepakankamumui gydyti jaunesniems kaip 18 metų vaikams ir paaugliams, neištirti.</w:t>
      </w:r>
    </w:p>
    <w:p w14:paraId="7DC78EEB" w14:textId="12D2DCFF" w:rsidR="00653262" w:rsidRPr="003E3BFD" w:rsidRDefault="00FB3743" w:rsidP="00653262">
      <w:pPr>
        <w:widowControl w:val="0"/>
        <w:tabs>
          <w:tab w:val="left" w:pos="567"/>
        </w:tabs>
        <w:ind w:left="0" w:firstLine="0"/>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Šiuo metu t</w:t>
      </w:r>
      <w:r w:rsidR="00653262" w:rsidRPr="003E3BFD">
        <w:rPr>
          <w:rFonts w:ascii="Times New Roman" w:eastAsia="Calibri" w:hAnsi="Times New Roman" w:cs="Times New Roman"/>
          <w:color w:val="000000"/>
          <w:lang w:eastAsia="lt-LT"/>
        </w:rPr>
        <w:t xml:space="preserve">urimi </w:t>
      </w:r>
      <w:r>
        <w:rPr>
          <w:rFonts w:ascii="Times New Roman" w:eastAsia="Calibri" w:hAnsi="Times New Roman" w:cs="Times New Roman"/>
          <w:color w:val="000000"/>
          <w:lang w:eastAsia="lt-LT"/>
        </w:rPr>
        <w:t>lėtinio širdies nepakankamumo gydymo</w:t>
      </w:r>
      <w:r w:rsidRPr="00FB3743">
        <w:rPr>
          <w:rFonts w:ascii="Times New Roman" w:eastAsia="Calibri" w:hAnsi="Times New Roman" w:cs="Times New Roman"/>
          <w:color w:val="000000"/>
          <w:lang w:eastAsia="lt-LT"/>
        </w:rPr>
        <w:t xml:space="preserve"> </w:t>
      </w:r>
      <w:r w:rsidR="00653262" w:rsidRPr="003E3BFD">
        <w:rPr>
          <w:rFonts w:ascii="Times New Roman" w:eastAsia="Calibri" w:hAnsi="Times New Roman" w:cs="Times New Roman"/>
          <w:color w:val="000000"/>
          <w:lang w:eastAsia="lt-LT"/>
        </w:rPr>
        <w:t>duomenys pateikiami 5.1 ir 5.2 skyriuose, tačiau dozavimo rekomendacijų pateikti negalima.</w:t>
      </w:r>
      <w:r w:rsidRPr="00FB3743">
        <w:t xml:space="preserve"> </w:t>
      </w:r>
      <w:r w:rsidRPr="00FB3743">
        <w:rPr>
          <w:rFonts w:ascii="Times New Roman" w:eastAsia="Calibri" w:hAnsi="Times New Roman" w:cs="Times New Roman"/>
          <w:color w:val="000000"/>
          <w:lang w:eastAsia="lt-LT"/>
        </w:rPr>
        <w:t>Duomenų apie simptominį lėtinės stabilios krūtinės anginos gydymą nėra.</w:t>
      </w:r>
    </w:p>
    <w:p w14:paraId="6BC2CC7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B2A3404" w14:textId="77777777" w:rsidR="00653262" w:rsidRDefault="00653262" w:rsidP="00653262">
      <w:pPr>
        <w:widowControl w:val="0"/>
        <w:tabs>
          <w:tab w:val="left" w:pos="567"/>
        </w:tabs>
        <w:ind w:left="0" w:firstLine="0"/>
        <w:rPr>
          <w:rFonts w:ascii="Times New Roman" w:eastAsia="Times New Roman" w:hAnsi="Times New Roman" w:cs="Times New Roman"/>
          <w:noProof/>
          <w:snapToGrid w:val="0"/>
          <w:u w:val="single"/>
        </w:rPr>
      </w:pPr>
      <w:r w:rsidRPr="003E3BFD">
        <w:rPr>
          <w:rFonts w:ascii="Times New Roman" w:eastAsia="Times New Roman" w:hAnsi="Times New Roman" w:cs="Times New Roman"/>
          <w:noProof/>
          <w:snapToGrid w:val="0"/>
          <w:u w:val="single"/>
        </w:rPr>
        <w:t>Vartojimo metodas</w:t>
      </w:r>
    </w:p>
    <w:p w14:paraId="0D1A4803" w14:textId="77777777" w:rsidR="00A23238" w:rsidRPr="003E3BFD" w:rsidRDefault="00A23238" w:rsidP="00653262">
      <w:pPr>
        <w:widowControl w:val="0"/>
        <w:tabs>
          <w:tab w:val="left" w:pos="567"/>
        </w:tabs>
        <w:ind w:left="0" w:firstLine="0"/>
        <w:rPr>
          <w:rFonts w:ascii="Times New Roman" w:eastAsia="Times New Roman" w:hAnsi="Times New Roman" w:cs="Times New Roman"/>
          <w:snapToGrid w:val="0"/>
          <w:u w:val="single"/>
        </w:rPr>
      </w:pPr>
    </w:p>
    <w:p w14:paraId="4449444D" w14:textId="76DE8562" w:rsidR="00653262" w:rsidRPr="003E3BFD" w:rsidRDefault="00D11F75" w:rsidP="00653262">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lang w:val="en-GB"/>
        </w:rPr>
        <w:t>Tabletes</w:t>
      </w:r>
      <w:r w:rsidR="00653262" w:rsidRPr="003E3BFD">
        <w:rPr>
          <w:rFonts w:ascii="Times New Roman" w:eastAsia="Times New Roman" w:hAnsi="Times New Roman" w:cs="Times New Roman"/>
          <w:snapToGrid w:val="0"/>
          <w:lang w:val="en-GB"/>
        </w:rPr>
        <w:t xml:space="preserve"> reikia gerti 2 kartus per parą, ryte ir vakare, valgio metu (žr. 5.2 skyrių).</w:t>
      </w:r>
    </w:p>
    <w:p w14:paraId="49CE141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1E49EB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4.3</w:t>
      </w:r>
      <w:r w:rsidRPr="003E3BFD">
        <w:rPr>
          <w:rFonts w:ascii="Times New Roman" w:eastAsia="Times New Roman" w:hAnsi="Times New Roman" w:cs="Times New Roman"/>
          <w:b/>
          <w:bCs/>
          <w:snapToGrid w:val="0"/>
          <w:lang w:eastAsia="x-none"/>
        </w:rPr>
        <w:tab/>
        <w:t>Kontraindikacijos</w:t>
      </w:r>
    </w:p>
    <w:p w14:paraId="3AA920A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5568888"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Padidėjęs jautrumas veikliajai arba bet kuriai 6.1 skyriuje nurodytai pagalbinei medžiagai.</w:t>
      </w:r>
    </w:p>
    <w:p w14:paraId="63C07610"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Prieš gydymą širdies ritmas ramybės metu yra retesnis negu 70 tvinksnių per minutę.</w:t>
      </w:r>
    </w:p>
    <w:p w14:paraId="697E278A"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Kardiogeninis šokas.</w:t>
      </w:r>
    </w:p>
    <w:p w14:paraId="27BFD045"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Ūminis miokardo infarktas.</w:t>
      </w:r>
    </w:p>
    <w:p w14:paraId="04A5B991"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Sunki hipotenzija (kraujospūdis &lt; 90/50 mm Hg).</w:t>
      </w:r>
    </w:p>
    <w:p w14:paraId="64CCA2A0"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Sunkus kepenų nepakankamumas.</w:t>
      </w:r>
    </w:p>
    <w:p w14:paraId="1987C1BF"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Sinusinio mazgo silpnumo sindromas.</w:t>
      </w:r>
    </w:p>
    <w:p w14:paraId="08208C44"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Sinoatrialinė blokada.</w:t>
      </w:r>
    </w:p>
    <w:p w14:paraId="63B1B1F1"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Nestabilus arba ūminis širdies nepakankamumas.</w:t>
      </w:r>
    </w:p>
    <w:p w14:paraId="33044EF5"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Priklausomumas nuo širdies stimuliatoriaus (širdies plakimo dažnį išskirtinai palaiko širdies stimuliatorius).</w:t>
      </w:r>
    </w:p>
    <w:p w14:paraId="4755CFC4"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Nestabilioji krūtinės angina.</w:t>
      </w:r>
    </w:p>
    <w:p w14:paraId="421065F9"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III laipsnio atrioventrikulinė blokada.</w:t>
      </w:r>
    </w:p>
    <w:p w14:paraId="0A24DE26"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Stipraus poveikio citochromo P 450 3A4 izofermentų inhibitorių, pvz., azolo grupės priešgrybelinių preparatų (ketokonazolo, itrakonazolo), makrolidinių antibiotikų (klaritromicino, geriamųjų eritromicino preparatų, josamicino, telitromicino), ŽIV proteazės inhibitorių (nelfinaviro, ritonaviro) ar nefazodono vartojimas (žr. 4.5 ir 5.2 skyrius).</w:t>
      </w:r>
    </w:p>
    <w:p w14:paraId="436AFF5E"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Vartojimas derinyje su verapamiliu arba diltiazemu, kurie yra vidutinio stiprumo CYP3A4 inhibitoriai, pasižymintys širdies susitraukimų dažnį mažinančiomis savybėmis (žr. 4.5 skyrių).</w:t>
      </w:r>
    </w:p>
    <w:p w14:paraId="7AD38F63" w14:textId="77777777" w:rsidR="00653262" w:rsidRPr="003E3BFD" w:rsidRDefault="00653262" w:rsidP="00D879D6">
      <w:pPr>
        <w:widowControl w:val="0"/>
        <w:numPr>
          <w:ilvl w:val="0"/>
          <w:numId w:val="16"/>
        </w:numPr>
        <w:ind w:left="567" w:hanging="567"/>
        <w:rPr>
          <w:rFonts w:ascii="Times New Roman" w:eastAsia="Times New Roman" w:hAnsi="Times New Roman" w:cs="Times New Roman"/>
        </w:rPr>
      </w:pPr>
      <w:r w:rsidRPr="003E3BFD">
        <w:rPr>
          <w:rFonts w:ascii="Times New Roman" w:eastAsia="Times New Roman" w:hAnsi="Times New Roman" w:cs="Times New Roman"/>
        </w:rPr>
        <w:t>Nėštumo ir žindymo laikotarpiu ir vaisingoms moterims, nenaudojančioms veiksmingų kontracepcijos metodų (žr. 4.6 skyrių).</w:t>
      </w:r>
    </w:p>
    <w:p w14:paraId="2130CBC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806E3EA"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4.4</w:t>
      </w:r>
      <w:r w:rsidRPr="003E3BFD">
        <w:rPr>
          <w:rFonts w:ascii="Times New Roman" w:eastAsia="Times New Roman" w:hAnsi="Times New Roman" w:cs="Times New Roman"/>
          <w:b/>
          <w:bCs/>
          <w:snapToGrid w:val="0"/>
          <w:lang w:eastAsia="x-none"/>
        </w:rPr>
        <w:tab/>
        <w:t>Specialūs įspėjimai ir atsargumo priemonės</w:t>
      </w:r>
    </w:p>
    <w:p w14:paraId="6B62788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BB78C5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Specialūs įspėjimai</w:t>
      </w:r>
    </w:p>
    <w:p w14:paraId="0B8EEA3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p>
    <w:p w14:paraId="04BB7A2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Naudos pacientų, sergančių simptomine lėtine stabiliąja krūtinės angina, klinikinėms išeitims trūkumas</w:t>
      </w:r>
    </w:p>
    <w:p w14:paraId="2749D28E" w14:textId="23E51819"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Ivabradinas yra skirtas tik simptominiam lėtinės stabilios krūtinės anginos gydymui, kadangi ivabradinas nepasižymi palankiu poveikiu širdies ir kraujagyslių sistemos ligų išeitims</w:t>
      </w:r>
      <w:r w:rsidR="00896C10">
        <w:rPr>
          <w:rFonts w:ascii="Times New Roman" w:eastAsia="Calibri" w:hAnsi="Times New Roman" w:cs="Times New Roman"/>
          <w:color w:val="000000"/>
          <w:lang w:eastAsia="lt-LT"/>
        </w:rPr>
        <w:t xml:space="preserve">, </w:t>
      </w:r>
      <w:r w:rsidRPr="003E3BFD">
        <w:rPr>
          <w:rFonts w:ascii="Times New Roman" w:eastAsia="Calibri" w:hAnsi="Times New Roman" w:cs="Times New Roman"/>
          <w:color w:val="000000"/>
          <w:lang w:eastAsia="lt-LT"/>
        </w:rPr>
        <w:t>tokioms kaip miokardo infarktas arba mirtis nuo širdies ir kraujagyslių ligos (žr. 5.1 skyrių).</w:t>
      </w:r>
    </w:p>
    <w:p w14:paraId="561F67C1"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0DDC2C9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lastRenderedPageBreak/>
        <w:t>Širdies susitraukimų dažnio matavimas</w:t>
      </w:r>
    </w:p>
    <w:p w14:paraId="52A819D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w:t>
      </w:r>
      <w:r w:rsidRPr="003E3BFD">
        <w:rPr>
          <w:rFonts w:ascii="Times New Roman" w:eastAsia="Times New Roman" w:hAnsi="Times New Roman" w:cs="Times New Roman"/>
          <w:snapToGrid w:val="0"/>
        </w:rPr>
        <w:t xml:space="preserve">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vaistinio preparato dozę (žr. 4.2 skyrių).</w:t>
      </w:r>
    </w:p>
    <w:p w14:paraId="15F322C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B8AA49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Širdies aritmija</w:t>
      </w:r>
    </w:p>
    <w:p w14:paraId="00D9A68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Širdies aritmijai gydyti ir jos profilaktikai ivabradinas yra neveiksmingas. Tikėtina, jog pasireiškus aritmijai (pvz., skilvelinei ar supraventrikulinei tachikardijai), vaistinis preparatas tampa neveiksmingas, todėl ligonių, kuriems yra prieširdžių virpėjimas ar kitokia aritmija, trikdanti sinusinio mazgo funkciją, juo gydyti nerekomenduojama.</w:t>
      </w:r>
    </w:p>
    <w:p w14:paraId="38D54E5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Pacientams, gydomiems ivabradinu, yra padidėjusi prieširdžių virpėjimo atsiradimo rizika (žr. 4.8 skyrių). Prieširdžių virpėjimas dažniau pasireiškia pacientams, tuo pat metu vartojantiems amjodarono arba stipriai veikiančių I klasės antiaritminių vaistinių preparatų. Rekomenduojama reguliariai sekti, ar ivabradino vartojančiam pacientui nepasireiškia prieširdžių virpėjimas (nuolatinis ar paroksizminis). 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 Jeigu prieširdžių virpėjimas atsiranda gydymo metu, reikėtų pakartotinai atidžiai įvertinti tęsiamo gydymo ivabradinu naudą ir riziką.</w:t>
      </w:r>
    </w:p>
    <w:p w14:paraId="6A2A871D"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Pacientus, kuriems yra lėtinis širdies nepakankamumas su intraskilvelinio laidumo sutrikimu (kairiosios </w:t>
      </w:r>
      <w:r w:rsidRPr="003E3BFD">
        <w:rPr>
          <w:rFonts w:ascii="Times New Roman" w:eastAsia="Calibri" w:hAnsi="Times New Roman" w:cs="Times New Roman"/>
          <w:i/>
          <w:color w:val="000000"/>
          <w:lang w:eastAsia="lt-LT"/>
        </w:rPr>
        <w:t>Hiso</w:t>
      </w:r>
      <w:r w:rsidRPr="003E3BFD">
        <w:rPr>
          <w:rFonts w:ascii="Times New Roman" w:eastAsia="Calibri" w:hAnsi="Times New Roman" w:cs="Times New Roman"/>
          <w:color w:val="000000"/>
          <w:lang w:eastAsia="lt-LT"/>
        </w:rPr>
        <w:t xml:space="preserve"> pluošto kojytės blokada, dešiniosios </w:t>
      </w:r>
      <w:r w:rsidRPr="003E3BFD">
        <w:rPr>
          <w:rFonts w:ascii="Times New Roman" w:eastAsia="Calibri" w:hAnsi="Times New Roman" w:cs="Times New Roman"/>
          <w:i/>
          <w:color w:val="000000"/>
          <w:lang w:eastAsia="lt-LT"/>
        </w:rPr>
        <w:t>Hiso</w:t>
      </w:r>
      <w:r w:rsidRPr="003E3BFD">
        <w:rPr>
          <w:rFonts w:ascii="Times New Roman" w:eastAsia="Calibri" w:hAnsi="Times New Roman" w:cs="Times New Roman"/>
          <w:color w:val="000000"/>
          <w:lang w:eastAsia="lt-LT"/>
        </w:rPr>
        <w:t xml:space="preserve"> pluošto kojytės blokada) ir skilvelių disinchronizacija, reikia atidžiai stebėti.</w:t>
      </w:r>
    </w:p>
    <w:p w14:paraId="7C8E5B58"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7C5329D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II laipsnio atrioventrikulinė blokada</w:t>
      </w:r>
    </w:p>
    <w:p w14:paraId="1D7811A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Ligonių, kuriems yra II laipsnio atrioventrikulinė blokada, ivabradinu gydyti nerekomenduojama.</w:t>
      </w:r>
    </w:p>
    <w:p w14:paraId="224A7F6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F06415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Retas širdies ritmas</w:t>
      </w:r>
    </w:p>
    <w:p w14:paraId="4E04DBC0" w14:textId="712D289D"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prieš pradedant gydyti širdies ritmas ramybės būklėje yra retesnis negu 70 tvinksnių per minutę</w:t>
      </w:r>
      <w:r w:rsidR="00896C10">
        <w:rPr>
          <w:rFonts w:ascii="Times New Roman" w:eastAsia="Calibri" w:hAnsi="Times New Roman" w:cs="Times New Roman"/>
          <w:color w:val="000000"/>
          <w:lang w:eastAsia="lt-LT"/>
        </w:rPr>
        <w:t xml:space="preserve"> (tpm)</w:t>
      </w:r>
      <w:r w:rsidRPr="003E3BFD">
        <w:rPr>
          <w:rFonts w:ascii="Times New Roman" w:eastAsia="Calibri" w:hAnsi="Times New Roman" w:cs="Times New Roman"/>
          <w:color w:val="000000"/>
          <w:lang w:eastAsia="lt-LT"/>
        </w:rPr>
        <w:t>, pradėti gydyti ivabradinu negalima (žr. 4.3 skyrių).</w:t>
      </w:r>
    </w:p>
    <w:p w14:paraId="2B6F4359"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 gydymo metu širdies ritmas suretėja ir nuolat būna retesnis negu 50 tvinksnių per minutę arba atsiranda bradikardijos simptomų pvz., svaigulys, nuovargis ar hipotenzija, būtina mažinti dozę. Jeigu retesnis negu 50 tvinksnių per minutę ritmas arba bradikardijos simptomai išsilaiko, gydymą šiuo vaistiniu preparatu būtina nutraukti (žr. 4.2 skyrių).</w:t>
      </w:r>
    </w:p>
    <w:p w14:paraId="667764B4"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0D5F302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Vartojimas kartu su kalcio kanalų blokatoriais</w:t>
      </w:r>
    </w:p>
    <w:p w14:paraId="17C6E4B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Gydyti ivabradinu ir kartu širdies ritmą lėtinančiais kalcio kanalų blokatoriais, pvz., verapamiliu ar diltiazemu, draudžiama (žr.4.3 ir 4.5 skyrius). Ivabradino vartojant kartu su nitratais ar dihidropiridinų grupės kalcio kanalų blokatoriais (pvz., amlodipinu), saugumo pokyčių nepastebėta. Ar vartojamas kartu su dihidropiridinų grupės kalcio kanalų blokatoriais ivabradinas yra veiksmingesnis, netirta (žr. 5.1 skyrių).</w:t>
      </w:r>
    </w:p>
    <w:p w14:paraId="4441223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1C95FE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Lėtinis širdies nepakankamumas</w:t>
      </w:r>
    </w:p>
    <w:p w14:paraId="75702FC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Prieš priimant sprendimą gydyti ivabradinu, paciento širdies nepakankamumas turi būti stabilus. Ivabradino reikia atsargiai vartoti pacientams, kuriems nustatyta IV klasė pagal NYHA funkcinę klasifikaciją dėl ribotų duomenų gydant tokios grupės pacientus.</w:t>
      </w:r>
    </w:p>
    <w:p w14:paraId="6BE5B47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64A1F7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Insultas</w:t>
      </w:r>
    </w:p>
    <w:p w14:paraId="44A5DC0A"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Ištikus insultui, tuoj pat pradėti gydyti ivabradinu nerekomenduojama, kadangi duomenų apie vaistinio preparato vartojimą tokiu atveju nėra.</w:t>
      </w:r>
    </w:p>
    <w:p w14:paraId="29F7543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p>
    <w:p w14:paraId="10674B2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Rega</w:t>
      </w:r>
    </w:p>
    <w:p w14:paraId="65BAEA5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 xml:space="preserve">Ivabradinas veikia tinklainės funkciją. Nėra duomenų kad ilgai vartojamas ivabradinas tinklainei </w:t>
      </w:r>
      <w:r w:rsidRPr="003E3BFD">
        <w:rPr>
          <w:rFonts w:ascii="Times New Roman" w:eastAsia="Calibri" w:hAnsi="Times New Roman" w:cs="Times New Roman"/>
          <w:color w:val="000000"/>
          <w:lang w:eastAsia="lt-LT"/>
        </w:rPr>
        <w:lastRenderedPageBreak/>
        <w:t>darytų toksinį poveikį (žr. 5.1 skyrių)</w:t>
      </w:r>
      <w:r w:rsidRPr="003E3BFD">
        <w:rPr>
          <w:rFonts w:ascii="Times New Roman" w:hAnsi="Times New Roman"/>
        </w:rPr>
        <w:t>.</w:t>
      </w:r>
      <w:r w:rsidRPr="003E3BFD">
        <w:rPr>
          <w:rFonts w:ascii="Times New Roman" w:eastAsia="Times New Roman" w:hAnsi="Times New Roman" w:cs="Times New Roman"/>
          <w:snapToGrid w:val="0"/>
        </w:rPr>
        <w:t xml:space="preserve"> Regos funkcijai netikėtai pablogėjus, svarstytinas vaistinio preparato vartojimo nutraukimas. Pacientus, kuriems yra pigmentinis retinitas, šiuo vaistiniu preparatu reikia gydyti atsargiai.</w:t>
      </w:r>
    </w:p>
    <w:p w14:paraId="763B9E9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p>
    <w:p w14:paraId="683FFF7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Hipotenzija</w:t>
      </w:r>
    </w:p>
    <w:p w14:paraId="7A39495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Apie vaistinio preparato poveikį ligoniams, sergantiems lengva arba vidutinio sunkumo hipotenzija, duomenų yra mažai, todėl juos ivabradinu reikia gydyti atsargiai. Jeigu yra sunki hipotenzija (kraujospūdis &lt; 90/50</w:t>
      </w:r>
      <w:r w:rsidR="001B18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mm Hg), šiuo vaistiniu preparatu gydyti draudžiama (žr. 4.3 skyrių).</w:t>
      </w:r>
    </w:p>
    <w:p w14:paraId="02BF237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79BF465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Prieširdžių virpėjimas, širdies aritmija</w:t>
      </w:r>
    </w:p>
    <w:p w14:paraId="39FA82D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Kad vaistiniais preparatais gaivinant ivabradino vartojančių ligonių širdies ritmą kiltų didelės bradikardijos rizika, atsinaujinant sinusiniam ritmui, įrodymų nėra. Vis dėlto praėjus 24 valandoms po paskutinės ivabradino dozės vartojimo, neskubios DC kardioversijos atlikimas svarstytinas.</w:t>
      </w:r>
    </w:p>
    <w:p w14:paraId="5A79B5F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0A45978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Įgimto ilgojo QT intervalo sindromas, gydymas QT intervalą ilginančiais vaistiniais preparatais</w:t>
      </w:r>
    </w:p>
    <w:p w14:paraId="2AD1BEC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Ligonių, kuriems yra įgimtas ilgojo QT intervalo sindromas arba kurie vartoja QT intervalą ilginančių vaistinių preparatų, ivabradinu gydyti nepatariama (žr. 4.5 skyrių). Jeigu gydyti būtina, reikia atidžiai sekti širdies funkciją.</w:t>
      </w:r>
    </w:p>
    <w:p w14:paraId="4B909163"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Ivabradino sukeltas širdies susitraukimo dažnio sumažėjimas gali prailginti QT intervalą, kuris gali sukelti sunkias aritmijas, o ypač </w:t>
      </w:r>
      <w:r w:rsidRPr="003E3BFD">
        <w:rPr>
          <w:rFonts w:ascii="Times New Roman" w:eastAsia="Calibri" w:hAnsi="Times New Roman" w:cs="Times New Roman"/>
          <w:i/>
          <w:iCs/>
          <w:color w:val="000000"/>
          <w:lang w:eastAsia="lt-LT"/>
        </w:rPr>
        <w:t>Torsade de pointes</w:t>
      </w:r>
      <w:r w:rsidRPr="003E3BFD">
        <w:rPr>
          <w:rFonts w:ascii="Times New Roman" w:eastAsia="Calibri" w:hAnsi="Times New Roman" w:cs="Times New Roman"/>
          <w:color w:val="000000"/>
          <w:lang w:eastAsia="lt-LT"/>
        </w:rPr>
        <w:t>.</w:t>
      </w:r>
    </w:p>
    <w:p w14:paraId="04266C8B"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511EC159" w14:textId="51B00081"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 xml:space="preserve">Hipertenzija segantys pacientai, kuriems reikalingas </w:t>
      </w:r>
      <w:r w:rsidR="00EA68E8">
        <w:rPr>
          <w:rFonts w:ascii="Times New Roman" w:eastAsia="Calibri" w:hAnsi="Times New Roman" w:cs="Times New Roman"/>
          <w:i/>
          <w:iCs/>
          <w:color w:val="000000"/>
          <w:lang w:eastAsia="lt-LT"/>
        </w:rPr>
        <w:t>kraujospūdžio</w:t>
      </w:r>
      <w:r w:rsidRPr="003E3BFD">
        <w:rPr>
          <w:rFonts w:ascii="Times New Roman" w:eastAsia="Calibri" w:hAnsi="Times New Roman" w:cs="Times New Roman"/>
          <w:i/>
          <w:iCs/>
          <w:color w:val="000000"/>
          <w:lang w:eastAsia="lt-LT"/>
        </w:rPr>
        <w:t xml:space="preserve"> gydymo keitimas.</w:t>
      </w:r>
    </w:p>
    <w:p w14:paraId="23EC5DA8" w14:textId="35EB9AFE"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Kai gydymo keitimas atliekamas pacientams, kuriems yra lėtinis širdies nepakankamumas ir kurie gydomi ivabradinu, kraujo spaudimą reikia sekti atitinkamais intervalais (žr. 4.8 skyrių).</w:t>
      </w:r>
    </w:p>
    <w:p w14:paraId="3DD1C63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33ADA05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Pagalbinės medžiagos</w:t>
      </w:r>
    </w:p>
    <w:p w14:paraId="26EE0A12" w14:textId="15C3BEA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Bixebra sudėtyje yra laktozės. </w:t>
      </w:r>
      <w:r w:rsidR="00D11F75">
        <w:rPr>
          <w:rFonts w:ascii="Times New Roman" w:eastAsia="Calibri" w:hAnsi="Times New Roman" w:cs="Times New Roman"/>
          <w:color w:val="000000"/>
          <w:lang w:eastAsia="lt-LT"/>
        </w:rPr>
        <w:t>Šio vaistinio preparato negalima vartoti pacientams, kuriems nustatytas retas paveldimas sutrikimas – galaktozės netoleravimas, visiškas laktazės stygius arba gliukozės ir galaktozės malabsorbcija.</w:t>
      </w:r>
    </w:p>
    <w:p w14:paraId="150518C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F953627"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4.5</w:t>
      </w:r>
      <w:r w:rsidRPr="003E3BFD">
        <w:rPr>
          <w:rFonts w:ascii="Times New Roman" w:eastAsia="Times New Roman" w:hAnsi="Times New Roman" w:cs="Times New Roman"/>
          <w:b/>
          <w:bCs/>
          <w:snapToGrid w:val="0"/>
          <w:lang w:eastAsia="x-none"/>
        </w:rPr>
        <w:tab/>
        <w:t>Sąveika su kitais vaistiniais preparatais ir kitokia sąveika</w:t>
      </w:r>
    </w:p>
    <w:p w14:paraId="1A4B738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B9BB12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Farmakodinaminė sąveika</w:t>
      </w:r>
    </w:p>
    <w:p w14:paraId="7EE8C87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436045A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Kartu vartoti nerekomenduojama</w:t>
      </w:r>
    </w:p>
    <w:p w14:paraId="5F5C8383"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QT intervalą ilginantys vaistiniai preparatai</w:t>
      </w:r>
    </w:p>
    <w:p w14:paraId="7B2E17BF" w14:textId="77777777" w:rsidR="00653262" w:rsidRPr="003E3BFD" w:rsidRDefault="00653262" w:rsidP="00D879D6">
      <w:pPr>
        <w:widowControl w:val="0"/>
        <w:numPr>
          <w:ilvl w:val="0"/>
          <w:numId w:val="1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QT intervalą ilginantys širdies ir kraujagyslių sistemą veikiantys vaistiniai preparatai, pvz., chinidinas, dizopiramidas, bepridilis, sotalolis, ibutilidas, amjodaronas.</w:t>
      </w:r>
    </w:p>
    <w:p w14:paraId="3251EE74" w14:textId="77777777" w:rsidR="00653262" w:rsidRPr="003E3BFD" w:rsidRDefault="00653262" w:rsidP="00D879D6">
      <w:pPr>
        <w:widowControl w:val="0"/>
        <w:numPr>
          <w:ilvl w:val="0"/>
          <w:numId w:val="1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QT intervalą ilginantys ne širdies ir kraujagyslių sistemą veikiantys vaistiniai preparatai, pvz., pimozidas, ziprazidonas, sertindolas, meflokvinas, halofantrinas, pentamidinas, cisapridas, į veną leidžiami eritromicino preparatai.</w:t>
      </w:r>
    </w:p>
    <w:p w14:paraId="0C35998E"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QT intervalą ilginančių tiek širdies ir kraujagyslių sistemą veikiančių, tiek ne širdies bei kraujagyslių sistemą veikiančių vaistinių preparatų kartu su ivabradinu vartoti nepatariama, kadangi suretėjus širdies ritmui QT intervalo pailgėjimas gali pasunkėti. Jeigu taip gydyti būtina, reikia atidžiai sekti širdies funkciją (žr. 4.4 skyrių).</w:t>
      </w:r>
    </w:p>
    <w:p w14:paraId="7F50A603" w14:textId="77777777" w:rsidR="00653262" w:rsidRPr="003E3BFD" w:rsidRDefault="00653262" w:rsidP="00653262">
      <w:pPr>
        <w:widowControl w:val="0"/>
        <w:ind w:left="0" w:firstLine="0"/>
        <w:rPr>
          <w:rFonts w:ascii="Times New Roman" w:eastAsia="Times New Roman" w:hAnsi="Times New Roman" w:cs="Times New Roman"/>
          <w:iCs/>
        </w:rPr>
      </w:pPr>
    </w:p>
    <w:p w14:paraId="53FDC19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Kartu vartoti su atsargumu</w:t>
      </w:r>
    </w:p>
    <w:p w14:paraId="48F8AB7A" w14:textId="77777777" w:rsidR="00653262" w:rsidRPr="003E3BFD" w:rsidRDefault="00653262" w:rsidP="00653262">
      <w:pPr>
        <w:widowControl w:val="0"/>
        <w:ind w:left="0" w:firstLine="0"/>
        <w:rPr>
          <w:rFonts w:ascii="Times New Roman" w:eastAsia="Times New Roman" w:hAnsi="Times New Roman" w:cs="Times New Roman"/>
          <w:iCs/>
        </w:rPr>
      </w:pPr>
      <w:r w:rsidRPr="003E3BFD">
        <w:rPr>
          <w:rFonts w:ascii="Times New Roman" w:eastAsia="Calibri" w:hAnsi="Times New Roman" w:cs="Times New Roman"/>
          <w:color w:val="000000"/>
          <w:lang w:eastAsia="lt-LT"/>
        </w:rPr>
        <w:t>Kalį tausojantys diuretikai (tiazido diuretikai ir kilpiniai diuretikai): hipokalemija gali padidinti aritmijos riziką. Kadangi ivabradinas gali sukelti bradikardiją, dėl to atsiradęs hipokalemijos ir bradikardijos</w:t>
      </w:r>
      <w:r w:rsidRPr="003E3BFD">
        <w:rPr>
          <w:rFonts w:ascii="Times New Roman" w:eastAsia="Times New Roman" w:hAnsi="Times New Roman" w:cs="Times New Roman"/>
          <w:snapToGrid w:val="0"/>
        </w:rPr>
        <w:t xml:space="preserve"> derinys, tai yra predisponuojantis sunkių aritmijų pasireiškimo faktorius, ypač pacientams, turintiems ilgo QT intervalo sindromą (įgimtą ar vaistų sukeltą).</w:t>
      </w:r>
    </w:p>
    <w:p w14:paraId="06D7373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96D44C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Farmakokinetinė sąveika</w:t>
      </w:r>
    </w:p>
    <w:p w14:paraId="3FF3F79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p>
    <w:p w14:paraId="71581C17" w14:textId="37815BA4"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Ivabradiną metabolizuoja CYP 3A4 izofermentai. Jų aktyvumą vaistinis preparatas slopina labai silpnai. Įrodyta, jog kitų CYP 3A4 substratų (silpno, vidutinio stiprumo ar stipraus poveikio </w:t>
      </w:r>
      <w:r w:rsidRPr="003E3BFD">
        <w:rPr>
          <w:rFonts w:ascii="Times New Roman" w:eastAsia="Calibri" w:hAnsi="Times New Roman" w:cs="Times New Roman"/>
          <w:color w:val="000000"/>
          <w:lang w:eastAsia="lt-LT"/>
        </w:rPr>
        <w:lastRenderedPageBreak/>
        <w:t xml:space="preserve">inhibitorių) metabolizmui ir koncentracijos dydžiui kraujyje ivabradinas įtakos nedaro. CYP 3A4 inhibitoriai arba induktoriai gali sąveikauti su ivabradinu ir dėl to daryti klinikai reikšmingą įtaką jo metabolizmui bei farmakokinetikai. </w:t>
      </w:r>
      <w:r w:rsidR="00651049">
        <w:rPr>
          <w:rFonts w:ascii="Times New Roman" w:eastAsia="Calibri" w:hAnsi="Times New Roman" w:cs="Times New Roman"/>
          <w:color w:val="000000"/>
          <w:lang w:eastAsia="lt-LT"/>
        </w:rPr>
        <w:t>S</w:t>
      </w:r>
      <w:r w:rsidRPr="003E3BFD">
        <w:rPr>
          <w:rFonts w:ascii="Times New Roman" w:eastAsia="Calibri" w:hAnsi="Times New Roman" w:cs="Times New Roman"/>
          <w:color w:val="000000"/>
          <w:lang w:eastAsia="lt-LT"/>
        </w:rPr>
        <w:t>ąveikos tyrimų metu CYP 3A4 inhibitoriai ivabradino koncentraciją kraujo plazmoje didino, o induktoriai mažino. Vaistinio preparato koncentracijos kraujo plazmoje padidėjimas gali būti susijęs su didelės bradikardijos rizika (žr. 4.4 skyrių).</w:t>
      </w:r>
    </w:p>
    <w:p w14:paraId="5C3AA16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504EE0C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Kartu vartoti draudžiama</w:t>
      </w:r>
    </w:p>
    <w:p w14:paraId="146DB5B3" w14:textId="77777777" w:rsidR="00651049" w:rsidRDefault="00651049" w:rsidP="00653262">
      <w:pPr>
        <w:widowControl w:val="0"/>
        <w:tabs>
          <w:tab w:val="left" w:pos="567"/>
        </w:tabs>
        <w:ind w:left="0" w:firstLine="0"/>
        <w:rPr>
          <w:rFonts w:ascii="Times New Roman" w:eastAsia="Calibri" w:hAnsi="Times New Roman" w:cs="Times New Roman"/>
          <w:color w:val="000000"/>
          <w:lang w:eastAsia="lt-LT"/>
        </w:rPr>
      </w:pPr>
    </w:p>
    <w:p w14:paraId="02619A91" w14:textId="4994F874" w:rsidR="00651049" w:rsidRPr="0009751A" w:rsidRDefault="00651049" w:rsidP="00653262">
      <w:pPr>
        <w:widowControl w:val="0"/>
        <w:tabs>
          <w:tab w:val="left" w:pos="567"/>
        </w:tabs>
        <w:ind w:left="0" w:firstLine="0"/>
        <w:rPr>
          <w:rFonts w:ascii="Times New Roman" w:eastAsia="Calibri" w:hAnsi="Times New Roman" w:cs="Times New Roman"/>
          <w:i/>
          <w:color w:val="000000"/>
          <w:u w:val="single"/>
          <w:lang w:eastAsia="lt-LT"/>
        </w:rPr>
      </w:pPr>
      <w:r w:rsidRPr="0009751A">
        <w:rPr>
          <w:rFonts w:ascii="Times New Roman" w:eastAsia="Calibri" w:hAnsi="Times New Roman" w:cs="Times New Roman"/>
          <w:i/>
          <w:color w:val="000000"/>
          <w:u w:val="single"/>
          <w:lang w:eastAsia="lt-LT"/>
        </w:rPr>
        <w:t>Stipraus poveikio CYP</w:t>
      </w:r>
      <w:r w:rsidR="00CE047D">
        <w:rPr>
          <w:rFonts w:ascii="Times New Roman" w:eastAsia="Calibri" w:hAnsi="Times New Roman" w:cs="Times New Roman"/>
          <w:i/>
          <w:color w:val="000000"/>
          <w:u w:val="single"/>
          <w:lang w:eastAsia="lt-LT"/>
        </w:rPr>
        <w:t xml:space="preserve"> </w:t>
      </w:r>
      <w:r w:rsidRPr="0009751A">
        <w:rPr>
          <w:rFonts w:ascii="Times New Roman" w:eastAsia="Calibri" w:hAnsi="Times New Roman" w:cs="Times New Roman"/>
          <w:i/>
          <w:color w:val="000000"/>
          <w:u w:val="single"/>
          <w:lang w:eastAsia="lt-LT"/>
        </w:rPr>
        <w:t>3A4 inhibitoriai</w:t>
      </w:r>
    </w:p>
    <w:p w14:paraId="7D1235DD" w14:textId="4B89D949"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Kartu su ivabradinu draudžiama vartoti stipraus poveikio CYP 3A4 izofermentų inhibitorių, pvz., azolo grupės priešgrybelinių preparatų (ketokonazolo, itrakonazolo) makrolidinių antibiotikų (klaritromicino, geriamųjų eritromicino preparatų, jozamicino, telitromicino), ŽIV proteazės inhibitorių (nelfinaviro, ritonaviro) ar nefazodono (žr. 4.3 skyrių). Stipraus poveikio CYP 3A4 inhibitorius ketokonazolas, vartojamas po 200 mg kartą per parą, ar jozamicinas, vartojamas po 1 g 2 kartus per parą, vidutinę kartu vartojamo ivabradino ekspoziciją kraujo plazmoje padidino 7 - 8 kartus.</w:t>
      </w:r>
    </w:p>
    <w:p w14:paraId="3EA95DFD"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76A5B758" w14:textId="77777777" w:rsidR="00D42BEF" w:rsidRPr="0009751A" w:rsidRDefault="00653262" w:rsidP="00653262">
      <w:pPr>
        <w:widowControl w:val="0"/>
        <w:autoSpaceDE w:val="0"/>
        <w:autoSpaceDN w:val="0"/>
        <w:adjustRightInd w:val="0"/>
        <w:ind w:left="0" w:firstLine="0"/>
        <w:rPr>
          <w:rFonts w:ascii="Times New Roman" w:eastAsia="Calibri" w:hAnsi="Times New Roman" w:cs="Times New Roman"/>
          <w:i/>
          <w:color w:val="000000"/>
          <w:u w:val="single"/>
          <w:lang w:eastAsia="lt-LT"/>
        </w:rPr>
      </w:pPr>
      <w:r w:rsidRPr="0009751A">
        <w:rPr>
          <w:rFonts w:ascii="Times New Roman" w:eastAsia="Calibri" w:hAnsi="Times New Roman" w:cs="Times New Roman"/>
          <w:i/>
          <w:color w:val="000000"/>
          <w:u w:val="single"/>
          <w:lang w:eastAsia="lt-LT"/>
        </w:rPr>
        <w:t>Vidutinio stiprumo CYP 3A4 inhibitoriai</w:t>
      </w:r>
    </w:p>
    <w:p w14:paraId="028792BF" w14:textId="7CC307A6" w:rsidR="00653262" w:rsidRPr="003E3BFD" w:rsidRDefault="00D42BEF" w:rsidP="00653262">
      <w:pPr>
        <w:widowControl w:val="0"/>
        <w:autoSpaceDE w:val="0"/>
        <w:autoSpaceDN w:val="0"/>
        <w:adjustRightInd w:val="0"/>
        <w:ind w:left="0" w:firstLine="0"/>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w:t>
      </w:r>
      <w:r w:rsidR="00653262" w:rsidRPr="003E3BFD">
        <w:rPr>
          <w:rFonts w:ascii="Times New Roman" w:eastAsia="Calibri" w:hAnsi="Times New Roman" w:cs="Times New Roman"/>
          <w:color w:val="000000"/>
          <w:lang w:eastAsia="lt-LT"/>
        </w:rPr>
        <w:t>pecifinės sąveikos tarp preparatų sveikų savanorių ir ligonių tarpe tyrimai parodė, kad vartojant kartu su ivabradinu širdies susitraukimų dažnį mažinančius preparatus diltiazemą ar verapamilį, ivabradino ekspozicija padidėja (AUC padidėja 2-3 kartus),o širdies susitraukimų dažnis papildomai sumažėja 5 kartais per minutę. Ivabradino kartu vartoti su šiais vaistiniais preparatais draudžiama (žr. 4.3 skyrių).</w:t>
      </w:r>
    </w:p>
    <w:p w14:paraId="2615691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E6CE6E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Kartu vartoti nerekomenduojama</w:t>
      </w:r>
    </w:p>
    <w:p w14:paraId="52E22293" w14:textId="61095806"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Kartu su greipfrutų sultimis vartojamo ivabradino ekspozicija buvo 2 kartus didesnė. Vadinasi, ivabradinu gydomiems pacientams reikia vengti gerti greipfrutų sulčių.</w:t>
      </w:r>
    </w:p>
    <w:p w14:paraId="48553D44"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p>
    <w:p w14:paraId="091C27B5" w14:textId="43A44827" w:rsidR="00653262"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Kartu vartoti su atsargumu</w:t>
      </w:r>
    </w:p>
    <w:p w14:paraId="490AA51A" w14:textId="77777777" w:rsidR="00D42BEF" w:rsidRDefault="00D42BEF" w:rsidP="00653262">
      <w:pPr>
        <w:widowControl w:val="0"/>
        <w:autoSpaceDE w:val="0"/>
        <w:autoSpaceDN w:val="0"/>
        <w:adjustRightInd w:val="0"/>
        <w:ind w:left="0" w:firstLine="0"/>
        <w:rPr>
          <w:rFonts w:ascii="Times New Roman" w:eastAsia="Times New Roman" w:hAnsi="Times New Roman" w:cs="Times New Roman"/>
          <w:snapToGrid w:val="0"/>
          <w:lang w:val="en-GB"/>
        </w:rPr>
      </w:pPr>
    </w:p>
    <w:p w14:paraId="1070E134" w14:textId="781497A6" w:rsidR="00D42BEF" w:rsidRPr="0009751A" w:rsidRDefault="00D42BEF" w:rsidP="00653262">
      <w:pPr>
        <w:widowControl w:val="0"/>
        <w:autoSpaceDE w:val="0"/>
        <w:autoSpaceDN w:val="0"/>
        <w:adjustRightInd w:val="0"/>
        <w:ind w:left="0" w:firstLine="0"/>
        <w:rPr>
          <w:rFonts w:ascii="Times New Roman" w:eastAsia="Calibri" w:hAnsi="Times New Roman" w:cs="Times New Roman"/>
          <w:i/>
          <w:color w:val="000000"/>
          <w:u w:val="single"/>
          <w:lang w:eastAsia="lt-LT"/>
        </w:rPr>
      </w:pPr>
      <w:r w:rsidRPr="0009751A">
        <w:rPr>
          <w:rFonts w:ascii="Times New Roman" w:eastAsia="Times New Roman" w:hAnsi="Times New Roman" w:cs="Times New Roman"/>
          <w:i/>
          <w:snapToGrid w:val="0"/>
          <w:u w:val="single"/>
          <w:lang w:val="en-GB"/>
        </w:rPr>
        <w:t>Vidutinio stiprumo CYP 3A4 inhibitoriai</w:t>
      </w:r>
    </w:p>
    <w:p w14:paraId="64EE40D0" w14:textId="3E82CD99" w:rsidR="00D42BEF" w:rsidRDefault="00653262" w:rsidP="00D42BEF">
      <w:pPr>
        <w:widowControl w:val="0"/>
        <w:numPr>
          <w:ilvl w:val="0"/>
          <w:numId w:val="18"/>
        </w:numPr>
        <w:ind w:left="567" w:hanging="567"/>
        <w:rPr>
          <w:rFonts w:ascii="Times New Roman" w:eastAsia="Times New Roman" w:hAnsi="Times New Roman" w:cs="Times New Roman"/>
          <w:iCs/>
          <w:lang w:val="en-GB"/>
        </w:rPr>
      </w:pPr>
      <w:r w:rsidRPr="003E3BFD">
        <w:rPr>
          <w:rFonts w:ascii="Times New Roman" w:eastAsia="Times New Roman" w:hAnsi="Times New Roman" w:cs="Times New Roman"/>
          <w:snapToGrid w:val="0"/>
          <w:lang w:val="en-GB"/>
        </w:rPr>
        <w:t>Kartu su vidutinio stiprumo CYP 3A4 izofermentų inhibitoriais, pvz., flukonazolu, ivabradino po 2,5 mg 2 kartus per parą vartoti galima, jeigu ramybės metu širdis susitraukinėja dažniau negu 70 kartų per minutę, tačiau reikia sekti širdies ritmą.</w:t>
      </w:r>
    </w:p>
    <w:p w14:paraId="4CF1D0C7" w14:textId="77777777" w:rsidR="00286D09" w:rsidRDefault="00286D09" w:rsidP="0009751A">
      <w:pPr>
        <w:widowControl w:val="0"/>
        <w:ind w:left="0" w:firstLine="0"/>
        <w:rPr>
          <w:rFonts w:ascii="Times New Roman" w:eastAsia="Times New Roman" w:hAnsi="Times New Roman" w:cs="Times New Roman"/>
          <w:i/>
          <w:snapToGrid w:val="0"/>
          <w:u w:val="single"/>
          <w:lang w:val="en-GB"/>
        </w:rPr>
      </w:pPr>
    </w:p>
    <w:p w14:paraId="642122B1" w14:textId="623CAE26" w:rsidR="00D42BEF" w:rsidRPr="0009751A" w:rsidRDefault="00D42BEF" w:rsidP="0009751A">
      <w:pPr>
        <w:widowControl w:val="0"/>
        <w:ind w:left="0" w:firstLine="0"/>
        <w:rPr>
          <w:rFonts w:ascii="Times New Roman" w:eastAsia="Times New Roman" w:hAnsi="Times New Roman" w:cs="Times New Roman"/>
          <w:i/>
          <w:iCs/>
          <w:u w:val="single"/>
          <w:lang w:val="en-GB"/>
        </w:rPr>
      </w:pPr>
      <w:r w:rsidRPr="0009751A">
        <w:rPr>
          <w:rFonts w:ascii="Times New Roman" w:eastAsia="Times New Roman" w:hAnsi="Times New Roman" w:cs="Times New Roman"/>
          <w:i/>
          <w:snapToGrid w:val="0"/>
          <w:u w:val="single"/>
          <w:lang w:val="en-GB"/>
        </w:rPr>
        <w:t>CYP 3A4 induktoriai</w:t>
      </w:r>
    </w:p>
    <w:p w14:paraId="6B464949" w14:textId="3B16443E" w:rsidR="00653262" w:rsidRPr="003E3BFD" w:rsidRDefault="00653262" w:rsidP="00D879D6">
      <w:pPr>
        <w:widowControl w:val="0"/>
        <w:numPr>
          <w:ilvl w:val="0"/>
          <w:numId w:val="18"/>
        </w:numPr>
        <w:ind w:left="567" w:hanging="567"/>
        <w:rPr>
          <w:rFonts w:ascii="Times New Roman" w:eastAsia="Times New Roman" w:hAnsi="Times New Roman" w:cs="Times New Roman"/>
          <w:iCs/>
          <w:lang w:val="en-GB"/>
        </w:rPr>
      </w:pPr>
      <w:r w:rsidRPr="003E3BFD">
        <w:rPr>
          <w:rFonts w:ascii="Times New Roman" w:eastAsia="Times New Roman" w:hAnsi="Times New Roman" w:cs="Times New Roman"/>
          <w:snapToGrid w:val="0"/>
          <w:lang w:val="en-GB"/>
        </w:rPr>
        <w:t>CYP 3A4 induktoriai.CYP 3A4 izofermentus indukuojantys vaistiniai preparatai (pvz., rifampicinas, barbitūratai, fenitoinas, paprastųjų jonažolių preparatai) gali mažinti ivabradino ekspoziciją ir aktyvumą. Kartu su vaistiniais preparatais, indukuojančiais CYP 3A4 izofermentus, vartojamo ivabradino dozę gali tekti keisti. Kartu su paprastųjų jonažolių preparatais geriant 10 mg ivabradino dozę 2 kartus per parą, pastarojo vaistinio preparato AUC buvo perpus mažesnis. Vadinasi, ivabradinu gydomiems pacientams vartoti paprastųjų jonažolių preparatų nerekomenduojama.</w:t>
      </w:r>
    </w:p>
    <w:p w14:paraId="0276554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p>
    <w:p w14:paraId="10B2640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 xml:space="preserve">Kiti </w:t>
      </w:r>
      <w:r w:rsidRPr="003E3BFD">
        <w:rPr>
          <w:rFonts w:ascii="Times New Roman" w:eastAsia="Calibri" w:hAnsi="Times New Roman" w:cs="Times New Roman"/>
          <w:i/>
          <w:iCs/>
          <w:color w:val="000000"/>
          <w:lang w:val="en-US" w:eastAsia="lt-LT"/>
        </w:rPr>
        <w:t xml:space="preserve">kartu vartojami preparatai </w:t>
      </w:r>
    </w:p>
    <w:p w14:paraId="26B4353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Specifinių vaistų sąveikos tyrimų metu protono pompos 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Ivabradinas klinikai reikšmingo poveikio simvastatino, amlodipino bei lacidipino farmakokinetikai, digoksino ir varfarino farmakokinetikai bei farmakodinamikai ir aspirino farmakodinamikai nedarė.</w:t>
      </w:r>
    </w:p>
    <w:p w14:paraId="6A6A533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Pagrindžamųjų III fazės tyrimų metu kartu su ivabradinu vartoti AKF inhibitoriai, angiotenzinui II jautrių receptorių adrenoblokatoriai, beta adrenoblokatoriai, diuretikai, aldosterono sistemą slopinantys vaistai,</w:t>
      </w:r>
      <w:r w:rsidRPr="003E3BFD">
        <w:rPr>
          <w:rFonts w:ascii="Times New Roman" w:eastAsia="Times New Roman" w:hAnsi="Times New Roman" w:cs="Times New Roman"/>
          <w:snapToGrid w:val="0"/>
        </w:rPr>
        <w:t xml:space="preserve"> ilgai ar trumpai veikiantys HMG CoA reduktazės inhibitoriai, fibratai, protono pompos inhibitoriai, geriamieji preparatai nuo diabeto, aspirinas bei kiti trombocitų funkciją slopinantys vaistiniai preparatai. Gydant jais ir ivabradinu, pastarojo saugumas nekito.</w:t>
      </w:r>
    </w:p>
    <w:p w14:paraId="0C06ABA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6F44DF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Vaikų populiacija</w:t>
      </w:r>
    </w:p>
    <w:p w14:paraId="155F887F"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lastRenderedPageBreak/>
        <w:t>Sąveikos tyrimai buvo atlikti tik su suaugusiais žmonėmis.</w:t>
      </w:r>
    </w:p>
    <w:p w14:paraId="0D04378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5D3AD4E"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4.6</w:t>
      </w:r>
      <w:r w:rsidRPr="003E3BFD">
        <w:rPr>
          <w:rFonts w:ascii="Times New Roman" w:eastAsia="Times New Roman" w:hAnsi="Times New Roman" w:cs="Times New Roman"/>
          <w:b/>
          <w:bCs/>
          <w:snapToGrid w:val="0"/>
          <w:lang w:eastAsia="x-none"/>
        </w:rPr>
        <w:tab/>
        <w:t>Vaisingumas, nėštumo ir žindymo laikotarpis</w:t>
      </w:r>
    </w:p>
    <w:p w14:paraId="54AC730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6C6EBA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Vaisingos moterys</w:t>
      </w:r>
    </w:p>
    <w:p w14:paraId="484C34E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Vaisingos moterys gydymo metu turi naudoti veiksmingą kontracepcijos metodą (žr. 4.3 skyrių).</w:t>
      </w:r>
    </w:p>
    <w:p w14:paraId="2E96288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519CCB9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Nėštumas</w:t>
      </w:r>
    </w:p>
    <w:p w14:paraId="073BE4F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Apie nėščių moterų gydymą ivabradinu duomenų nėra arba jų nepakanka. Tyrimų su gyvūnais metu nustatytas toksinis poveikis dauginimosi funkcijai. Šių tyrimų metu buvo nustatytas embriotoksinis ir teratogeninis poveikis (žr. 5.3 skyrių). Kokia galima žala žmogui, nežinoma, todėl nėštumo metu ivabradino vartoti negalima (žr. 4.3 skyrių).</w:t>
      </w:r>
    </w:p>
    <w:p w14:paraId="1FCC4BB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7B80D5A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Žindymas</w:t>
      </w:r>
    </w:p>
    <w:p w14:paraId="18929B9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Tyrimų su gyvūnais duomenys rodo, jog ivabradino išsiskiria su motinos pienu, todėl kūdikį krūtimi maitinančioms moterims šio vaistinio preparato vartoti draudžiama (žr. 4.3 skyrių).</w:t>
      </w:r>
    </w:p>
    <w:p w14:paraId="4B6834B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Moterys, kurioms būtinas gydymas ivabradinu, turi nutraukti kūdikio žindymą ir pasirinkti kitokį kūdikio maitinimo būdą.</w:t>
      </w:r>
    </w:p>
    <w:p w14:paraId="77BA4AA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40CEFF8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Vaisingumas</w:t>
      </w:r>
    </w:p>
    <w:p w14:paraId="602C9DB3"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Tyrimų su žiurkėmis metu poveikio patinų ir patelių vaisingumui nenustatyta (žr. 5.3 skyrių).</w:t>
      </w:r>
    </w:p>
    <w:p w14:paraId="2AAAD1D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640071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4.7</w:t>
      </w:r>
      <w:r w:rsidRPr="003E3BFD">
        <w:rPr>
          <w:rFonts w:ascii="Times New Roman" w:eastAsia="Times New Roman" w:hAnsi="Times New Roman" w:cs="Times New Roman"/>
          <w:b/>
          <w:bCs/>
          <w:snapToGrid w:val="0"/>
          <w:lang w:eastAsia="x-none"/>
        </w:rPr>
        <w:tab/>
        <w:t>Poveikis gebėjimui vairuoti ir valdyti mechanizmus</w:t>
      </w:r>
    </w:p>
    <w:p w14:paraId="115C876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5EF24AC" w14:textId="53499CB8" w:rsidR="00286D09" w:rsidRDefault="00286D09" w:rsidP="00653262">
      <w:pPr>
        <w:widowControl w:val="0"/>
        <w:autoSpaceDE w:val="0"/>
        <w:autoSpaceDN w:val="0"/>
        <w:adjustRightInd w:val="0"/>
        <w:ind w:left="0" w:firstLine="0"/>
        <w:rPr>
          <w:rFonts w:ascii="Times New Roman" w:eastAsia="Calibri" w:hAnsi="Times New Roman" w:cs="Times New Roman"/>
          <w:color w:val="000000"/>
          <w:lang w:eastAsia="lt-LT"/>
        </w:rPr>
      </w:pPr>
      <w:r w:rsidRPr="00286D09">
        <w:rPr>
          <w:rFonts w:ascii="Times New Roman" w:eastAsia="Calibri" w:hAnsi="Times New Roman" w:cs="Times New Roman"/>
          <w:color w:val="000000"/>
          <w:lang w:eastAsia="lt-LT"/>
        </w:rPr>
        <w:t>Ivabradinas gebėjimo valdyti mechanizmus neveikia arba veikia nereikšmingai</w:t>
      </w:r>
      <w:r>
        <w:rPr>
          <w:rFonts w:ascii="Times New Roman" w:eastAsia="Calibri" w:hAnsi="Times New Roman" w:cs="Times New Roman"/>
          <w:color w:val="000000"/>
          <w:lang w:eastAsia="lt-LT"/>
        </w:rPr>
        <w:t>.</w:t>
      </w:r>
    </w:p>
    <w:p w14:paraId="25C314B8" w14:textId="1F114E22"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Ar ivabradinas gali įtakoti gebėjimą vairuoti, nustatinėta specifiniais tyrimais su sveikais savanoriais. Jiems vairavimo gebos pokyčių vaistinis preparatas nesukėlė. Po vaisto patekimo į rinką buvo gauta pranešimų apie gebėjimo vairuoti sutrikimo atvejus, susijusius su regėjimo simptomais. Ivabradinas gali sukelti trumpalaikį regimąjį šviesos fenomeną, daugiausiai fotopsiją (žr. 4.8 skyrių). To negalima pamiršti vairuojant ir valdant mechanizmus tokiu metu, kokiu staigiai gali kisti šviesos intensyvumas, ypač vairuojant naktį.</w:t>
      </w:r>
    </w:p>
    <w:p w14:paraId="0F65AB6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A6DC4F1"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4.8</w:t>
      </w:r>
      <w:r w:rsidRPr="003E3BFD">
        <w:rPr>
          <w:rFonts w:ascii="Times New Roman" w:eastAsia="Times New Roman" w:hAnsi="Times New Roman" w:cs="Times New Roman"/>
          <w:b/>
          <w:snapToGrid w:val="0"/>
        </w:rPr>
        <w:tab/>
        <w:t>Nepageidaujamas poveikis</w:t>
      </w:r>
    </w:p>
    <w:p w14:paraId="70293DA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u w:val="single"/>
        </w:rPr>
      </w:pPr>
    </w:p>
    <w:p w14:paraId="792FCD7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Saugumo duomenų santrauka</w:t>
      </w:r>
    </w:p>
    <w:p w14:paraId="39E95FDD" w14:textId="4C77F618"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Dažniausias nepageidaujamas poveikis regimieji šviesos fenomenai (fosfenai) </w:t>
      </w:r>
      <w:r w:rsidR="00286D09">
        <w:rPr>
          <w:rFonts w:ascii="Times New Roman" w:eastAsia="Times New Roman" w:hAnsi="Times New Roman" w:cs="Times New Roman"/>
          <w:iCs/>
          <w:lang w:val="sl-SI"/>
        </w:rPr>
        <w:t>(14,</w:t>
      </w:r>
      <w:r w:rsidR="00286D09" w:rsidRPr="00286D09">
        <w:rPr>
          <w:rFonts w:ascii="Times New Roman" w:eastAsia="Times New Roman" w:hAnsi="Times New Roman" w:cs="Times New Roman"/>
          <w:iCs/>
          <w:lang w:val="sl-SI"/>
        </w:rPr>
        <w:t>5%)</w:t>
      </w:r>
      <w:r w:rsidR="00286D09">
        <w:rPr>
          <w:rFonts w:ascii="Times New Roman" w:eastAsia="Times New Roman" w:hAnsi="Times New Roman" w:cs="Times New Roman"/>
          <w:iCs/>
          <w:lang w:val="sl-SI"/>
        </w:rPr>
        <w:t xml:space="preserve"> </w:t>
      </w:r>
      <w:r w:rsidRPr="003E3BFD">
        <w:rPr>
          <w:rFonts w:ascii="Times New Roman" w:eastAsia="Calibri" w:hAnsi="Times New Roman" w:cs="Times New Roman"/>
          <w:color w:val="000000"/>
          <w:lang w:eastAsia="lt-LT"/>
        </w:rPr>
        <w:t xml:space="preserve">ir bradikardija </w:t>
      </w:r>
      <w:r w:rsidR="00286D09">
        <w:rPr>
          <w:rFonts w:ascii="Times New Roman" w:eastAsia="Times New Roman" w:hAnsi="Times New Roman" w:cs="Times New Roman"/>
          <w:iCs/>
          <w:lang w:val="sl-SI"/>
        </w:rPr>
        <w:t>(3,</w:t>
      </w:r>
      <w:r w:rsidR="00286D09" w:rsidRPr="00286D09">
        <w:rPr>
          <w:rFonts w:ascii="Times New Roman" w:eastAsia="Times New Roman" w:hAnsi="Times New Roman" w:cs="Times New Roman"/>
          <w:iCs/>
          <w:lang w:val="sl-SI"/>
        </w:rPr>
        <w:t>3%)</w:t>
      </w:r>
      <w:r w:rsidR="00C172AB">
        <w:rPr>
          <w:rFonts w:ascii="Times New Roman" w:eastAsia="Times New Roman" w:hAnsi="Times New Roman" w:cs="Times New Roman"/>
          <w:iCs/>
          <w:lang w:val="sl-SI"/>
        </w:rPr>
        <w:t>. Jie</w:t>
      </w:r>
      <w:r w:rsidR="00286D09">
        <w:rPr>
          <w:rFonts w:ascii="Times New Roman" w:eastAsia="Times New Roman" w:hAnsi="Times New Roman" w:cs="Times New Roman"/>
          <w:iCs/>
          <w:lang w:val="sl-SI"/>
        </w:rPr>
        <w:t xml:space="preserve"> </w:t>
      </w:r>
      <w:r w:rsidRPr="003E3BFD">
        <w:rPr>
          <w:rFonts w:ascii="Times New Roman" w:eastAsia="Calibri" w:hAnsi="Times New Roman" w:cs="Times New Roman"/>
          <w:color w:val="000000"/>
          <w:lang w:eastAsia="lt-LT"/>
        </w:rPr>
        <w:t>priklausė nuo dozės ir buvo susijęs su farmakologiniu vaistinio preparato poveikiu.</w:t>
      </w:r>
    </w:p>
    <w:p w14:paraId="490F65D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EC2F10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Nepageidaujamų reakcijų sąrašas lentelėje</w:t>
      </w:r>
    </w:p>
    <w:p w14:paraId="602187DF" w14:textId="07EE2AC9" w:rsidR="00653262" w:rsidRPr="003E3BFD" w:rsidRDefault="00653262" w:rsidP="001A54FC">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rPr>
      </w:pPr>
      <w:r w:rsidRPr="003E3BFD">
        <w:rPr>
          <w:rFonts w:ascii="Times New Roman" w:eastAsia="Calibri" w:hAnsi="Times New Roman" w:cs="Times New Roman"/>
          <w:color w:val="000000"/>
          <w:lang w:eastAsia="lt-LT"/>
        </w:rPr>
        <w:t>Klinikinių tyrimų metu pasireišk</w:t>
      </w:r>
      <w:r w:rsidR="00EA68E8">
        <w:rPr>
          <w:rFonts w:ascii="Times New Roman" w:eastAsia="Calibri" w:hAnsi="Times New Roman" w:cs="Times New Roman"/>
          <w:color w:val="000000"/>
          <w:lang w:eastAsia="lt-LT"/>
        </w:rPr>
        <w:t xml:space="preserve">usio </w:t>
      </w:r>
      <w:r w:rsidR="00EA68E8" w:rsidRPr="001A54FC">
        <w:rPr>
          <w:rFonts w:ascii="Times New Roman" w:eastAsia="Calibri"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r w:rsidR="00EA68E8">
        <w:rPr>
          <w:rFonts w:ascii="Times New Roman" w:eastAsia="Calibri" w:hAnsi="Times New Roman" w:cs="Times New Roman"/>
        </w:rPr>
        <w:t xml:space="preserve"> </w:t>
      </w:r>
    </w:p>
    <w:p w14:paraId="01665C71" w14:textId="77777777" w:rsidR="00653262" w:rsidRPr="003E3BFD" w:rsidRDefault="00653262" w:rsidP="00653262">
      <w:pPr>
        <w:widowControl w:val="0"/>
        <w:autoSpaceDE w:val="0"/>
        <w:autoSpaceDN w:val="0"/>
        <w:adjustRightInd w:val="0"/>
        <w:ind w:left="0" w:firstLine="0"/>
        <w:jc w:val="both"/>
        <w:rPr>
          <w:rFonts w:ascii="Times New Roman" w:eastAsia="Times New Roman" w:hAnsi="Times New Roman" w:cs="Times New Roman"/>
          <w:snapToGrid w:val="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25"/>
        <w:gridCol w:w="1812"/>
        <w:gridCol w:w="3624"/>
      </w:tblGrid>
      <w:tr w:rsidR="00653262" w:rsidRPr="003E3BFD" w14:paraId="228157E2" w14:textId="77777777" w:rsidTr="00A23238">
        <w:tc>
          <w:tcPr>
            <w:tcW w:w="2000" w:type="pct"/>
            <w:vAlign w:val="center"/>
          </w:tcPr>
          <w:p w14:paraId="4EF51A2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b/>
                <w:lang w:val="en-GB" w:eastAsia="sl-SI"/>
              </w:rPr>
            </w:pPr>
            <w:r w:rsidRPr="003E3BFD">
              <w:rPr>
                <w:rFonts w:ascii="Times New Roman" w:eastAsia="Times New Roman" w:hAnsi="Times New Roman" w:cs="Times New Roman"/>
                <w:b/>
                <w:bCs/>
                <w:lang w:val="en-GB" w:eastAsia="sl-SI"/>
              </w:rPr>
              <w:t>Organų sistemų klasės</w:t>
            </w:r>
          </w:p>
        </w:tc>
        <w:tc>
          <w:tcPr>
            <w:tcW w:w="1000" w:type="pct"/>
            <w:vAlign w:val="center"/>
          </w:tcPr>
          <w:p w14:paraId="2BF8AEA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b/>
                <w:lang w:val="en-GB" w:eastAsia="sl-SI"/>
              </w:rPr>
            </w:pPr>
            <w:r w:rsidRPr="003E3BFD">
              <w:rPr>
                <w:rFonts w:ascii="Times New Roman" w:eastAsia="Times New Roman" w:hAnsi="Times New Roman" w:cs="Times New Roman"/>
                <w:b/>
                <w:bCs/>
                <w:lang w:val="en-GB" w:eastAsia="sl-SI"/>
              </w:rPr>
              <w:t>Dažnis</w:t>
            </w:r>
          </w:p>
        </w:tc>
        <w:tc>
          <w:tcPr>
            <w:tcW w:w="2000" w:type="pct"/>
            <w:vAlign w:val="center"/>
          </w:tcPr>
          <w:p w14:paraId="7E51C86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b/>
                <w:lang w:val="en-GB" w:eastAsia="sl-SI"/>
              </w:rPr>
            </w:pPr>
            <w:r w:rsidRPr="003E3BFD">
              <w:rPr>
                <w:rFonts w:ascii="Times New Roman" w:eastAsia="Times New Roman" w:hAnsi="Times New Roman" w:cs="Times New Roman"/>
                <w:b/>
                <w:bCs/>
                <w:lang w:val="en-GB" w:eastAsia="sl-SI"/>
              </w:rPr>
              <w:t>Dažniausiai vartojamas apibrėžimas</w:t>
            </w:r>
          </w:p>
        </w:tc>
      </w:tr>
      <w:tr w:rsidR="00653262" w:rsidRPr="003E3BFD" w14:paraId="0DA1B740" w14:textId="77777777" w:rsidTr="00A23238">
        <w:tc>
          <w:tcPr>
            <w:tcW w:w="2000" w:type="pct"/>
            <w:vAlign w:val="center"/>
          </w:tcPr>
          <w:p w14:paraId="57152B6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Kraujo ir limfinės sistemos sutrikimai</w:t>
            </w:r>
          </w:p>
        </w:tc>
        <w:tc>
          <w:tcPr>
            <w:tcW w:w="1000" w:type="pct"/>
            <w:vAlign w:val="center"/>
          </w:tcPr>
          <w:p w14:paraId="622DFD81" w14:textId="06F542B1"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p>
        </w:tc>
        <w:tc>
          <w:tcPr>
            <w:tcW w:w="2000" w:type="pct"/>
            <w:vAlign w:val="center"/>
          </w:tcPr>
          <w:p w14:paraId="196332D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Eozinofilija</w:t>
            </w:r>
          </w:p>
        </w:tc>
      </w:tr>
      <w:tr w:rsidR="00653262" w:rsidRPr="003E3BFD" w14:paraId="5473B2C7" w14:textId="77777777" w:rsidTr="00A23238">
        <w:tc>
          <w:tcPr>
            <w:tcW w:w="2000" w:type="pct"/>
            <w:vAlign w:val="center"/>
          </w:tcPr>
          <w:p w14:paraId="0FFFC9A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Metabolizmo ir mitybos sutrikimai</w:t>
            </w:r>
          </w:p>
        </w:tc>
        <w:tc>
          <w:tcPr>
            <w:tcW w:w="1000" w:type="pct"/>
            <w:vAlign w:val="center"/>
          </w:tcPr>
          <w:p w14:paraId="62E6BB84" w14:textId="0A0C3D39"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48B4A03A"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Hiperurikemija </w:t>
            </w:r>
          </w:p>
        </w:tc>
      </w:tr>
      <w:tr w:rsidR="00653262" w:rsidRPr="003E3BFD" w14:paraId="7E24AB67" w14:textId="77777777" w:rsidTr="00A23238">
        <w:tc>
          <w:tcPr>
            <w:tcW w:w="2000" w:type="pct"/>
            <w:vMerge w:val="restart"/>
            <w:vAlign w:val="center"/>
          </w:tcPr>
          <w:p w14:paraId="759E50B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Nervų sistemos sutrikimai</w:t>
            </w:r>
          </w:p>
        </w:tc>
        <w:tc>
          <w:tcPr>
            <w:tcW w:w="1000" w:type="pct"/>
            <w:vMerge w:val="restart"/>
            <w:vAlign w:val="center"/>
          </w:tcPr>
          <w:p w14:paraId="558C3155" w14:textId="12955AAC"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7E4D7F96"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Galvos skausmas (dažniausiai pirmąjį gydymo mėnesį)</w:t>
            </w:r>
          </w:p>
        </w:tc>
      </w:tr>
      <w:tr w:rsidR="00653262" w:rsidRPr="003E3BFD" w14:paraId="48C4A9D7" w14:textId="77777777" w:rsidTr="00A23238">
        <w:tc>
          <w:tcPr>
            <w:tcW w:w="2000" w:type="pct"/>
            <w:vMerge/>
            <w:vAlign w:val="center"/>
          </w:tcPr>
          <w:p w14:paraId="5FD08FD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5F2A397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71EA68D5"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Svaigulys galimai susijęs su bradikardija </w:t>
            </w:r>
          </w:p>
        </w:tc>
      </w:tr>
      <w:tr w:rsidR="00653262" w:rsidRPr="003E3BFD" w14:paraId="07EAD094" w14:textId="77777777" w:rsidTr="00A23238">
        <w:tc>
          <w:tcPr>
            <w:tcW w:w="2000" w:type="pct"/>
            <w:vMerge/>
            <w:vAlign w:val="center"/>
          </w:tcPr>
          <w:p w14:paraId="3BB47DB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Align w:val="center"/>
          </w:tcPr>
          <w:p w14:paraId="1646A7F3" w14:textId="06C43D59"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2FA5D50B"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Apalpimas, galimai susijęs su bradikardija) </w:t>
            </w:r>
          </w:p>
        </w:tc>
      </w:tr>
      <w:tr w:rsidR="00653262" w:rsidRPr="003E3BFD" w14:paraId="0EF56857" w14:textId="77777777" w:rsidTr="00A23238">
        <w:tc>
          <w:tcPr>
            <w:tcW w:w="2000" w:type="pct"/>
            <w:vMerge w:val="restart"/>
            <w:vAlign w:val="center"/>
          </w:tcPr>
          <w:p w14:paraId="56507F7A"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Akių sutrikimai </w:t>
            </w:r>
          </w:p>
        </w:tc>
        <w:tc>
          <w:tcPr>
            <w:tcW w:w="1000" w:type="pct"/>
            <w:vAlign w:val="center"/>
          </w:tcPr>
          <w:p w14:paraId="6937509F" w14:textId="31723009"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Labai 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0A1CD3C8"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Regimieji šviesos fenomenai (fosfenai) </w:t>
            </w:r>
          </w:p>
        </w:tc>
      </w:tr>
      <w:tr w:rsidR="00653262" w:rsidRPr="003E3BFD" w14:paraId="041DF0E3" w14:textId="77777777" w:rsidTr="00A23238">
        <w:tc>
          <w:tcPr>
            <w:tcW w:w="2000" w:type="pct"/>
            <w:vMerge/>
            <w:vAlign w:val="center"/>
          </w:tcPr>
          <w:p w14:paraId="77B08C6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Align w:val="center"/>
          </w:tcPr>
          <w:p w14:paraId="4B07FBA0" w14:textId="04A9A5A9"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Dažn</w:t>
            </w:r>
            <w:r w:rsidR="00CE047D">
              <w:rPr>
                <w:rFonts w:ascii="Times New Roman" w:eastAsia="Times New Roman" w:hAnsi="Times New Roman" w:cs="Times New Roman"/>
                <w:lang w:val="en-GB" w:eastAsia="sl-SI"/>
              </w:rPr>
              <w:t>as</w:t>
            </w:r>
          </w:p>
        </w:tc>
        <w:tc>
          <w:tcPr>
            <w:tcW w:w="2000" w:type="pct"/>
            <w:vAlign w:val="center"/>
          </w:tcPr>
          <w:p w14:paraId="0C4D14A7"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Neryškus matymas</w:t>
            </w:r>
          </w:p>
        </w:tc>
      </w:tr>
      <w:tr w:rsidR="00653262" w:rsidRPr="003E3BFD" w14:paraId="47FCC598" w14:textId="77777777" w:rsidTr="00A23238">
        <w:tc>
          <w:tcPr>
            <w:tcW w:w="2000" w:type="pct"/>
            <w:vMerge/>
            <w:vAlign w:val="center"/>
          </w:tcPr>
          <w:p w14:paraId="0BAEDA0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restart"/>
            <w:vAlign w:val="center"/>
          </w:tcPr>
          <w:p w14:paraId="4DEE3247" w14:textId="7B44F671"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460BA66F"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Dvejinimasis (diplopija) </w:t>
            </w:r>
          </w:p>
        </w:tc>
      </w:tr>
      <w:tr w:rsidR="00653262" w:rsidRPr="003E3BFD" w14:paraId="50F8EF7A" w14:textId="77777777" w:rsidTr="00A23238">
        <w:tc>
          <w:tcPr>
            <w:tcW w:w="2000" w:type="pct"/>
            <w:vMerge/>
            <w:vAlign w:val="center"/>
          </w:tcPr>
          <w:p w14:paraId="473526D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5D1F0E85"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0B7CE20E"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Regėjimo sutrikimas</w:t>
            </w:r>
          </w:p>
        </w:tc>
      </w:tr>
      <w:tr w:rsidR="00653262" w:rsidRPr="003E3BFD" w14:paraId="0F10972D" w14:textId="77777777" w:rsidTr="00A23238">
        <w:tc>
          <w:tcPr>
            <w:tcW w:w="2000" w:type="pct"/>
            <w:vAlign w:val="center"/>
          </w:tcPr>
          <w:p w14:paraId="79080497"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lastRenderedPageBreak/>
              <w:t>Ausų ir labirintų sutrikimai</w:t>
            </w:r>
          </w:p>
        </w:tc>
        <w:tc>
          <w:tcPr>
            <w:tcW w:w="1000" w:type="pct"/>
            <w:vAlign w:val="center"/>
          </w:tcPr>
          <w:p w14:paraId="43A51CE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Nedažni </w:t>
            </w:r>
          </w:p>
        </w:tc>
        <w:tc>
          <w:tcPr>
            <w:tcW w:w="2000" w:type="pct"/>
            <w:vAlign w:val="center"/>
          </w:tcPr>
          <w:p w14:paraId="3053848B"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Galvos svaigimas  (</w:t>
            </w:r>
            <w:r w:rsidRPr="003E3BFD">
              <w:rPr>
                <w:rFonts w:ascii="Times New Roman" w:eastAsia="Times New Roman" w:hAnsi="Times New Roman" w:cs="Times New Roman"/>
                <w:i/>
                <w:lang w:val="en-GB" w:eastAsia="sl-SI"/>
              </w:rPr>
              <w:t>vertigo</w:t>
            </w:r>
            <w:r w:rsidRPr="003E3BFD">
              <w:rPr>
                <w:rFonts w:ascii="Times New Roman" w:eastAsia="Times New Roman" w:hAnsi="Times New Roman" w:cs="Times New Roman"/>
                <w:lang w:val="en-GB" w:eastAsia="sl-SI"/>
              </w:rPr>
              <w:t xml:space="preserve">) </w:t>
            </w:r>
          </w:p>
        </w:tc>
      </w:tr>
      <w:tr w:rsidR="00653262" w:rsidRPr="003E3BFD" w14:paraId="485C16EE" w14:textId="77777777" w:rsidTr="00A23238">
        <w:tc>
          <w:tcPr>
            <w:tcW w:w="2000" w:type="pct"/>
            <w:vMerge w:val="restart"/>
            <w:vAlign w:val="center"/>
          </w:tcPr>
          <w:p w14:paraId="0A84423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Širdies sutrikimai </w:t>
            </w:r>
          </w:p>
        </w:tc>
        <w:tc>
          <w:tcPr>
            <w:tcW w:w="1000" w:type="pct"/>
            <w:vMerge w:val="restart"/>
            <w:vAlign w:val="center"/>
          </w:tcPr>
          <w:p w14:paraId="0EEBDEB1" w14:textId="1FAF5A25"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09CAE91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Bradikardija </w:t>
            </w:r>
          </w:p>
        </w:tc>
      </w:tr>
      <w:tr w:rsidR="00653262" w:rsidRPr="003E3BFD" w14:paraId="1C4DACA3" w14:textId="77777777" w:rsidTr="00A23238">
        <w:tc>
          <w:tcPr>
            <w:tcW w:w="2000" w:type="pct"/>
            <w:vMerge/>
            <w:vAlign w:val="center"/>
          </w:tcPr>
          <w:p w14:paraId="0FE8759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63F2EBA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794662EA"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I laipsnio atrioventrikulinė blokada (EKG pailgėjęs PQ intervalas)</w:t>
            </w:r>
          </w:p>
        </w:tc>
      </w:tr>
      <w:tr w:rsidR="00653262" w:rsidRPr="003E3BFD" w14:paraId="11EE2BF2" w14:textId="77777777" w:rsidTr="00A23238">
        <w:tc>
          <w:tcPr>
            <w:tcW w:w="2000" w:type="pct"/>
            <w:vMerge/>
            <w:vAlign w:val="center"/>
          </w:tcPr>
          <w:p w14:paraId="6AE4A5FB"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60C073EF"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522C8B7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Prieširdžių virpėjimas </w:t>
            </w:r>
          </w:p>
        </w:tc>
      </w:tr>
      <w:tr w:rsidR="00653262" w:rsidRPr="003E3BFD" w14:paraId="48EFEF34" w14:textId="77777777" w:rsidTr="00A23238">
        <w:tc>
          <w:tcPr>
            <w:tcW w:w="2000" w:type="pct"/>
            <w:vMerge/>
            <w:vAlign w:val="center"/>
          </w:tcPr>
          <w:p w14:paraId="791897B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3F8209A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7AB9E76B"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Skilvelinė ekstrasistolija</w:t>
            </w:r>
          </w:p>
        </w:tc>
      </w:tr>
      <w:tr w:rsidR="00653262" w:rsidRPr="003E3BFD" w14:paraId="631028A1" w14:textId="77777777" w:rsidTr="00A23238">
        <w:tc>
          <w:tcPr>
            <w:tcW w:w="2000" w:type="pct"/>
            <w:vMerge/>
            <w:vAlign w:val="center"/>
          </w:tcPr>
          <w:p w14:paraId="37B8772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Align w:val="center"/>
          </w:tcPr>
          <w:p w14:paraId="3ABF13A4" w14:textId="2521F21E"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p>
        </w:tc>
        <w:tc>
          <w:tcPr>
            <w:tcW w:w="2000" w:type="pct"/>
            <w:vAlign w:val="center"/>
          </w:tcPr>
          <w:p w14:paraId="4F614E9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Palpitacija, supraventrikulinės ekstrasistolės</w:t>
            </w:r>
          </w:p>
        </w:tc>
      </w:tr>
      <w:tr w:rsidR="00653262" w:rsidRPr="003E3BFD" w14:paraId="510D0D1A" w14:textId="77777777" w:rsidTr="00A23238">
        <w:tc>
          <w:tcPr>
            <w:tcW w:w="2000" w:type="pct"/>
            <w:vMerge/>
            <w:vAlign w:val="center"/>
          </w:tcPr>
          <w:p w14:paraId="7DF39069"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restart"/>
            <w:vAlign w:val="center"/>
          </w:tcPr>
          <w:p w14:paraId="03F809E1" w14:textId="225236FA"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Labai ret</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5D9FA86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II laipsnio atrioventrikulinė blokada, III laipsnio atrioventrikulinė blokada</w:t>
            </w:r>
          </w:p>
        </w:tc>
      </w:tr>
      <w:tr w:rsidR="00653262" w:rsidRPr="003E3BFD" w14:paraId="22714DA8" w14:textId="77777777" w:rsidTr="00A23238">
        <w:tc>
          <w:tcPr>
            <w:tcW w:w="2000" w:type="pct"/>
            <w:vMerge/>
            <w:vAlign w:val="center"/>
          </w:tcPr>
          <w:p w14:paraId="7CBC7E6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664B0F96"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68A1CE39"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Sinusinio mazgo silpnumo sindromas</w:t>
            </w:r>
          </w:p>
        </w:tc>
      </w:tr>
      <w:tr w:rsidR="00653262" w:rsidRPr="003E3BFD" w14:paraId="1F09F617" w14:textId="77777777" w:rsidTr="00A23238">
        <w:tc>
          <w:tcPr>
            <w:tcW w:w="2000" w:type="pct"/>
            <w:vMerge w:val="restart"/>
            <w:vAlign w:val="center"/>
          </w:tcPr>
          <w:p w14:paraId="6FBCDD8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Kraujagyslių sutrikimai </w:t>
            </w:r>
          </w:p>
        </w:tc>
        <w:tc>
          <w:tcPr>
            <w:tcW w:w="1000" w:type="pct"/>
            <w:vAlign w:val="center"/>
          </w:tcPr>
          <w:p w14:paraId="3B8C5AEA" w14:textId="4713D2A3"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1288A40B" w14:textId="56EC1C10" w:rsidR="00653262" w:rsidRPr="003E3BFD" w:rsidRDefault="00653262" w:rsidP="00EA68E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Nekontroliuojamas kraujo</w:t>
            </w:r>
            <w:r w:rsidR="00EA68E8">
              <w:rPr>
                <w:rFonts w:ascii="Times New Roman" w:eastAsia="Times New Roman" w:hAnsi="Times New Roman" w:cs="Times New Roman"/>
                <w:lang w:val="en-GB" w:eastAsia="sl-SI"/>
              </w:rPr>
              <w:t>spūdis</w:t>
            </w:r>
            <w:r w:rsidRPr="003E3BFD">
              <w:rPr>
                <w:rFonts w:ascii="Times New Roman" w:eastAsia="Times New Roman" w:hAnsi="Times New Roman" w:cs="Times New Roman"/>
                <w:lang w:val="en-GB" w:eastAsia="sl-SI"/>
              </w:rPr>
              <w:t xml:space="preserve"> </w:t>
            </w:r>
          </w:p>
        </w:tc>
      </w:tr>
      <w:tr w:rsidR="00653262" w:rsidRPr="003E3BFD" w14:paraId="33DB9CEB" w14:textId="77777777" w:rsidTr="00A23238">
        <w:tc>
          <w:tcPr>
            <w:tcW w:w="2000" w:type="pct"/>
            <w:vMerge/>
            <w:vAlign w:val="center"/>
          </w:tcPr>
          <w:p w14:paraId="5C329DC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Align w:val="center"/>
          </w:tcPr>
          <w:p w14:paraId="1CDAE74E" w14:textId="5E848B6F"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14E86E49" w14:textId="3AFD70BF" w:rsidR="00653262" w:rsidRPr="003E3BFD" w:rsidRDefault="00EA68E8" w:rsidP="00A23238">
            <w:pPr>
              <w:widowControl w:val="0"/>
              <w:autoSpaceDE w:val="0"/>
              <w:autoSpaceDN w:val="0"/>
              <w:adjustRightInd w:val="0"/>
              <w:ind w:left="0" w:firstLine="0"/>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Kraujospūdžio</w:t>
            </w:r>
            <w:r w:rsidR="00653262" w:rsidRPr="003E3BFD">
              <w:rPr>
                <w:rFonts w:ascii="Times New Roman" w:eastAsia="Times New Roman" w:hAnsi="Times New Roman" w:cs="Times New Roman"/>
                <w:lang w:val="en-GB" w:eastAsia="sl-SI"/>
              </w:rPr>
              <w:t xml:space="preserve"> sumažėjimas, galimai susijęs su bradikardija</w:t>
            </w:r>
          </w:p>
        </w:tc>
      </w:tr>
      <w:tr w:rsidR="00653262" w:rsidRPr="003E3BFD" w14:paraId="7B737045" w14:textId="77777777" w:rsidTr="00A23238">
        <w:tc>
          <w:tcPr>
            <w:tcW w:w="2000" w:type="pct"/>
            <w:vAlign w:val="center"/>
          </w:tcPr>
          <w:p w14:paraId="0B1FB845"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Kvėpavimo sistemos, krūtinės ląstos ir tarpuplaučio sutrikimai</w:t>
            </w:r>
          </w:p>
        </w:tc>
        <w:tc>
          <w:tcPr>
            <w:tcW w:w="1000" w:type="pct"/>
            <w:vAlign w:val="center"/>
          </w:tcPr>
          <w:p w14:paraId="5AECDAD3" w14:textId="1DE60176"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4B93AD7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Dispnėja </w:t>
            </w:r>
          </w:p>
        </w:tc>
      </w:tr>
      <w:tr w:rsidR="00653262" w:rsidRPr="003E3BFD" w14:paraId="642A31CD" w14:textId="77777777" w:rsidTr="00A23238">
        <w:tc>
          <w:tcPr>
            <w:tcW w:w="2000" w:type="pct"/>
            <w:vMerge w:val="restart"/>
            <w:vAlign w:val="center"/>
          </w:tcPr>
          <w:p w14:paraId="16A6FB6F"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Virškinimo trakto sutrikimai</w:t>
            </w:r>
          </w:p>
        </w:tc>
        <w:tc>
          <w:tcPr>
            <w:tcW w:w="1000" w:type="pct"/>
            <w:vMerge w:val="restart"/>
            <w:vAlign w:val="center"/>
          </w:tcPr>
          <w:p w14:paraId="1F088840" w14:textId="1BD2C112"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255FB833"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Pykinimas</w:t>
            </w:r>
          </w:p>
        </w:tc>
      </w:tr>
      <w:tr w:rsidR="00653262" w:rsidRPr="003E3BFD" w14:paraId="17CA175F" w14:textId="77777777" w:rsidTr="00A23238">
        <w:tc>
          <w:tcPr>
            <w:tcW w:w="2000" w:type="pct"/>
            <w:vMerge/>
            <w:vAlign w:val="center"/>
          </w:tcPr>
          <w:p w14:paraId="41C564EE"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4CBDE809"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2C7B787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Vidurių užkietėjimas </w:t>
            </w:r>
          </w:p>
        </w:tc>
      </w:tr>
      <w:tr w:rsidR="00653262" w:rsidRPr="003E3BFD" w14:paraId="1D225834" w14:textId="77777777" w:rsidTr="00A23238">
        <w:tc>
          <w:tcPr>
            <w:tcW w:w="2000" w:type="pct"/>
            <w:vMerge/>
            <w:vAlign w:val="center"/>
          </w:tcPr>
          <w:p w14:paraId="3EEF67AF"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01698C0E"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492EA2A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Viduriavimas</w:t>
            </w:r>
          </w:p>
        </w:tc>
      </w:tr>
      <w:tr w:rsidR="00653262" w:rsidRPr="003E3BFD" w14:paraId="24450BBC" w14:textId="77777777" w:rsidTr="00A23238">
        <w:tc>
          <w:tcPr>
            <w:tcW w:w="2000" w:type="pct"/>
            <w:vMerge/>
            <w:vAlign w:val="center"/>
          </w:tcPr>
          <w:p w14:paraId="499E940A"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63A2129B"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5BB0AF6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Skausmas pilve* </w:t>
            </w:r>
          </w:p>
        </w:tc>
      </w:tr>
      <w:tr w:rsidR="00653262" w:rsidRPr="003E3BFD" w14:paraId="23B662AB" w14:textId="77777777" w:rsidTr="00A23238">
        <w:tc>
          <w:tcPr>
            <w:tcW w:w="2000" w:type="pct"/>
            <w:vMerge w:val="restart"/>
            <w:vAlign w:val="center"/>
          </w:tcPr>
          <w:p w14:paraId="07DFE991"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Odos ir poodinio audinio sutrikimai </w:t>
            </w:r>
          </w:p>
        </w:tc>
        <w:tc>
          <w:tcPr>
            <w:tcW w:w="1000" w:type="pct"/>
            <w:vMerge w:val="restart"/>
            <w:vAlign w:val="center"/>
          </w:tcPr>
          <w:p w14:paraId="341010FB" w14:textId="7F4581AA"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67683497"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Angioneurozinė edema</w:t>
            </w:r>
          </w:p>
        </w:tc>
      </w:tr>
      <w:tr w:rsidR="00653262" w:rsidRPr="003E3BFD" w14:paraId="66DDD2A6" w14:textId="77777777" w:rsidTr="00A23238">
        <w:tc>
          <w:tcPr>
            <w:tcW w:w="2000" w:type="pct"/>
            <w:vMerge/>
            <w:vAlign w:val="center"/>
          </w:tcPr>
          <w:p w14:paraId="26F3FD7C"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79503CD5"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163ABFD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Bėrimas </w:t>
            </w:r>
          </w:p>
        </w:tc>
      </w:tr>
      <w:tr w:rsidR="00653262" w:rsidRPr="003E3BFD" w14:paraId="4F60ED06" w14:textId="77777777" w:rsidTr="00A23238">
        <w:tc>
          <w:tcPr>
            <w:tcW w:w="2000" w:type="pct"/>
            <w:vMerge/>
            <w:vAlign w:val="center"/>
          </w:tcPr>
          <w:p w14:paraId="66E711B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restart"/>
            <w:vAlign w:val="center"/>
          </w:tcPr>
          <w:p w14:paraId="499F19B4" w14:textId="288C4474"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Ret</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77A9FD22" w14:textId="1E957E90" w:rsidR="00653262" w:rsidRPr="003E3BFD" w:rsidRDefault="00EA68E8" w:rsidP="00EA68E8">
            <w:pPr>
              <w:widowControl w:val="0"/>
              <w:autoSpaceDE w:val="0"/>
              <w:autoSpaceDN w:val="0"/>
              <w:adjustRightInd w:val="0"/>
              <w:ind w:left="0" w:firstLine="0"/>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R</w:t>
            </w:r>
            <w:r w:rsidR="00653262" w:rsidRPr="003E3BFD">
              <w:rPr>
                <w:rFonts w:ascii="Times New Roman" w:eastAsia="Times New Roman" w:hAnsi="Times New Roman" w:cs="Times New Roman"/>
                <w:lang w:val="en-GB" w:eastAsia="sl-SI"/>
              </w:rPr>
              <w:t>audon</w:t>
            </w:r>
            <w:r>
              <w:rPr>
                <w:rFonts w:ascii="Times New Roman" w:eastAsia="Times New Roman" w:hAnsi="Times New Roman" w:cs="Times New Roman"/>
                <w:lang w:val="en-GB" w:eastAsia="sl-SI"/>
              </w:rPr>
              <w:t>ė (eritema)</w:t>
            </w:r>
            <w:r w:rsidR="00653262" w:rsidRPr="003E3BFD">
              <w:rPr>
                <w:rFonts w:ascii="Times New Roman" w:eastAsia="Times New Roman" w:hAnsi="Times New Roman" w:cs="Times New Roman"/>
                <w:lang w:val="en-GB" w:eastAsia="sl-SI"/>
              </w:rPr>
              <w:t xml:space="preserve"> </w:t>
            </w:r>
          </w:p>
        </w:tc>
      </w:tr>
      <w:tr w:rsidR="00653262" w:rsidRPr="003E3BFD" w14:paraId="2A0C82BA" w14:textId="77777777" w:rsidTr="00A23238">
        <w:tc>
          <w:tcPr>
            <w:tcW w:w="2000" w:type="pct"/>
            <w:vMerge/>
            <w:vAlign w:val="center"/>
          </w:tcPr>
          <w:p w14:paraId="5471D9C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2EBC253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02EBC5B6" w14:textId="68251BA6" w:rsidR="00653262" w:rsidRPr="003E3BFD" w:rsidRDefault="00653262" w:rsidP="00EA68E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Niež</w:t>
            </w:r>
            <w:r w:rsidR="00EA68E8">
              <w:rPr>
                <w:rFonts w:ascii="Times New Roman" w:eastAsia="Times New Roman" w:hAnsi="Times New Roman" w:cs="Times New Roman"/>
                <w:lang w:val="en-GB" w:eastAsia="sl-SI"/>
              </w:rPr>
              <w:t>ėjimas</w:t>
            </w:r>
          </w:p>
        </w:tc>
      </w:tr>
      <w:tr w:rsidR="00653262" w:rsidRPr="003E3BFD" w14:paraId="65CD437B" w14:textId="77777777" w:rsidTr="00A23238">
        <w:tc>
          <w:tcPr>
            <w:tcW w:w="2000" w:type="pct"/>
            <w:vMerge/>
            <w:vAlign w:val="center"/>
          </w:tcPr>
          <w:p w14:paraId="3CFFE879"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40863EB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79204392"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Dilgėlinė </w:t>
            </w:r>
          </w:p>
        </w:tc>
      </w:tr>
      <w:tr w:rsidR="00653262" w:rsidRPr="003E3BFD" w14:paraId="2ACAACDE" w14:textId="77777777" w:rsidTr="00A23238">
        <w:tc>
          <w:tcPr>
            <w:tcW w:w="2000" w:type="pct"/>
            <w:vAlign w:val="center"/>
          </w:tcPr>
          <w:p w14:paraId="0EA2A0E0"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Skeleto, raumenų ir jungiamojo audinio sutrikimai </w:t>
            </w:r>
          </w:p>
        </w:tc>
        <w:tc>
          <w:tcPr>
            <w:tcW w:w="1000" w:type="pct"/>
            <w:vAlign w:val="center"/>
          </w:tcPr>
          <w:p w14:paraId="10026707" w14:textId="282AECFC"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47372D1E"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Raumenų </w:t>
            </w:r>
            <w:r w:rsidR="00546990">
              <w:rPr>
                <w:rFonts w:ascii="Times New Roman" w:eastAsia="Times New Roman" w:hAnsi="Times New Roman" w:cs="Times New Roman"/>
                <w:lang w:val="en-GB" w:eastAsia="sl-SI"/>
              </w:rPr>
              <w:t>spazmai</w:t>
            </w:r>
          </w:p>
        </w:tc>
      </w:tr>
      <w:tr w:rsidR="0041541C" w:rsidRPr="003E3BFD" w14:paraId="52A06F26" w14:textId="77777777" w:rsidTr="00A23238">
        <w:tc>
          <w:tcPr>
            <w:tcW w:w="2000" w:type="pct"/>
            <w:vAlign w:val="center"/>
          </w:tcPr>
          <w:p w14:paraId="0ACEA043" w14:textId="4C3F4793" w:rsidR="0041541C" w:rsidRPr="003E3BFD" w:rsidRDefault="0041541C" w:rsidP="00A23238">
            <w:pPr>
              <w:widowControl w:val="0"/>
              <w:autoSpaceDE w:val="0"/>
              <w:autoSpaceDN w:val="0"/>
              <w:adjustRightInd w:val="0"/>
              <w:ind w:left="0" w:firstLine="0"/>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Inkstų ir šlapimo takų sutrikimai</w:t>
            </w:r>
          </w:p>
        </w:tc>
        <w:tc>
          <w:tcPr>
            <w:tcW w:w="1000" w:type="pct"/>
            <w:vAlign w:val="center"/>
          </w:tcPr>
          <w:p w14:paraId="33E6EA08" w14:textId="11D24708" w:rsidR="0041541C" w:rsidRPr="003E3BFD" w:rsidRDefault="0041541C" w:rsidP="00A23238">
            <w:pPr>
              <w:widowControl w:val="0"/>
              <w:autoSpaceDE w:val="0"/>
              <w:autoSpaceDN w:val="0"/>
              <w:adjustRightInd w:val="0"/>
              <w:ind w:left="0" w:firstLine="0"/>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p>
        </w:tc>
        <w:tc>
          <w:tcPr>
            <w:tcW w:w="2000" w:type="pct"/>
            <w:vAlign w:val="center"/>
          </w:tcPr>
          <w:p w14:paraId="3CACF785" w14:textId="3C645A1E" w:rsidR="0041541C" w:rsidRPr="003E3BFD" w:rsidRDefault="005E62EA" w:rsidP="00A23238">
            <w:pPr>
              <w:widowControl w:val="0"/>
              <w:autoSpaceDE w:val="0"/>
              <w:autoSpaceDN w:val="0"/>
              <w:adjustRightInd w:val="0"/>
              <w:ind w:left="0" w:firstLine="0"/>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Kreatino kiekio</w:t>
            </w:r>
            <w:r w:rsidR="0041541C">
              <w:rPr>
                <w:rFonts w:ascii="Times New Roman" w:eastAsia="Times New Roman" w:hAnsi="Times New Roman" w:cs="Times New Roman"/>
                <w:lang w:val="en-GB" w:eastAsia="sl-SI"/>
              </w:rPr>
              <w:t xml:space="preserve"> </w:t>
            </w:r>
            <w:r>
              <w:rPr>
                <w:rFonts w:ascii="Times New Roman" w:eastAsia="Times New Roman" w:hAnsi="Times New Roman" w:cs="Times New Roman"/>
                <w:lang w:val="en-GB" w:eastAsia="sl-SI"/>
              </w:rPr>
              <w:t xml:space="preserve">padidėjimas </w:t>
            </w:r>
            <w:r w:rsidR="0041541C">
              <w:rPr>
                <w:rFonts w:ascii="Times New Roman" w:eastAsia="Times New Roman" w:hAnsi="Times New Roman" w:cs="Times New Roman"/>
                <w:lang w:val="en-GB" w:eastAsia="sl-SI"/>
              </w:rPr>
              <w:t>kraujyje</w:t>
            </w:r>
          </w:p>
        </w:tc>
      </w:tr>
      <w:tr w:rsidR="00653262" w:rsidRPr="003E3BFD" w14:paraId="3C9BC604" w14:textId="77777777" w:rsidTr="00A23238">
        <w:tc>
          <w:tcPr>
            <w:tcW w:w="2000" w:type="pct"/>
            <w:vMerge w:val="restart"/>
            <w:vAlign w:val="center"/>
          </w:tcPr>
          <w:p w14:paraId="3C5699BD"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Bendrieji sutrikimai ir vartojimo vietos pažeidimai </w:t>
            </w:r>
          </w:p>
        </w:tc>
        <w:tc>
          <w:tcPr>
            <w:tcW w:w="1000" w:type="pct"/>
            <w:vMerge w:val="restart"/>
            <w:vAlign w:val="center"/>
          </w:tcPr>
          <w:p w14:paraId="6154C060" w14:textId="4AFBBC52"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0B64FF1E"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Astenija, galimai susijusi su bradikardija </w:t>
            </w:r>
          </w:p>
        </w:tc>
      </w:tr>
      <w:tr w:rsidR="00653262" w:rsidRPr="003E3BFD" w14:paraId="5B9AAB6D" w14:textId="77777777" w:rsidTr="00A23238">
        <w:tc>
          <w:tcPr>
            <w:tcW w:w="2000" w:type="pct"/>
            <w:vMerge/>
            <w:vAlign w:val="center"/>
          </w:tcPr>
          <w:p w14:paraId="3F08500F"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Merge/>
            <w:vAlign w:val="center"/>
          </w:tcPr>
          <w:p w14:paraId="3CF429AA"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2000" w:type="pct"/>
            <w:vAlign w:val="center"/>
          </w:tcPr>
          <w:p w14:paraId="7DEF2CE8"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Nuovargis, galimai susijęs su bradikardija</w:t>
            </w:r>
          </w:p>
        </w:tc>
      </w:tr>
      <w:tr w:rsidR="00653262" w:rsidRPr="003E3BFD" w14:paraId="5AA991B9" w14:textId="77777777" w:rsidTr="00A23238">
        <w:tc>
          <w:tcPr>
            <w:tcW w:w="2000" w:type="pct"/>
            <w:vMerge/>
            <w:vAlign w:val="center"/>
          </w:tcPr>
          <w:p w14:paraId="57AF6B35"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p>
        </w:tc>
        <w:tc>
          <w:tcPr>
            <w:tcW w:w="1000" w:type="pct"/>
            <w:vAlign w:val="center"/>
          </w:tcPr>
          <w:p w14:paraId="7FB0BEB2" w14:textId="36747B65"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Ret</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3A90A8D4" w14:textId="77777777" w:rsidR="00653262" w:rsidRPr="003E3BFD" w:rsidRDefault="00653262"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Negalavimas, galimai susijęs su bradikardija</w:t>
            </w:r>
          </w:p>
        </w:tc>
      </w:tr>
      <w:tr w:rsidR="005E62EA" w:rsidRPr="003E3BFD" w14:paraId="6AAA666F" w14:textId="77777777" w:rsidTr="00CE047D">
        <w:trPr>
          <w:trHeight w:val="516"/>
        </w:trPr>
        <w:tc>
          <w:tcPr>
            <w:tcW w:w="2000" w:type="pct"/>
            <w:vAlign w:val="center"/>
          </w:tcPr>
          <w:p w14:paraId="364855B4" w14:textId="77777777" w:rsidR="005E62EA" w:rsidRPr="003E3BFD" w:rsidRDefault="005E62EA"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Tyrimai </w:t>
            </w:r>
          </w:p>
        </w:tc>
        <w:tc>
          <w:tcPr>
            <w:tcW w:w="1000" w:type="pct"/>
            <w:vAlign w:val="center"/>
          </w:tcPr>
          <w:p w14:paraId="100C98A9" w14:textId="2DAE90DB" w:rsidR="005E62EA" w:rsidRPr="003E3BFD" w:rsidRDefault="005E62EA" w:rsidP="00A23238">
            <w:pPr>
              <w:widowControl w:val="0"/>
              <w:autoSpaceDE w:val="0"/>
              <w:autoSpaceDN w:val="0"/>
              <w:adjustRightInd w:val="0"/>
              <w:ind w:left="0" w:firstLine="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Nedažn</w:t>
            </w:r>
            <w:r w:rsidR="00CE047D">
              <w:rPr>
                <w:rFonts w:ascii="Times New Roman" w:eastAsia="Times New Roman" w:hAnsi="Times New Roman" w:cs="Times New Roman"/>
                <w:lang w:val="en-GB" w:eastAsia="sl-SI"/>
              </w:rPr>
              <w:t>as</w:t>
            </w:r>
            <w:r w:rsidRPr="003E3BFD">
              <w:rPr>
                <w:rFonts w:ascii="Times New Roman" w:eastAsia="Times New Roman" w:hAnsi="Times New Roman" w:cs="Times New Roman"/>
                <w:lang w:val="en-GB" w:eastAsia="sl-SI"/>
              </w:rPr>
              <w:t xml:space="preserve"> </w:t>
            </w:r>
          </w:p>
        </w:tc>
        <w:tc>
          <w:tcPr>
            <w:tcW w:w="2000" w:type="pct"/>
            <w:vAlign w:val="center"/>
          </w:tcPr>
          <w:p w14:paraId="5392E96A" w14:textId="71296194" w:rsidR="005E62EA" w:rsidRPr="003E3BFD" w:rsidRDefault="005E62EA" w:rsidP="00A23238">
            <w:pPr>
              <w:widowControl w:val="0"/>
              <w:autoSpaceDE w:val="0"/>
              <w:autoSpaceDN w:val="0"/>
              <w:adjustRightInd w:val="0"/>
              <w:ind w:left="0" w:firstLine="0"/>
              <w:rPr>
                <w:rFonts w:ascii="Times New Roman" w:eastAsia="Times New Roman" w:hAnsi="Times New Roman" w:cs="Times New Roman"/>
                <w:lang w:val="en-GB" w:eastAsia="sl-SI"/>
              </w:rPr>
            </w:pPr>
          </w:p>
          <w:p w14:paraId="4E493CB2" w14:textId="5B914D12" w:rsidR="005E62EA" w:rsidRPr="003E3BFD" w:rsidRDefault="005E62EA" w:rsidP="00A23238">
            <w:pPr>
              <w:widowControl w:val="0"/>
              <w:autoSpaceDE w:val="0"/>
              <w:autoSpaceDN w:val="0"/>
              <w:adjustRightInd w:val="0"/>
              <w:ind w:left="0"/>
              <w:rPr>
                <w:rFonts w:ascii="Times New Roman" w:eastAsia="Times New Roman" w:hAnsi="Times New Roman" w:cs="Times New Roman"/>
                <w:lang w:val="en-GB" w:eastAsia="sl-SI"/>
              </w:rPr>
            </w:pPr>
            <w:r w:rsidRPr="003E3BFD">
              <w:rPr>
                <w:rFonts w:ascii="Times New Roman" w:eastAsia="Times New Roman" w:hAnsi="Times New Roman" w:cs="Times New Roman"/>
                <w:lang w:val="en-GB" w:eastAsia="sl-SI"/>
              </w:rPr>
              <w:t xml:space="preserve">EKG </w:t>
            </w:r>
            <w:r w:rsidR="006D2051">
              <w:rPr>
                <w:rFonts w:ascii="Times New Roman" w:eastAsia="Times New Roman" w:hAnsi="Times New Roman" w:cs="Times New Roman"/>
                <w:lang w:val="en-GB" w:eastAsia="sl-SI"/>
              </w:rPr>
              <w:t>P</w:t>
            </w:r>
            <w:r w:rsidRPr="003E3BFD">
              <w:rPr>
                <w:rFonts w:ascii="Times New Roman" w:eastAsia="Times New Roman" w:hAnsi="Times New Roman" w:cs="Times New Roman"/>
                <w:lang w:val="en-GB" w:eastAsia="sl-SI"/>
              </w:rPr>
              <w:t xml:space="preserve">ailgėjęs Q-T intervalas </w:t>
            </w:r>
          </w:p>
        </w:tc>
      </w:tr>
    </w:tbl>
    <w:p w14:paraId="4096575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Dažnis apskaičiuotas pagal gautus spontaninius pranešimus apie nepageidaujamus reiškinius klinikinių tyrimų metu.</w:t>
      </w:r>
    </w:p>
    <w:p w14:paraId="62A2439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060778D5" w14:textId="72A29820"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 xml:space="preserve">Atrinktų nepageidaujamų reakcijų </w:t>
      </w:r>
      <w:r w:rsidR="00EA68E8">
        <w:rPr>
          <w:rFonts w:ascii="Times New Roman" w:eastAsia="Calibri" w:hAnsi="Times New Roman" w:cs="Times New Roman"/>
          <w:color w:val="000000"/>
          <w:u w:val="single"/>
          <w:lang w:eastAsia="lt-LT"/>
        </w:rPr>
        <w:t>apibūdinimas</w:t>
      </w:r>
    </w:p>
    <w:p w14:paraId="67B344B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Regimieji šviesos fenomenai (fosfenai) atsirado 14,5</w:t>
      </w:r>
      <w:r w:rsidR="005469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tiriamųjų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Fotopsija dažniausiai pasireiškia per pirmus 2 gydymo mėnesius ir gali kartotis. Paprastai ji būna silpna arba vidutinio stiprumo. Gydymo metu arba po jo fotopsija išnyksta, daugiausiai (77,5</w:t>
      </w:r>
      <w:r w:rsidR="005469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ji išnyksta gydymo metu. Mažiau negu 1</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dėl tokio poveikio pakeitė įprastinį dienos rėžimą arba nutraukė vaistinio preparato vartojimą.</w:t>
      </w:r>
    </w:p>
    <w:p w14:paraId="6360094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Bradikardija buvo nustatyta 3,3</w:t>
      </w:r>
      <w:r w:rsidR="005469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daugiausiai per pirmuosius 2 – 3 gydymo mėnesius. 0,5</w:t>
      </w:r>
      <w:r w:rsidR="00546990">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tiriamųjų bradikardija buvo sunki, t. y. širdis susitraukinėjo 40 kartų per minutę arba rečiau.</w:t>
      </w:r>
    </w:p>
    <w:p w14:paraId="7651D398" w14:textId="7046915D" w:rsidR="00653262" w:rsidRPr="003E3BFD" w:rsidRDefault="00294F87" w:rsidP="00653262">
      <w:pPr>
        <w:widowControl w:val="0"/>
        <w:tabs>
          <w:tab w:val="left" w:pos="567"/>
        </w:tabs>
        <w:autoSpaceDE w:val="0"/>
        <w:autoSpaceDN w:val="0"/>
        <w:adjustRightInd w:val="0"/>
        <w:ind w:left="0" w:firstLine="0"/>
        <w:jc w:val="both"/>
        <w:rPr>
          <w:rFonts w:ascii="Times New Roman" w:eastAsia="Calibri" w:hAnsi="Times New Roman" w:cs="Times New Roman"/>
          <w:color w:val="000000"/>
          <w:lang w:eastAsia="lt-LT"/>
        </w:rPr>
      </w:pPr>
      <w:r w:rsidRPr="00294F87">
        <w:rPr>
          <w:rFonts w:ascii="Times New Roman" w:eastAsia="Times New Roman" w:hAnsi="Times New Roman" w:cs="Times New Roman"/>
          <w:lang w:val="en-GB" w:eastAsia="sl-SI"/>
        </w:rPr>
        <w:t>SIGNIFY</w:t>
      </w:r>
      <w:r w:rsidRPr="003E3BFD">
        <w:rPr>
          <w:rFonts w:ascii="Times New Roman" w:eastAsia="Calibri" w:hAnsi="Times New Roman" w:cs="Times New Roman"/>
          <w:color w:val="000000"/>
          <w:lang w:eastAsia="lt-LT"/>
        </w:rPr>
        <w:t xml:space="preserve"> </w:t>
      </w:r>
      <w:r>
        <w:rPr>
          <w:rFonts w:ascii="Times New Roman" w:eastAsia="Calibri" w:hAnsi="Times New Roman" w:cs="Times New Roman"/>
          <w:color w:val="000000"/>
          <w:lang w:eastAsia="lt-LT"/>
        </w:rPr>
        <w:t>t</w:t>
      </w:r>
      <w:r w:rsidR="00653262" w:rsidRPr="003E3BFD">
        <w:rPr>
          <w:rFonts w:ascii="Times New Roman" w:eastAsia="Calibri" w:hAnsi="Times New Roman" w:cs="Times New Roman"/>
          <w:color w:val="000000"/>
          <w:lang w:eastAsia="lt-LT"/>
        </w:rPr>
        <w:t>yrime prieširdžių virpėjimas buvo stebimas 5,3</w:t>
      </w:r>
      <w:r w:rsidR="00546990">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 ivabradinu gydytų pacientų grupėje, palyginti su 3,8</w:t>
      </w:r>
      <w:r w:rsidR="00592DB7">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 placebo grupėje. Apibendrintoje visų II/III fazės dvigubai koduotų kontroliuojamų klinikinių tyrimų, kurių trukmė buvo mažiausiai 3 mėnesiai, įtraukiant daugiau kaip 40</w:t>
      </w:r>
      <w:r w:rsidR="00F825D9">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000</w:t>
      </w:r>
      <w:r w:rsidR="00F825D9">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pacientų, analizėje prieširdžių virpėjimo dažnis buvo 4,86</w:t>
      </w:r>
      <w:r w:rsidR="00592DB7">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 ivabradinu gydytų pacientų, palyginti su 4,08</w:t>
      </w:r>
      <w:r w:rsidR="00592DB7">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 kontrolinių pacientų; tai atitiko rizikos santykį, lygų 1,26; 95</w:t>
      </w:r>
      <w:r w:rsidR="00592DB7">
        <w:rPr>
          <w:rFonts w:ascii="Times New Roman" w:eastAsia="Calibri" w:hAnsi="Times New Roman" w:cs="Times New Roman"/>
          <w:color w:val="000000"/>
          <w:lang w:eastAsia="lt-LT"/>
        </w:rPr>
        <w:t> </w:t>
      </w:r>
      <w:r w:rsidR="00653262" w:rsidRPr="003E3BFD">
        <w:rPr>
          <w:rFonts w:ascii="Times New Roman" w:eastAsia="Calibri" w:hAnsi="Times New Roman" w:cs="Times New Roman"/>
          <w:color w:val="000000"/>
          <w:lang w:eastAsia="lt-LT"/>
        </w:rPr>
        <w:t>% pasikliaujamasis intervalas [1,15–1,39].</w:t>
      </w:r>
    </w:p>
    <w:p w14:paraId="325E58C7" w14:textId="77777777" w:rsidR="003F4EE5" w:rsidRDefault="003F4EE5" w:rsidP="00653262">
      <w:pPr>
        <w:widowControl w:val="0"/>
        <w:tabs>
          <w:tab w:val="left" w:pos="567"/>
        </w:tabs>
        <w:autoSpaceDE w:val="0"/>
        <w:autoSpaceDN w:val="0"/>
        <w:adjustRightInd w:val="0"/>
        <w:ind w:left="0" w:firstLine="0"/>
        <w:jc w:val="both"/>
        <w:rPr>
          <w:rFonts w:ascii="Times New Roman" w:eastAsia="Calibri" w:hAnsi="Times New Roman" w:cs="Times New Roman"/>
          <w:color w:val="000000"/>
          <w:lang w:eastAsia="lt-LT"/>
        </w:rPr>
      </w:pPr>
    </w:p>
    <w:p w14:paraId="3C2F5B64" w14:textId="58F2023F" w:rsidR="00653262" w:rsidRDefault="003F4EE5" w:rsidP="00653262">
      <w:pPr>
        <w:widowControl w:val="0"/>
        <w:tabs>
          <w:tab w:val="left" w:pos="567"/>
        </w:tabs>
        <w:autoSpaceDE w:val="0"/>
        <w:autoSpaceDN w:val="0"/>
        <w:adjustRightInd w:val="0"/>
        <w:ind w:left="0" w:firstLine="0"/>
        <w:jc w:val="both"/>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SHIFT tyrimų metu kraujo spaudimas labiau padidėjo pacientams, kurie buvo gydomi ivabradinu (7,1</w:t>
      </w:r>
      <w:r>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palyginti su pacientais, kurie gavo placebo (6,1</w:t>
      </w:r>
      <w:r>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xml:space="preserve">%). Šie epizodai iš karto pasireiškė daug dažniau, kai </w:t>
      </w:r>
      <w:r>
        <w:rPr>
          <w:rFonts w:ascii="Times New Roman" w:eastAsia="Calibri" w:hAnsi="Times New Roman" w:cs="Times New Roman"/>
          <w:color w:val="000000"/>
          <w:lang w:eastAsia="lt-LT"/>
        </w:rPr>
        <w:t>kraujospūdžio</w:t>
      </w:r>
      <w:r w:rsidRPr="003E3BFD">
        <w:rPr>
          <w:rFonts w:ascii="Times New Roman" w:eastAsia="Calibri" w:hAnsi="Times New Roman" w:cs="Times New Roman"/>
          <w:color w:val="000000"/>
          <w:lang w:eastAsia="lt-LT"/>
        </w:rPr>
        <w:t xml:space="preserve"> gydymas buvo keičiamas, buvo praeinantis ir neturėjo įtakos gydymui ivabradinu.</w:t>
      </w:r>
    </w:p>
    <w:p w14:paraId="574D0254" w14:textId="77777777" w:rsidR="003F4EE5" w:rsidRPr="003E3BFD" w:rsidRDefault="003F4EE5" w:rsidP="00653262">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rPr>
      </w:pPr>
    </w:p>
    <w:p w14:paraId="7FD1D7D4" w14:textId="77777777" w:rsidR="00653262" w:rsidRPr="00294F87" w:rsidRDefault="00653262" w:rsidP="00653262">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rPr>
      </w:pPr>
      <w:r w:rsidRPr="00294F87">
        <w:rPr>
          <w:rFonts w:ascii="Times New Roman" w:eastAsia="Times New Roman" w:hAnsi="Times New Roman" w:cs="Times New Roman"/>
          <w:noProof/>
          <w:snapToGrid w:val="0"/>
          <w:u w:val="single"/>
        </w:rPr>
        <w:t>Pranešimas apie įtariamas nepageidaujamas reakcijas</w:t>
      </w:r>
    </w:p>
    <w:p w14:paraId="3051CB50" w14:textId="1E2376E0" w:rsidR="00653262" w:rsidRPr="00294F87" w:rsidRDefault="00EA68E8" w:rsidP="00653262">
      <w:pPr>
        <w:widowControl w:val="0"/>
        <w:tabs>
          <w:tab w:val="left" w:pos="567"/>
        </w:tabs>
        <w:ind w:left="0" w:firstLine="0"/>
        <w:rPr>
          <w:rFonts w:ascii="Times New Roman" w:eastAsia="Times New Roman" w:hAnsi="Times New Roman" w:cs="Times New Roman"/>
          <w:snapToGrid w:val="0"/>
        </w:rPr>
      </w:pPr>
      <w:r w:rsidRPr="009166EB">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w:t>
      </w:r>
      <w:r w:rsidRPr="0061017A">
        <w:rPr>
          <w:rFonts w:ascii="Times New Roman" w:eastAsia="Calibri" w:hAnsi="Times New Roman" w:cs="Times New Roman"/>
        </w:rPr>
        <w:t xml:space="preserve">nformacinėje sistemoje </w:t>
      </w:r>
      <w:hyperlink r:id="rId7" w:history="1">
        <w:r w:rsidRPr="0009751A">
          <w:rPr>
            <w:rFonts w:ascii="Times New Roman" w:eastAsia="Calibri" w:hAnsi="Times New Roman" w:cs="Times New Roman"/>
          </w:rPr>
          <w:t>https://vapris.vvkt.lt/vvkt-web/public/nrvSpecialist</w:t>
        </w:r>
      </w:hyperlink>
      <w:r w:rsidRPr="00294F87">
        <w:rPr>
          <w:rFonts w:ascii="Times New Roman" w:eastAsia="Calibri" w:hAnsi="Times New Roman" w:cs="Times New Roman"/>
        </w:rPr>
        <w:t xml:space="preserve"> arba užpildę Sveikatos priežiūros ar farmacijos specialisto pranešimo apie įtariamą nepageidaujamą reakciją formą, kuri skelbiama </w:t>
      </w:r>
      <w:hyperlink r:id="rId8" w:history="1">
        <w:r w:rsidRPr="0009751A">
          <w:rPr>
            <w:rFonts w:ascii="Times New Roman" w:eastAsia="Calibri" w:hAnsi="Times New Roman" w:cs="Times New Roman"/>
          </w:rPr>
          <w:t>https://www.vvkt.lt/index.php?1399030386</w:t>
        </w:r>
      </w:hyperlink>
      <w:r w:rsidRPr="00294F87">
        <w:rPr>
          <w:rFonts w:ascii="Times New Roman" w:eastAsia="Calibri" w:hAnsi="Times New Roman" w:cs="Times New Roman"/>
        </w:rPr>
        <w:t xml:space="preserve">, ir atsiųsti elektroniniu paštu (adresu </w:t>
      </w:r>
      <w:hyperlink r:id="rId9" w:history="1">
        <w:r w:rsidRPr="00294F87">
          <w:rPr>
            <w:rFonts w:ascii="Times New Roman" w:eastAsia="Calibri" w:hAnsi="Times New Roman" w:cs="Times New Roman"/>
          </w:rPr>
          <w:t>NepageidaujamaR@vvkt.lt</w:t>
        </w:r>
      </w:hyperlink>
      <w:r w:rsidRPr="00294F87">
        <w:rPr>
          <w:rFonts w:ascii="Times New Roman" w:eastAsia="Calibri" w:hAnsi="Times New Roman" w:cs="Times New Roman"/>
        </w:rPr>
        <w:t>).</w:t>
      </w:r>
      <w:r w:rsidRPr="0009751A">
        <w:rPr>
          <w:rFonts w:ascii="Times New Roman" w:hAnsi="Times New Roman" w:cs="Times New Roman"/>
          <w:noProof/>
          <w:szCs w:val="24"/>
        </w:rPr>
        <w:t xml:space="preserve"> </w:t>
      </w:r>
    </w:p>
    <w:p w14:paraId="4CF19A1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BB18958"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4.9</w:t>
      </w:r>
      <w:r w:rsidRPr="003E3BFD">
        <w:rPr>
          <w:rFonts w:ascii="Times New Roman" w:eastAsia="Times New Roman" w:hAnsi="Times New Roman" w:cs="Times New Roman"/>
          <w:b/>
          <w:bCs/>
          <w:snapToGrid w:val="0"/>
          <w:lang w:eastAsia="x-none"/>
        </w:rPr>
        <w:tab/>
        <w:t>Perdozavimas</w:t>
      </w:r>
    </w:p>
    <w:p w14:paraId="14EEF42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E182C8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Simptomai</w:t>
      </w:r>
    </w:p>
    <w:p w14:paraId="70719DD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Vaistinio preparato perdozavus, gali pasireikšti sunki, ilgalaikė bradikardija (žr. 4.8 skyrių).</w:t>
      </w:r>
    </w:p>
    <w:p w14:paraId="51C06C8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5E0FB4B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Gydymas</w:t>
      </w:r>
    </w:p>
    <w:p w14:paraId="1B954D4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Sunkią bradikardiją reikia gydyti specializuotame skyriuje simptominėmis priemonėmis. Jeigu atsiranda bradikardija, kurios metu blogai toleruojama hemodinamika, būtinas simptominis gydymas, įskaitant į veną leidžiamų beta adrenoreceptorius stimuliuojančių vaistinių preparatų, pvz., izoprenalino, vartojimą. Prireikus naudojamas elektrinis širdies stimuliatorius.</w:t>
      </w:r>
    </w:p>
    <w:p w14:paraId="49C2E42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4B8797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4180838"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w:t>
      </w:r>
      <w:r w:rsidRPr="003E3BFD">
        <w:rPr>
          <w:rFonts w:ascii="Times New Roman" w:eastAsia="Times New Roman" w:hAnsi="Times New Roman" w:cs="Times New Roman"/>
          <w:b/>
          <w:bCs/>
          <w:snapToGrid w:val="0"/>
          <w:lang w:eastAsia="x-none"/>
        </w:rPr>
        <w:tab/>
        <w:t>FARMAKOLOGINĖS SAVYBĖS</w:t>
      </w:r>
    </w:p>
    <w:p w14:paraId="6900253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5A04C6D"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5.1</w:t>
      </w:r>
      <w:r w:rsidRPr="003E3BFD">
        <w:rPr>
          <w:rFonts w:ascii="Times New Roman" w:eastAsia="Times New Roman" w:hAnsi="Times New Roman" w:cs="Times New Roman"/>
          <w:b/>
          <w:bCs/>
          <w:snapToGrid w:val="0"/>
          <w:lang w:eastAsia="x-none"/>
        </w:rPr>
        <w:tab/>
        <w:t>Farmakodinaminės savybės</w:t>
      </w:r>
    </w:p>
    <w:p w14:paraId="31A0DA3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2DF9FE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Farmakoterapinė grupė: širdį veikiantys vaistai, kiti širdį veikiantys vaistai, ATC kodas − C01EB17.</w:t>
      </w:r>
    </w:p>
    <w:p w14:paraId="5805744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44A6CB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Veikimo mechanizmas</w:t>
      </w:r>
    </w:p>
    <w:p w14:paraId="163A47D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Ivabradinas yra grynas širdies ritmą lėtinantis vaistinis preparatas, selektyviai ir specifiškai slopinantis širdies ritmo vedlio ląstelių joninę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f</w:t>
      </w:r>
      <w:r w:rsidRPr="003E3BFD">
        <w:rPr>
          <w:rFonts w:ascii="Times New Roman" w:eastAsia="Calibri" w:hAnsi="Times New Roman" w:cs="Times New Roman"/>
          <w:color w:val="000000"/>
          <w:lang w:eastAsia="lt-LT"/>
        </w:rPr>
        <w:t xml:space="preserve"> srovę, reguliuojančią spontaninę diastolinę depoliarizaciją sinusiniame mazge ir širdies susitraukimų dažnį. Preparatas specifiškai veikia sinusinį mazgą, poveikio impulso sklidimo prieširdžiais, per atrioventrikulinį mazgą ir skilveliais greičiui, miokardo kontraktilumui bei skilvelių repoliarizacijai nedaro.</w:t>
      </w:r>
    </w:p>
    <w:p w14:paraId="54E2808F"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Ivabradinas gali daryti poveikį ir tinklainės joninei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h</w:t>
      </w:r>
      <w:r w:rsidRPr="003E3BFD">
        <w:rPr>
          <w:rFonts w:ascii="Times New Roman" w:eastAsia="Calibri" w:hAnsi="Times New Roman" w:cs="Times New Roman"/>
          <w:color w:val="000000"/>
          <w:lang w:eastAsia="lt-LT"/>
        </w:rPr>
        <w:t xml:space="preserve"> srovei, kuri yra labai panaši į širdies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f</w:t>
      </w:r>
      <w:r w:rsidRPr="003E3BFD">
        <w:rPr>
          <w:rFonts w:ascii="Times New Roman" w:eastAsia="Calibri" w:hAnsi="Times New Roman" w:cs="Times New Roman"/>
          <w:color w:val="000000"/>
          <w:lang w:eastAsia="lt-LT"/>
        </w:rPr>
        <w:t xml:space="preserve"> srovę. Srovė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h</w:t>
      </w:r>
      <w:r w:rsidRPr="003E3BFD">
        <w:rPr>
          <w:rFonts w:ascii="Times New Roman" w:eastAsia="Calibri" w:hAnsi="Times New Roman" w:cs="Times New Roman"/>
          <w:color w:val="000000"/>
          <w:lang w:eastAsia="lt-LT"/>
        </w:rPr>
        <w:t xml:space="preserve"> yra svarbi laikinam regos sistemos persitvarkymui, kadangi trumpina tinklainės reakciją į ryškios šviesos dirgiklius. Postūmio (pvz., staigiai keičiantis šviesos ryškumui) sąlygomis ivabradino sukeliamas dalinis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h</w:t>
      </w:r>
      <w:r w:rsidRPr="003E3BFD">
        <w:rPr>
          <w:rFonts w:ascii="Times New Roman" w:eastAsia="Calibri" w:hAnsi="Times New Roman" w:cs="Times New Roman"/>
          <w:color w:val="000000"/>
          <w:lang w:eastAsia="lt-LT"/>
        </w:rPr>
        <w:t xml:space="preserve"> srovės slopinimas yra regimojo šviesos fenomeno, kuris kartais atsiranda kai kuriems pacientams, pagrindas. Fotopsija apibūdinama kaip trumpalaikis ryškumo padidėjimas ribotoje regos lauko dalyje (žr. 4.8 skyrių).</w:t>
      </w:r>
    </w:p>
    <w:p w14:paraId="106AC10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A7CADB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Farmakodinaminis poveikis</w:t>
      </w:r>
    </w:p>
    <w:p w14:paraId="4C20525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Svarbiausias ivabradino sukeliamas poveikis žmogui yra specifinis nuo dozės dydžio priklausomas širdies ritmo lėtinimas. 2 kartus per parą vartojamų ne didesnių kaip 20 mg dozių sukeliamo širdies ritmo sulėtėjimo analizė rodo tendenciją į plato efektą, kuris dera su sunkios bradikardijos, t. y. retesnio nei 40 tvinksnių per minutę širdies ritmo, rizikos mažėjimu (žr. 4.8 skyrių).</w:t>
      </w:r>
    </w:p>
    <w:p w14:paraId="0F02C04D"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Vartojant įprastinę rekomenduojamą dozę, širdies ritmas ramybės ir fizinių pratimų metu sulėtėja maždaug 10 tvinksnių. Dėl to sumažėja širdies atliekamo darbo kiekis ir deguonies sunaudojimas miokarde. Įtakos intrakardialiniam laidumui, širdies kontraktilumui (neigiamo inotropinio poveikio nesukelia) ir skilvelių repoliaricacijai ivabradinas nedaro:</w:t>
      </w:r>
    </w:p>
    <w:p w14:paraId="7797F966" w14:textId="77777777" w:rsidR="00653262" w:rsidRPr="003E3BFD" w:rsidRDefault="00653262" w:rsidP="00D879D6">
      <w:pPr>
        <w:widowControl w:val="0"/>
        <w:numPr>
          <w:ilvl w:val="0"/>
          <w:numId w:val="19"/>
        </w:numPr>
        <w:autoSpaceDE w:val="0"/>
        <w:autoSpaceDN w:val="0"/>
        <w:adjustRightInd w:val="0"/>
        <w:ind w:left="714" w:hanging="357"/>
        <w:jc w:val="both"/>
        <w:rPr>
          <w:rFonts w:ascii="Times New Roman" w:eastAsia="Times New Roman" w:hAnsi="Times New Roman" w:cs="Times New Roman"/>
          <w:color w:val="000000"/>
          <w:lang w:eastAsia="sl-SI"/>
        </w:rPr>
      </w:pPr>
      <w:r w:rsidRPr="003E3BFD">
        <w:rPr>
          <w:rFonts w:ascii="Times New Roman" w:eastAsia="Times New Roman" w:hAnsi="Times New Roman" w:cs="Times New Roman"/>
          <w:snapToGrid w:val="0"/>
        </w:rPr>
        <w:lastRenderedPageBreak/>
        <w:t>Klinikinių elektrofiziologinių tyrimų metu ivabradinas nedarė poveikio impulso sklidimo per atrioventrikulinį mazgą ir skilveliais laikui arba koreguotam Q-T intervalui;</w:t>
      </w:r>
    </w:p>
    <w:p w14:paraId="1C47BD6F" w14:textId="77777777" w:rsidR="00653262" w:rsidRPr="003E3BFD" w:rsidRDefault="00653262" w:rsidP="00D879D6">
      <w:pPr>
        <w:widowControl w:val="0"/>
        <w:numPr>
          <w:ilvl w:val="0"/>
          <w:numId w:val="19"/>
        </w:numPr>
        <w:autoSpaceDE w:val="0"/>
        <w:autoSpaceDN w:val="0"/>
        <w:adjustRightInd w:val="0"/>
        <w:ind w:left="714" w:hanging="357"/>
        <w:jc w:val="both"/>
        <w:rPr>
          <w:rFonts w:ascii="Times New Roman" w:eastAsia="Times New Roman" w:hAnsi="Times New Roman" w:cs="Times New Roman"/>
          <w:color w:val="000000"/>
          <w:lang w:eastAsia="sl-SI"/>
        </w:rPr>
      </w:pPr>
      <w:r w:rsidRPr="003E3BFD">
        <w:rPr>
          <w:rFonts w:ascii="Times New Roman" w:eastAsia="Times New Roman" w:hAnsi="Times New Roman" w:cs="Times New Roman"/>
          <w:snapToGrid w:val="0"/>
        </w:rPr>
        <w:t xml:space="preserve">Ivabradinas nedarė neigiamos įtakos kairiojo širdies skilvelio išstūmimo frakcijai (KŠSIF) pacientams, kuriems buvo kairiojo širdies skilvelio disfunkcija (KŠSIF: 30 </w:t>
      </w:r>
      <w:r w:rsidR="001B1890">
        <w:rPr>
          <w:rFonts w:ascii="Times New Roman" w:eastAsia="Times New Roman" w:hAnsi="Times New Roman" w:cs="Times New Roman"/>
          <w:snapToGrid w:val="0"/>
        </w:rPr>
        <w:t>–</w:t>
      </w:r>
      <w:r w:rsidRPr="003E3BFD">
        <w:rPr>
          <w:rFonts w:ascii="Times New Roman" w:eastAsia="Times New Roman" w:hAnsi="Times New Roman" w:cs="Times New Roman"/>
          <w:snapToGrid w:val="0"/>
        </w:rPr>
        <w:t xml:space="preserve"> 45</w:t>
      </w:r>
      <w:r w:rsidR="001B1890">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w:t>
      </w:r>
    </w:p>
    <w:p w14:paraId="073B1D13" w14:textId="77777777" w:rsidR="00653262" w:rsidRPr="003E3BFD" w:rsidRDefault="00653262" w:rsidP="00653262">
      <w:pPr>
        <w:widowControl w:val="0"/>
        <w:autoSpaceDE w:val="0"/>
        <w:autoSpaceDN w:val="0"/>
        <w:adjustRightInd w:val="0"/>
        <w:ind w:left="0" w:firstLine="0"/>
        <w:jc w:val="both"/>
        <w:rPr>
          <w:rFonts w:ascii="Times New Roman" w:eastAsia="Times New Roman" w:hAnsi="Times New Roman" w:cs="Times New Roman"/>
          <w:color w:val="000000"/>
          <w:lang w:eastAsia="sl-SI"/>
        </w:rPr>
      </w:pPr>
    </w:p>
    <w:p w14:paraId="01D71BE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Klinikinis veiksmingumas ir saugumas</w:t>
      </w:r>
    </w:p>
    <w:p w14:paraId="345610A9"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Antiangininis ir antiišeminis ivabradino veiksmingumas nustatinėtas penkiais atsitiktinių imčių tyrimais, atliktais dvigubai aklu būdu (trijų tyrimų metu preparato poveikis lygintas su sukeliamu placebo, vieno tyrimo metu − su atenololio ir vieno − su amlodipino). Minėtuose tyrimuose dalyvavo 4111 stabiliąja krūtinės angina sergantys ligoniai, 2617 jų buvo gydomi ivabradinu.</w:t>
      </w:r>
    </w:p>
    <w:p w14:paraId="64C9EF8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u w:val="single"/>
        </w:rPr>
      </w:pPr>
    </w:p>
    <w:p w14:paraId="31F6C724" w14:textId="77777777" w:rsidR="00653262" w:rsidRPr="003E3BFD" w:rsidRDefault="00653262" w:rsidP="00653262">
      <w:pPr>
        <w:widowControl w:val="0"/>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lang w:val="en-GB"/>
        </w:rPr>
        <w:t>Įrodyta, jog vartojant po 5 mg ivabradino 2 kartus per parą, per 3 – 4 savaites pasireiškia veiksmingas poveikis fizinių pratimų testo parametrams. Veiksmingumas patvirtintas vartojant 7,5 mg dozę 2 kartus per parą. Papildoma 2 kartus per parą vartojamos didesnės nei 5 mg dozės nauda nustatyta daugiausiai tyrimu, kurio metu poveikis lygintas su atenololio sukeliamu: po mėnesio gydymo 2 kartus per parą geriama 5 mg doze bendras pratimų toleravimo laikas tuo metu, kai preparato koncentracija mažiausia, pailgėjo 1 minute, o po tolesnių trijų gydymo mėnesių, kurių metu 2 kartus per parą geriama dozė greitai buvo padidinta iki 7,5 mg, minėtas laikas pailgėjo dar 25 sekundėmis. Šiuo tyrimu naudingas antiangininis ir antiišemininis ivabradino poveikis patvirtintas 65 metų ir vyresniems žmonėms. Tyrimų metu 2 kartus per parą vartojama 5 mg arba 7,5 mg dozė visą laiką darė poveikį fizinių pratimų parametrams (bendrai pratimų toleravimo trukmei, krūtinės anginos pasireiškimo ribojimo laikui ir laikui iki krūtinės anginos priepuolio bei ST segmento depresijos 1</w:t>
      </w:r>
      <w:r w:rsidR="00F825D9">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mm) ir maždaug 70</w:t>
      </w:r>
      <w:r w:rsidR="00F825D9">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 suretino krūtinės anginos priepuolius. 2 kartus per parą vartojamo ivabradino veiksmingumas vienodas būna 24 valandas.</w:t>
      </w:r>
    </w:p>
    <w:p w14:paraId="63427349"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074DB51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Atsitiktinių imčių placebu kontroliuojamo tyrimo metu 889 pacientams, vartojantiems 50 mg atenololio vieną kartą per parą, buvo skiriama vartoti ivabradino, kuris papildomai paveikė visus krūvio toleravimo mėginio parametrus mažiausio vaisto poveikio metu (praėjus 12 valandų po vaisto pavartojimo per burną).</w:t>
      </w:r>
    </w:p>
    <w:p w14:paraId="4B296A6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0EE3E7F5"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Atsitiktinės imties kontrolinio (poveikis lygintas su placebo sukeliamu) tyrimo, kuriame dalyvavo 725 pacientai, metu ivabradino, pavartoto tuo metu, kai amlodipino, vartojamo po 10 mg vieną kartą per parą, kiekis kraujyje buvo mažiausias (t. y. praėjus 12 val. po jo pavartojimo), veiksmingumas nebuvo didesnis, tačiau pavartoto tuo metu, kai amlodipino koncentracija kraujo plazmoje buvo didžiausia (t. y. praėjus 3 – 4 val. po jo pavartojimo), veiksmingumas buvo didesnis.</w:t>
      </w:r>
    </w:p>
    <w:p w14:paraId="5846631E"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F5549D2"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 mm ST segmento nusileidimo padidėjimas mažiausiai 60</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xml:space="preserve">s, atliekant fizinio krūvio testą (FKT), pacientui bėgant ant bėgimo takelio), ivabradino skiriant papildomai, kai vartojama amlodipino 5 mg vieną kartą per parą arba nifedipino 30 mg pailginto atpalaidavimo forma </w:t>
      </w:r>
      <w:r w:rsidRPr="003E3BFD">
        <w:rPr>
          <w:rFonts w:ascii="Times New Roman" w:eastAsia="Times New Roman" w:hAnsi="Times New Roman" w:cs="Times New Roman"/>
          <w:i/>
          <w:iCs/>
          <w:snapToGrid w:val="0"/>
        </w:rPr>
        <w:t xml:space="preserve">(GITS – gastrointestinal therapeutic system) </w:t>
      </w:r>
      <w:r w:rsidRPr="003E3BFD">
        <w:rPr>
          <w:rFonts w:ascii="Times New Roman" w:eastAsia="Times New Roman" w:hAnsi="Times New Roman" w:cs="Times New Roman"/>
          <w:snapToGrid w:val="0"/>
        </w:rPr>
        <w:t>vieną kartą per parą, esant mažiausiam vaistinio preparato aktyvumui (praėjus 12 valandų po ivabradino suvartojimo per burną) 6 savaičių gydymo laikotarpiu (santykinė rizika = 1,3, 95</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pasikliautinasis intervalas [1,0–1,7]; p = 0,012). Ivabradinas nepasižymėjo papildomu veiksmingumu antriniams vertinimo kriterijams – FKT parametrams, esant mažiausiam vaistinio preparato aktyvumui, kuomet papildomas veiksmingumas buvo pats didžiausias (3–4 valandos po ivabradino suvartojimo per burną).</w:t>
      </w:r>
    </w:p>
    <w:p w14:paraId="25FDC18D"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2F703E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Veiksmingumo tyrimų metu 3 – 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w:t>
      </w:r>
    </w:p>
    <w:p w14:paraId="295DB24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0A8CFCD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lastRenderedPageBreak/>
        <w:t>Pacientams, kurie ivabradino vartojo mažiausiai vienerius metus (N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713), vaistinis preparatas širdies ritmą visada lėtino. Poveikio gliukozės ir lipidų apykaitai jis nedarė.</w:t>
      </w:r>
    </w:p>
    <w:p w14:paraId="5DCCED5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9BB1581"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Antiangininį ir antiišeminį poveikį ivabradinas sukėlė ir diabetikams (N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457). Jiems preparato poveikis buvo saugus tiek pat kaip kitiems tiriamiesiems.</w:t>
      </w:r>
    </w:p>
    <w:p w14:paraId="3934ADF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3503784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Buvo atliktas didelis pasekmių tyrimas BEAUTIFUL, kuriame dalyvavo 10917 pacientų, sergančių išemine širdies liga ir kairiojo skilvelio disfunkcija (KSIF &lt;</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40</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nepaisant tinkamo gydymo (86,9</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vartojo beta adrenoblokatorius). Pagrindiniai veiksmingumo vertinimo kriterijai buvo kardiovaskulinė mirtis, hospitalizacija dėl ūminio miokardo infarkto arba dėl prasidėjusio ar pasunkėjusio širdies nepakankamumo. Tyrimo duomenimis, anksčiau minėtų kriterijų dažnis ivabradino ir placebo grupėse buvo vienodas (santykinė rizika lyginant ivabradiną su placebu – 1, p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0,945).</w:t>
      </w:r>
    </w:p>
    <w:p w14:paraId="6129626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Tiriant </w:t>
      </w:r>
      <w:r w:rsidRPr="003E3BFD">
        <w:rPr>
          <w:rFonts w:ascii="Times New Roman" w:eastAsia="Calibri" w:hAnsi="Times New Roman" w:cs="Times New Roman"/>
          <w:i/>
          <w:iCs/>
          <w:color w:val="000000"/>
          <w:lang w:eastAsia="lt-LT"/>
        </w:rPr>
        <w:t xml:space="preserve">post hoc </w:t>
      </w:r>
      <w:r w:rsidRPr="003E3BFD">
        <w:rPr>
          <w:rFonts w:ascii="Times New Roman" w:eastAsia="Calibri" w:hAnsi="Times New Roman" w:cs="Times New Roman"/>
          <w:color w:val="000000"/>
          <w:lang w:eastAsia="lt-LT"/>
        </w:rPr>
        <w:t>pogrupio pacientus, sergančius simptomine krūtinės angina ir suskirstytus atsitiktinių imčių būdu (n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1507), nebuvo nustatyta jokio saugumo požymio, susijusio su kardiovaskuline mirtimi ir hospitalizacija dėl ūminio MI ar širdies nepakankamumo (ivabradinas – 12</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palyginti su 15,5</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placebo, p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0,05).</w:t>
      </w:r>
    </w:p>
    <w:p w14:paraId="0BB0EEE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DC8B89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Buvo atliktas didelės apimties išeičių tyrimas SIGNIFY, kuriame dalyvavo 19</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102</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pacientai, sergantys vainikinių arterijų liga, be širdies nepakankamumo su klinikiniais požymiais (kairiojo skilvelio išstūmimo funkcija &gt;</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40</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kuriems taikomas optimaliai suderintas pagrindinis gydymas. Buvo taikyta gydymo schema, kai vaistinio preparato skirta daugiau, nei patvirtinta dozavimo rekomendacijose (pradinė dozė 7,5 mg du kartus per parą (5 mg du kartus per parą, jei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75 metų), titruojant iki 10 mg du kartus per parą). Pagrindinis veiksmingumo vertinimo kriterijus buvo sudėtinis: mirtis nuo širdies ir kraujagyslių ligų arba nemirtinas MI. Tyrime nebuvo nustatytas skirtumo tarp pagrindinio sudėtinio vertinimo kriterijaus (PSVK) dažnio ivabradinu gydytų pacientų grupėje, palyginti su placebo gavusių pacientų grupe (santykinė ivabradino ar placebo rizika 1,08, p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0,197). 17,9</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iš ivabradino grupės buvo pranešta apie bradikardiją (2,1</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iš placebo grupės). Tyrimo metu verapamilio, diltiazemo arba stipraus CYP3A4 inhibitoriaus gavo 7,1</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w:t>
      </w:r>
    </w:p>
    <w:p w14:paraId="385ED2B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12</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049) (dažnis per metus 3,4</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palyginti su 2,9</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santykinė ivabradino ar placebo rizika 1,18, p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0,018), bet ne viso pacientų, kuriems diagnozuota krūtinės angina, populiacijos pogrupyje, kai KKDK klasė ≥ I (n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14</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286) (santykinė ivabradino ar placebo rizika 1,11, p =</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0,110).</w:t>
      </w:r>
    </w:p>
    <w:p w14:paraId="28C7CB52"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Tyrime skirta didesnė, nei patvirtinta dozavimo rekomendacijose, dozė negalėjo visiškai paaiškinti šių rezultatų.</w:t>
      </w:r>
    </w:p>
    <w:p w14:paraId="13CFCBC7"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5C9539B"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lang w:val="en-GB"/>
        </w:rPr>
        <w:t>SHIFT tyrimas buvo daugiacentris, tarptautinis, atsitiktinių imčių, atliktas dvigubai aklu būdu, rezultatus kontroliuojant placebu. Tyrime dalyvavo 6505 suaugę pacientai, kuriems buvo stabilus lėtinis stazinis širdies nepakankamumas (LSŠN) (ilgiau kaip ≥</w:t>
      </w:r>
      <w:r w:rsidR="00F825D9">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4 savaites), nuo II iki IV klasės pagal NYHA funkcinę</w:t>
      </w:r>
      <w:r w:rsidRPr="003E3BFD">
        <w:rPr>
          <w:rFonts w:ascii="Times New Roman" w:eastAsia="TimesNewRomanPSMT" w:hAnsi="Times New Roman" w:cs="Times New Roman"/>
          <w:lang w:eastAsia="lt-LT"/>
        </w:rPr>
        <w:t xml:space="preserve"> </w:t>
      </w:r>
      <w:r w:rsidRPr="003E3BFD">
        <w:rPr>
          <w:rFonts w:ascii="Times New Roman" w:eastAsia="Times New Roman" w:hAnsi="Times New Roman" w:cs="Times New Roman"/>
          <w:snapToGrid w:val="0"/>
        </w:rPr>
        <w:t>klasifikaciją, su sumažėjusia kairiojo skilvelio kraujo išstūmimo frakcija (LVEF≤</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35</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ir ≥</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70 susitraukimų per minutę širdies susitraukimų dažniu ramybės būsenoje.</w:t>
      </w:r>
    </w:p>
    <w:p w14:paraId="379931A2"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0B11E2E8"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Pacientams buvo skiriamas standartinis gydymas, įskaitant beta adrenoblokatorius (89</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AKF inhibitorius ir / arba angiotenzino II antagonistus (91</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diuretikus (83</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ir aldosterono sistemą slopinančius vaistus (60</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w:t>
      </w:r>
    </w:p>
    <w:p w14:paraId="483A8398"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Invabradinu gydomoje grupėje 67</w:t>
      </w:r>
      <w:r w:rsidR="00592DB7">
        <w:rPr>
          <w:rFonts w:ascii="Times New Roman" w:eastAsia="Times New Roman" w:hAnsi="Times New Roman" w:cs="Times New Roman"/>
          <w:snapToGrid w:val="0"/>
        </w:rPr>
        <w:t> </w:t>
      </w:r>
      <w:r w:rsidRPr="003E3BFD">
        <w:rPr>
          <w:rFonts w:ascii="Times New Roman" w:eastAsia="Times New Roman" w:hAnsi="Times New Roman" w:cs="Times New Roman"/>
          <w:snapToGrid w:val="0"/>
        </w:rPr>
        <w:t>% pacientų buvo gydomi 7,5 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w:t>
      </w:r>
    </w:p>
    <w:p w14:paraId="07D74998"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692F0AD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Tyrimai parodė kliniškai ir statistiškai reikšmingą reliatyvų 18</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xml:space="preserve">% rizikos sumažėjimą pagal </w:t>
      </w:r>
      <w:r w:rsidRPr="003E3BFD">
        <w:rPr>
          <w:rFonts w:ascii="Times New Roman" w:eastAsia="Calibri" w:hAnsi="Times New Roman" w:cs="Times New Roman"/>
          <w:color w:val="000000"/>
          <w:lang w:eastAsia="lt-LT"/>
        </w:rPr>
        <w:lastRenderedPageBreak/>
        <w:t>mirtingumo dėl širdies ir kraujagyslių ligos ir hospitalizacijos dėl pasunkėjusio širdies nepakankamumo pirminės vertinamosios baigties rezultatus (santykinė rizika: 0,82, 95</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[0,75; 0,90] – p &lt;</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0,0001), gautus per 3 mėnesius nuo gydymo pradžios. Absoliutus rizikos sumažėjimas buvo 4,2</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w:t>
      </w:r>
    </w:p>
    <w:p w14:paraId="4CC06E1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Pirminius vertinamosios baigties rezultatus pirmiausiai sudarė širdies nepakankamumo galutinė baigtis, hospitalizacija dėl širdies nepakankamumo pasunkėjimo (absoliutus rizikos sumažėjimas 4,7</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ir mirtys dėl širdies nepakankamumo (absoliutus rizikos sumažėjimas 1,1</w:t>
      </w:r>
      <w:r w:rsidR="00592DB7">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w:t>
      </w:r>
    </w:p>
    <w:p w14:paraId="0D4B5B5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EFBF84B"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Gydymo poveikis pirminės vertinamosios baigties rezultatams, jų komponentams ir antriniams baigties rezultatams: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381"/>
        <w:gridCol w:w="1383"/>
        <w:gridCol w:w="1660"/>
        <w:gridCol w:w="933"/>
      </w:tblGrid>
      <w:tr w:rsidR="00653262" w:rsidRPr="003E3BFD" w14:paraId="10240EAA" w14:textId="77777777" w:rsidTr="00A23238">
        <w:trPr>
          <w:trHeight w:val="404"/>
        </w:trPr>
        <w:tc>
          <w:tcPr>
            <w:tcW w:w="2044" w:type="pct"/>
          </w:tcPr>
          <w:p w14:paraId="43710700" w14:textId="77777777" w:rsidR="00653262" w:rsidRPr="003E3BFD" w:rsidRDefault="00653262" w:rsidP="00A23238">
            <w:pPr>
              <w:widowControl w:val="0"/>
              <w:ind w:left="0" w:firstLine="0"/>
              <w:rPr>
                <w:rFonts w:ascii="Times New Roman" w:eastAsia="Times New Roman" w:hAnsi="Times New Roman" w:cs="Times New Roman"/>
                <w:lang w:val="en-GB"/>
              </w:rPr>
            </w:pPr>
          </w:p>
        </w:tc>
        <w:tc>
          <w:tcPr>
            <w:tcW w:w="762" w:type="pct"/>
          </w:tcPr>
          <w:p w14:paraId="622655DA"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Ivabradinas</w:t>
            </w:r>
          </w:p>
          <w:p w14:paraId="73B877A4"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(N=3241)</w:t>
            </w:r>
          </w:p>
          <w:p w14:paraId="06D2BA8E"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n (%)</w:t>
            </w:r>
          </w:p>
        </w:tc>
        <w:tc>
          <w:tcPr>
            <w:tcW w:w="763" w:type="pct"/>
          </w:tcPr>
          <w:p w14:paraId="5D4B8352"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Placebas</w:t>
            </w:r>
          </w:p>
          <w:p w14:paraId="34F9C14C"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(N=3264)</w:t>
            </w:r>
          </w:p>
          <w:p w14:paraId="6C7958A6"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n (%) </w:t>
            </w:r>
          </w:p>
        </w:tc>
        <w:tc>
          <w:tcPr>
            <w:tcW w:w="916" w:type="pct"/>
          </w:tcPr>
          <w:p w14:paraId="064AC28F"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Rizikos santykis</w:t>
            </w:r>
          </w:p>
          <w:p w14:paraId="7D168AF0"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[95</w:t>
            </w:r>
            <w:r w:rsidR="009B25D4">
              <w:rPr>
                <w:rFonts w:ascii="Times New Roman" w:eastAsia="Times New Roman" w:hAnsi="Times New Roman" w:cs="Times New Roman"/>
                <w:lang w:val="en-GB"/>
              </w:rPr>
              <w:t> </w:t>
            </w:r>
            <w:r w:rsidRPr="003E3BFD">
              <w:rPr>
                <w:rFonts w:ascii="Times New Roman" w:eastAsia="Times New Roman" w:hAnsi="Times New Roman" w:cs="Times New Roman"/>
                <w:lang w:val="en-GB"/>
              </w:rPr>
              <w:t xml:space="preserve">% CI] </w:t>
            </w:r>
          </w:p>
        </w:tc>
        <w:tc>
          <w:tcPr>
            <w:tcW w:w="515" w:type="pct"/>
          </w:tcPr>
          <w:p w14:paraId="64DD12B8"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P vertė</w:t>
            </w:r>
          </w:p>
        </w:tc>
      </w:tr>
      <w:tr w:rsidR="00653262" w:rsidRPr="003E3BFD" w14:paraId="6E9F80C2" w14:textId="77777777" w:rsidTr="00A23238">
        <w:trPr>
          <w:trHeight w:val="145"/>
        </w:trPr>
        <w:tc>
          <w:tcPr>
            <w:tcW w:w="2044" w:type="pct"/>
          </w:tcPr>
          <w:p w14:paraId="52533FDC"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Pirminė vertinamoji baigtis</w:t>
            </w:r>
          </w:p>
        </w:tc>
        <w:tc>
          <w:tcPr>
            <w:tcW w:w="762" w:type="pct"/>
          </w:tcPr>
          <w:p w14:paraId="5EC5CC49"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793 (24.47) </w:t>
            </w:r>
          </w:p>
        </w:tc>
        <w:tc>
          <w:tcPr>
            <w:tcW w:w="763" w:type="pct"/>
          </w:tcPr>
          <w:p w14:paraId="653B05E7"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937 (28.71) </w:t>
            </w:r>
          </w:p>
        </w:tc>
        <w:tc>
          <w:tcPr>
            <w:tcW w:w="916" w:type="pct"/>
          </w:tcPr>
          <w:p w14:paraId="245E52A6"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0.82 [0.75; 0.90] </w:t>
            </w:r>
          </w:p>
        </w:tc>
        <w:tc>
          <w:tcPr>
            <w:tcW w:w="515" w:type="pct"/>
          </w:tcPr>
          <w:p w14:paraId="51957B14"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&lt;0.0001 </w:t>
            </w:r>
          </w:p>
        </w:tc>
      </w:tr>
      <w:tr w:rsidR="00653262" w:rsidRPr="003E3BFD" w14:paraId="18F7E3C2" w14:textId="77777777" w:rsidTr="00A23238">
        <w:trPr>
          <w:trHeight w:val="533"/>
        </w:trPr>
        <w:tc>
          <w:tcPr>
            <w:tcW w:w="2044" w:type="pct"/>
          </w:tcPr>
          <w:p w14:paraId="781B9227"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Sudėtiniai komponentai:</w:t>
            </w:r>
          </w:p>
          <w:p w14:paraId="54C2CFCA" w14:textId="77777777" w:rsidR="00653262" w:rsidRPr="003E3BFD" w:rsidRDefault="00653262" w:rsidP="00D879D6">
            <w:pPr>
              <w:widowControl w:val="0"/>
              <w:numPr>
                <w:ilvl w:val="0"/>
                <w:numId w:val="21"/>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Mirtis nuo širdies ir kraujagyslių ligos</w:t>
            </w:r>
          </w:p>
          <w:p w14:paraId="50AA4855" w14:textId="77777777" w:rsidR="00653262" w:rsidRPr="003E3BFD" w:rsidRDefault="00653262" w:rsidP="00D879D6">
            <w:pPr>
              <w:widowControl w:val="0"/>
              <w:numPr>
                <w:ilvl w:val="0"/>
                <w:numId w:val="21"/>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Hospitalizacija dėl širdies nepakankamumo pasunkėjimo </w:t>
            </w:r>
          </w:p>
        </w:tc>
        <w:tc>
          <w:tcPr>
            <w:tcW w:w="762" w:type="pct"/>
          </w:tcPr>
          <w:p w14:paraId="2FA5B774"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449 (13.85)</w:t>
            </w:r>
          </w:p>
          <w:p w14:paraId="037B9710"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514 (15.86) </w:t>
            </w:r>
          </w:p>
        </w:tc>
        <w:tc>
          <w:tcPr>
            <w:tcW w:w="763" w:type="pct"/>
          </w:tcPr>
          <w:p w14:paraId="375F03F3"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491 (15.04)</w:t>
            </w:r>
          </w:p>
          <w:p w14:paraId="53275186"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672 (20.59) </w:t>
            </w:r>
          </w:p>
        </w:tc>
        <w:tc>
          <w:tcPr>
            <w:tcW w:w="916" w:type="pct"/>
          </w:tcPr>
          <w:p w14:paraId="266F7020"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0.91 [0.80; 1.03]</w:t>
            </w:r>
          </w:p>
          <w:p w14:paraId="1C2D4B6D"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0.74 [0.66; 0.83] </w:t>
            </w:r>
          </w:p>
        </w:tc>
        <w:tc>
          <w:tcPr>
            <w:tcW w:w="515" w:type="pct"/>
          </w:tcPr>
          <w:p w14:paraId="10B3593C"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0.128</w:t>
            </w:r>
          </w:p>
          <w:p w14:paraId="4B7314F5"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&lt;0.0001 </w:t>
            </w:r>
          </w:p>
        </w:tc>
      </w:tr>
      <w:tr w:rsidR="00653262" w:rsidRPr="003E3BFD" w14:paraId="54452603" w14:textId="77777777" w:rsidTr="00A23238">
        <w:trPr>
          <w:trHeight w:val="663"/>
        </w:trPr>
        <w:tc>
          <w:tcPr>
            <w:tcW w:w="2044" w:type="pct"/>
          </w:tcPr>
          <w:p w14:paraId="78E93A67"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Kiti antrinės baigties rezultatai:</w:t>
            </w:r>
          </w:p>
          <w:p w14:paraId="267272B6" w14:textId="77777777" w:rsidR="00653262" w:rsidRPr="003E3BFD" w:rsidRDefault="00653262" w:rsidP="00D879D6">
            <w:pPr>
              <w:widowControl w:val="0"/>
              <w:numPr>
                <w:ilvl w:val="0"/>
                <w:numId w:val="20"/>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Visos mirties priežastys</w:t>
            </w:r>
          </w:p>
          <w:p w14:paraId="0FA77C2C" w14:textId="77777777" w:rsidR="00653262" w:rsidRPr="003E3BFD" w:rsidRDefault="00653262" w:rsidP="00D879D6">
            <w:pPr>
              <w:widowControl w:val="0"/>
              <w:numPr>
                <w:ilvl w:val="0"/>
                <w:numId w:val="20"/>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Mirtis dėl širdies nepakankamumo</w:t>
            </w:r>
          </w:p>
          <w:p w14:paraId="27536579" w14:textId="77777777" w:rsidR="00653262" w:rsidRPr="003E3BFD" w:rsidRDefault="00653262" w:rsidP="00D879D6">
            <w:pPr>
              <w:widowControl w:val="0"/>
              <w:numPr>
                <w:ilvl w:val="0"/>
                <w:numId w:val="20"/>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Visos hospitalizacijos priežastys</w:t>
            </w:r>
          </w:p>
          <w:p w14:paraId="4568A35B" w14:textId="77777777" w:rsidR="00653262" w:rsidRPr="003E3BFD" w:rsidRDefault="00653262" w:rsidP="00D879D6">
            <w:pPr>
              <w:widowControl w:val="0"/>
              <w:numPr>
                <w:ilvl w:val="0"/>
                <w:numId w:val="20"/>
              </w:numPr>
              <w:tabs>
                <w:tab w:val="left" w:pos="567"/>
              </w:tabs>
              <w:ind w:left="714" w:hanging="357"/>
              <w:rPr>
                <w:rFonts w:ascii="Times New Roman" w:eastAsia="Times New Roman" w:hAnsi="Times New Roman" w:cs="Times New Roman"/>
                <w:lang w:val="en-GB"/>
              </w:rPr>
            </w:pPr>
            <w:r w:rsidRPr="003E3BFD">
              <w:rPr>
                <w:rFonts w:ascii="Times New Roman" w:eastAsia="Times New Roman" w:hAnsi="Times New Roman" w:cs="Times New Roman"/>
                <w:lang w:val="en-GB"/>
              </w:rPr>
              <w:t>Hospitalizacija dėl širdies ir kraujagyslių ligos</w:t>
            </w:r>
          </w:p>
        </w:tc>
        <w:tc>
          <w:tcPr>
            <w:tcW w:w="762" w:type="pct"/>
          </w:tcPr>
          <w:p w14:paraId="5A4FB013"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503 (15.52)</w:t>
            </w:r>
          </w:p>
          <w:p w14:paraId="3E22B6D3"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113 (3.49)</w:t>
            </w:r>
          </w:p>
          <w:p w14:paraId="54CC8209"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1231 (37.98)</w:t>
            </w:r>
          </w:p>
          <w:p w14:paraId="44A574C0"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977 (30.15) </w:t>
            </w:r>
          </w:p>
        </w:tc>
        <w:tc>
          <w:tcPr>
            <w:tcW w:w="763" w:type="pct"/>
          </w:tcPr>
          <w:p w14:paraId="1A7CCFA8"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552 (16.91)</w:t>
            </w:r>
          </w:p>
          <w:p w14:paraId="413714B5"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151 (4.63)</w:t>
            </w:r>
          </w:p>
          <w:p w14:paraId="792231D3"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1356 (41.54)</w:t>
            </w:r>
          </w:p>
          <w:p w14:paraId="2FDE7632"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1122 (34.38) </w:t>
            </w:r>
          </w:p>
        </w:tc>
        <w:tc>
          <w:tcPr>
            <w:tcW w:w="916" w:type="pct"/>
          </w:tcPr>
          <w:p w14:paraId="04693076"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0.90 [0.80; 1.02]</w:t>
            </w:r>
          </w:p>
          <w:p w14:paraId="5274DF9B"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0.74 [0.58;0.94]</w:t>
            </w:r>
          </w:p>
          <w:p w14:paraId="68B314BF"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0.89 [0.82;0.96]</w:t>
            </w:r>
          </w:p>
          <w:p w14:paraId="392FE29E"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0.85 [0.78; 0.92] </w:t>
            </w:r>
          </w:p>
        </w:tc>
        <w:tc>
          <w:tcPr>
            <w:tcW w:w="515" w:type="pct"/>
          </w:tcPr>
          <w:p w14:paraId="7D158B35"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0.092</w:t>
            </w:r>
          </w:p>
          <w:p w14:paraId="3E8A58DB"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0.014</w:t>
            </w:r>
          </w:p>
          <w:p w14:paraId="5C7F92E9"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0.003</w:t>
            </w:r>
          </w:p>
          <w:p w14:paraId="2533EE2E" w14:textId="77777777" w:rsidR="00653262" w:rsidRPr="003E3BFD" w:rsidRDefault="00653262" w:rsidP="00A23238">
            <w:pPr>
              <w:widowControl w:val="0"/>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 xml:space="preserve">0.0002 </w:t>
            </w:r>
          </w:p>
        </w:tc>
      </w:tr>
    </w:tbl>
    <w:p w14:paraId="7BD02FFB"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7CCDA9C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Pirminės baigties rezultatų mažėjimas buvo nuolat stebimas nepriklausomai nuo lyties, NYHA klasės, išeminio ar neišeminio širdies nepakankamumo etiologijos bei nuo diabeto ar hipertenzinės ligos istorijos.</w:t>
      </w:r>
    </w:p>
    <w:p w14:paraId="78F7A31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4F389B2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Pacientų, kurių širdies susitraukimų dažnis buvo ≥ 75 susitraukimai per minutę (n =</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4150), pogrupyje buvo stebimas 24</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didesnis pirminės vertinamosios baigties sumažėjimas (santykinė rizika: 0,76,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w:t>
      </w:r>
      <w:r w:rsidR="009B25D4">
        <w:rPr>
          <w:rFonts w:ascii="Times New Roman" w:eastAsia="Calibri" w:hAnsi="Times New Roman" w:cs="Times New Roman"/>
          <w:color w:val="000000"/>
          <w:lang w:eastAsia="lt-LT"/>
        </w:rPr>
        <w:t xml:space="preserve"> </w:t>
      </w:r>
      <w:r w:rsidRPr="003E3BFD">
        <w:rPr>
          <w:rFonts w:ascii="Times New Roman" w:eastAsia="Calibri" w:hAnsi="Times New Roman" w:cs="Times New Roman"/>
          <w:color w:val="000000"/>
          <w:lang w:eastAsia="lt-LT"/>
        </w:rPr>
        <w:t>CI [0,68; 0,85] – p &lt; 0,0001) ir kitos antrinės baigties, įskaitant mirtis dėl visų priežasčių (santykinė rizika: 0,83,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[0,72; 0,96] – p = 0,0109), bei mirties nuo širdies ir kraujagyslių ligos (santykinė rizika: 0,83,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[0,71; 0,97] – p = 0,0166). Šiame pacientų pogrupyje ivabradino saugumo duomenys atitinka visos gydytų pacientų grupės saugumo duomenis.</w:t>
      </w:r>
    </w:p>
    <w:p w14:paraId="49A5BD8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7664B60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Reikšmingas poveikis pirminei vertinamajai baigčiai buvo stebimas visoje beta adrenoblokatoriais gydytų pacientų grupėje (santykinė rizika: 0,85,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[0,76; 0,94]). Pacientų, kurių širdies susitraukimų dažnis buvo ≥</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75 susitraukimai per minutę, pogrupyje, skiriant rekomenduojamas tikslines beta adrenoblokatorių dozes, statistiškai reikšmingos naudos pirminei vertinamajai baigčiai (santykinė rizika: 0,97,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[0,74; 1,28]), antrinei baigčiai, įskaitant hospitalizaciją dėl širdies nepakankamumo pasunkėjimo (santykinė rizika: 0,79, 95</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[0,56; 1,10]) ir mirties dėl širdies nepakankamumo (santykinė rizika: 0,69, 95</w:t>
      </w:r>
      <w:r w:rsidR="00734A48">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CI [0,31; 1,53]) pastebėta nebuvo.</w:t>
      </w:r>
    </w:p>
    <w:p w14:paraId="10A7865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05DA0EE1"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Pagal NYHA klasę, buvo stebimas žymus pagerėjimas pagal paskutinę užfiksuotą vertę. Pagerėjimas užfiksuotas 887 (28</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ivabradinu gydytiems pacientams, palyginti su 776 (24</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pacientais, gavusiais placebo (p =</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0,001).</w:t>
      </w:r>
    </w:p>
    <w:p w14:paraId="19797B99" w14:textId="77777777" w:rsidR="00653262" w:rsidRPr="003E3BFD" w:rsidRDefault="00653262" w:rsidP="00653262">
      <w:pPr>
        <w:widowControl w:val="0"/>
        <w:ind w:left="0" w:firstLine="0"/>
        <w:rPr>
          <w:rFonts w:ascii="Times New Roman" w:eastAsia="Calibri" w:hAnsi="Times New Roman" w:cs="Times New Roman"/>
          <w:color w:val="000000"/>
          <w:lang w:eastAsia="lt-LT"/>
        </w:rPr>
      </w:pPr>
    </w:p>
    <w:p w14:paraId="6487565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Remiantis 97 pacientų, dalyvavusių atsitiktinių imčių placebu kontroliuojamajame tyrime, duomenimis, kurie buvo renkami atliekant specialius oftalmologijos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w:t>
      </w:r>
    </w:p>
    <w:p w14:paraId="3708964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5F793A77"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Vaikų populiacija</w:t>
      </w:r>
    </w:p>
    <w:p w14:paraId="48C4D4E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Atliktas atsitiktinės atrankos, dvigubo kodavimo,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 Pradinė vaistinio preparato dozė buvo po 0,02 mg/kg du kartus per parą 6–12 mėnesių kūdikiams, po 0,05 mg/kg du kartus per parą 1–3 metų vaikams ir 3–18 metų vaikams bei paaugliams, jei jie svėrė &lt; 40</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kg, po 2,5 mg/kg du kartus per parą 3–18 metų vaikams bei paaugliams, jei jie svėrė ≥ 40</w:t>
      </w:r>
      <w:r w:rsidR="009B25D4">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kg. Vaistinio preparato dozė buvo pritaikyta, atsižvelgiant į gydymo atsaką, didžiausios dozės atitinkamai buvo 0,2 mg/kg du kartus per parą, 0,3 mg/kg du kartus per parą ir 15 mg. Šiame tyrime ivabradinas buvo skiriamas geriamąja skysta arba tablečių forma du kartus per parą kasdien. Atvirame atsitiktinės atrankos dviejų laikotarpių kryžminiame tyrime, kuriame dalyvavo 24 suaugę sveiki savanoriai, buvo nustatyta, kad tarp šių dviejų vaistinio preparato formų farmakokinetinio skirtumo nėra.</w:t>
      </w:r>
    </w:p>
    <w:p w14:paraId="42295EF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2–8 savaičių dozės titravimo laikotarpiu 69,9</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pacientų, gydytų ivabradinu, buvo pasiektas širdies dažnio sumažėjimas 20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be bradikardijos, palyginti su 12,2</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xml:space="preserve">% placebo vartojusių pacientų grupėje (galimybių santykis (ang. </w:t>
      </w:r>
      <w:r w:rsidRPr="003E3BFD">
        <w:rPr>
          <w:rFonts w:ascii="Times New Roman" w:eastAsia="Calibri" w:hAnsi="Times New Roman" w:cs="Times New Roman"/>
          <w:i/>
          <w:iCs/>
          <w:color w:val="000000"/>
          <w:lang w:eastAsia="lt-LT"/>
        </w:rPr>
        <w:t>Odds ratio</w:t>
      </w:r>
      <w:r w:rsidRPr="003E3BFD">
        <w:rPr>
          <w:rFonts w:ascii="Times New Roman" w:eastAsia="Calibri" w:hAnsi="Times New Roman" w:cs="Times New Roman"/>
          <w:color w:val="000000"/>
          <w:lang w:eastAsia="lt-LT"/>
        </w:rPr>
        <w:t>): E = 17,24, 95</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pasikliautinasis intervalas [5,91; 50,30]).</w:t>
      </w:r>
    </w:p>
    <w:p w14:paraId="482C0B0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Ivabradino dozių (vartojant mg/kg du kartus per parą), kuriomis galima pasiekti širdies dažnio sumažėjimą 20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vidurkiai buvo 0,13 ± 0,04 mg/kg du kartus per parą, 0,10 ± 0,04 mg/kg du kartus per parą ir 4,1 ± 2,2 mg du kartus per parą atitinkamai 1–3 metų vaikams, 3–18 metų vaikams bei paaugliams, jei jie svėrė &lt; 40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kg, ir 3–18 metų vaikams bei paaugliams, jei jie svėrė ≥</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40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kg. Kairiojo skilvelio išstūmimo frakcijos vidurkis ivabradinu gydytų pacientų grupėje padidėjo nuo 31,8</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iki 45,3</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esant M012, palyginti su padidėjimu nuo 35,4</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iki 42,3</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placebo gavusių pacientų grupėje. NYHA klasės pagerėjimas nustatytas 37,7</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ivabradinu gydytų pacientų, palyginti su 25,0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placebo gavusių pacientų. Šie teigiami pokyčiai nebuvo statistiškai reikšmingi.</w:t>
      </w:r>
    </w:p>
    <w:p w14:paraId="5CB016A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Vienų metų vartojimo laikotarpiu vaistinio preparato saugumo duomenys buvo panašūs į aprašytuosius suaugusiems pacientams, sergantiems lėtiniu širdies nepakankamumu.</w:t>
      </w:r>
    </w:p>
    <w:p w14:paraId="6A631D2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77632CD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32BD6BF0"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7E292A8" w14:textId="77777777" w:rsidR="00653262" w:rsidRPr="003E3BFD" w:rsidRDefault="00653262" w:rsidP="00653262">
      <w:pPr>
        <w:spacing w:line="259" w:lineRule="auto"/>
        <w:ind w:left="0" w:firstLine="0"/>
        <w:rPr>
          <w:rFonts w:ascii="Times New Roman" w:eastAsia="Calibri" w:hAnsi="Times New Roman" w:cs="Times New Roman"/>
        </w:rPr>
      </w:pPr>
      <w:r w:rsidRPr="003E3BFD">
        <w:rPr>
          <w:rFonts w:ascii="Times New Roman" w:eastAsia="Calibri" w:hAnsi="Times New Roman" w:cs="Times New Roman"/>
        </w:rPr>
        <w:t>Europos vaistų agentūra atleido nuo įpareigojimo pateikti referencinio vaistinio preparato, kurio veiklioji medžiaga ivabradinas, tyrimų su visais vaikų populiacijos pogrupiais duomenis gydant krūtinės anginą.</w:t>
      </w:r>
    </w:p>
    <w:p w14:paraId="3A2100E9" w14:textId="77777777" w:rsidR="00653262" w:rsidRPr="003E3BFD" w:rsidRDefault="00653262" w:rsidP="00653262">
      <w:pPr>
        <w:spacing w:line="259" w:lineRule="auto"/>
        <w:ind w:left="0" w:firstLine="0"/>
        <w:rPr>
          <w:rFonts w:ascii="Times New Roman" w:eastAsia="Calibri" w:hAnsi="Times New Roman" w:cs="Times New Roman"/>
        </w:rPr>
      </w:pPr>
    </w:p>
    <w:p w14:paraId="1F2CC83B" w14:textId="77777777" w:rsidR="00653262" w:rsidRPr="003E3BFD" w:rsidRDefault="00653262" w:rsidP="00653262">
      <w:pPr>
        <w:spacing w:line="259" w:lineRule="auto"/>
        <w:ind w:left="0" w:firstLine="0"/>
        <w:rPr>
          <w:rFonts w:ascii="Times New Roman" w:eastAsia="Calibri" w:hAnsi="Times New Roman" w:cs="Times New Roman"/>
        </w:rPr>
      </w:pPr>
      <w:r w:rsidRPr="003E3BFD">
        <w:rPr>
          <w:rFonts w:ascii="Times New Roman" w:eastAsia="Calibri" w:hAnsi="Times New Roman" w:cs="Times New Roman"/>
        </w:rPr>
        <w:t>Europos vaistų agentūra atleido nuo įpareigojimo pateikti tyrimų, kuriuose skiriama referencinio vaistinio preparato, kurio sudėtyje yra ivabradino vaikų nuo 0 iki 6 mėnesių amžiaus lėtiniam širdies nepakankamumui gydyti, duomenis.</w:t>
      </w:r>
    </w:p>
    <w:p w14:paraId="140A5441"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6B4F0CC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5.2</w:t>
      </w:r>
      <w:r w:rsidRPr="003E3BFD">
        <w:rPr>
          <w:rFonts w:ascii="Times New Roman" w:eastAsia="Times New Roman" w:hAnsi="Times New Roman" w:cs="Times New Roman"/>
          <w:b/>
          <w:bCs/>
          <w:snapToGrid w:val="0"/>
          <w:lang w:eastAsia="x-none"/>
        </w:rPr>
        <w:tab/>
        <w:t>Farmakokinetinės savybės</w:t>
      </w:r>
    </w:p>
    <w:p w14:paraId="52A99C29"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4FD8AC88"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 xml:space="preserve">Fiziologinėmis sąlygomis ivabradinas iš tablečių išsiskiria greitai ir labai gerai tirpsta vandenyje (&gt; 10 mg/ml). </w:t>
      </w:r>
      <w:r w:rsidRPr="003E3BFD">
        <w:rPr>
          <w:rFonts w:ascii="Times New Roman" w:eastAsia="Times New Roman" w:hAnsi="Times New Roman" w:cs="Times New Roman"/>
          <w:snapToGrid w:val="0"/>
          <w:lang w:val="en-GB"/>
        </w:rPr>
        <w:t xml:space="preserve">Jis yra S-enantiomeras, biokonversija </w:t>
      </w:r>
      <w:r w:rsidRPr="003E3BFD">
        <w:rPr>
          <w:rFonts w:ascii="Times New Roman" w:eastAsia="Times New Roman" w:hAnsi="Times New Roman" w:cs="Times New Roman"/>
          <w:i/>
          <w:iCs/>
          <w:snapToGrid w:val="0"/>
          <w:lang w:val="en-GB"/>
        </w:rPr>
        <w:t xml:space="preserve">in vivo </w:t>
      </w:r>
      <w:r w:rsidRPr="003E3BFD">
        <w:rPr>
          <w:rFonts w:ascii="Times New Roman" w:eastAsia="Times New Roman" w:hAnsi="Times New Roman" w:cs="Times New Roman"/>
          <w:snapToGrid w:val="0"/>
          <w:lang w:val="en-GB"/>
        </w:rPr>
        <w:t>neįrodyta. Svarbiausias aktyvus metabolitas, identifikuotas žmogaus organizme, yra N-demetilintas ivabradino darinys.</w:t>
      </w:r>
    </w:p>
    <w:p w14:paraId="465FBCDD" w14:textId="77777777" w:rsidR="00653262" w:rsidRPr="003E3BFD" w:rsidRDefault="00653262" w:rsidP="00653262">
      <w:pPr>
        <w:widowControl w:val="0"/>
        <w:tabs>
          <w:tab w:val="left" w:pos="567"/>
        </w:tabs>
        <w:ind w:left="0" w:right="-142" w:firstLine="0"/>
        <w:rPr>
          <w:rFonts w:ascii="Times New Roman" w:eastAsia="Times New Roman" w:hAnsi="Times New Roman" w:cs="Times New Roman"/>
          <w:snapToGrid w:val="0"/>
        </w:rPr>
      </w:pPr>
    </w:p>
    <w:p w14:paraId="61DD53D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Absorbcija ir biologinis prieinamumas</w:t>
      </w:r>
    </w:p>
    <w:p w14:paraId="02E6F62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Išgertas ivabradinas absorbuojamas greitai ir beveik visas. Preparato išgėrus nevalgius, didžiausia koncentracija kraujo plazmoje atsiranda maždaug po valandos. Absoliutus ivabradino plėvele dengtų tablečių biologinis prieinamumas yra maždaug 40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kadangi dalis jo, prieš patekdama į sisteminę kraujotaką, metabolizuojama žarnyne ir kepenyse.</w:t>
      </w:r>
    </w:p>
    <w:p w14:paraId="717D870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Maistas maždaug 1 valanda uždelsia absorbciją ir 20 </w:t>
      </w:r>
      <w:r w:rsidR="006A1693">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xml:space="preserve"> 30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padidina ekspoziciją kraujo plazmoje. Kad ekspozicija svyruotų mažiau, ivabradino tablečių rekomenduojama gerti po valgio (žr. 4.2 skyrių).</w:t>
      </w:r>
    </w:p>
    <w:p w14:paraId="77B25AC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0528F6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Pasiskirstymas</w:t>
      </w:r>
    </w:p>
    <w:p w14:paraId="4A53C139" w14:textId="77777777" w:rsidR="00653262" w:rsidRPr="003E3BFD" w:rsidRDefault="00653262" w:rsidP="00653262">
      <w:pPr>
        <w:widowControl w:val="0"/>
        <w:tabs>
          <w:tab w:val="left" w:pos="567"/>
        </w:tabs>
        <w:ind w:left="0" w:right="-142"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lastRenderedPageBreak/>
        <w:t>Maždaug 70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ivabradino prisijungia prie kraujo plazmos baltymų, pacientų organizme pasiskirstymo tūris tuo metu, kai koncentracija pusiausvyrinė, yra beveik 100</w:t>
      </w:r>
      <w:r w:rsidR="00F825D9">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l. Nuolat vartojant 5 mg dozę 2 kartus per parą, didžiausia koncentracija kraujo plazmoje būna 22 ng/ml (PI =</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29</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Vidutinė koncentracija kraujo plazmoje, tuo metu, kai nusistovi pusiausvyrinė koncentracija, yra 10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ng/ml (PI =</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38</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w:t>
      </w:r>
    </w:p>
    <w:p w14:paraId="0A289601" w14:textId="77777777" w:rsidR="00653262" w:rsidRPr="003E3BFD" w:rsidRDefault="00653262" w:rsidP="00653262">
      <w:pPr>
        <w:widowControl w:val="0"/>
        <w:tabs>
          <w:tab w:val="left" w:pos="567"/>
        </w:tabs>
        <w:ind w:left="0" w:right="-142" w:firstLine="0"/>
        <w:rPr>
          <w:rFonts w:ascii="Times New Roman" w:eastAsia="Calibri" w:hAnsi="Times New Roman" w:cs="Times New Roman"/>
          <w:color w:val="000000"/>
          <w:lang w:eastAsia="lt-LT"/>
        </w:rPr>
      </w:pPr>
    </w:p>
    <w:p w14:paraId="520F663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Biotransformacija</w:t>
      </w:r>
    </w:p>
    <w:p w14:paraId="33D18BF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Kepenyse ir žarnose daug ivabradino metabolizuojama oksidacijos būdu dalyvaujant vien citochromo P 450 3A4 (CYP 3A4) izofermentams. Svarbiausias veiklus metabolitas yra N-demetilintas darinys S 18982, kurio ekspozicija yra maždaug 40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ivabradino ekspozicijos. Šį veiklų metabolitą metabolizuoja irgi CYP 3A4 izofermentai. Ivabradino afinitetas CYP 3A4 izofermentams yra mažas, klinikai reikšmingai jų neindukuoja ir neslopina, todėl CYP 3A4 substratų metabolizmo ir koncentracijos kraujyje jis neturėtų keisti. Ir, priešingai, stiprūs šių fermentų inhibitoriai ar induktoriai ivabradino koncentraciją kraujyje gali gerokai pakeisti (žr. 4.5 skyrių).</w:t>
      </w:r>
    </w:p>
    <w:p w14:paraId="08F2AAB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p>
    <w:p w14:paraId="608B11B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Eliminacija</w:t>
      </w:r>
    </w:p>
    <w:p w14:paraId="52340D1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Pusinės ivabradino eliminacijos laikas kraujo plazmoje (AUC sumažėjimas 70 </w:t>
      </w:r>
      <w:r w:rsidR="006A1693">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xml:space="preserve"> 75</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xml:space="preserve">%) yra 2 val., efektyvios </w:t>
      </w:r>
      <w:r w:rsidR="006A1693">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xml:space="preserve"> 11</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val. Bendras klirensas yra 400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ml/min., klirensas inkstuose − maždaug 70</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ml/min. Tiek pat metabolitų išskiria ir su šlapimu, ir su išmatomis. Apie 4</w:t>
      </w:r>
      <w:r w:rsidR="006A1693">
        <w:rPr>
          <w:rFonts w:ascii="Times New Roman" w:eastAsia="Calibri" w:hAnsi="Times New Roman" w:cs="Times New Roman"/>
          <w:color w:val="000000"/>
          <w:lang w:eastAsia="lt-LT"/>
        </w:rPr>
        <w:t> </w:t>
      </w:r>
      <w:r w:rsidRPr="003E3BFD">
        <w:rPr>
          <w:rFonts w:ascii="Times New Roman" w:eastAsia="Calibri" w:hAnsi="Times New Roman" w:cs="Times New Roman"/>
          <w:color w:val="000000"/>
          <w:lang w:eastAsia="lt-LT"/>
        </w:rPr>
        <w:t>% išgertos dozės išsiskiria nepakitusio preparato pavidalu su šlapimu.</w:t>
      </w:r>
    </w:p>
    <w:p w14:paraId="31E6591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6CF469E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Tiesinis / netiesinis pobūdis</w:t>
      </w:r>
    </w:p>
    <w:p w14:paraId="778F6C46" w14:textId="77777777" w:rsidR="00653262" w:rsidRPr="003E3BFD" w:rsidRDefault="00653262" w:rsidP="00653262">
      <w:pPr>
        <w:widowControl w:val="0"/>
        <w:tabs>
          <w:tab w:val="left" w:pos="567"/>
        </w:tabs>
        <w:ind w:left="0" w:right="-142"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0,5 – 24 mg ivabradino dozių kinetika yra tiesinė.</w:t>
      </w:r>
    </w:p>
    <w:p w14:paraId="5439C3D2" w14:textId="77777777" w:rsidR="00653262" w:rsidRPr="003E3BFD" w:rsidRDefault="00653262" w:rsidP="00653262">
      <w:pPr>
        <w:widowControl w:val="0"/>
        <w:tabs>
          <w:tab w:val="left" w:pos="567"/>
        </w:tabs>
        <w:ind w:left="0" w:right="-142" w:firstLine="0"/>
        <w:rPr>
          <w:rFonts w:ascii="Times New Roman" w:eastAsia="Calibri" w:hAnsi="Times New Roman" w:cs="Times New Roman"/>
          <w:color w:val="000000"/>
          <w:lang w:eastAsia="lt-LT"/>
        </w:rPr>
      </w:pPr>
    </w:p>
    <w:p w14:paraId="471A3C03" w14:textId="7D36BC29" w:rsidR="00653262" w:rsidRDefault="00653262" w:rsidP="00653262">
      <w:pPr>
        <w:widowControl w:val="0"/>
        <w:tabs>
          <w:tab w:val="left" w:pos="567"/>
        </w:tabs>
        <w:ind w:left="0" w:right="-142" w:firstLine="0"/>
        <w:rPr>
          <w:rFonts w:ascii="Times New Roman" w:eastAsia="Times New Roman" w:hAnsi="Times New Roman" w:cs="Times New Roman"/>
          <w:snapToGrid w:val="0"/>
          <w:u w:val="single"/>
          <w:lang w:val="en-GB"/>
        </w:rPr>
      </w:pPr>
      <w:r w:rsidRPr="003E3BFD">
        <w:rPr>
          <w:rFonts w:ascii="Times New Roman" w:eastAsia="Times New Roman" w:hAnsi="Times New Roman" w:cs="Times New Roman"/>
          <w:snapToGrid w:val="0"/>
          <w:u w:val="single"/>
          <w:lang w:val="en-GB"/>
        </w:rPr>
        <w:t>Ypatingos populiacijos</w:t>
      </w:r>
    </w:p>
    <w:p w14:paraId="41CF4B0F" w14:textId="77777777" w:rsidR="00294F87" w:rsidRDefault="00294F87" w:rsidP="00653262">
      <w:pPr>
        <w:widowControl w:val="0"/>
        <w:tabs>
          <w:tab w:val="left" w:pos="567"/>
        </w:tabs>
        <w:ind w:left="0" w:right="-142" w:firstLine="0"/>
        <w:rPr>
          <w:rFonts w:ascii="Times New Roman" w:eastAsia="Times New Roman" w:hAnsi="Times New Roman" w:cs="Times New Roman"/>
          <w:snapToGrid w:val="0"/>
          <w:u w:val="single"/>
          <w:lang w:val="en-GB"/>
        </w:rPr>
      </w:pPr>
    </w:p>
    <w:p w14:paraId="37DD7572" w14:textId="18961F45" w:rsidR="00294F87" w:rsidRPr="0009751A" w:rsidRDefault="00294F87" w:rsidP="00653262">
      <w:pPr>
        <w:widowControl w:val="0"/>
        <w:tabs>
          <w:tab w:val="left" w:pos="567"/>
        </w:tabs>
        <w:ind w:left="0" w:right="-142" w:firstLine="0"/>
        <w:rPr>
          <w:rFonts w:ascii="Times New Roman" w:eastAsia="Times New Roman" w:hAnsi="Times New Roman" w:cs="Times New Roman"/>
          <w:i/>
          <w:snapToGrid w:val="0"/>
          <w:lang w:val="en-GB"/>
        </w:rPr>
      </w:pPr>
      <w:r w:rsidRPr="0009751A">
        <w:rPr>
          <w:rFonts w:ascii="Times New Roman" w:eastAsia="Times New Roman" w:hAnsi="Times New Roman" w:cs="Times New Roman"/>
          <w:i/>
          <w:snapToGrid w:val="0"/>
          <w:lang w:val="en-GB"/>
        </w:rPr>
        <w:t>Senyvi</w:t>
      </w:r>
      <w:r w:rsidR="00CE047D">
        <w:rPr>
          <w:rFonts w:ascii="Times New Roman" w:eastAsia="Times New Roman" w:hAnsi="Times New Roman" w:cs="Times New Roman"/>
          <w:i/>
          <w:snapToGrid w:val="0"/>
          <w:lang w:val="en-GB"/>
        </w:rPr>
        <w:t xml:space="preserve"> pacientai</w:t>
      </w:r>
    </w:p>
    <w:p w14:paraId="547D0812" w14:textId="00B3A62C" w:rsidR="00653262" w:rsidRPr="0009751A" w:rsidRDefault="00653262" w:rsidP="00D879D6">
      <w:pPr>
        <w:widowControl w:val="0"/>
        <w:numPr>
          <w:ilvl w:val="0"/>
          <w:numId w:val="20"/>
        </w:numPr>
        <w:tabs>
          <w:tab w:val="left" w:pos="567"/>
        </w:tabs>
        <w:ind w:left="567" w:hanging="567"/>
        <w:rPr>
          <w:rFonts w:ascii="Times New Roman" w:eastAsia="Times New Roman" w:hAnsi="Times New Roman" w:cs="Times New Roman"/>
          <w:iCs/>
          <w:lang w:val="en-GB"/>
        </w:rPr>
      </w:pPr>
      <w:r w:rsidRPr="003E3BFD">
        <w:rPr>
          <w:rFonts w:ascii="Times New Roman" w:eastAsia="Times New Roman" w:hAnsi="Times New Roman" w:cs="Times New Roman"/>
          <w:snapToGrid w:val="0"/>
          <w:lang w:val="en-GB"/>
        </w:rPr>
        <w:t>Senyvų (≥</w:t>
      </w:r>
      <w:r w:rsidR="00734A48">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65 metų), labai senų (≥</w:t>
      </w:r>
      <w:r w:rsidR="00734A48">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75 metų) ir kitų žmonių organizme ivabradino farmakokinetikos (AUC ir Cmax) skirtumo nepastebėta (žr. 4.2 skyrių).</w:t>
      </w:r>
    </w:p>
    <w:p w14:paraId="488117FF" w14:textId="77777777" w:rsidR="00EC1CAB" w:rsidRDefault="00EC1CAB" w:rsidP="0009751A">
      <w:pPr>
        <w:widowControl w:val="0"/>
        <w:tabs>
          <w:tab w:val="left" w:pos="567"/>
        </w:tabs>
        <w:ind w:left="0" w:firstLine="0"/>
        <w:rPr>
          <w:rFonts w:ascii="Times New Roman" w:eastAsia="Times New Roman" w:hAnsi="Times New Roman" w:cs="Times New Roman"/>
          <w:i/>
          <w:snapToGrid w:val="0"/>
          <w:lang w:val="en-GB"/>
        </w:rPr>
      </w:pPr>
    </w:p>
    <w:p w14:paraId="79C9BA9F" w14:textId="650D40F0" w:rsidR="00EC1CAB" w:rsidRPr="0009751A" w:rsidRDefault="00EC1CAB" w:rsidP="0009751A">
      <w:pPr>
        <w:widowControl w:val="0"/>
        <w:tabs>
          <w:tab w:val="left" w:pos="567"/>
        </w:tabs>
        <w:ind w:left="0" w:firstLine="0"/>
        <w:rPr>
          <w:rFonts w:ascii="Times New Roman" w:eastAsia="Times New Roman" w:hAnsi="Times New Roman" w:cs="Times New Roman"/>
          <w:i/>
          <w:iCs/>
          <w:lang w:val="en-GB"/>
        </w:rPr>
      </w:pPr>
      <w:r w:rsidRPr="0009751A">
        <w:rPr>
          <w:rFonts w:ascii="Times New Roman" w:eastAsia="Times New Roman" w:hAnsi="Times New Roman" w:cs="Times New Roman"/>
          <w:i/>
          <w:snapToGrid w:val="0"/>
          <w:lang w:val="en-GB"/>
        </w:rPr>
        <w:t>Sutikusi inkstų funkcija</w:t>
      </w:r>
    </w:p>
    <w:p w14:paraId="5BAB713B" w14:textId="06FAA6E0" w:rsidR="00653262" w:rsidRPr="0009751A" w:rsidRDefault="00653262" w:rsidP="00D879D6">
      <w:pPr>
        <w:widowControl w:val="0"/>
        <w:numPr>
          <w:ilvl w:val="0"/>
          <w:numId w:val="20"/>
        </w:numPr>
        <w:tabs>
          <w:tab w:val="left" w:pos="567"/>
        </w:tabs>
        <w:ind w:left="567" w:hanging="567"/>
        <w:rPr>
          <w:rFonts w:ascii="Times New Roman" w:eastAsia="Times New Roman" w:hAnsi="Times New Roman" w:cs="Times New Roman"/>
          <w:iCs/>
          <w:lang w:val="en-GB"/>
        </w:rPr>
      </w:pPr>
      <w:r w:rsidRPr="003E3BFD">
        <w:rPr>
          <w:rFonts w:ascii="Times New Roman" w:eastAsia="Times New Roman" w:hAnsi="Times New Roman" w:cs="Times New Roman"/>
          <w:snapToGrid w:val="0"/>
          <w:lang w:val="en-GB"/>
        </w:rPr>
        <w:t>Inkstų funkcijos sutrikimas (kreatinino klirensas yra 15 – 60</w:t>
      </w:r>
      <w:r w:rsidR="00734A48">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ml/min.) ivabradino farmakokinetiką veikia mažai, kadangi klirensas inkstuose sudaro mažą (20</w:t>
      </w:r>
      <w:r w:rsidR="00734A48">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 bendros ivabradino ir svarbiausio jo metabolito S 18982 eliminacijos dalį (žr. 4.2 skyrių).</w:t>
      </w:r>
    </w:p>
    <w:p w14:paraId="34D944E3" w14:textId="77777777" w:rsidR="00EE0AEF" w:rsidRDefault="00EE0AEF" w:rsidP="0009751A">
      <w:pPr>
        <w:widowControl w:val="0"/>
        <w:tabs>
          <w:tab w:val="left" w:pos="567"/>
        </w:tabs>
        <w:ind w:left="0" w:firstLine="0"/>
        <w:rPr>
          <w:rFonts w:ascii="Times New Roman" w:eastAsia="Times New Roman" w:hAnsi="Times New Roman" w:cs="Times New Roman"/>
          <w:snapToGrid w:val="0"/>
          <w:lang w:val="en-GB"/>
        </w:rPr>
      </w:pPr>
    </w:p>
    <w:p w14:paraId="709A055D" w14:textId="7705CEBE" w:rsidR="00EE0AEF" w:rsidRPr="0009751A" w:rsidRDefault="00EE0AEF" w:rsidP="0009751A">
      <w:pPr>
        <w:widowControl w:val="0"/>
        <w:tabs>
          <w:tab w:val="left" w:pos="567"/>
        </w:tabs>
        <w:ind w:left="0" w:firstLine="0"/>
        <w:rPr>
          <w:rFonts w:ascii="Times New Roman" w:eastAsia="Times New Roman" w:hAnsi="Times New Roman" w:cs="Times New Roman"/>
          <w:i/>
          <w:iCs/>
          <w:lang w:val="en-GB"/>
        </w:rPr>
      </w:pPr>
      <w:r w:rsidRPr="0009751A">
        <w:rPr>
          <w:rFonts w:ascii="Times New Roman" w:eastAsia="Times New Roman" w:hAnsi="Times New Roman" w:cs="Times New Roman"/>
          <w:i/>
          <w:snapToGrid w:val="0"/>
          <w:lang w:val="en-GB"/>
        </w:rPr>
        <w:t>Sutrikusi kepenų funkcija</w:t>
      </w:r>
    </w:p>
    <w:p w14:paraId="5B23C457" w14:textId="58E09E64" w:rsidR="00653262" w:rsidRPr="0009751A" w:rsidRDefault="00653262" w:rsidP="00D879D6">
      <w:pPr>
        <w:widowControl w:val="0"/>
        <w:numPr>
          <w:ilvl w:val="0"/>
          <w:numId w:val="20"/>
        </w:numPr>
        <w:tabs>
          <w:tab w:val="left" w:pos="567"/>
        </w:tabs>
        <w:ind w:left="567" w:hanging="567"/>
        <w:rPr>
          <w:rFonts w:ascii="Times New Roman" w:eastAsia="Times New Roman" w:hAnsi="Times New Roman" w:cs="Times New Roman"/>
          <w:iCs/>
          <w:lang w:val="en-GB"/>
        </w:rPr>
      </w:pPr>
      <w:r w:rsidRPr="003E3BFD">
        <w:rPr>
          <w:rFonts w:ascii="Times New Roman" w:eastAsia="Times New Roman" w:hAnsi="Times New Roman" w:cs="Times New Roman"/>
          <w:snapToGrid w:val="0"/>
          <w:lang w:val="en-GB"/>
        </w:rPr>
        <w:t>Pacientų, kuriems yra silpnas kepenų funkcijos sutrikimas (</w:t>
      </w:r>
      <w:r w:rsidRPr="003E3BFD">
        <w:rPr>
          <w:rFonts w:ascii="Times New Roman" w:eastAsia="Times New Roman" w:hAnsi="Times New Roman" w:cs="Times New Roman"/>
          <w:i/>
          <w:snapToGrid w:val="0"/>
          <w:lang w:val="en-GB"/>
        </w:rPr>
        <w:t>Child-Pugh</w:t>
      </w:r>
      <w:r w:rsidRPr="003E3BFD">
        <w:rPr>
          <w:rFonts w:ascii="Times New Roman" w:eastAsia="Times New Roman" w:hAnsi="Times New Roman" w:cs="Times New Roman"/>
          <w:snapToGrid w:val="0"/>
          <w:lang w:val="en-GB"/>
        </w:rPr>
        <w:t xml:space="preserve"> reikšmė yra ne didesnė kaip 7), organizme neprisijungusio ivabradino ir veiklaus jo metabolito AUC buvo 20</w:t>
      </w:r>
      <w:r w:rsidR="00734A48">
        <w:rPr>
          <w:rFonts w:ascii="Times New Roman" w:eastAsia="Times New Roman" w:hAnsi="Times New Roman" w:cs="Times New Roman"/>
          <w:snapToGrid w:val="0"/>
          <w:lang w:val="en-GB"/>
        </w:rPr>
        <w:t> </w:t>
      </w:r>
      <w:r w:rsidRPr="003E3BFD">
        <w:rPr>
          <w:rFonts w:ascii="Times New Roman" w:eastAsia="Times New Roman" w:hAnsi="Times New Roman" w:cs="Times New Roman"/>
          <w:snapToGrid w:val="0"/>
          <w:lang w:val="en-GB"/>
        </w:rPr>
        <w:t>% 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 visai nėra (žr. 4.2 ir 4.3 skyrius).</w:t>
      </w:r>
    </w:p>
    <w:p w14:paraId="722C3AB5" w14:textId="77777777" w:rsidR="00EE0AEF" w:rsidRDefault="00EE0AEF" w:rsidP="0009751A">
      <w:pPr>
        <w:widowControl w:val="0"/>
        <w:tabs>
          <w:tab w:val="left" w:pos="567"/>
        </w:tabs>
        <w:ind w:left="0" w:firstLine="0"/>
        <w:rPr>
          <w:rFonts w:ascii="Times New Roman" w:eastAsia="Times New Roman" w:hAnsi="Times New Roman" w:cs="Times New Roman"/>
          <w:snapToGrid w:val="0"/>
          <w:lang w:val="en-GB"/>
        </w:rPr>
      </w:pPr>
    </w:p>
    <w:p w14:paraId="78DE8D18" w14:textId="79A60C21" w:rsidR="00EE0AEF" w:rsidRPr="0009751A" w:rsidRDefault="00EE0AEF" w:rsidP="0009751A">
      <w:pPr>
        <w:widowControl w:val="0"/>
        <w:tabs>
          <w:tab w:val="left" w:pos="567"/>
        </w:tabs>
        <w:ind w:left="0" w:firstLine="0"/>
        <w:rPr>
          <w:rFonts w:ascii="Times New Roman" w:eastAsia="Times New Roman" w:hAnsi="Times New Roman" w:cs="Times New Roman"/>
          <w:i/>
          <w:iCs/>
          <w:lang w:val="en-GB"/>
        </w:rPr>
      </w:pPr>
      <w:r w:rsidRPr="0009751A">
        <w:rPr>
          <w:rFonts w:ascii="Times New Roman" w:eastAsia="Times New Roman" w:hAnsi="Times New Roman" w:cs="Times New Roman"/>
          <w:i/>
          <w:snapToGrid w:val="0"/>
          <w:lang w:val="en-GB"/>
        </w:rPr>
        <w:t>Vaikų populiacija</w:t>
      </w:r>
    </w:p>
    <w:p w14:paraId="06302AA1" w14:textId="3C293E74" w:rsidR="00653262" w:rsidRPr="003E3BFD" w:rsidRDefault="00EE0AEF" w:rsidP="00D879D6">
      <w:pPr>
        <w:widowControl w:val="0"/>
        <w:numPr>
          <w:ilvl w:val="0"/>
          <w:numId w:val="20"/>
        </w:numPr>
        <w:tabs>
          <w:tab w:val="left" w:pos="567"/>
        </w:tabs>
        <w:ind w:left="567" w:hanging="567"/>
        <w:rPr>
          <w:rFonts w:ascii="Times New Roman" w:eastAsia="Times New Roman" w:hAnsi="Times New Roman" w:cs="Times New Roman"/>
          <w:iCs/>
          <w:lang w:val="en-GB"/>
        </w:rPr>
      </w:pPr>
      <w:r>
        <w:rPr>
          <w:rFonts w:ascii="Times New Roman" w:eastAsia="Times New Roman" w:hAnsi="Times New Roman" w:cs="Times New Roman"/>
          <w:snapToGrid w:val="0"/>
          <w:lang w:val="en-GB"/>
        </w:rPr>
        <w:t>I</w:t>
      </w:r>
      <w:r w:rsidR="00653262" w:rsidRPr="003E3BFD">
        <w:rPr>
          <w:rFonts w:ascii="Times New Roman" w:eastAsia="Times New Roman" w:hAnsi="Times New Roman" w:cs="Times New Roman"/>
          <w:snapToGrid w:val="0"/>
          <w:lang w:val="en-GB"/>
        </w:rPr>
        <w:t>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w:t>
      </w:r>
    </w:p>
    <w:p w14:paraId="00E020FC" w14:textId="77777777" w:rsidR="00653262" w:rsidRPr="003E3BFD" w:rsidRDefault="00653262" w:rsidP="00653262">
      <w:pPr>
        <w:widowControl w:val="0"/>
        <w:tabs>
          <w:tab w:val="left" w:pos="567"/>
        </w:tabs>
        <w:ind w:left="0" w:right="-142" w:firstLine="0"/>
        <w:rPr>
          <w:rFonts w:ascii="Times New Roman" w:eastAsia="Times New Roman" w:hAnsi="Times New Roman" w:cs="Times New Roman"/>
          <w:iCs/>
          <w:snapToGrid w:val="0"/>
          <w:color w:val="000000"/>
        </w:rPr>
      </w:pPr>
    </w:p>
    <w:p w14:paraId="315E0365" w14:textId="77777777" w:rsidR="00653262" w:rsidRPr="00D879D6"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D879D6">
        <w:rPr>
          <w:rFonts w:ascii="Times New Roman" w:eastAsia="Calibri" w:hAnsi="Times New Roman" w:cs="Times New Roman"/>
          <w:color w:val="000000"/>
          <w:u w:val="single"/>
          <w:lang w:eastAsia="lt-LT"/>
        </w:rPr>
        <w:t>Santykis tarp farmakokinetikos ir farmakodinamikos (FK/FD)</w:t>
      </w:r>
    </w:p>
    <w:p w14:paraId="7EB4F4BC" w14:textId="77777777" w:rsidR="00653262" w:rsidRPr="003E3BFD" w:rsidRDefault="00653262" w:rsidP="00653262">
      <w:pPr>
        <w:widowControl w:val="0"/>
        <w:tabs>
          <w:tab w:val="left" w:pos="567"/>
        </w:tabs>
        <w:ind w:left="0" w:right="-142"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Farmakokinetikos ir farmakodinamikos santykio analizės duomenys rodo, jog padidinus 2 kartus per parą vartojamą dozę ne daugiau kaip iki 15 – 20 mg, širdies ritmo lėtėjimo priklausomumas nuo ivabradino ir</w:t>
      </w:r>
      <w:r w:rsidRPr="003E3BFD">
        <w:rPr>
          <w:rFonts w:ascii="Times New Roman" w:eastAsia="Times New Roman" w:hAnsi="Times New Roman" w:cs="Times New Roman"/>
          <w:snapToGrid w:val="0"/>
        </w:rPr>
        <w:t xml:space="preserve"> S 18982 koncentracijos kraujo plazmoje yra beveik tiesinis. Vartojant didesnę dozę, širdies ritmo retėjimas tampa neproporcingas ivabradino koncentracijos kraujo plazmoje dydžiui ir turi tendenciją būti plato. Jeigu ivabradino ekspozicija didelė (taip gali atsitikti vaistinio preparato vartojant kartu su stipraus poveikio CYP 3A4 inhibitoriais), širdies ritmas gali labai suretėti. Ivabradino vartojant kartu su vidutinio stiprumo CYP 3A4 inhibitoriais, tokio suretėjimo rizika yra mažesnė (žr. 4.3, 4.4 ir </w:t>
      </w:r>
      <w:r w:rsidRPr="003E3BFD">
        <w:rPr>
          <w:rFonts w:ascii="Times New Roman" w:eastAsia="Times New Roman" w:hAnsi="Times New Roman" w:cs="Times New Roman"/>
          <w:snapToGrid w:val="0"/>
        </w:rPr>
        <w:lastRenderedPageBreak/>
        <w:t>4.5 skyrius). Ivabradino farmakokinetikos ir farmakodinamikos santykis, skiriant jo 6 mėnesių – 18 metų amžiaus vaikams ir paaugliams lėtiniam širdies nepakankamumui gydyti, yra panašus į suaugusiųjų farmakokinetikos ir farmakodinamikos santykį.</w:t>
      </w:r>
    </w:p>
    <w:p w14:paraId="7F1DBABB"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snapToGrid w:val="0"/>
        </w:rPr>
      </w:pPr>
    </w:p>
    <w:p w14:paraId="329185DB"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5.3</w:t>
      </w:r>
      <w:r w:rsidRPr="003E3BFD">
        <w:rPr>
          <w:rFonts w:ascii="Times New Roman" w:eastAsia="Times New Roman" w:hAnsi="Times New Roman" w:cs="Times New Roman"/>
          <w:b/>
          <w:bCs/>
          <w:snapToGrid w:val="0"/>
          <w:lang w:eastAsia="x-none"/>
        </w:rPr>
        <w:tab/>
        <w:t>Ikiklinikinių saugumo tyrimų duomenys</w:t>
      </w:r>
    </w:p>
    <w:p w14:paraId="13C8E805"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D79C9E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adaktilija.</w:t>
      </w:r>
    </w:p>
    <w:p w14:paraId="644384B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Šunims, vienerius metus vartojusiems 2,7 mg/kg kūno svorio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h</w:t>
      </w:r>
      <w:r w:rsidRPr="003E3BFD">
        <w:rPr>
          <w:rFonts w:ascii="Times New Roman" w:eastAsia="Calibri" w:hAnsi="Times New Roman" w:cs="Times New Roman"/>
          <w:color w:val="000000"/>
          <w:lang w:eastAsia="lt-LT"/>
        </w:rPr>
        <w:t xml:space="preserve"> srove, kuri yra labai panaši į širdies ritmo vedlio </w:t>
      </w:r>
      <w:r w:rsidRPr="003E3BFD">
        <w:rPr>
          <w:rFonts w:ascii="Times New Roman" w:eastAsia="Calibri" w:hAnsi="Times New Roman" w:cs="Times New Roman"/>
          <w:i/>
          <w:iCs/>
          <w:color w:val="000000"/>
          <w:lang w:eastAsia="lt-LT"/>
        </w:rPr>
        <w:t>I</w:t>
      </w:r>
      <w:r w:rsidRPr="003E3BFD">
        <w:rPr>
          <w:rFonts w:ascii="Times New Roman" w:eastAsia="Calibri" w:hAnsi="Times New Roman" w:cs="Times New Roman"/>
          <w:color w:val="000000"/>
          <w:vertAlign w:val="subscript"/>
          <w:lang w:eastAsia="lt-LT"/>
        </w:rPr>
        <w:t>f</w:t>
      </w:r>
      <w:r w:rsidRPr="003E3BFD">
        <w:rPr>
          <w:rFonts w:ascii="Times New Roman" w:eastAsia="Calibri" w:hAnsi="Times New Roman" w:cs="Times New Roman"/>
          <w:color w:val="000000"/>
          <w:lang w:eastAsia="lt-LT"/>
        </w:rPr>
        <w:t xml:space="preserve"> srovę.</w:t>
      </w:r>
    </w:p>
    <w:p w14:paraId="0D46A27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Kitų ilgalaikių kartotinių dozių ir kancerogeninio poveikio tyrimų metu klinikai reikšmingų pokyčių nepastebėta.</w:t>
      </w:r>
    </w:p>
    <w:p w14:paraId="69D2939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4E7570E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Pavojaus aplinkai vertinimas (ERA)</w:t>
      </w:r>
    </w:p>
    <w:p w14:paraId="0A78643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Ivabradino pavojaus aplinkai vertinimas buvo atliktas vadovaujantis Europos ERA rekomendacijomis.</w:t>
      </w:r>
    </w:p>
    <w:p w14:paraId="47A8A0B0"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Šių vertinimų rezultatai papildo trūkstamus ivabradino pavojaus aplinkai duomenis ir parodo, kad ivabradinas pavojaus aplinkai nekelia.</w:t>
      </w:r>
    </w:p>
    <w:p w14:paraId="2B296791"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6E76E12B"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61A91100"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w:t>
      </w:r>
      <w:r w:rsidRPr="003E3BFD">
        <w:rPr>
          <w:rFonts w:ascii="Times New Roman" w:eastAsia="Times New Roman" w:hAnsi="Times New Roman" w:cs="Times New Roman"/>
          <w:b/>
          <w:bCs/>
          <w:snapToGrid w:val="0"/>
          <w:lang w:eastAsia="x-none"/>
        </w:rPr>
        <w:tab/>
        <w:t>FARMACINĖ INFORMACIJA</w:t>
      </w:r>
    </w:p>
    <w:p w14:paraId="2DFE19DF"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083356EF"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6.1</w:t>
      </w:r>
      <w:r w:rsidRPr="003E3BFD">
        <w:rPr>
          <w:rFonts w:ascii="Times New Roman" w:eastAsia="Times New Roman" w:hAnsi="Times New Roman" w:cs="Times New Roman"/>
          <w:b/>
          <w:bCs/>
          <w:snapToGrid w:val="0"/>
          <w:lang w:eastAsia="x-none"/>
        </w:rPr>
        <w:tab/>
        <w:t>Pagalbinių medžiagų sąrašas</w:t>
      </w:r>
    </w:p>
    <w:p w14:paraId="349AB6E9"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E67E94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Tablečių šerdis</w:t>
      </w:r>
    </w:p>
    <w:p w14:paraId="636E14F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Maltodekstrinas</w:t>
      </w:r>
    </w:p>
    <w:p w14:paraId="1126904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Laktozė monohidratas</w:t>
      </w:r>
    </w:p>
    <w:p w14:paraId="0F7A0A7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Kukurūzų krakmolas</w:t>
      </w:r>
    </w:p>
    <w:p w14:paraId="57F0A882"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Koloidinis bevandenis silicio dioksidas</w:t>
      </w:r>
    </w:p>
    <w:p w14:paraId="467D7A4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Magnio stearatas (E470b)</w:t>
      </w:r>
    </w:p>
    <w:p w14:paraId="56C93469"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Hipromeliozė 3cP</w:t>
      </w:r>
    </w:p>
    <w:p w14:paraId="7FEC7D94" w14:textId="77777777" w:rsidR="00653262" w:rsidRPr="003E3BFD" w:rsidRDefault="00653262" w:rsidP="00653262">
      <w:pPr>
        <w:widowControl w:val="0"/>
        <w:ind w:left="0" w:firstLine="0"/>
        <w:rPr>
          <w:rFonts w:ascii="Times New Roman" w:eastAsia="Calibri" w:hAnsi="Times New Roman" w:cs="Times New Roman"/>
          <w:color w:val="000000"/>
          <w:lang w:eastAsia="lt-LT"/>
        </w:rPr>
      </w:pPr>
    </w:p>
    <w:p w14:paraId="2E9A840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Tablečių plėvelė</w:t>
      </w:r>
    </w:p>
    <w:p w14:paraId="78C73AA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Hipromeliozė 6cP</w:t>
      </w:r>
    </w:p>
    <w:p w14:paraId="0E21470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Titano dioksidas (E171)</w:t>
      </w:r>
    </w:p>
    <w:p w14:paraId="2DAD7F1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Talkas</w:t>
      </w:r>
    </w:p>
    <w:p w14:paraId="73F0DEF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Propilenglikolis</w:t>
      </w:r>
    </w:p>
    <w:p w14:paraId="7AA63BC9"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Geltonasis geležies oksidas (E172)</w:t>
      </w:r>
    </w:p>
    <w:p w14:paraId="565085AE" w14:textId="77777777" w:rsidR="00653262" w:rsidRPr="003E3BFD" w:rsidRDefault="00653262" w:rsidP="00653262">
      <w:pPr>
        <w:widowControl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Raudonasis geležies oksidas (E172)</w:t>
      </w:r>
    </w:p>
    <w:p w14:paraId="6A254132"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324304F7"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6.2</w:t>
      </w:r>
      <w:r w:rsidRPr="003E3BFD">
        <w:rPr>
          <w:rFonts w:ascii="Times New Roman" w:eastAsia="Times New Roman" w:hAnsi="Times New Roman" w:cs="Times New Roman"/>
          <w:b/>
          <w:bCs/>
          <w:snapToGrid w:val="0"/>
          <w:lang w:eastAsia="x-none"/>
        </w:rPr>
        <w:tab/>
        <w:t>Nesuderinamumas</w:t>
      </w:r>
    </w:p>
    <w:p w14:paraId="50223D7D"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4C9DC25F"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Duomenys nebūtini.</w:t>
      </w:r>
    </w:p>
    <w:p w14:paraId="5B3687CF"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604ED1C"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6.3</w:t>
      </w:r>
      <w:r w:rsidRPr="003E3BFD">
        <w:rPr>
          <w:rFonts w:ascii="Times New Roman" w:eastAsia="Times New Roman" w:hAnsi="Times New Roman" w:cs="Times New Roman"/>
          <w:b/>
          <w:bCs/>
          <w:snapToGrid w:val="0"/>
          <w:lang w:eastAsia="x-none"/>
        </w:rPr>
        <w:tab/>
        <w:t>Tinkamumo laikas</w:t>
      </w:r>
    </w:p>
    <w:p w14:paraId="16092E01"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7936A63D" w14:textId="77777777" w:rsidR="00653262" w:rsidRPr="003E3BFD" w:rsidRDefault="00761CDD" w:rsidP="00653262">
      <w:pPr>
        <w:widowControl w:val="0"/>
        <w:ind w:left="0" w:firstLine="0"/>
        <w:rPr>
          <w:rFonts w:ascii="Times New Roman" w:eastAsia="Times New Roman" w:hAnsi="Times New Roman" w:cs="Times New Roman"/>
          <w:noProof/>
          <w:snapToGrid w:val="0"/>
        </w:rPr>
      </w:pPr>
      <w:r>
        <w:rPr>
          <w:rFonts w:ascii="Times New Roman" w:eastAsia="Times New Roman" w:hAnsi="Times New Roman" w:cs="Times New Roman"/>
          <w:noProof/>
          <w:snapToGrid w:val="0"/>
        </w:rPr>
        <w:t>3</w:t>
      </w:r>
      <w:r w:rsidR="00E729A2">
        <w:rPr>
          <w:rFonts w:ascii="Times New Roman" w:eastAsia="Times New Roman" w:hAnsi="Times New Roman" w:cs="Times New Roman"/>
          <w:noProof/>
          <w:snapToGrid w:val="0"/>
        </w:rPr>
        <w:t> </w:t>
      </w:r>
      <w:r w:rsidR="00653262" w:rsidRPr="003E3BFD">
        <w:rPr>
          <w:rFonts w:ascii="Times New Roman" w:eastAsia="Times New Roman" w:hAnsi="Times New Roman" w:cs="Times New Roman"/>
          <w:noProof/>
          <w:snapToGrid w:val="0"/>
        </w:rPr>
        <w:t>metai</w:t>
      </w:r>
    </w:p>
    <w:p w14:paraId="4094761C"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A83E511"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6.4</w:t>
      </w:r>
      <w:r w:rsidRPr="003E3BFD">
        <w:rPr>
          <w:rFonts w:ascii="Times New Roman" w:eastAsia="Times New Roman" w:hAnsi="Times New Roman" w:cs="Times New Roman"/>
          <w:b/>
          <w:bCs/>
          <w:snapToGrid w:val="0"/>
          <w:lang w:eastAsia="x-none"/>
        </w:rPr>
        <w:tab/>
        <w:t>Specialios laikymo sąlygos</w:t>
      </w:r>
    </w:p>
    <w:p w14:paraId="50F78F4C"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44413372" w14:textId="77777777" w:rsidR="00653262" w:rsidRPr="003E3BFD" w:rsidRDefault="00653262" w:rsidP="00653262">
      <w:pPr>
        <w:widowControl w:val="0"/>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lang w:val="en-GB"/>
        </w:rPr>
        <w:t>Šiam vaistiniam preparatui specialių laikymo sąlygų nereikia.</w:t>
      </w:r>
    </w:p>
    <w:p w14:paraId="145F7847"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D9609CB"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6.5</w:t>
      </w:r>
      <w:r w:rsidRPr="003E3BFD">
        <w:rPr>
          <w:rFonts w:ascii="Times New Roman" w:eastAsia="Times New Roman" w:hAnsi="Times New Roman" w:cs="Times New Roman"/>
          <w:b/>
          <w:bCs/>
          <w:snapToGrid w:val="0"/>
          <w:lang w:eastAsia="x-none"/>
        </w:rPr>
        <w:tab/>
        <w:t>Talpyklės pobūdis ir jos turinys</w:t>
      </w:r>
    </w:p>
    <w:p w14:paraId="70028DF4"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D0CC859" w14:textId="77777777" w:rsidR="00653262" w:rsidRPr="003E3BFD" w:rsidRDefault="00653262" w:rsidP="00653262">
      <w:pPr>
        <w:widowControl w:val="0"/>
        <w:tabs>
          <w:tab w:val="left" w:pos="567"/>
        </w:tabs>
        <w:ind w:left="0" w:firstLine="0"/>
        <w:rPr>
          <w:rFonts w:ascii="Times New Roman" w:eastAsia="Times New Roman" w:hAnsi="Times New Roman" w:cs="Times New Roman"/>
        </w:rPr>
      </w:pPr>
      <w:r w:rsidRPr="003E3BFD">
        <w:rPr>
          <w:rFonts w:ascii="Times New Roman" w:eastAsia="Times New Roman" w:hAnsi="Times New Roman" w:cs="Times New Roman"/>
          <w:snapToGrid w:val="0"/>
        </w:rPr>
        <w:t>Lizdinės plokštelės (OPA/Al/PVC//Al folija):</w:t>
      </w:r>
      <w:r w:rsidRPr="003E3BFD">
        <w:rPr>
          <w:rFonts w:ascii="Times New Roman" w:eastAsia="Times New Roman" w:hAnsi="Times New Roman" w:cs="Times New Roman"/>
        </w:rPr>
        <w:t xml:space="preserve"> 14, 28, 30, 56, 60, 90, 98, 100, 112 ir 180 plėvele dengtų tablečių dėžutėje.</w:t>
      </w:r>
    </w:p>
    <w:p w14:paraId="5E6EB7CD" w14:textId="77777777" w:rsidR="00653262" w:rsidRPr="003E3BFD" w:rsidRDefault="00653262" w:rsidP="00653262">
      <w:pPr>
        <w:widowControl w:val="0"/>
        <w:tabs>
          <w:tab w:val="left" w:pos="567"/>
        </w:tabs>
        <w:ind w:left="0" w:firstLine="0"/>
        <w:rPr>
          <w:rFonts w:ascii="Times New Roman" w:eastAsia="Times New Roman" w:hAnsi="Times New Roman" w:cs="Times New Roman"/>
        </w:rPr>
      </w:pPr>
      <w:r w:rsidRPr="003E3BFD">
        <w:rPr>
          <w:rFonts w:ascii="Times New Roman" w:eastAsia="Times New Roman" w:hAnsi="Times New Roman" w:cs="Times New Roman"/>
        </w:rPr>
        <w:t>Perforuota dalomoji lizdinė plokštelė (OPA/Al/PVC//Al folija): 14</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1, 28</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1, 30</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1, 56</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1, 60</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1, 90</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1, 98</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1, 100</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1, 112</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w:t>
      </w:r>
      <w:r w:rsidR="006A1693">
        <w:rPr>
          <w:rFonts w:ascii="Times New Roman" w:eastAsia="Times New Roman" w:hAnsi="Times New Roman" w:cs="Times New Roman"/>
        </w:rPr>
        <w:t> </w:t>
      </w:r>
      <w:r w:rsidRPr="003E3BFD">
        <w:rPr>
          <w:rFonts w:ascii="Times New Roman" w:eastAsia="Times New Roman" w:hAnsi="Times New Roman" w:cs="Times New Roman"/>
        </w:rPr>
        <w:t>180</w:t>
      </w:r>
      <w:r w:rsidR="006A1693">
        <w:rPr>
          <w:rFonts w:ascii="Times New Roman" w:eastAsia="Times New Roman" w:hAnsi="Times New Roman" w:cs="Times New Roman"/>
        </w:rPr>
        <w:t> </w:t>
      </w:r>
      <w:r w:rsidR="006A1693">
        <w:t>× </w:t>
      </w:r>
      <w:r w:rsidRPr="003E3BFD">
        <w:rPr>
          <w:rFonts w:ascii="Times New Roman" w:eastAsia="Times New Roman" w:hAnsi="Times New Roman" w:cs="Times New Roman"/>
        </w:rPr>
        <w:t>1 plėvele dengtų tablečių dėžutėje.</w:t>
      </w:r>
    </w:p>
    <w:p w14:paraId="588E1986"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E7612A7"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Gali būti tiekiamos ne visų dydžių pakuotės.</w:t>
      </w:r>
    </w:p>
    <w:p w14:paraId="72B67CDD"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DE10F36"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bookmarkStart w:id="1" w:name="OLE_LINK1"/>
      <w:r w:rsidRPr="003E3BFD">
        <w:rPr>
          <w:rFonts w:ascii="Times New Roman" w:eastAsia="Times New Roman" w:hAnsi="Times New Roman" w:cs="Times New Roman"/>
          <w:b/>
          <w:bCs/>
          <w:snapToGrid w:val="0"/>
          <w:lang w:eastAsia="x-none"/>
        </w:rPr>
        <w:t>6.6</w:t>
      </w:r>
      <w:r w:rsidRPr="003E3BFD">
        <w:rPr>
          <w:rFonts w:ascii="Times New Roman" w:eastAsia="Times New Roman" w:hAnsi="Times New Roman" w:cs="Times New Roman"/>
          <w:b/>
          <w:bCs/>
          <w:snapToGrid w:val="0"/>
          <w:lang w:eastAsia="x-none"/>
        </w:rPr>
        <w:tab/>
        <w:t>Specialūs reikalavimai atliekoms tvarkyti</w:t>
      </w:r>
      <w:bookmarkEnd w:id="1"/>
    </w:p>
    <w:p w14:paraId="1E117E3C" w14:textId="77777777" w:rsidR="00653262" w:rsidRPr="003E3BFD" w:rsidRDefault="00653262" w:rsidP="00653262">
      <w:pPr>
        <w:widowControl w:val="0"/>
        <w:ind w:left="0" w:firstLine="0"/>
        <w:rPr>
          <w:rFonts w:ascii="Times New Roman" w:eastAsia="Times New Roman" w:hAnsi="Times New Roman" w:cs="Times New Roman"/>
          <w:snapToGrid w:val="0"/>
          <w:u w:val="single"/>
        </w:rPr>
      </w:pPr>
    </w:p>
    <w:p w14:paraId="202481B1"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Specialių reikalavimų atliekoms tvarkyti nėra.</w:t>
      </w:r>
    </w:p>
    <w:p w14:paraId="33901820"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Nesuvartotą vaistinį preparatą ar atliekas reikia tvarkyti laikantis vietinių reikalavimų.</w:t>
      </w:r>
    </w:p>
    <w:p w14:paraId="39FA5FA3"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533CC27"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3F2BC923"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7.</w:t>
      </w:r>
      <w:r w:rsidRPr="003E3BFD">
        <w:rPr>
          <w:rFonts w:ascii="Times New Roman" w:eastAsia="Times New Roman" w:hAnsi="Times New Roman" w:cs="Times New Roman"/>
          <w:b/>
          <w:bCs/>
          <w:snapToGrid w:val="0"/>
          <w:lang w:eastAsia="x-none"/>
        </w:rPr>
        <w:tab/>
        <w:t>REGISTRUOTOJAS</w:t>
      </w:r>
    </w:p>
    <w:p w14:paraId="0DD01CCF"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03EDE38E"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KRKA, d.d, Novo mesto</w:t>
      </w:r>
    </w:p>
    <w:p w14:paraId="583F7475"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Šmarješka cesta 6</w:t>
      </w:r>
    </w:p>
    <w:p w14:paraId="15639D59"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8501 Novo mesto</w:t>
      </w:r>
    </w:p>
    <w:p w14:paraId="299827F0"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rPr>
      </w:pPr>
      <w:r w:rsidRPr="003E3BFD">
        <w:rPr>
          <w:rFonts w:ascii="Times New Roman" w:eastAsia="Times New Roman" w:hAnsi="Times New Roman" w:cs="Times New Roman"/>
          <w:color w:val="000000"/>
          <w:lang w:eastAsia="sl-SI"/>
        </w:rPr>
        <w:t>Slovėnija</w:t>
      </w:r>
    </w:p>
    <w:p w14:paraId="4D40FC67"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11FC991"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4B84AAD3" w14:textId="77777777" w:rsidR="00653262"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8.</w:t>
      </w:r>
      <w:r w:rsidRPr="003E3BFD">
        <w:rPr>
          <w:rFonts w:ascii="Times New Roman" w:eastAsia="Times New Roman" w:hAnsi="Times New Roman" w:cs="Times New Roman"/>
          <w:b/>
          <w:bCs/>
          <w:snapToGrid w:val="0"/>
          <w:lang w:eastAsia="x-none"/>
        </w:rPr>
        <w:tab/>
        <w:t xml:space="preserve">REGISTRACIJOS </w:t>
      </w:r>
      <w:r w:rsidRPr="003E3BFD">
        <w:rPr>
          <w:rFonts w:ascii="Times New Roman" w:eastAsia="Times New Roman" w:hAnsi="Times New Roman" w:cs="Times New Roman"/>
          <w:b/>
          <w:bCs/>
          <w:noProof/>
          <w:snapToGrid w:val="0"/>
          <w:lang w:eastAsia="x-none"/>
        </w:rPr>
        <w:t>PAŽYMĖJIMO</w:t>
      </w:r>
      <w:r w:rsidRPr="003E3BFD">
        <w:rPr>
          <w:rFonts w:ascii="Times New Roman" w:eastAsia="Times New Roman" w:hAnsi="Times New Roman" w:cs="Times New Roman"/>
          <w:b/>
          <w:bCs/>
          <w:snapToGrid w:val="0"/>
          <w:lang w:eastAsia="x-none"/>
        </w:rPr>
        <w:t xml:space="preserve"> NUMERIS (-IAI)</w:t>
      </w:r>
    </w:p>
    <w:p w14:paraId="767FABE7" w14:textId="77777777" w:rsidR="00835885" w:rsidRPr="003E3BFD" w:rsidRDefault="00835885" w:rsidP="00653262">
      <w:pPr>
        <w:widowControl w:val="0"/>
        <w:tabs>
          <w:tab w:val="left" w:pos="567"/>
        </w:tabs>
        <w:ind w:left="0" w:firstLine="0"/>
        <w:outlineLvl w:val="2"/>
        <w:rPr>
          <w:rFonts w:ascii="Times New Roman" w:eastAsia="Times New Roman" w:hAnsi="Times New Roman" w:cs="Times New Roman"/>
          <w:b/>
          <w:bCs/>
          <w:snapToGrid w:val="0"/>
          <w:lang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53262" w:rsidRPr="003E3BFD" w14:paraId="570FDAE2" w14:textId="77777777" w:rsidTr="00A23238">
        <w:tc>
          <w:tcPr>
            <w:tcW w:w="4530" w:type="dxa"/>
          </w:tcPr>
          <w:p w14:paraId="3B9A30C0" w14:textId="1B3F4945" w:rsidR="00653262" w:rsidRPr="00835885" w:rsidRDefault="00653262" w:rsidP="00A23238">
            <w:pPr>
              <w:widowControl w:val="0"/>
              <w:tabs>
                <w:tab w:val="left" w:pos="567"/>
              </w:tabs>
              <w:rPr>
                <w:sz w:val="22"/>
                <w:szCs w:val="22"/>
                <w:u w:val="single"/>
              </w:rPr>
            </w:pPr>
            <w:r w:rsidRPr="00835885">
              <w:rPr>
                <w:sz w:val="22"/>
                <w:szCs w:val="22"/>
                <w:u w:val="single"/>
              </w:rPr>
              <w:t xml:space="preserve">5 mg </w:t>
            </w:r>
          </w:p>
          <w:p w14:paraId="254D1642" w14:textId="77777777" w:rsidR="00653262" w:rsidRDefault="00653262" w:rsidP="00A23238">
            <w:pPr>
              <w:widowControl w:val="0"/>
              <w:tabs>
                <w:tab w:val="left" w:pos="567"/>
              </w:tabs>
              <w:rPr>
                <w:sz w:val="22"/>
                <w:szCs w:val="22"/>
                <w:u w:val="single"/>
              </w:rPr>
            </w:pPr>
            <w:r w:rsidRPr="003E3BFD">
              <w:rPr>
                <w:sz w:val="22"/>
                <w:szCs w:val="22"/>
                <w:u w:val="single"/>
              </w:rPr>
              <w:t>Lizdinė plokštelė:</w:t>
            </w:r>
          </w:p>
          <w:p w14:paraId="4D6BD222" w14:textId="77777777" w:rsidR="00835885" w:rsidRPr="00835885" w:rsidRDefault="00835885" w:rsidP="00835885">
            <w:pPr>
              <w:widowControl w:val="0"/>
              <w:tabs>
                <w:tab w:val="left" w:pos="567"/>
              </w:tabs>
              <w:rPr>
                <w:sz w:val="22"/>
                <w:szCs w:val="22"/>
              </w:rPr>
            </w:pPr>
            <w:r w:rsidRPr="00835885">
              <w:rPr>
                <w:sz w:val="22"/>
                <w:szCs w:val="22"/>
              </w:rPr>
              <w:t>LT/1/16/3949/001 – N14</w:t>
            </w:r>
          </w:p>
          <w:p w14:paraId="3C69329A" w14:textId="77777777" w:rsidR="00835885" w:rsidRPr="00835885" w:rsidRDefault="00835885" w:rsidP="00835885">
            <w:pPr>
              <w:widowControl w:val="0"/>
              <w:tabs>
                <w:tab w:val="left" w:pos="567"/>
              </w:tabs>
              <w:rPr>
                <w:sz w:val="22"/>
                <w:szCs w:val="22"/>
              </w:rPr>
            </w:pPr>
            <w:r w:rsidRPr="00835885">
              <w:rPr>
                <w:sz w:val="22"/>
                <w:szCs w:val="22"/>
              </w:rPr>
              <w:t>LT/1/16/3949/002 – N28</w:t>
            </w:r>
          </w:p>
          <w:p w14:paraId="2AC70607" w14:textId="77777777" w:rsidR="00835885" w:rsidRPr="00835885" w:rsidRDefault="00835885" w:rsidP="00835885">
            <w:pPr>
              <w:widowControl w:val="0"/>
              <w:tabs>
                <w:tab w:val="left" w:pos="567"/>
              </w:tabs>
              <w:rPr>
                <w:sz w:val="22"/>
                <w:szCs w:val="22"/>
              </w:rPr>
            </w:pPr>
            <w:r w:rsidRPr="00835885">
              <w:rPr>
                <w:sz w:val="22"/>
                <w:szCs w:val="22"/>
              </w:rPr>
              <w:t>LT/1/16/3949/003 – N30</w:t>
            </w:r>
          </w:p>
          <w:p w14:paraId="303F0A58" w14:textId="77777777" w:rsidR="00835885" w:rsidRPr="00835885" w:rsidRDefault="00835885" w:rsidP="00835885">
            <w:pPr>
              <w:widowControl w:val="0"/>
              <w:tabs>
                <w:tab w:val="left" w:pos="567"/>
              </w:tabs>
              <w:rPr>
                <w:sz w:val="22"/>
                <w:szCs w:val="22"/>
              </w:rPr>
            </w:pPr>
            <w:r w:rsidRPr="00835885">
              <w:rPr>
                <w:sz w:val="22"/>
                <w:szCs w:val="22"/>
              </w:rPr>
              <w:t>LT/1/16/3949/004 – N56</w:t>
            </w:r>
          </w:p>
          <w:p w14:paraId="7D7C969A" w14:textId="77777777" w:rsidR="00835885" w:rsidRPr="00835885" w:rsidRDefault="00835885" w:rsidP="00835885">
            <w:pPr>
              <w:widowControl w:val="0"/>
              <w:tabs>
                <w:tab w:val="left" w:pos="567"/>
              </w:tabs>
              <w:rPr>
                <w:sz w:val="22"/>
                <w:szCs w:val="22"/>
              </w:rPr>
            </w:pPr>
            <w:r w:rsidRPr="00835885">
              <w:rPr>
                <w:sz w:val="22"/>
                <w:szCs w:val="22"/>
              </w:rPr>
              <w:t>LT/1/16/3949/005 – N60</w:t>
            </w:r>
          </w:p>
          <w:p w14:paraId="2FAA7A79" w14:textId="77777777" w:rsidR="00835885" w:rsidRPr="00835885" w:rsidRDefault="00835885" w:rsidP="00835885">
            <w:pPr>
              <w:widowControl w:val="0"/>
              <w:tabs>
                <w:tab w:val="left" w:pos="567"/>
              </w:tabs>
              <w:rPr>
                <w:sz w:val="22"/>
                <w:szCs w:val="22"/>
              </w:rPr>
            </w:pPr>
            <w:r w:rsidRPr="00835885">
              <w:rPr>
                <w:sz w:val="22"/>
                <w:szCs w:val="22"/>
              </w:rPr>
              <w:t>LT/1/16/3949/006 – N90</w:t>
            </w:r>
          </w:p>
          <w:p w14:paraId="3A29366B" w14:textId="77777777" w:rsidR="00835885" w:rsidRPr="00835885" w:rsidRDefault="00835885" w:rsidP="00835885">
            <w:pPr>
              <w:widowControl w:val="0"/>
              <w:tabs>
                <w:tab w:val="left" w:pos="567"/>
              </w:tabs>
              <w:rPr>
                <w:sz w:val="22"/>
                <w:szCs w:val="22"/>
              </w:rPr>
            </w:pPr>
            <w:r w:rsidRPr="00835885">
              <w:rPr>
                <w:sz w:val="22"/>
                <w:szCs w:val="22"/>
              </w:rPr>
              <w:t>LT/1/16/3949/007 – N98</w:t>
            </w:r>
          </w:p>
          <w:p w14:paraId="5A198521" w14:textId="77777777" w:rsidR="00835885" w:rsidRPr="00835885" w:rsidRDefault="00835885" w:rsidP="00835885">
            <w:pPr>
              <w:widowControl w:val="0"/>
              <w:tabs>
                <w:tab w:val="left" w:pos="567"/>
              </w:tabs>
              <w:rPr>
                <w:sz w:val="22"/>
                <w:szCs w:val="22"/>
              </w:rPr>
            </w:pPr>
            <w:r w:rsidRPr="00835885">
              <w:rPr>
                <w:sz w:val="22"/>
                <w:szCs w:val="22"/>
              </w:rPr>
              <w:t>LT/1/16/3949/008 – N100</w:t>
            </w:r>
          </w:p>
          <w:p w14:paraId="20153029" w14:textId="77777777" w:rsidR="00835885" w:rsidRPr="00835885" w:rsidRDefault="00835885" w:rsidP="00835885">
            <w:pPr>
              <w:widowControl w:val="0"/>
              <w:tabs>
                <w:tab w:val="left" w:pos="567"/>
              </w:tabs>
              <w:rPr>
                <w:sz w:val="22"/>
                <w:szCs w:val="22"/>
              </w:rPr>
            </w:pPr>
            <w:r w:rsidRPr="00835885">
              <w:rPr>
                <w:sz w:val="22"/>
                <w:szCs w:val="22"/>
              </w:rPr>
              <w:t>LT/1/16/3949/009 – N112</w:t>
            </w:r>
          </w:p>
          <w:p w14:paraId="1AF2A5BF" w14:textId="67E56152" w:rsidR="00835885" w:rsidRPr="00835885" w:rsidRDefault="00835885" w:rsidP="00835885">
            <w:pPr>
              <w:widowControl w:val="0"/>
              <w:tabs>
                <w:tab w:val="left" w:pos="567"/>
              </w:tabs>
              <w:rPr>
                <w:sz w:val="22"/>
                <w:szCs w:val="22"/>
              </w:rPr>
            </w:pPr>
            <w:r w:rsidRPr="00835885">
              <w:rPr>
                <w:sz w:val="22"/>
                <w:szCs w:val="22"/>
              </w:rPr>
              <w:t>LT/1/16/3949/010 – N180</w:t>
            </w:r>
          </w:p>
          <w:p w14:paraId="5FE20B55" w14:textId="77777777" w:rsidR="00653262" w:rsidRDefault="00653262" w:rsidP="00A23238">
            <w:pPr>
              <w:rPr>
                <w:sz w:val="22"/>
                <w:szCs w:val="22"/>
                <w:u w:val="single"/>
              </w:rPr>
            </w:pPr>
            <w:r w:rsidRPr="003E3BFD">
              <w:rPr>
                <w:sz w:val="22"/>
                <w:szCs w:val="22"/>
                <w:u w:val="single"/>
              </w:rPr>
              <w:t>Dalomoji lizdinė plokštelė:</w:t>
            </w:r>
          </w:p>
          <w:p w14:paraId="3F5F8809" w14:textId="77777777" w:rsidR="00835885" w:rsidRPr="00835885" w:rsidRDefault="00835885" w:rsidP="00835885">
            <w:pPr>
              <w:rPr>
                <w:sz w:val="22"/>
                <w:szCs w:val="22"/>
              </w:rPr>
            </w:pPr>
            <w:r w:rsidRPr="00835885">
              <w:rPr>
                <w:sz w:val="22"/>
                <w:szCs w:val="22"/>
              </w:rPr>
              <w:t>LT/1/16/3949/011 – N14x1</w:t>
            </w:r>
          </w:p>
          <w:p w14:paraId="4EF297BC" w14:textId="77777777" w:rsidR="00835885" w:rsidRPr="00835885" w:rsidRDefault="00835885" w:rsidP="00835885">
            <w:pPr>
              <w:rPr>
                <w:sz w:val="22"/>
                <w:szCs w:val="22"/>
              </w:rPr>
            </w:pPr>
            <w:r w:rsidRPr="00835885">
              <w:rPr>
                <w:sz w:val="22"/>
                <w:szCs w:val="22"/>
              </w:rPr>
              <w:t>LT/1/16/3949/012 – N28x1</w:t>
            </w:r>
          </w:p>
          <w:p w14:paraId="4BB3F8AA" w14:textId="77777777" w:rsidR="00835885" w:rsidRPr="00835885" w:rsidRDefault="00835885" w:rsidP="00835885">
            <w:pPr>
              <w:rPr>
                <w:sz w:val="22"/>
                <w:szCs w:val="22"/>
              </w:rPr>
            </w:pPr>
            <w:r w:rsidRPr="00835885">
              <w:rPr>
                <w:sz w:val="22"/>
                <w:szCs w:val="22"/>
              </w:rPr>
              <w:t>LT/1/16/3949/013 – N30x1</w:t>
            </w:r>
          </w:p>
          <w:p w14:paraId="525764C7" w14:textId="77777777" w:rsidR="00835885" w:rsidRPr="00835885" w:rsidRDefault="00835885" w:rsidP="00835885">
            <w:pPr>
              <w:rPr>
                <w:sz w:val="22"/>
                <w:szCs w:val="22"/>
              </w:rPr>
            </w:pPr>
            <w:r w:rsidRPr="00835885">
              <w:rPr>
                <w:sz w:val="22"/>
                <w:szCs w:val="22"/>
              </w:rPr>
              <w:t>LT/1/16/3949/014 – N56x1</w:t>
            </w:r>
          </w:p>
          <w:p w14:paraId="7DC20A05" w14:textId="77777777" w:rsidR="00835885" w:rsidRPr="00835885" w:rsidRDefault="00835885" w:rsidP="00835885">
            <w:pPr>
              <w:rPr>
                <w:sz w:val="22"/>
                <w:szCs w:val="22"/>
              </w:rPr>
            </w:pPr>
            <w:r w:rsidRPr="00835885">
              <w:rPr>
                <w:sz w:val="22"/>
                <w:szCs w:val="22"/>
              </w:rPr>
              <w:t>LT/1/16/3949/015 – N60x1</w:t>
            </w:r>
          </w:p>
          <w:p w14:paraId="180758F5" w14:textId="77777777" w:rsidR="00835885" w:rsidRPr="00835885" w:rsidRDefault="00835885" w:rsidP="00835885">
            <w:pPr>
              <w:rPr>
                <w:sz w:val="22"/>
                <w:szCs w:val="22"/>
              </w:rPr>
            </w:pPr>
            <w:r w:rsidRPr="00835885">
              <w:rPr>
                <w:sz w:val="22"/>
                <w:szCs w:val="22"/>
              </w:rPr>
              <w:t>LT/1/16/3949/016 – N90x1</w:t>
            </w:r>
          </w:p>
          <w:p w14:paraId="6CEC5B49" w14:textId="77777777" w:rsidR="00835885" w:rsidRPr="00835885" w:rsidRDefault="00835885" w:rsidP="00835885">
            <w:pPr>
              <w:rPr>
                <w:sz w:val="22"/>
                <w:szCs w:val="22"/>
              </w:rPr>
            </w:pPr>
            <w:r w:rsidRPr="00835885">
              <w:rPr>
                <w:sz w:val="22"/>
                <w:szCs w:val="22"/>
              </w:rPr>
              <w:t>LT/1/16/3949/017 – N98x1</w:t>
            </w:r>
          </w:p>
          <w:p w14:paraId="4276E6C5" w14:textId="77777777" w:rsidR="00835885" w:rsidRPr="00835885" w:rsidRDefault="00835885" w:rsidP="00835885">
            <w:pPr>
              <w:rPr>
                <w:sz w:val="22"/>
                <w:szCs w:val="22"/>
              </w:rPr>
            </w:pPr>
            <w:r w:rsidRPr="00835885">
              <w:rPr>
                <w:sz w:val="22"/>
                <w:szCs w:val="22"/>
              </w:rPr>
              <w:t>LT/1/16/3949/018 – N100x1</w:t>
            </w:r>
          </w:p>
          <w:p w14:paraId="65D36B1E" w14:textId="667FF918" w:rsidR="00835885" w:rsidRPr="00835885" w:rsidRDefault="00835885" w:rsidP="00835885">
            <w:pPr>
              <w:rPr>
                <w:sz w:val="22"/>
                <w:szCs w:val="22"/>
              </w:rPr>
            </w:pPr>
            <w:r w:rsidRPr="00835885">
              <w:rPr>
                <w:sz w:val="22"/>
                <w:szCs w:val="22"/>
              </w:rPr>
              <w:t>LT/1/16/3949/019 – N112x1</w:t>
            </w:r>
          </w:p>
          <w:p w14:paraId="664C2910" w14:textId="13C14E31" w:rsidR="00653262" w:rsidRPr="003E3BFD" w:rsidRDefault="00835885" w:rsidP="00835885">
            <w:pPr>
              <w:rPr>
                <w:sz w:val="22"/>
                <w:szCs w:val="22"/>
              </w:rPr>
            </w:pPr>
            <w:r w:rsidRPr="00835885">
              <w:rPr>
                <w:sz w:val="22"/>
                <w:szCs w:val="22"/>
              </w:rPr>
              <w:t>LT/1/16/3949/020 – N180x1</w:t>
            </w:r>
            <w:r w:rsidR="00653262" w:rsidRPr="003E3BFD">
              <w:rPr>
                <w:sz w:val="22"/>
                <w:szCs w:val="22"/>
              </w:rPr>
              <w:t xml:space="preserve"> </w:t>
            </w:r>
          </w:p>
        </w:tc>
        <w:tc>
          <w:tcPr>
            <w:tcW w:w="4531" w:type="dxa"/>
          </w:tcPr>
          <w:p w14:paraId="12D03763" w14:textId="65EAA9C4" w:rsidR="00653262" w:rsidRPr="00835885" w:rsidRDefault="00653262" w:rsidP="00A23238">
            <w:pPr>
              <w:widowControl w:val="0"/>
              <w:tabs>
                <w:tab w:val="left" w:pos="567"/>
              </w:tabs>
              <w:rPr>
                <w:sz w:val="22"/>
                <w:szCs w:val="22"/>
                <w:u w:val="single"/>
              </w:rPr>
            </w:pPr>
            <w:r w:rsidRPr="00835885">
              <w:rPr>
                <w:sz w:val="22"/>
                <w:szCs w:val="22"/>
                <w:u w:val="single"/>
              </w:rPr>
              <w:t xml:space="preserve">7,5 mg </w:t>
            </w:r>
          </w:p>
          <w:p w14:paraId="58E98C02" w14:textId="77777777" w:rsidR="00653262" w:rsidRDefault="00653262" w:rsidP="00A23238">
            <w:pPr>
              <w:widowControl w:val="0"/>
              <w:tabs>
                <w:tab w:val="left" w:pos="567"/>
              </w:tabs>
              <w:rPr>
                <w:sz w:val="22"/>
                <w:szCs w:val="22"/>
                <w:u w:val="single"/>
              </w:rPr>
            </w:pPr>
            <w:r w:rsidRPr="003E3BFD">
              <w:rPr>
                <w:sz w:val="22"/>
                <w:szCs w:val="22"/>
                <w:u w:val="single"/>
              </w:rPr>
              <w:t>Lizdinė plokštelė:</w:t>
            </w:r>
          </w:p>
          <w:p w14:paraId="58744F45" w14:textId="77777777" w:rsidR="00835885" w:rsidRPr="00835885" w:rsidRDefault="00835885" w:rsidP="00835885">
            <w:pPr>
              <w:widowControl w:val="0"/>
              <w:tabs>
                <w:tab w:val="left" w:pos="567"/>
              </w:tabs>
              <w:rPr>
                <w:sz w:val="22"/>
                <w:szCs w:val="22"/>
              </w:rPr>
            </w:pPr>
            <w:r w:rsidRPr="00835885">
              <w:rPr>
                <w:sz w:val="22"/>
                <w:szCs w:val="22"/>
              </w:rPr>
              <w:t>LT/1/16/3949/021 – N14</w:t>
            </w:r>
          </w:p>
          <w:p w14:paraId="0111F31F" w14:textId="77777777" w:rsidR="00835885" w:rsidRPr="00835885" w:rsidRDefault="00835885" w:rsidP="00835885">
            <w:pPr>
              <w:widowControl w:val="0"/>
              <w:tabs>
                <w:tab w:val="left" w:pos="567"/>
              </w:tabs>
              <w:rPr>
                <w:sz w:val="22"/>
                <w:szCs w:val="22"/>
              </w:rPr>
            </w:pPr>
            <w:r w:rsidRPr="00835885">
              <w:rPr>
                <w:sz w:val="22"/>
                <w:szCs w:val="22"/>
              </w:rPr>
              <w:t>LT/1/16/3949/022 – N28</w:t>
            </w:r>
          </w:p>
          <w:p w14:paraId="28A892B4" w14:textId="77777777" w:rsidR="00835885" w:rsidRPr="00835885" w:rsidRDefault="00835885" w:rsidP="00835885">
            <w:pPr>
              <w:widowControl w:val="0"/>
              <w:tabs>
                <w:tab w:val="left" w:pos="567"/>
              </w:tabs>
              <w:rPr>
                <w:sz w:val="22"/>
                <w:szCs w:val="22"/>
              </w:rPr>
            </w:pPr>
            <w:r w:rsidRPr="00835885">
              <w:rPr>
                <w:sz w:val="22"/>
                <w:szCs w:val="22"/>
              </w:rPr>
              <w:t>LT/1/16/3949/023 – N30</w:t>
            </w:r>
          </w:p>
          <w:p w14:paraId="6610BDD5" w14:textId="77777777" w:rsidR="00835885" w:rsidRPr="00835885" w:rsidRDefault="00835885" w:rsidP="00835885">
            <w:pPr>
              <w:widowControl w:val="0"/>
              <w:tabs>
                <w:tab w:val="left" w:pos="567"/>
              </w:tabs>
              <w:rPr>
                <w:sz w:val="22"/>
                <w:szCs w:val="22"/>
              </w:rPr>
            </w:pPr>
            <w:r w:rsidRPr="00835885">
              <w:rPr>
                <w:sz w:val="22"/>
                <w:szCs w:val="22"/>
              </w:rPr>
              <w:t>LT/1/16/3949/024 – N56</w:t>
            </w:r>
          </w:p>
          <w:p w14:paraId="2B4F93CC" w14:textId="77777777" w:rsidR="00835885" w:rsidRPr="00835885" w:rsidRDefault="00835885" w:rsidP="00835885">
            <w:pPr>
              <w:widowControl w:val="0"/>
              <w:tabs>
                <w:tab w:val="left" w:pos="567"/>
              </w:tabs>
              <w:rPr>
                <w:sz w:val="22"/>
                <w:szCs w:val="22"/>
              </w:rPr>
            </w:pPr>
            <w:r w:rsidRPr="00835885">
              <w:rPr>
                <w:sz w:val="22"/>
                <w:szCs w:val="22"/>
              </w:rPr>
              <w:t>LT/1/16/3949/025 – N60</w:t>
            </w:r>
          </w:p>
          <w:p w14:paraId="26E5BB33" w14:textId="77777777" w:rsidR="00835885" w:rsidRPr="00835885" w:rsidRDefault="00835885" w:rsidP="00835885">
            <w:pPr>
              <w:widowControl w:val="0"/>
              <w:tabs>
                <w:tab w:val="left" w:pos="567"/>
              </w:tabs>
              <w:rPr>
                <w:sz w:val="22"/>
                <w:szCs w:val="22"/>
              </w:rPr>
            </w:pPr>
            <w:r w:rsidRPr="00835885">
              <w:rPr>
                <w:sz w:val="22"/>
                <w:szCs w:val="22"/>
              </w:rPr>
              <w:t>LT/1/16/3949/026 – N90</w:t>
            </w:r>
          </w:p>
          <w:p w14:paraId="564B4EF2" w14:textId="77777777" w:rsidR="00835885" w:rsidRPr="00835885" w:rsidRDefault="00835885" w:rsidP="00835885">
            <w:pPr>
              <w:widowControl w:val="0"/>
              <w:tabs>
                <w:tab w:val="left" w:pos="567"/>
              </w:tabs>
              <w:rPr>
                <w:sz w:val="22"/>
                <w:szCs w:val="22"/>
              </w:rPr>
            </w:pPr>
            <w:r w:rsidRPr="00835885">
              <w:rPr>
                <w:sz w:val="22"/>
                <w:szCs w:val="22"/>
              </w:rPr>
              <w:t>LT/1/16/3949/027 – N98</w:t>
            </w:r>
          </w:p>
          <w:p w14:paraId="22207554" w14:textId="77777777" w:rsidR="00835885" w:rsidRPr="00835885" w:rsidRDefault="00835885" w:rsidP="00835885">
            <w:pPr>
              <w:widowControl w:val="0"/>
              <w:tabs>
                <w:tab w:val="left" w:pos="567"/>
              </w:tabs>
              <w:rPr>
                <w:sz w:val="22"/>
                <w:szCs w:val="22"/>
              </w:rPr>
            </w:pPr>
            <w:r w:rsidRPr="00835885">
              <w:rPr>
                <w:sz w:val="22"/>
                <w:szCs w:val="22"/>
              </w:rPr>
              <w:t>LT/1/16/3949/028 – N100</w:t>
            </w:r>
          </w:p>
          <w:p w14:paraId="5241E212" w14:textId="77777777" w:rsidR="00835885" w:rsidRPr="00835885" w:rsidRDefault="00835885" w:rsidP="00835885">
            <w:pPr>
              <w:widowControl w:val="0"/>
              <w:tabs>
                <w:tab w:val="left" w:pos="567"/>
              </w:tabs>
              <w:rPr>
                <w:sz w:val="22"/>
                <w:szCs w:val="22"/>
              </w:rPr>
            </w:pPr>
            <w:r w:rsidRPr="00835885">
              <w:rPr>
                <w:sz w:val="22"/>
                <w:szCs w:val="22"/>
              </w:rPr>
              <w:t>LT/1/16/3949/029 – N112</w:t>
            </w:r>
          </w:p>
          <w:p w14:paraId="035DBF34" w14:textId="448A9C1D" w:rsidR="00835885" w:rsidRPr="00835885" w:rsidRDefault="00835885" w:rsidP="00835885">
            <w:pPr>
              <w:widowControl w:val="0"/>
              <w:tabs>
                <w:tab w:val="left" w:pos="567"/>
              </w:tabs>
              <w:rPr>
                <w:sz w:val="22"/>
                <w:szCs w:val="22"/>
              </w:rPr>
            </w:pPr>
            <w:r w:rsidRPr="00835885">
              <w:rPr>
                <w:sz w:val="22"/>
                <w:szCs w:val="22"/>
              </w:rPr>
              <w:t>LT/1/16/3949/030 – N180</w:t>
            </w:r>
          </w:p>
          <w:p w14:paraId="17D5B97A" w14:textId="77777777" w:rsidR="00653262" w:rsidRPr="003E3BFD" w:rsidRDefault="00653262" w:rsidP="00A23238">
            <w:pPr>
              <w:rPr>
                <w:sz w:val="22"/>
                <w:szCs w:val="22"/>
                <w:u w:val="single"/>
              </w:rPr>
            </w:pPr>
            <w:r w:rsidRPr="003E3BFD">
              <w:rPr>
                <w:sz w:val="22"/>
                <w:szCs w:val="22"/>
                <w:u w:val="single"/>
              </w:rPr>
              <w:t>Dalomoji lizdinė plokštelė:</w:t>
            </w:r>
          </w:p>
          <w:p w14:paraId="0A577015" w14:textId="58677B47" w:rsidR="00835885" w:rsidRPr="00835885" w:rsidRDefault="00835885" w:rsidP="00835885">
            <w:pPr>
              <w:widowControl w:val="0"/>
              <w:tabs>
                <w:tab w:val="left" w:pos="567"/>
              </w:tabs>
              <w:rPr>
                <w:sz w:val="22"/>
                <w:szCs w:val="22"/>
              </w:rPr>
            </w:pPr>
            <w:r w:rsidRPr="00835885">
              <w:rPr>
                <w:sz w:val="22"/>
                <w:szCs w:val="22"/>
              </w:rPr>
              <w:t>LT/1/16/3949/031 – N14x1</w:t>
            </w:r>
          </w:p>
          <w:p w14:paraId="57739D09" w14:textId="77777777" w:rsidR="00835885" w:rsidRPr="00835885" w:rsidRDefault="00835885" w:rsidP="00835885">
            <w:pPr>
              <w:widowControl w:val="0"/>
              <w:tabs>
                <w:tab w:val="left" w:pos="567"/>
              </w:tabs>
              <w:rPr>
                <w:sz w:val="22"/>
                <w:szCs w:val="22"/>
              </w:rPr>
            </w:pPr>
            <w:r w:rsidRPr="00835885">
              <w:rPr>
                <w:sz w:val="22"/>
                <w:szCs w:val="22"/>
              </w:rPr>
              <w:t>LT/1/16/3949/032 – N28x1</w:t>
            </w:r>
          </w:p>
          <w:p w14:paraId="095C4015" w14:textId="77777777" w:rsidR="00835885" w:rsidRPr="00835885" w:rsidRDefault="00835885" w:rsidP="00835885">
            <w:pPr>
              <w:widowControl w:val="0"/>
              <w:tabs>
                <w:tab w:val="left" w:pos="567"/>
              </w:tabs>
              <w:rPr>
                <w:sz w:val="22"/>
                <w:szCs w:val="22"/>
              </w:rPr>
            </w:pPr>
            <w:r w:rsidRPr="00835885">
              <w:rPr>
                <w:sz w:val="22"/>
                <w:szCs w:val="22"/>
              </w:rPr>
              <w:t>LT/1/16/3949/033 – N30x1</w:t>
            </w:r>
          </w:p>
          <w:p w14:paraId="331328FE" w14:textId="77777777" w:rsidR="00835885" w:rsidRPr="00835885" w:rsidRDefault="00835885" w:rsidP="00835885">
            <w:pPr>
              <w:widowControl w:val="0"/>
              <w:tabs>
                <w:tab w:val="left" w:pos="567"/>
              </w:tabs>
              <w:rPr>
                <w:sz w:val="22"/>
                <w:szCs w:val="22"/>
              </w:rPr>
            </w:pPr>
            <w:r w:rsidRPr="00835885">
              <w:rPr>
                <w:sz w:val="22"/>
                <w:szCs w:val="22"/>
              </w:rPr>
              <w:t>LT/1/16/3949/034 – N56x1</w:t>
            </w:r>
          </w:p>
          <w:p w14:paraId="01185711" w14:textId="77777777" w:rsidR="00835885" w:rsidRPr="00835885" w:rsidRDefault="00835885" w:rsidP="00835885">
            <w:pPr>
              <w:widowControl w:val="0"/>
              <w:tabs>
                <w:tab w:val="left" w:pos="567"/>
              </w:tabs>
              <w:rPr>
                <w:sz w:val="22"/>
                <w:szCs w:val="22"/>
              </w:rPr>
            </w:pPr>
            <w:r w:rsidRPr="00835885">
              <w:rPr>
                <w:sz w:val="22"/>
                <w:szCs w:val="22"/>
              </w:rPr>
              <w:t>LT/1/16/3949/035 – N60x1</w:t>
            </w:r>
          </w:p>
          <w:p w14:paraId="1DD0E2E5" w14:textId="77777777" w:rsidR="00835885" w:rsidRPr="00835885" w:rsidRDefault="00835885" w:rsidP="00835885">
            <w:pPr>
              <w:widowControl w:val="0"/>
              <w:tabs>
                <w:tab w:val="left" w:pos="567"/>
              </w:tabs>
              <w:rPr>
                <w:sz w:val="22"/>
                <w:szCs w:val="22"/>
              </w:rPr>
            </w:pPr>
            <w:r w:rsidRPr="00835885">
              <w:rPr>
                <w:sz w:val="22"/>
                <w:szCs w:val="22"/>
              </w:rPr>
              <w:t>LT/1/16/3949/036 – N90x1</w:t>
            </w:r>
          </w:p>
          <w:p w14:paraId="719D3C1D" w14:textId="77777777" w:rsidR="00835885" w:rsidRPr="00835885" w:rsidRDefault="00835885" w:rsidP="00835885">
            <w:pPr>
              <w:widowControl w:val="0"/>
              <w:tabs>
                <w:tab w:val="left" w:pos="567"/>
              </w:tabs>
              <w:rPr>
                <w:sz w:val="22"/>
                <w:szCs w:val="22"/>
              </w:rPr>
            </w:pPr>
            <w:r w:rsidRPr="00835885">
              <w:rPr>
                <w:sz w:val="22"/>
                <w:szCs w:val="22"/>
              </w:rPr>
              <w:t>LT/1/16/3949/037 – N98x1</w:t>
            </w:r>
          </w:p>
          <w:p w14:paraId="38181078" w14:textId="77777777" w:rsidR="00835885" w:rsidRPr="00835885" w:rsidRDefault="00835885" w:rsidP="00835885">
            <w:pPr>
              <w:widowControl w:val="0"/>
              <w:tabs>
                <w:tab w:val="left" w:pos="567"/>
              </w:tabs>
              <w:rPr>
                <w:sz w:val="22"/>
                <w:szCs w:val="22"/>
              </w:rPr>
            </w:pPr>
            <w:r w:rsidRPr="00835885">
              <w:rPr>
                <w:sz w:val="22"/>
                <w:szCs w:val="22"/>
              </w:rPr>
              <w:t>LT/1/16/3949/038 – N100x1</w:t>
            </w:r>
          </w:p>
          <w:p w14:paraId="0E3CAB6E" w14:textId="77777777" w:rsidR="00835885" w:rsidRPr="00835885" w:rsidRDefault="00835885" w:rsidP="00835885">
            <w:pPr>
              <w:widowControl w:val="0"/>
              <w:tabs>
                <w:tab w:val="left" w:pos="567"/>
              </w:tabs>
              <w:rPr>
                <w:sz w:val="22"/>
                <w:szCs w:val="22"/>
              </w:rPr>
            </w:pPr>
            <w:r w:rsidRPr="00835885">
              <w:rPr>
                <w:sz w:val="22"/>
                <w:szCs w:val="22"/>
              </w:rPr>
              <w:t>LT/1/16/3949/039 – N112x1</w:t>
            </w:r>
          </w:p>
          <w:p w14:paraId="0699D869" w14:textId="48895AA6" w:rsidR="00653262" w:rsidRPr="003E3BFD" w:rsidRDefault="00835885" w:rsidP="00835885">
            <w:pPr>
              <w:widowControl w:val="0"/>
              <w:tabs>
                <w:tab w:val="left" w:pos="567"/>
              </w:tabs>
              <w:rPr>
                <w:sz w:val="22"/>
                <w:szCs w:val="22"/>
              </w:rPr>
            </w:pPr>
            <w:r w:rsidRPr="00835885">
              <w:rPr>
                <w:sz w:val="22"/>
                <w:szCs w:val="22"/>
              </w:rPr>
              <w:t>LT/1/16/3949/040 – N180x1</w:t>
            </w:r>
          </w:p>
        </w:tc>
      </w:tr>
    </w:tbl>
    <w:p w14:paraId="164CE66C"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1F307A4E"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21D0B73D"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9.</w:t>
      </w:r>
      <w:r w:rsidRPr="003E3BFD">
        <w:rPr>
          <w:rFonts w:ascii="Times New Roman" w:eastAsia="Times New Roman" w:hAnsi="Times New Roman" w:cs="Times New Roman"/>
          <w:b/>
          <w:bCs/>
          <w:snapToGrid w:val="0"/>
          <w:lang w:eastAsia="x-none"/>
        </w:rPr>
        <w:tab/>
        <w:t>REGISTRAVIMO / PERREGISTRAVIMO DATA</w:t>
      </w:r>
    </w:p>
    <w:p w14:paraId="5F125BC7"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5E57B91B" w14:textId="77777777" w:rsidR="00653262" w:rsidRDefault="00653262" w:rsidP="00653262">
      <w:pPr>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Registravimo data 2016 m. rugpjūčio 8 d.</w:t>
      </w:r>
    </w:p>
    <w:p w14:paraId="66653C83" w14:textId="6D6F8F89" w:rsidR="00915C8C" w:rsidRPr="00915C8C" w:rsidRDefault="00915C8C" w:rsidP="00653262">
      <w:pPr>
        <w:ind w:left="0" w:firstLine="0"/>
        <w:rPr>
          <w:rFonts w:ascii="Times New Roman" w:eastAsia="Times New Roman" w:hAnsi="Times New Roman" w:cs="Times New Roman"/>
          <w:snapToGrid w:val="0"/>
        </w:rPr>
      </w:pPr>
      <w:r w:rsidRPr="001A54FC">
        <w:rPr>
          <w:rFonts w:ascii="Times New Roman" w:hAnsi="Times New Roman" w:cs="Times New Roman"/>
          <w:noProof/>
        </w:rPr>
        <w:t xml:space="preserve">Paskutinio </w:t>
      </w:r>
      <w:r w:rsidRPr="001A54FC">
        <w:rPr>
          <w:rFonts w:ascii="Times New Roman" w:hAnsi="Times New Roman" w:cs="Times New Roman"/>
          <w:noProof/>
          <w:szCs w:val="24"/>
        </w:rPr>
        <w:t xml:space="preserve">perregistravimo data </w:t>
      </w:r>
      <w:r w:rsidR="00835885">
        <w:rPr>
          <w:rFonts w:ascii="Times New Roman" w:hAnsi="Times New Roman" w:cs="Times New Roman"/>
          <w:noProof/>
          <w:szCs w:val="24"/>
        </w:rPr>
        <w:t>2021 m. spalio 26 d.</w:t>
      </w:r>
    </w:p>
    <w:p w14:paraId="54CF6985"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340FFDCA" w14:textId="77777777" w:rsidR="00653262" w:rsidRPr="003E3BFD" w:rsidRDefault="00653262" w:rsidP="00653262">
      <w:pPr>
        <w:widowControl w:val="0"/>
        <w:ind w:left="0" w:firstLine="0"/>
        <w:rPr>
          <w:rFonts w:ascii="Times New Roman" w:eastAsia="Times New Roman" w:hAnsi="Times New Roman" w:cs="Times New Roman"/>
          <w:snapToGrid w:val="0"/>
        </w:rPr>
      </w:pPr>
    </w:p>
    <w:p w14:paraId="64880C7E"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10.</w:t>
      </w:r>
      <w:r w:rsidRPr="003E3BFD">
        <w:rPr>
          <w:rFonts w:ascii="Times New Roman" w:eastAsia="Times New Roman" w:hAnsi="Times New Roman" w:cs="Times New Roman"/>
          <w:b/>
          <w:bCs/>
          <w:snapToGrid w:val="0"/>
          <w:lang w:eastAsia="x-none"/>
        </w:rPr>
        <w:tab/>
        <w:t>TEKSTO PERŽIŪROS DATA</w:t>
      </w:r>
    </w:p>
    <w:p w14:paraId="52541D02" w14:textId="77777777" w:rsidR="00653262" w:rsidRDefault="00653262" w:rsidP="00653262">
      <w:pPr>
        <w:widowControl w:val="0"/>
        <w:ind w:left="0" w:firstLine="0"/>
        <w:rPr>
          <w:rFonts w:ascii="Times New Roman" w:eastAsia="Times New Roman" w:hAnsi="Times New Roman" w:cs="Times New Roman"/>
          <w:snapToGrid w:val="0"/>
        </w:rPr>
      </w:pPr>
    </w:p>
    <w:p w14:paraId="423AC845" w14:textId="6217B75D" w:rsidR="00653262" w:rsidRDefault="00464F04" w:rsidP="00653262">
      <w:pPr>
        <w:widowControl w:val="0"/>
        <w:ind w:left="0" w:firstLine="0"/>
        <w:rPr>
          <w:rFonts w:ascii="Times New Roman" w:eastAsia="Times New Roman" w:hAnsi="Times New Roman" w:cs="Times New Roman"/>
          <w:snapToGrid w:val="0"/>
        </w:rPr>
      </w:pPr>
      <w:r>
        <w:rPr>
          <w:rFonts w:ascii="Times New Roman" w:hAnsi="Times New Roman" w:cs="Times New Roman"/>
          <w:noProof/>
          <w:szCs w:val="24"/>
        </w:rPr>
        <w:t>2023 m. liepos m. 27 d.</w:t>
      </w:r>
    </w:p>
    <w:p w14:paraId="6421E857" w14:textId="77777777" w:rsidR="00BF2251" w:rsidRPr="003E3BFD" w:rsidRDefault="00BF2251" w:rsidP="00653262">
      <w:pPr>
        <w:widowControl w:val="0"/>
        <w:ind w:left="0" w:firstLine="0"/>
        <w:rPr>
          <w:rFonts w:ascii="Times New Roman" w:eastAsia="Times New Roman" w:hAnsi="Times New Roman" w:cs="Times New Roman"/>
          <w:snapToGrid w:val="0"/>
        </w:rPr>
      </w:pPr>
    </w:p>
    <w:p w14:paraId="03DB3351" w14:textId="08F62F93" w:rsidR="00653262" w:rsidRPr="003E3BFD" w:rsidRDefault="00653262" w:rsidP="00653262">
      <w:pPr>
        <w:tabs>
          <w:tab w:val="left" w:pos="5954"/>
          <w:tab w:val="left" w:pos="6237"/>
          <w:tab w:val="left" w:pos="6663"/>
          <w:tab w:val="left" w:pos="6946"/>
        </w:tabs>
        <w:ind w:left="0" w:firstLine="0"/>
        <w:rPr>
          <w:rFonts w:ascii="Times New Roman" w:eastAsia="SimSun" w:hAnsi="Times New Roman" w:cs="Times New Roman"/>
        </w:rPr>
      </w:pPr>
      <w:r w:rsidRPr="003E3BF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E3BFD">
        <w:rPr>
          <w:rFonts w:ascii="Times New Roman" w:eastAsia="SimSun" w:hAnsi="Times New Roman" w:cs="Times New Roman"/>
          <w:i/>
          <w:noProof/>
        </w:rPr>
        <w:t xml:space="preserve"> </w:t>
      </w:r>
      <w:hyperlink r:id="rId10" w:history="1">
        <w:r w:rsidRPr="003E3BFD">
          <w:rPr>
            <w:rFonts w:ascii="Times New Roman" w:eastAsia="SimSun" w:hAnsi="Times New Roman" w:cs="Times New Roman"/>
            <w:noProof/>
            <w:color w:val="0000FF"/>
            <w:u w:val="single"/>
          </w:rPr>
          <w:t>http://www.</w:t>
        </w:r>
        <w:r w:rsidRPr="003E3BFD">
          <w:rPr>
            <w:rFonts w:ascii="Times New Roman" w:eastAsia="SimSun" w:hAnsi="Times New Roman" w:cs="Times New Roman"/>
            <w:color w:val="0000FF"/>
            <w:u w:val="single"/>
          </w:rPr>
          <w:t>vvkt.lt</w:t>
        </w:r>
      </w:hyperlink>
    </w:p>
    <w:p w14:paraId="0AEC41E8" w14:textId="77777777" w:rsidR="00653262" w:rsidRPr="003E3BFD" w:rsidRDefault="00653262" w:rsidP="00653262">
      <w:pPr>
        <w:widowControl w:val="0"/>
        <w:tabs>
          <w:tab w:val="left" w:pos="5954"/>
          <w:tab w:val="left" w:pos="6237"/>
          <w:tab w:val="left" w:pos="6663"/>
          <w:tab w:val="left" w:pos="6946"/>
        </w:tabs>
        <w:ind w:left="0" w:firstLine="0"/>
        <w:rPr>
          <w:rFonts w:ascii="Times New Roman" w:eastAsia="SimSun" w:hAnsi="Times New Roman" w:cs="Times New Roman"/>
        </w:rPr>
      </w:pPr>
    </w:p>
    <w:p w14:paraId="24A90A1F" w14:textId="77777777" w:rsidR="00653262" w:rsidRPr="003E3BFD" w:rsidRDefault="00653262" w:rsidP="00653262">
      <w:pPr>
        <w:widowControl w:val="0"/>
        <w:tabs>
          <w:tab w:val="left" w:pos="4962"/>
        </w:tabs>
        <w:ind w:left="0" w:firstLine="0"/>
        <w:jc w:val="center"/>
        <w:rPr>
          <w:rFonts w:ascii="Times New Roman" w:eastAsia="SimSun" w:hAnsi="Times New Roman" w:cs="Times New Roman"/>
          <w:color w:val="000000"/>
        </w:rPr>
      </w:pPr>
      <w:r w:rsidRPr="003E3BFD">
        <w:rPr>
          <w:rFonts w:ascii="Times New Roman" w:eastAsia="SimSun" w:hAnsi="Times New Roman" w:cs="Times New Roman"/>
        </w:rPr>
        <w:br w:type="page"/>
      </w:r>
    </w:p>
    <w:p w14:paraId="03F5FA84"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0E9856B9"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0543B69A"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11C0D8B0"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2E4587E5"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3C7B1942"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5984D43D"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57CF0B24"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3CEB3BE5"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27659589"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7F267E56"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02C993B8"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0A34B1AB"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2290ACF7"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234840E9"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25EEF649"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5B6B233A"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noProof/>
          <w:snapToGrid w:val="0"/>
        </w:rPr>
      </w:pPr>
    </w:p>
    <w:p w14:paraId="38333BF4"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208FD390"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48B3FF92"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3C607016"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5AB8D2FC"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7F82E2F6"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p>
    <w:p w14:paraId="5B49FA44"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II PRIEDAS</w:t>
      </w:r>
    </w:p>
    <w:p w14:paraId="4012E921" w14:textId="77777777" w:rsidR="00653262" w:rsidRPr="003E3BFD" w:rsidRDefault="00653262" w:rsidP="00653262">
      <w:pPr>
        <w:widowControl w:val="0"/>
        <w:tabs>
          <w:tab w:val="left" w:pos="567"/>
        </w:tabs>
        <w:ind w:left="1701" w:right="1416"/>
        <w:rPr>
          <w:rFonts w:ascii="Times New Roman" w:eastAsia="Times New Roman" w:hAnsi="Times New Roman" w:cs="Times New Roman"/>
          <w:snapToGrid w:val="0"/>
        </w:rPr>
      </w:pPr>
    </w:p>
    <w:p w14:paraId="30867C71" w14:textId="77777777" w:rsidR="00653262" w:rsidRPr="003E3BFD" w:rsidRDefault="00653262" w:rsidP="00653262">
      <w:pPr>
        <w:widowControl w:val="0"/>
        <w:tabs>
          <w:tab w:val="left" w:pos="567"/>
        </w:tabs>
        <w:ind w:left="0" w:firstLine="0"/>
        <w:jc w:val="center"/>
        <w:rPr>
          <w:rFonts w:ascii="Times New Roman" w:eastAsia="Times New Roman" w:hAnsi="Times New Roman" w:cs="Times New Roman"/>
          <w:i/>
          <w:snapToGrid w:val="0"/>
        </w:rPr>
      </w:pPr>
      <w:r w:rsidRPr="003E3BFD">
        <w:rPr>
          <w:rFonts w:ascii="Times New Roman" w:eastAsia="Times New Roman" w:hAnsi="Times New Roman" w:cs="Times New Roman"/>
          <w:b/>
          <w:snapToGrid w:val="0"/>
        </w:rPr>
        <w:t>REGISTRACIJOS SĄLYGOS</w:t>
      </w:r>
    </w:p>
    <w:p w14:paraId="3260D2A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highlight w:val="green"/>
        </w:rPr>
      </w:pPr>
    </w:p>
    <w:p w14:paraId="477DC461" w14:textId="77777777" w:rsidR="00653262" w:rsidRPr="003E3BFD" w:rsidRDefault="00653262" w:rsidP="00653262">
      <w:pPr>
        <w:widowControl w:val="0"/>
        <w:tabs>
          <w:tab w:val="left" w:pos="1701"/>
        </w:tabs>
        <w:ind w:left="1701" w:right="567"/>
        <w:rPr>
          <w:rFonts w:ascii="Times New Roman" w:eastAsia="Times New Roman" w:hAnsi="Times New Roman" w:cs="Times New Roman"/>
          <w:b/>
          <w:noProof/>
          <w:snapToGrid w:val="0"/>
        </w:rPr>
      </w:pPr>
      <w:r w:rsidRPr="003E3BFD">
        <w:rPr>
          <w:rFonts w:ascii="Times New Roman" w:eastAsia="Times New Roman" w:hAnsi="Times New Roman" w:cs="Times New Roman"/>
          <w:b/>
          <w:noProof/>
          <w:snapToGrid w:val="0"/>
        </w:rPr>
        <w:t>A.</w:t>
      </w:r>
      <w:r w:rsidRPr="003E3BFD">
        <w:rPr>
          <w:rFonts w:ascii="Times New Roman" w:eastAsia="Times New Roman" w:hAnsi="Times New Roman" w:cs="Times New Roman"/>
          <w:b/>
          <w:noProof/>
          <w:snapToGrid w:val="0"/>
        </w:rPr>
        <w:tab/>
        <w:t>GAMINTOJAS (-AI) ATSAKINGAS (-I) UŽ SERIJŲ IŠLEIDIMĄ</w:t>
      </w:r>
    </w:p>
    <w:p w14:paraId="3EE39F2C" w14:textId="77777777" w:rsidR="00653262" w:rsidRPr="003E3BFD" w:rsidRDefault="00653262" w:rsidP="00653262">
      <w:pPr>
        <w:widowControl w:val="0"/>
        <w:tabs>
          <w:tab w:val="left" w:pos="1701"/>
        </w:tabs>
        <w:ind w:right="567"/>
        <w:rPr>
          <w:rFonts w:ascii="Times New Roman" w:eastAsia="Times New Roman" w:hAnsi="Times New Roman" w:cs="Times New Roman"/>
          <w:noProof/>
          <w:snapToGrid w:val="0"/>
        </w:rPr>
      </w:pPr>
    </w:p>
    <w:p w14:paraId="3D5E1DF9" w14:textId="77777777" w:rsidR="00653262" w:rsidRPr="003E3BFD" w:rsidRDefault="00653262" w:rsidP="00653262">
      <w:pPr>
        <w:widowControl w:val="0"/>
        <w:tabs>
          <w:tab w:val="left" w:pos="1701"/>
        </w:tabs>
        <w:ind w:left="1701" w:right="567"/>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B.</w:t>
      </w:r>
      <w:r w:rsidRPr="003E3BFD">
        <w:rPr>
          <w:rFonts w:ascii="Times New Roman" w:eastAsia="Times New Roman" w:hAnsi="Times New Roman" w:cs="Times New Roman"/>
          <w:b/>
          <w:snapToGrid w:val="0"/>
        </w:rPr>
        <w:tab/>
        <w:t>TIEKIMO IR VARTOJIMO SĄLYGOS AR APRIBOJIMAI</w:t>
      </w:r>
    </w:p>
    <w:p w14:paraId="5EB09BC4" w14:textId="77777777" w:rsidR="00653262" w:rsidRPr="003E3BFD" w:rsidRDefault="00653262" w:rsidP="00653262">
      <w:pPr>
        <w:widowControl w:val="0"/>
        <w:tabs>
          <w:tab w:val="left" w:pos="1701"/>
        </w:tabs>
        <w:ind w:right="567"/>
        <w:rPr>
          <w:rFonts w:ascii="Times New Roman" w:eastAsia="Times New Roman" w:hAnsi="Times New Roman" w:cs="Times New Roman"/>
          <w:snapToGrid w:val="0"/>
        </w:rPr>
      </w:pPr>
    </w:p>
    <w:p w14:paraId="3854A4E4" w14:textId="77777777" w:rsidR="00653262" w:rsidRPr="003E3BFD" w:rsidRDefault="00653262" w:rsidP="00653262">
      <w:pPr>
        <w:widowControl w:val="0"/>
        <w:tabs>
          <w:tab w:val="left" w:pos="567"/>
        </w:tabs>
        <w:ind w:left="0" w:right="-1" w:firstLine="0"/>
        <w:rPr>
          <w:rFonts w:ascii="Times New Roman" w:eastAsia="Times New Roman" w:hAnsi="Times New Roman" w:cs="Times New Roman"/>
          <w:snapToGrid w:val="0"/>
          <w:highlight w:val="green"/>
        </w:rPr>
      </w:pPr>
    </w:p>
    <w:p w14:paraId="22468DE1" w14:textId="77777777" w:rsidR="00653262" w:rsidRPr="003E3BFD" w:rsidRDefault="00653262" w:rsidP="00653262">
      <w:pPr>
        <w:widowControl w:val="0"/>
        <w:tabs>
          <w:tab w:val="left" w:pos="567"/>
        </w:tabs>
        <w:rPr>
          <w:rFonts w:ascii="Times New Roman" w:eastAsia="Times New Roman" w:hAnsi="Times New Roman" w:cs="Times New Roman"/>
          <w:b/>
          <w:snapToGrid w:val="0"/>
        </w:rPr>
      </w:pPr>
      <w:r w:rsidRPr="003E3BFD">
        <w:rPr>
          <w:rFonts w:ascii="Times New Roman" w:eastAsia="Times New Roman" w:hAnsi="Times New Roman" w:cs="Times New Roman"/>
          <w:snapToGrid w:val="0"/>
          <w:highlight w:val="green"/>
        </w:rPr>
        <w:br w:type="page"/>
      </w:r>
      <w:r w:rsidRPr="003E3BFD">
        <w:rPr>
          <w:rFonts w:ascii="Times New Roman" w:eastAsia="Times New Roman" w:hAnsi="Times New Roman" w:cs="Times New Roman"/>
          <w:b/>
          <w:snapToGrid w:val="0"/>
        </w:rPr>
        <w:lastRenderedPageBreak/>
        <w:t>A.</w:t>
      </w:r>
      <w:r w:rsidRPr="003E3BFD">
        <w:rPr>
          <w:rFonts w:ascii="Times New Roman" w:eastAsia="Times New Roman" w:hAnsi="Times New Roman" w:cs="Times New Roman"/>
          <w:b/>
          <w:snapToGrid w:val="0"/>
        </w:rPr>
        <w:tab/>
        <w:t>GAMINTOJAS (-AI), ATSAKINGAS (-I) UŽ SERIJŲ IŠLEIDIMĄ</w:t>
      </w:r>
    </w:p>
    <w:p w14:paraId="07BDBC6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4F219E2" w14:textId="77777777" w:rsidR="00653262" w:rsidRPr="003E3BFD" w:rsidRDefault="00653262" w:rsidP="00653262">
      <w:pPr>
        <w:tabs>
          <w:tab w:val="left" w:pos="567"/>
        </w:tabs>
        <w:ind w:left="0" w:firstLine="0"/>
        <w:jc w:val="both"/>
        <w:rPr>
          <w:rFonts w:ascii="Times New Roman" w:eastAsia="Times New Roman" w:hAnsi="Times New Roman" w:cs="Times New Roman"/>
          <w:snapToGrid w:val="0"/>
        </w:rPr>
      </w:pPr>
      <w:r w:rsidRPr="003E3BFD">
        <w:rPr>
          <w:rFonts w:ascii="Times New Roman" w:eastAsia="Times New Roman" w:hAnsi="Times New Roman" w:cs="Times New Roman"/>
          <w:noProof/>
          <w:snapToGrid w:val="0"/>
          <w:u w:val="single"/>
        </w:rPr>
        <w:t>Gamintojo (-ų), atsakingo (-ų) už serijų išleidimą, pavadinimas (-ai) ir adresas (-ai)</w:t>
      </w:r>
    </w:p>
    <w:p w14:paraId="26D7B1B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BCA9A2B"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KRKA, d.d, Novo mesto</w:t>
      </w:r>
    </w:p>
    <w:p w14:paraId="66893CC9"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Šmarješka cesta 6</w:t>
      </w:r>
    </w:p>
    <w:p w14:paraId="39EDCAB4"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8501 Novo mesto</w:t>
      </w:r>
    </w:p>
    <w:p w14:paraId="7286338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color w:val="000000"/>
          <w:lang w:eastAsia="sl-SI"/>
        </w:rPr>
        <w:t>Slovėnija</w:t>
      </w:r>
    </w:p>
    <w:p w14:paraId="2172CD1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C3263C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42B08F6" w14:textId="77777777" w:rsidR="00653262" w:rsidRPr="003E3BFD" w:rsidRDefault="00653262" w:rsidP="00653262">
      <w:pPr>
        <w:widowControl w:val="0"/>
        <w:tabs>
          <w:tab w:val="left" w:pos="567"/>
        </w:tabs>
        <w:rPr>
          <w:rFonts w:ascii="Times New Roman" w:eastAsia="Times New Roman" w:hAnsi="Times New Roman" w:cs="Times New Roman"/>
          <w:snapToGrid w:val="0"/>
        </w:rPr>
      </w:pPr>
      <w:r w:rsidRPr="003E3BFD">
        <w:rPr>
          <w:rFonts w:ascii="Times New Roman" w:eastAsia="Times New Roman" w:hAnsi="Times New Roman" w:cs="Times New Roman"/>
          <w:b/>
          <w:noProof/>
          <w:snapToGrid w:val="0"/>
        </w:rPr>
        <w:t>B.</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TIEKIMO IR VARTOJIMO SĄLYGOS AR APRIBOJIMAI</w:t>
      </w:r>
    </w:p>
    <w:p w14:paraId="4203914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DE8DDF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Receptinis vaistinis preparatas.</w:t>
      </w:r>
    </w:p>
    <w:p w14:paraId="0998BED4" w14:textId="77777777" w:rsidR="00653262" w:rsidRPr="003E3BFD" w:rsidRDefault="00653262" w:rsidP="00653262">
      <w:pPr>
        <w:widowControl w:val="0"/>
        <w:tabs>
          <w:tab w:val="left" w:pos="567"/>
        </w:tabs>
        <w:rPr>
          <w:rFonts w:ascii="Times New Roman" w:eastAsia="Times New Roman" w:hAnsi="Times New Roman" w:cs="Times New Roman"/>
          <w:snapToGrid w:val="0"/>
        </w:rPr>
      </w:pPr>
    </w:p>
    <w:p w14:paraId="43DD79EC" w14:textId="77777777" w:rsidR="00653262" w:rsidRPr="003E3BFD" w:rsidRDefault="00653262" w:rsidP="00653262">
      <w:pPr>
        <w:widowControl w:val="0"/>
        <w:tabs>
          <w:tab w:val="left" w:pos="4962"/>
        </w:tabs>
        <w:ind w:left="0" w:firstLine="0"/>
        <w:rPr>
          <w:rFonts w:ascii="Times New Roman" w:eastAsia="SimSun" w:hAnsi="Times New Roman" w:cs="Times New Roman"/>
          <w:b/>
        </w:rPr>
      </w:pPr>
      <w:r w:rsidRPr="003E3BFD">
        <w:rPr>
          <w:rFonts w:ascii="Times New Roman" w:eastAsia="SimSun" w:hAnsi="Times New Roman" w:cs="Times New Roman"/>
          <w:b/>
          <w:noProof/>
        </w:rPr>
        <w:br w:type="page"/>
      </w:r>
    </w:p>
    <w:p w14:paraId="229B2156" w14:textId="77777777" w:rsidR="00653262" w:rsidRPr="003E3BFD" w:rsidRDefault="00653262" w:rsidP="00653262">
      <w:pPr>
        <w:widowControl w:val="0"/>
        <w:tabs>
          <w:tab w:val="left" w:pos="567"/>
        </w:tabs>
        <w:ind w:left="0" w:right="566" w:firstLine="0"/>
        <w:rPr>
          <w:rFonts w:ascii="Times New Roman" w:eastAsia="Times New Roman" w:hAnsi="Times New Roman" w:cs="Times New Roman"/>
          <w:noProof/>
          <w:snapToGrid w:val="0"/>
        </w:rPr>
      </w:pPr>
    </w:p>
    <w:p w14:paraId="345AA87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4FE07B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079F40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194A65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EBEF93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F6B1B4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B0349E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8367F6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DC2688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630381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2E5982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D0B3EC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3732E4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4C3549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491669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91AB0F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003A6FB"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3729CE51"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59DCB8D0"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03AAF708"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b/>
          <w:snapToGrid w:val="0"/>
        </w:rPr>
      </w:pPr>
    </w:p>
    <w:p w14:paraId="50D39DDC"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bCs/>
          <w:iCs/>
          <w:snapToGrid w:val="0"/>
          <w:lang w:eastAsia="x-none"/>
        </w:rPr>
      </w:pPr>
    </w:p>
    <w:p w14:paraId="615BE45A"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bCs/>
          <w:iCs/>
          <w:snapToGrid w:val="0"/>
          <w:lang w:eastAsia="x-none"/>
        </w:rPr>
      </w:pPr>
    </w:p>
    <w:p w14:paraId="1D542BF6"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t>III PRIEDAS</w:t>
      </w:r>
    </w:p>
    <w:p w14:paraId="412738F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8C1F35E"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t>ŽENKLINIMAS IR PAKUOTĖS LAPELIS</w:t>
      </w:r>
    </w:p>
    <w:p w14:paraId="63A20C2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br w:type="page"/>
      </w:r>
    </w:p>
    <w:p w14:paraId="5AB8238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538E90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351C28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2A1C73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3632AB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E6B9E9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1B07A2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A4AD57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3EC82B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35F4E5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A4D51B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344F23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70BD5F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C1BEC8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64DA65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BF2894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28A564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01D56E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09AFB8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4B1868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98299F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259B06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5D0920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D7E8B4D"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t>A. ŽENKLINIMAS</w:t>
      </w:r>
    </w:p>
    <w:p w14:paraId="7AB2FFB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br w:type="page"/>
      </w:r>
    </w:p>
    <w:p w14:paraId="4009A564"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rPr>
      </w:pPr>
      <w:r w:rsidRPr="003E3BFD">
        <w:rPr>
          <w:rFonts w:ascii="Times New Roman" w:eastAsia="Times New Roman" w:hAnsi="Times New Roman" w:cs="Times New Roman"/>
          <w:b/>
          <w:noProof/>
          <w:snapToGrid w:val="0"/>
        </w:rPr>
        <w:lastRenderedPageBreak/>
        <w:t>INFORMACIJA ANT IŠORINĖS PAKUOTĖS</w:t>
      </w:r>
    </w:p>
    <w:p w14:paraId="4D1ABBED"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napToGrid w:val="0"/>
        </w:rPr>
      </w:pPr>
    </w:p>
    <w:p w14:paraId="15A861B2"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rPr>
      </w:pPr>
      <w:r w:rsidRPr="003E3BFD">
        <w:rPr>
          <w:rFonts w:ascii="Times New Roman" w:eastAsia="Times New Roman" w:hAnsi="Times New Roman" w:cs="Times New Roman"/>
          <w:b/>
          <w:noProof/>
          <w:snapToGrid w:val="0"/>
        </w:rPr>
        <w:t>DĖŽUTĖ LIZDINĖMS PLOKŠTELĖMS</w:t>
      </w:r>
    </w:p>
    <w:p w14:paraId="77B8A10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106B90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9F5049A"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1.</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caps/>
          <w:noProof/>
          <w:snapToGrid w:val="0"/>
        </w:rPr>
        <w:t>VAISTINIO</w:t>
      </w:r>
      <w:r w:rsidRPr="003E3BFD">
        <w:rPr>
          <w:rFonts w:ascii="Times New Roman" w:eastAsia="Times New Roman" w:hAnsi="Times New Roman" w:cs="Times New Roman"/>
          <w:b/>
          <w:noProof/>
          <w:snapToGrid w:val="0"/>
        </w:rPr>
        <w:t xml:space="preserve"> PREPARATO PAVADINIMAS</w:t>
      </w:r>
    </w:p>
    <w:p w14:paraId="47BE779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0FEB398"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Bixebra 5 mg plėvele dengtos tabletės</w:t>
      </w:r>
    </w:p>
    <w:p w14:paraId="763CC2F4"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highlight w:val="lightGray"/>
        </w:rPr>
        <w:t>Bixebra 7,5 mg plėvele dengtos tabletės</w:t>
      </w:r>
    </w:p>
    <w:p w14:paraId="467CD237" w14:textId="77777777" w:rsidR="00653262" w:rsidRPr="003E3BFD" w:rsidRDefault="00E729A2" w:rsidP="00653262">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noProof/>
          <w:snapToGrid w:val="0"/>
        </w:rPr>
        <w:t>i</w:t>
      </w:r>
      <w:r w:rsidR="00653262" w:rsidRPr="003E3BFD">
        <w:rPr>
          <w:rFonts w:ascii="Times New Roman" w:eastAsia="Times New Roman" w:hAnsi="Times New Roman" w:cs="Times New Roman"/>
          <w:noProof/>
          <w:snapToGrid w:val="0"/>
        </w:rPr>
        <w:t>vabradinas</w:t>
      </w:r>
    </w:p>
    <w:p w14:paraId="3D99685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1449BB6"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0166140"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2.</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VEIKLIOJI (-IOS) MEDŽIAGA (-OS) IR JOS (-Ų) KIEKIS (-IAI)</w:t>
      </w:r>
    </w:p>
    <w:p w14:paraId="759D765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4D1DA4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lang w:val="en-GB"/>
        </w:rPr>
        <w:t>Kiekvienoje plėvele dengtoje tabletėje yra 5 mg ivabradino (atitinka 5,390 mg ivabradino hidrochlorido).</w:t>
      </w:r>
    </w:p>
    <w:p w14:paraId="71AE871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highlight w:val="lightGray"/>
          <w:lang w:val="en-GB"/>
        </w:rPr>
        <w:t>Kiekvienoje plėvele dengtoje tabletėje yra 7,5 mg ivabradino (atitinka 8,085 mg ivabradino hidrochlorido)</w:t>
      </w:r>
      <w:r w:rsidRPr="003E3BFD">
        <w:rPr>
          <w:rFonts w:ascii="Times New Roman" w:eastAsia="Times New Roman" w:hAnsi="Times New Roman" w:cs="Times New Roman"/>
          <w:snapToGrid w:val="0"/>
          <w:lang w:val="en-GB"/>
        </w:rPr>
        <w:t>.</w:t>
      </w:r>
    </w:p>
    <w:p w14:paraId="4F806B6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CA4E1D4"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C783737"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3.</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PAGALBINIŲ MEDŽIAGŲ SĄRAŠAS</w:t>
      </w:r>
    </w:p>
    <w:p w14:paraId="1AEB117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70A164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Sudėtyje yra laktozės.</w:t>
      </w:r>
    </w:p>
    <w:p w14:paraId="6905EBB9"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Daugiau informacijos pateikta pakuotės lapelyje.</w:t>
      </w:r>
    </w:p>
    <w:p w14:paraId="2331060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AC2058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059E51A"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4.</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FARMACINĖ FORMA IR KIEKIS PAKUOTĖJE</w:t>
      </w:r>
    </w:p>
    <w:p w14:paraId="43B6FBF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DED5E1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highlight w:val="lightGray"/>
        </w:rPr>
        <w:t>Plėvele dengta tabletė</w:t>
      </w:r>
    </w:p>
    <w:p w14:paraId="763F820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D6B3E8B" w14:textId="77777777" w:rsidR="00653262" w:rsidRPr="003E3BFD" w:rsidRDefault="00653262" w:rsidP="00653262">
      <w:pPr>
        <w:widowControl w:val="0"/>
        <w:tabs>
          <w:tab w:val="left" w:pos="567"/>
        </w:tabs>
        <w:ind w:left="0" w:firstLine="0"/>
        <w:rPr>
          <w:rFonts w:ascii="Times New Roman" w:eastAsia="Times New Roman" w:hAnsi="Times New Roman" w:cs="Times New Roman"/>
          <w:i/>
          <w:lang w:val="en-GB"/>
        </w:rPr>
      </w:pPr>
      <w:r w:rsidRPr="003E3BFD">
        <w:rPr>
          <w:rFonts w:ascii="Times New Roman" w:eastAsia="Times New Roman" w:hAnsi="Times New Roman" w:cs="Times New Roman"/>
          <w:i/>
          <w:highlight w:val="lightGray"/>
          <w:lang w:val="en-GB"/>
        </w:rPr>
        <w:t>Neperforuotos lizdinės pakuotės</w:t>
      </w:r>
    </w:p>
    <w:p w14:paraId="164B6724"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en-GB"/>
        </w:rPr>
      </w:pPr>
      <w:r w:rsidRPr="003E3BFD">
        <w:rPr>
          <w:rFonts w:ascii="Times New Roman" w:eastAsia="Times New Roman" w:hAnsi="Times New Roman" w:cs="Times New Roman"/>
          <w:lang w:val="en-GB"/>
        </w:rPr>
        <w:t>14 plėvele dengtų tablečių</w:t>
      </w:r>
    </w:p>
    <w:p w14:paraId="65C0814E"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28 plėvele dengtos tabletės</w:t>
      </w:r>
    </w:p>
    <w:p w14:paraId="252D7424"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30 plėvele dengtų tablečių</w:t>
      </w:r>
    </w:p>
    <w:p w14:paraId="5BCD44A5"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56 plėvele dengtos tabletės</w:t>
      </w:r>
    </w:p>
    <w:p w14:paraId="6CCF574A"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60 plėvele dengtų tablečių</w:t>
      </w:r>
    </w:p>
    <w:p w14:paraId="69549A8E"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90 plėvele dengtų tablečių</w:t>
      </w:r>
    </w:p>
    <w:p w14:paraId="6DBA3058"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98 plėvele dengtos tabletės</w:t>
      </w:r>
    </w:p>
    <w:p w14:paraId="1ADD9C5A"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100 plėvele dengtų tablečių</w:t>
      </w:r>
    </w:p>
    <w:p w14:paraId="42C3F041"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112 plėvele dengtų tablečių</w:t>
      </w:r>
    </w:p>
    <w:p w14:paraId="71E4B2FF"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en-GB"/>
        </w:rPr>
      </w:pPr>
      <w:r w:rsidRPr="003E3BFD">
        <w:rPr>
          <w:rFonts w:ascii="Times New Roman" w:eastAsia="Times New Roman" w:hAnsi="Times New Roman" w:cs="Times New Roman"/>
          <w:highlight w:val="lightGray"/>
          <w:lang w:val="en-GB"/>
        </w:rPr>
        <w:t>180 plėvele dengtų tablečių</w:t>
      </w:r>
    </w:p>
    <w:p w14:paraId="6DB3C21E"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en-GB"/>
        </w:rPr>
      </w:pPr>
    </w:p>
    <w:p w14:paraId="242ADEE1" w14:textId="77777777" w:rsidR="00653262" w:rsidRPr="003E3BFD" w:rsidRDefault="00653262" w:rsidP="00653262">
      <w:pPr>
        <w:widowControl w:val="0"/>
        <w:tabs>
          <w:tab w:val="left" w:pos="567"/>
        </w:tabs>
        <w:ind w:left="0" w:firstLine="0"/>
        <w:rPr>
          <w:rFonts w:ascii="Times New Roman" w:eastAsia="Times New Roman" w:hAnsi="Times New Roman" w:cs="Times New Roman"/>
          <w:i/>
          <w:highlight w:val="lightGray"/>
          <w:lang w:val="en-GB"/>
        </w:rPr>
      </w:pPr>
      <w:r w:rsidRPr="003E3BFD">
        <w:rPr>
          <w:rFonts w:ascii="Times New Roman" w:eastAsia="Times New Roman" w:hAnsi="Times New Roman" w:cs="Times New Roman"/>
          <w:i/>
          <w:highlight w:val="lightGray"/>
          <w:lang w:val="en-GB"/>
        </w:rPr>
        <w:t>Perforuotos dalomosios lizdinės pakuotės</w:t>
      </w:r>
    </w:p>
    <w:p w14:paraId="1BB51975"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14</w:t>
      </w:r>
      <w:r w:rsidR="00E729A2" w:rsidRPr="006F680A">
        <w:rPr>
          <w:highlight w:val="lightGray"/>
        </w:rPr>
        <w:t> × </w:t>
      </w:r>
      <w:r w:rsidRPr="003E3BFD">
        <w:rPr>
          <w:rFonts w:ascii="Times New Roman" w:eastAsia="Times New Roman" w:hAnsi="Times New Roman" w:cs="Times New Roman"/>
          <w:highlight w:val="lightGray"/>
          <w:lang w:val="en-GB" w:eastAsia="sl-SI"/>
        </w:rPr>
        <w:t>1</w:t>
      </w:r>
      <w:r w:rsidRPr="003E3BFD">
        <w:rPr>
          <w:rFonts w:ascii="Times New Roman" w:eastAsia="Times New Roman" w:hAnsi="Times New Roman" w:cs="Times New Roman"/>
          <w:highlight w:val="lightGray"/>
          <w:lang w:val="en-GB"/>
        </w:rPr>
        <w:t xml:space="preserve"> plėvele dengtų table</w:t>
      </w:r>
      <w:r w:rsidRPr="003E3BFD">
        <w:rPr>
          <w:rFonts w:ascii="Times New Roman" w:eastAsia="Times New Roman" w:hAnsi="Times New Roman" w:cs="Times New Roman"/>
          <w:highlight w:val="lightGray"/>
        </w:rPr>
        <w:t>čių</w:t>
      </w:r>
    </w:p>
    <w:p w14:paraId="0D9E6E6E"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28</w:t>
      </w:r>
      <w:r w:rsidR="00E729A2" w:rsidRPr="006F680A">
        <w:rPr>
          <w:highlight w:val="lightGray"/>
        </w:rPr>
        <w:t> × </w:t>
      </w:r>
      <w:r w:rsidRPr="003E3BFD">
        <w:rPr>
          <w:rFonts w:ascii="Times New Roman" w:eastAsia="Times New Roman" w:hAnsi="Times New Roman" w:cs="Times New Roman"/>
          <w:highlight w:val="lightGray"/>
          <w:lang w:val="en-GB"/>
        </w:rPr>
        <w:t>1 plėvele dengtos table</w:t>
      </w:r>
      <w:r w:rsidRPr="003E3BFD">
        <w:rPr>
          <w:rFonts w:ascii="Times New Roman" w:eastAsia="Times New Roman" w:hAnsi="Times New Roman" w:cs="Times New Roman"/>
          <w:highlight w:val="lightGray"/>
        </w:rPr>
        <w:t>tės</w:t>
      </w:r>
    </w:p>
    <w:p w14:paraId="11FF2C09"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30</w:t>
      </w:r>
      <w:r w:rsidR="00E729A2" w:rsidRPr="006F680A">
        <w:rPr>
          <w:highlight w:val="lightGray"/>
        </w:rPr>
        <w:t> × </w:t>
      </w:r>
      <w:r w:rsidRPr="003E3BFD">
        <w:rPr>
          <w:rFonts w:ascii="Times New Roman" w:eastAsia="Times New Roman" w:hAnsi="Times New Roman" w:cs="Times New Roman"/>
          <w:highlight w:val="lightGray"/>
          <w:lang w:val="en-GB"/>
        </w:rPr>
        <w:t>1 plėvele dengtų table</w:t>
      </w:r>
      <w:r w:rsidRPr="003E3BFD">
        <w:rPr>
          <w:rFonts w:ascii="Times New Roman" w:eastAsia="Times New Roman" w:hAnsi="Times New Roman" w:cs="Times New Roman"/>
          <w:highlight w:val="lightGray"/>
        </w:rPr>
        <w:t>čių</w:t>
      </w:r>
    </w:p>
    <w:p w14:paraId="0548FFFC"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56</w:t>
      </w:r>
      <w:r w:rsidR="00E729A2" w:rsidRPr="006F680A">
        <w:rPr>
          <w:highlight w:val="lightGray"/>
        </w:rPr>
        <w:t> × </w:t>
      </w:r>
      <w:r w:rsidRPr="003E3BFD">
        <w:rPr>
          <w:rFonts w:ascii="Times New Roman" w:eastAsia="Times New Roman" w:hAnsi="Times New Roman" w:cs="Times New Roman"/>
          <w:highlight w:val="lightGray"/>
          <w:lang w:val="en-GB"/>
        </w:rPr>
        <w:t>1 plėvele dengtos table</w:t>
      </w:r>
      <w:r w:rsidRPr="003E3BFD">
        <w:rPr>
          <w:rFonts w:ascii="Times New Roman" w:eastAsia="Times New Roman" w:hAnsi="Times New Roman" w:cs="Times New Roman"/>
          <w:highlight w:val="lightGray"/>
        </w:rPr>
        <w:t>tės</w:t>
      </w:r>
    </w:p>
    <w:p w14:paraId="5C910830"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60</w:t>
      </w:r>
      <w:r w:rsidR="00E729A2" w:rsidRPr="006F680A">
        <w:rPr>
          <w:highlight w:val="lightGray"/>
        </w:rPr>
        <w:t> × </w:t>
      </w:r>
      <w:r w:rsidRPr="003E3BFD">
        <w:rPr>
          <w:rFonts w:ascii="Times New Roman" w:eastAsia="Times New Roman" w:hAnsi="Times New Roman" w:cs="Times New Roman"/>
          <w:highlight w:val="lightGray"/>
          <w:lang w:val="en-GB"/>
        </w:rPr>
        <w:t>1 plėvele dengtų table</w:t>
      </w:r>
      <w:r w:rsidRPr="003E3BFD">
        <w:rPr>
          <w:rFonts w:ascii="Times New Roman" w:eastAsia="Times New Roman" w:hAnsi="Times New Roman" w:cs="Times New Roman"/>
          <w:highlight w:val="lightGray"/>
        </w:rPr>
        <w:t>čių</w:t>
      </w:r>
    </w:p>
    <w:p w14:paraId="42F408A2"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90</w:t>
      </w:r>
      <w:r w:rsidR="00E729A2" w:rsidRPr="006F680A">
        <w:rPr>
          <w:highlight w:val="lightGray"/>
        </w:rPr>
        <w:t> × </w:t>
      </w:r>
      <w:r w:rsidRPr="003E3BFD">
        <w:rPr>
          <w:rFonts w:ascii="Times New Roman" w:eastAsia="Times New Roman" w:hAnsi="Times New Roman" w:cs="Times New Roman"/>
          <w:highlight w:val="lightGray"/>
          <w:lang w:val="en-GB"/>
        </w:rPr>
        <w:t>1 plėvele dengtų table</w:t>
      </w:r>
      <w:r w:rsidRPr="003E3BFD">
        <w:rPr>
          <w:rFonts w:ascii="Times New Roman" w:eastAsia="Times New Roman" w:hAnsi="Times New Roman" w:cs="Times New Roman"/>
          <w:highlight w:val="lightGray"/>
        </w:rPr>
        <w:t>čių</w:t>
      </w:r>
    </w:p>
    <w:p w14:paraId="26FBF79C"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98</w:t>
      </w:r>
      <w:r w:rsidR="00E729A2" w:rsidRPr="006F680A">
        <w:rPr>
          <w:highlight w:val="lightGray"/>
        </w:rPr>
        <w:t> × </w:t>
      </w:r>
      <w:r w:rsidRPr="003E3BFD">
        <w:rPr>
          <w:rFonts w:ascii="Times New Roman" w:eastAsia="Times New Roman" w:hAnsi="Times New Roman" w:cs="Times New Roman"/>
          <w:highlight w:val="lightGray"/>
          <w:lang w:val="en-GB"/>
        </w:rPr>
        <w:t>1 plėvele dengtos table</w:t>
      </w:r>
      <w:r w:rsidRPr="003E3BFD">
        <w:rPr>
          <w:rFonts w:ascii="Times New Roman" w:eastAsia="Times New Roman" w:hAnsi="Times New Roman" w:cs="Times New Roman"/>
          <w:highlight w:val="lightGray"/>
        </w:rPr>
        <w:t>tės</w:t>
      </w:r>
    </w:p>
    <w:p w14:paraId="2B56DD76"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100</w:t>
      </w:r>
      <w:r w:rsidR="00E729A2" w:rsidRPr="006F680A">
        <w:rPr>
          <w:highlight w:val="lightGray"/>
        </w:rPr>
        <w:t> × </w:t>
      </w:r>
      <w:r w:rsidRPr="003E3BFD">
        <w:rPr>
          <w:rFonts w:ascii="Times New Roman" w:eastAsia="Times New Roman" w:hAnsi="Times New Roman" w:cs="Times New Roman"/>
          <w:highlight w:val="lightGray"/>
          <w:lang w:val="en-GB"/>
        </w:rPr>
        <w:t>1 plėvele dengtų table</w:t>
      </w:r>
      <w:r w:rsidRPr="003E3BFD">
        <w:rPr>
          <w:rFonts w:ascii="Times New Roman" w:eastAsia="Times New Roman" w:hAnsi="Times New Roman" w:cs="Times New Roman"/>
          <w:highlight w:val="lightGray"/>
        </w:rPr>
        <w:t>čių</w:t>
      </w:r>
    </w:p>
    <w:p w14:paraId="3E7ABDC7"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lightGray"/>
          <w:lang w:val="en-GB"/>
        </w:rPr>
      </w:pPr>
      <w:r w:rsidRPr="003E3BFD">
        <w:rPr>
          <w:rFonts w:ascii="Times New Roman" w:eastAsia="Times New Roman" w:hAnsi="Times New Roman" w:cs="Times New Roman"/>
          <w:highlight w:val="lightGray"/>
          <w:lang w:val="en-GB"/>
        </w:rPr>
        <w:t>112</w:t>
      </w:r>
      <w:r w:rsidR="00E729A2" w:rsidRPr="006F680A">
        <w:rPr>
          <w:highlight w:val="lightGray"/>
        </w:rPr>
        <w:t> × </w:t>
      </w:r>
      <w:r w:rsidRPr="003E3BFD">
        <w:rPr>
          <w:rFonts w:ascii="Times New Roman" w:eastAsia="Times New Roman" w:hAnsi="Times New Roman" w:cs="Times New Roman"/>
          <w:highlight w:val="lightGray"/>
          <w:lang w:val="en-GB"/>
        </w:rPr>
        <w:t>1 plėvele dengtų table</w:t>
      </w:r>
      <w:r w:rsidRPr="003E3BFD">
        <w:rPr>
          <w:rFonts w:ascii="Times New Roman" w:eastAsia="Times New Roman" w:hAnsi="Times New Roman" w:cs="Times New Roman"/>
          <w:highlight w:val="lightGray"/>
        </w:rPr>
        <w:t>čių</w:t>
      </w:r>
    </w:p>
    <w:p w14:paraId="05CF40D5"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en-GB"/>
        </w:rPr>
      </w:pPr>
      <w:r w:rsidRPr="003E3BFD">
        <w:rPr>
          <w:rFonts w:ascii="Times New Roman" w:eastAsia="Times New Roman" w:hAnsi="Times New Roman" w:cs="Times New Roman"/>
          <w:highlight w:val="lightGray"/>
          <w:lang w:val="en-GB"/>
        </w:rPr>
        <w:t>180</w:t>
      </w:r>
      <w:r w:rsidR="00E729A2" w:rsidRPr="006F680A">
        <w:rPr>
          <w:highlight w:val="lightGray"/>
        </w:rPr>
        <w:t> × </w:t>
      </w:r>
      <w:r w:rsidRPr="003E3BFD">
        <w:rPr>
          <w:rFonts w:ascii="Times New Roman" w:eastAsia="Times New Roman" w:hAnsi="Times New Roman" w:cs="Times New Roman"/>
          <w:highlight w:val="lightGray"/>
          <w:lang w:val="en-GB"/>
        </w:rPr>
        <w:t>1 plėvele dengtų tablečių</w:t>
      </w:r>
    </w:p>
    <w:p w14:paraId="7AF6CE1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94C663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2F98E77"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lastRenderedPageBreak/>
        <w:t>5.</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VARTOJIMO METODAS IR BŪDAS (-AI)</w:t>
      </w:r>
    </w:p>
    <w:p w14:paraId="2ADB403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83ABD9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Prieš vartojimą perskaitykite pakuotės lapelį.</w:t>
      </w:r>
    </w:p>
    <w:p w14:paraId="40892F1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9E147C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Vartoti per burną.</w:t>
      </w:r>
    </w:p>
    <w:p w14:paraId="028B416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35921C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D709CF6"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6.</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SPECIALUS ĮSPĖJIMAS, KAD VAISTINĮ PREPARATĄ BŪTINA LAIKYTI VAIKAMS NEPASTEBIMOJE IR NEPASIEKIAMOJE VIETOJE</w:t>
      </w:r>
    </w:p>
    <w:p w14:paraId="644294E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956845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Laikyti vaikams nepastebimoje ir nepasiekiamoje vietoje.</w:t>
      </w:r>
    </w:p>
    <w:p w14:paraId="371F8FB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0DA1DD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AB80604"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7.</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KITAS (-I) SPECIALUS (-ŪS) ĮSPĖJIMAS (-AI) (JEI REIKIA)</w:t>
      </w:r>
    </w:p>
    <w:p w14:paraId="60CBAEC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0FCF4A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3420415"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8.</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TINKAMUMO LAIKAS</w:t>
      </w:r>
    </w:p>
    <w:p w14:paraId="16A35E9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46FA3D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EXP (mm/MMMM)</w:t>
      </w:r>
    </w:p>
    <w:p w14:paraId="19ED8BB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highlight w:val="lightGray"/>
        </w:rPr>
        <w:t>Tinka iki (mm/MMMM)</w:t>
      </w:r>
    </w:p>
    <w:p w14:paraId="4916DA4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CC13E6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C840521"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9.</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SPECIALIOS LAIKYMO SĄLYGOS</w:t>
      </w:r>
    </w:p>
    <w:p w14:paraId="1FC5ABA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D57692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D69F98D"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10.</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SPECIALIOS ATSARGUMO PRIEMONĖS DĖL NESUVARTOTO VAISTINIO PREPARATO AR JO ATLIEKŲ TVARKYMO (JEI REIKIA)</w:t>
      </w:r>
    </w:p>
    <w:p w14:paraId="05975DC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AF5870B"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84A6C1D"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11.</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caps/>
          <w:noProof/>
          <w:snapToGrid w:val="0"/>
        </w:rPr>
        <w:t xml:space="preserve"> REGISTRUOTOJO PAVADINIMAS IR ADRESAS</w:t>
      </w:r>
    </w:p>
    <w:p w14:paraId="3A227A7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7BFF5B9"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KRKA, d.d, Novo mesto</w:t>
      </w:r>
    </w:p>
    <w:p w14:paraId="7A42AEA4"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Šmarješka cesta 6</w:t>
      </w:r>
    </w:p>
    <w:p w14:paraId="6B32D41E"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8501 Novo mesto</w:t>
      </w:r>
    </w:p>
    <w:p w14:paraId="18007D8F"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rPr>
      </w:pPr>
      <w:r w:rsidRPr="003E3BFD">
        <w:rPr>
          <w:rFonts w:ascii="Times New Roman" w:eastAsia="Times New Roman" w:hAnsi="Times New Roman" w:cs="Times New Roman"/>
          <w:color w:val="000000"/>
          <w:lang w:eastAsia="sl-SI"/>
        </w:rPr>
        <w:t>Slovėnija</w:t>
      </w:r>
    </w:p>
    <w:p w14:paraId="65DD97C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113F241"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54155FE"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12.</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REGISTRACIJOS PAŽYMĖJIMO NUMERIS (-IAI)</w:t>
      </w:r>
    </w:p>
    <w:p w14:paraId="668CDBD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3335D06"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 xml:space="preserve">5 mg </w:t>
      </w:r>
    </w:p>
    <w:p w14:paraId="7705CA79"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rPr>
        <w:t xml:space="preserve">LT/1/16/3949/001 </w:t>
      </w:r>
      <w:r w:rsidRPr="00835885">
        <w:rPr>
          <w:rFonts w:ascii="Times New Roman" w:eastAsia="Times New Roman" w:hAnsi="Times New Roman" w:cs="Times New Roman"/>
          <w:noProof/>
          <w:snapToGrid w:val="0"/>
          <w:shd w:val="clear" w:color="auto" w:fill="D9D9D9" w:themeFill="background1" w:themeFillShade="D9"/>
        </w:rPr>
        <w:t>– N14</w:t>
      </w:r>
    </w:p>
    <w:p w14:paraId="34358AC1"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LT/1/16/3949/002 – N28</w:t>
      </w:r>
    </w:p>
    <w:p w14:paraId="0518DF44"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LT/1/16/3949/003 – N30</w:t>
      </w:r>
    </w:p>
    <w:p w14:paraId="2639DC51"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LT/1/16/3949/004 – N56</w:t>
      </w:r>
    </w:p>
    <w:p w14:paraId="14C5D423"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LT/1/16/3949/005 – N60</w:t>
      </w:r>
    </w:p>
    <w:p w14:paraId="04680BD9"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LT/1/16/3949/006 – N90</w:t>
      </w:r>
    </w:p>
    <w:p w14:paraId="269B4219"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LT/1/16/3949/007 – N98</w:t>
      </w:r>
    </w:p>
    <w:p w14:paraId="2D4390C0"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LT/1/16/3949/008 – N100</w:t>
      </w:r>
    </w:p>
    <w:p w14:paraId="1414DD29"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LT/1/16/3949/009 – N112</w:t>
      </w:r>
    </w:p>
    <w:p w14:paraId="7F752557"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LT/1/16/3949/010 – N180</w:t>
      </w:r>
    </w:p>
    <w:p w14:paraId="77E3CFBE"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LT/1/16/3949/011 – N14x1</w:t>
      </w:r>
    </w:p>
    <w:p w14:paraId="79A59512"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LT/1/16/3949/012 – N28x1</w:t>
      </w:r>
    </w:p>
    <w:p w14:paraId="6054C6DA"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LT/1/16/3949/013 – N30x1</w:t>
      </w:r>
    </w:p>
    <w:p w14:paraId="2F5D8804"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LT/1/16/3949/014 – N56x1</w:t>
      </w:r>
    </w:p>
    <w:p w14:paraId="3237CDBB"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LT/1/16/3949/015 – N60x1</w:t>
      </w:r>
    </w:p>
    <w:p w14:paraId="21DC5554"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lastRenderedPageBreak/>
        <w:t>LT/1/16/3949/016 – N90x1</w:t>
      </w:r>
    </w:p>
    <w:p w14:paraId="1CC23B8E"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LT/1/16/3949/017 – N98x1</w:t>
      </w:r>
    </w:p>
    <w:p w14:paraId="6273675D"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LT/1/16/3949/018 – N100x1</w:t>
      </w:r>
    </w:p>
    <w:p w14:paraId="00513E25"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LT/1/16/3949/019 – N112x1</w:t>
      </w:r>
    </w:p>
    <w:p w14:paraId="62729720"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LT/1/16/3949/020 – N180x1</w:t>
      </w:r>
    </w:p>
    <w:p w14:paraId="69E6739A"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p>
    <w:p w14:paraId="47C9BF5F" w14:textId="4EE95ECB"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 xml:space="preserve">7,5 mg </w:t>
      </w:r>
    </w:p>
    <w:p w14:paraId="4B9C1ADD"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rPr>
        <w:t xml:space="preserve">LT/1/16/3949/021 </w:t>
      </w:r>
      <w:r w:rsidRPr="00835885">
        <w:rPr>
          <w:rFonts w:ascii="Times New Roman" w:eastAsia="Times New Roman" w:hAnsi="Times New Roman" w:cs="Times New Roman"/>
          <w:noProof/>
          <w:snapToGrid w:val="0"/>
          <w:shd w:val="clear" w:color="auto" w:fill="D9D9D9" w:themeFill="background1" w:themeFillShade="D9"/>
        </w:rPr>
        <w:t>– N14</w:t>
      </w:r>
    </w:p>
    <w:p w14:paraId="3EBF645B"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LT/1/16/3949/022 – N28</w:t>
      </w:r>
    </w:p>
    <w:p w14:paraId="4F79C941"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LT/1/16/3949/023 – N30</w:t>
      </w:r>
    </w:p>
    <w:p w14:paraId="0E2AA66C"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LT/1/16/3949/024 – N56</w:t>
      </w:r>
    </w:p>
    <w:p w14:paraId="153F2E9D"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LT/1/16/3949/025 – N60</w:t>
      </w:r>
    </w:p>
    <w:p w14:paraId="33EC0B69"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LT/1/16/3949/026 – N90</w:t>
      </w:r>
    </w:p>
    <w:p w14:paraId="017E94D6"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LT/1/16/3949/027 – N98</w:t>
      </w:r>
    </w:p>
    <w:p w14:paraId="7020997A"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LT/1/16/3949/028 – N100</w:t>
      </w:r>
    </w:p>
    <w:p w14:paraId="2DACBEF4"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LT/1/16/3949/029 – N112</w:t>
      </w:r>
    </w:p>
    <w:p w14:paraId="57266FBB"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LT/1/16/3949/030 – N180</w:t>
      </w:r>
    </w:p>
    <w:p w14:paraId="2812898B"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LT/1/16/3949/031 – N14x1</w:t>
      </w:r>
    </w:p>
    <w:p w14:paraId="6A33640C"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LT/1/16/3949/032 – N28x1</w:t>
      </w:r>
    </w:p>
    <w:p w14:paraId="5092164C"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LT/1/16/3949/033 – N30x1</w:t>
      </w:r>
    </w:p>
    <w:p w14:paraId="0F6E37B5"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LT/1/16/3949/034 – N56x1</w:t>
      </w:r>
    </w:p>
    <w:p w14:paraId="125BC2EB"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LT/1/16/3949/035 – N60x1</w:t>
      </w:r>
    </w:p>
    <w:p w14:paraId="655172A2"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LT/1/16/3949/036 – N90x1</w:t>
      </w:r>
    </w:p>
    <w:p w14:paraId="00A792B6"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LT/1/16/3949/037 – N98x1</w:t>
      </w:r>
    </w:p>
    <w:p w14:paraId="37B40C23"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LT/1/16/3949/038 – N100x1</w:t>
      </w:r>
    </w:p>
    <w:p w14:paraId="11426127" w14:textId="77777777" w:rsidR="00835885"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LT/1/16/3949/039 – N112x1</w:t>
      </w:r>
    </w:p>
    <w:p w14:paraId="7A2E241E" w14:textId="3A95CA38" w:rsidR="00653262" w:rsidRPr="00835885" w:rsidRDefault="00835885" w:rsidP="00835885">
      <w:pPr>
        <w:widowControl w:val="0"/>
        <w:tabs>
          <w:tab w:val="left" w:pos="567"/>
        </w:tabs>
        <w:ind w:left="0" w:firstLine="0"/>
        <w:rPr>
          <w:rFonts w:ascii="Times New Roman" w:eastAsia="Times New Roman" w:hAnsi="Times New Roman" w:cs="Times New Roman"/>
          <w:noProof/>
          <w:snapToGrid w:val="0"/>
          <w:shd w:val="clear" w:color="auto" w:fill="D9D9D9" w:themeFill="background1" w:themeFillShade="D9"/>
        </w:rPr>
      </w:pPr>
      <w:r w:rsidRPr="00835885">
        <w:rPr>
          <w:rFonts w:ascii="Times New Roman" w:eastAsia="Times New Roman" w:hAnsi="Times New Roman" w:cs="Times New Roman"/>
          <w:noProof/>
          <w:snapToGrid w:val="0"/>
          <w:shd w:val="clear" w:color="auto" w:fill="D9D9D9" w:themeFill="background1" w:themeFillShade="D9"/>
        </w:rPr>
        <w:t>LT/1/16/3949/040 – N180x1</w:t>
      </w:r>
    </w:p>
    <w:p w14:paraId="1F7B90E6" w14:textId="77777777" w:rsidR="00835885" w:rsidRPr="003E3BFD" w:rsidRDefault="00835885" w:rsidP="00835885">
      <w:pPr>
        <w:widowControl w:val="0"/>
        <w:tabs>
          <w:tab w:val="left" w:pos="567"/>
        </w:tabs>
        <w:ind w:left="0" w:firstLine="0"/>
        <w:rPr>
          <w:rFonts w:ascii="Times New Roman" w:eastAsia="Times New Roman" w:hAnsi="Times New Roman" w:cs="Times New Roman"/>
          <w:snapToGrid w:val="0"/>
        </w:rPr>
      </w:pPr>
    </w:p>
    <w:p w14:paraId="572C956C"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646D3A42"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noProof/>
          <w:snapToGrid w:val="0"/>
        </w:rPr>
      </w:pPr>
      <w:r w:rsidRPr="003E3BFD">
        <w:rPr>
          <w:rFonts w:ascii="Times New Roman" w:eastAsia="Times New Roman" w:hAnsi="Times New Roman" w:cs="Times New Roman"/>
          <w:b/>
          <w:snapToGrid w:val="0"/>
        </w:rPr>
        <w:t>13.</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SERIJOS NUMERIS</w:t>
      </w:r>
    </w:p>
    <w:p w14:paraId="4D60D0A4"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630F52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Lot</w:t>
      </w:r>
    </w:p>
    <w:p w14:paraId="6F3A91C4"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highlight w:val="lightGray"/>
        </w:rPr>
        <w:t>Serija</w:t>
      </w:r>
    </w:p>
    <w:p w14:paraId="34F704EA"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384507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060F9557"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14.</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PARDAVIMO (IŠDAVIMO) TVARKA</w:t>
      </w:r>
    </w:p>
    <w:p w14:paraId="1EE0CF3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317B76E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snapToGrid w:val="0"/>
        </w:rPr>
        <w:t>Receptinis vaistas</w:t>
      </w:r>
    </w:p>
    <w:p w14:paraId="688D8602"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185AF1D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73FD7DC7" w14:textId="77777777" w:rsidR="00653262" w:rsidRPr="003E3BFD" w:rsidRDefault="00653262" w:rsidP="00653262">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rPr>
      </w:pPr>
      <w:r w:rsidRPr="003E3BFD">
        <w:rPr>
          <w:rFonts w:ascii="Times New Roman" w:eastAsia="Times New Roman" w:hAnsi="Times New Roman" w:cs="Times New Roman"/>
          <w:b/>
          <w:snapToGrid w:val="0"/>
        </w:rPr>
        <w:t>15.</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VARTOJIMO INSTRUKCIJA</w:t>
      </w:r>
    </w:p>
    <w:p w14:paraId="5ECF3AF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4F1629B7"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204B215B" w14:textId="77777777" w:rsidR="00653262" w:rsidRPr="003E3BFD" w:rsidRDefault="00653262" w:rsidP="00653262">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snapToGrid w:val="0"/>
          <w:color w:val="008000"/>
        </w:rPr>
      </w:pPr>
      <w:r w:rsidRPr="003E3BFD">
        <w:rPr>
          <w:rFonts w:ascii="Times New Roman" w:eastAsia="Times New Roman" w:hAnsi="Times New Roman" w:cs="Times New Roman"/>
          <w:b/>
          <w:snapToGrid w:val="0"/>
        </w:rPr>
        <w:t>16.</w:t>
      </w:r>
      <w:r w:rsidRPr="003E3BFD">
        <w:rPr>
          <w:rFonts w:ascii="Times New Roman" w:eastAsia="Times New Roman" w:hAnsi="Times New Roman" w:cs="Times New Roman"/>
          <w:b/>
          <w:snapToGrid w:val="0"/>
        </w:rPr>
        <w:tab/>
      </w:r>
      <w:r w:rsidRPr="003E3BFD">
        <w:rPr>
          <w:rFonts w:ascii="Times New Roman" w:eastAsia="Times New Roman" w:hAnsi="Times New Roman" w:cs="Times New Roman"/>
          <w:b/>
          <w:noProof/>
          <w:snapToGrid w:val="0"/>
        </w:rPr>
        <w:t>INFORMACIJA BRAILIO RAŠTU</w:t>
      </w:r>
    </w:p>
    <w:p w14:paraId="7D4B6BA8"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p>
    <w:p w14:paraId="516E16CC"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Bixebra 5 mg</w:t>
      </w:r>
    </w:p>
    <w:p w14:paraId="076D793D"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highlight w:val="lightGray"/>
        </w:rPr>
        <w:t>Bixebra 7,5 mg</w:t>
      </w:r>
    </w:p>
    <w:p w14:paraId="0DD0C692"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p>
    <w:p w14:paraId="1D5E855D"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p>
    <w:p w14:paraId="4E2F0EB6" w14:textId="77777777" w:rsidR="00653262" w:rsidRPr="003E3BFD" w:rsidRDefault="00653262" w:rsidP="00653262">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en-GB"/>
        </w:rPr>
      </w:pPr>
      <w:r w:rsidRPr="003E3BFD">
        <w:rPr>
          <w:rFonts w:ascii="Times New Roman" w:eastAsia="Times New Roman" w:hAnsi="Times New Roman" w:cs="Times New Roman"/>
          <w:b/>
          <w:noProof/>
          <w:lang w:val="en-GB"/>
        </w:rPr>
        <w:t>17.</w:t>
      </w:r>
      <w:r w:rsidRPr="003E3BFD">
        <w:rPr>
          <w:rFonts w:ascii="Times New Roman" w:eastAsia="Times New Roman" w:hAnsi="Times New Roman" w:cs="Times New Roman"/>
          <w:b/>
          <w:noProof/>
          <w:lang w:val="en-GB"/>
        </w:rPr>
        <w:tab/>
        <w:t>UNIKALUS IDENTIFIKATORIUS – 2D BRŪKŠNINIS KODAS</w:t>
      </w:r>
    </w:p>
    <w:p w14:paraId="7E54325B" w14:textId="77777777" w:rsidR="00653262" w:rsidRPr="003E3BFD" w:rsidRDefault="00653262" w:rsidP="00653262">
      <w:pPr>
        <w:widowControl w:val="0"/>
        <w:ind w:left="539" w:hanging="539"/>
        <w:rPr>
          <w:rFonts w:ascii="Times New Roman" w:eastAsia="Calibri" w:hAnsi="Times New Roman" w:cs="Times New Roman"/>
        </w:rPr>
      </w:pPr>
    </w:p>
    <w:p w14:paraId="7F1CCFE1" w14:textId="77777777" w:rsidR="00653262" w:rsidRPr="003E3BFD" w:rsidRDefault="00653262" w:rsidP="00653262">
      <w:pPr>
        <w:widowControl w:val="0"/>
        <w:ind w:left="539" w:hanging="539"/>
        <w:rPr>
          <w:rFonts w:ascii="Times New Roman" w:eastAsia="Calibri" w:hAnsi="Times New Roman" w:cs="Times New Roman"/>
          <w:highlight w:val="lightGray"/>
        </w:rPr>
      </w:pPr>
      <w:r w:rsidRPr="003E3BFD">
        <w:rPr>
          <w:rFonts w:ascii="Times New Roman" w:eastAsia="Calibri" w:hAnsi="Times New Roman" w:cs="Times New Roman"/>
          <w:highlight w:val="lightGray"/>
        </w:rPr>
        <w:t>2D brūkšninis kodas su nurodytu unikaliu identifikatoriumi.</w:t>
      </w:r>
    </w:p>
    <w:p w14:paraId="0F5FF0A3" w14:textId="77777777" w:rsidR="00653262" w:rsidRPr="003E3BFD" w:rsidRDefault="00653262" w:rsidP="00653262">
      <w:pPr>
        <w:widowControl w:val="0"/>
        <w:tabs>
          <w:tab w:val="left" w:pos="567"/>
        </w:tabs>
        <w:ind w:left="539" w:hanging="539"/>
        <w:rPr>
          <w:rFonts w:ascii="Times New Roman" w:eastAsia="Times New Roman" w:hAnsi="Times New Roman" w:cs="Times New Roman"/>
          <w:snapToGrid w:val="0"/>
          <w:lang w:eastAsia="zh-CN"/>
        </w:rPr>
      </w:pPr>
    </w:p>
    <w:p w14:paraId="6E9F6777" w14:textId="77777777" w:rsidR="00653262" w:rsidRPr="003E3BFD" w:rsidRDefault="00653262" w:rsidP="00653262">
      <w:pPr>
        <w:widowControl w:val="0"/>
        <w:tabs>
          <w:tab w:val="left" w:pos="567"/>
        </w:tabs>
        <w:ind w:left="539" w:hanging="539"/>
        <w:rPr>
          <w:rFonts w:ascii="Times New Roman" w:eastAsia="Times New Roman" w:hAnsi="Times New Roman" w:cs="Times New Roman"/>
          <w:snapToGrid w:val="0"/>
          <w:lang w:eastAsia="zh-CN"/>
        </w:rPr>
      </w:pPr>
    </w:p>
    <w:p w14:paraId="745140A8" w14:textId="77777777" w:rsidR="00653262" w:rsidRPr="003E3BFD" w:rsidRDefault="00653262" w:rsidP="00653262">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en-GB"/>
        </w:rPr>
      </w:pPr>
      <w:r w:rsidRPr="003E3BFD">
        <w:rPr>
          <w:rFonts w:ascii="Times New Roman" w:eastAsia="Times New Roman" w:hAnsi="Times New Roman" w:cs="Times New Roman"/>
          <w:b/>
          <w:noProof/>
          <w:lang w:val="en-GB"/>
        </w:rPr>
        <w:t>18.</w:t>
      </w:r>
      <w:r w:rsidRPr="003E3BFD">
        <w:rPr>
          <w:rFonts w:ascii="Times New Roman" w:eastAsia="Times New Roman" w:hAnsi="Times New Roman" w:cs="Times New Roman"/>
          <w:b/>
          <w:noProof/>
          <w:lang w:val="en-GB"/>
        </w:rPr>
        <w:tab/>
        <w:t xml:space="preserve">UNIKALUS IDENTIFIKATORIUS – </w:t>
      </w:r>
      <w:r w:rsidRPr="003E3BFD">
        <w:rPr>
          <w:rFonts w:ascii="Times New Roman" w:eastAsia="Times New Roman" w:hAnsi="Times New Roman" w:cs="Times New Roman"/>
          <w:b/>
          <w:noProof/>
          <w:lang w:val="en-US"/>
        </w:rPr>
        <w:t>ŽMONĖMS SUPRANTAMI DUOMENYS</w:t>
      </w:r>
    </w:p>
    <w:p w14:paraId="6C2A53C1" w14:textId="77777777" w:rsidR="00653262" w:rsidRPr="003E3BFD" w:rsidRDefault="00653262" w:rsidP="00653262">
      <w:pPr>
        <w:widowControl w:val="0"/>
        <w:ind w:left="539" w:hanging="539"/>
        <w:rPr>
          <w:rFonts w:ascii="Times New Roman" w:eastAsia="Calibri" w:hAnsi="Times New Roman" w:cs="Times New Roman"/>
        </w:rPr>
      </w:pPr>
    </w:p>
    <w:p w14:paraId="2EDC1484" w14:textId="77777777" w:rsidR="00653262" w:rsidRPr="003E3BFD" w:rsidRDefault="00653262" w:rsidP="00653262">
      <w:pPr>
        <w:widowControl w:val="0"/>
        <w:ind w:left="539" w:hanging="539"/>
        <w:rPr>
          <w:rFonts w:ascii="Times New Roman" w:eastAsia="Calibri" w:hAnsi="Times New Roman" w:cs="Times New Roman"/>
        </w:rPr>
      </w:pPr>
      <w:r w:rsidRPr="003E3BFD">
        <w:rPr>
          <w:rFonts w:ascii="Times New Roman" w:eastAsia="Calibri" w:hAnsi="Times New Roman" w:cs="Times New Roman"/>
        </w:rPr>
        <w:t>PC</w:t>
      </w:r>
    </w:p>
    <w:p w14:paraId="4C0BDA1A" w14:textId="77777777" w:rsidR="00653262" w:rsidRPr="003E3BFD" w:rsidRDefault="00653262" w:rsidP="00653262">
      <w:pPr>
        <w:widowControl w:val="0"/>
        <w:ind w:left="539" w:hanging="539"/>
        <w:rPr>
          <w:rFonts w:ascii="Times New Roman" w:eastAsia="Calibri" w:hAnsi="Times New Roman" w:cs="Times New Roman"/>
        </w:rPr>
      </w:pPr>
      <w:r w:rsidRPr="003E3BFD">
        <w:rPr>
          <w:rFonts w:ascii="Times New Roman" w:eastAsia="Calibri" w:hAnsi="Times New Roman" w:cs="Times New Roman"/>
        </w:rPr>
        <w:t>SN</w:t>
      </w:r>
    </w:p>
    <w:p w14:paraId="7DBB0297" w14:textId="77777777" w:rsidR="00653262" w:rsidRPr="003E3BFD" w:rsidRDefault="00653262" w:rsidP="00653262">
      <w:pPr>
        <w:widowControl w:val="0"/>
        <w:ind w:left="539" w:hanging="539"/>
        <w:rPr>
          <w:rFonts w:ascii="Times New Roman" w:eastAsia="Calibri" w:hAnsi="Times New Roman" w:cs="Times New Roman"/>
        </w:rPr>
      </w:pPr>
      <w:r w:rsidRPr="003E3BFD">
        <w:rPr>
          <w:rFonts w:ascii="Times New Roman" w:eastAsia="Calibri" w:hAnsi="Times New Roman" w:cs="Times New Roman"/>
        </w:rPr>
        <w:t>NN</w:t>
      </w:r>
    </w:p>
    <w:p w14:paraId="0A5F5152"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p>
    <w:p w14:paraId="05BF7103"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br w:type="page"/>
      </w:r>
    </w:p>
    <w:p w14:paraId="1C5F38BD"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noProof/>
          <w:highlight w:val="cyan"/>
          <w:lang w:val="sl-SI"/>
        </w:rPr>
      </w:pPr>
      <w:r w:rsidRPr="003E3BFD">
        <w:rPr>
          <w:rFonts w:ascii="Times New Roman" w:eastAsia="Times New Roman" w:hAnsi="Times New Roman" w:cs="Times New Roman"/>
          <w:b/>
          <w:lang w:val="sl-SI" w:eastAsia="sl-SI"/>
        </w:rPr>
        <w:lastRenderedPageBreak/>
        <w:t>MINIMALI INFORMACIJA ANT LIZDINIŲ PLOKŠTELIŲ ARBA DVISLUOKSNIŲ JUOSTELIŲ</w:t>
      </w:r>
    </w:p>
    <w:p w14:paraId="0C106A6D"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noProof/>
          <w:highlight w:val="cyan"/>
          <w:lang w:val="sl-SI"/>
        </w:rPr>
      </w:pPr>
    </w:p>
    <w:p w14:paraId="6CCFA12D" w14:textId="77777777" w:rsidR="00653262" w:rsidRPr="00D879D6" w:rsidRDefault="00653262" w:rsidP="00653262">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val="sl-SI"/>
        </w:rPr>
      </w:pPr>
      <w:r w:rsidRPr="003E3BFD">
        <w:rPr>
          <w:rFonts w:ascii="Times New Roman" w:eastAsia="Times New Roman" w:hAnsi="Times New Roman" w:cs="Times New Roman"/>
          <w:b/>
          <w:noProof/>
          <w:lang w:val="sl-SI"/>
        </w:rPr>
        <w:t xml:space="preserve">LIZDINĖ PLOKŠTELĖ </w:t>
      </w:r>
      <w:r w:rsidRPr="00734A48">
        <w:rPr>
          <w:rFonts w:ascii="Times New Roman" w:eastAsia="Times New Roman" w:hAnsi="Times New Roman" w:cs="Times New Roman"/>
          <w:b/>
          <w:noProof/>
          <w:lang w:val="sl-SI"/>
        </w:rPr>
        <w:t xml:space="preserve">/ </w:t>
      </w:r>
      <w:r w:rsidRPr="00D879D6">
        <w:rPr>
          <w:rFonts w:ascii="Times New Roman" w:eastAsia="Times New Roman" w:hAnsi="Times New Roman" w:cs="Times New Roman"/>
          <w:b/>
          <w:lang w:val="sl-SI"/>
        </w:rPr>
        <w:t>(</w:t>
      </w:r>
      <w:r w:rsidRPr="00D879D6">
        <w:rPr>
          <w:rFonts w:ascii="Times New Roman" w:eastAsia="Times New Roman" w:hAnsi="Times New Roman" w:cs="Times New Roman"/>
          <w:b/>
        </w:rPr>
        <w:t>OPA/Al/PVC//Al folija</w:t>
      </w:r>
      <w:r w:rsidRPr="00D879D6">
        <w:rPr>
          <w:rFonts w:ascii="Times New Roman" w:eastAsia="Times New Roman" w:hAnsi="Times New Roman" w:cs="Times New Roman"/>
          <w:b/>
          <w:lang w:val="sl-SI"/>
        </w:rPr>
        <w:t>)</w:t>
      </w:r>
    </w:p>
    <w:p w14:paraId="7467236C"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33C6CB9D"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6C7E16BB"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noProof/>
          <w:lang w:val="sl-SI"/>
        </w:rPr>
      </w:pPr>
      <w:r w:rsidRPr="003E3BFD">
        <w:rPr>
          <w:rFonts w:ascii="Times New Roman" w:eastAsia="Times New Roman" w:hAnsi="Times New Roman" w:cs="Times New Roman"/>
          <w:b/>
          <w:noProof/>
          <w:lang w:val="sl-SI"/>
        </w:rPr>
        <w:t>1.</w:t>
      </w:r>
      <w:r w:rsidRPr="003E3BFD">
        <w:rPr>
          <w:rFonts w:ascii="Times New Roman" w:eastAsia="Times New Roman" w:hAnsi="Times New Roman" w:cs="Times New Roman"/>
          <w:b/>
          <w:noProof/>
          <w:lang w:val="sl-SI"/>
        </w:rPr>
        <w:tab/>
      </w:r>
      <w:r w:rsidRPr="003E3BFD">
        <w:rPr>
          <w:rFonts w:ascii="Times New Roman" w:eastAsia="Times New Roman" w:hAnsi="Times New Roman" w:cs="Times New Roman"/>
          <w:b/>
          <w:caps/>
          <w:lang w:val="sl-SI" w:eastAsia="sl-SI"/>
        </w:rPr>
        <w:t>VAISTINIO</w:t>
      </w:r>
      <w:r w:rsidRPr="003E3BFD">
        <w:rPr>
          <w:rFonts w:ascii="Times New Roman" w:eastAsia="Times New Roman" w:hAnsi="Times New Roman" w:cs="Times New Roman"/>
          <w:b/>
          <w:lang w:val="sl-SI" w:eastAsia="sl-SI"/>
        </w:rPr>
        <w:t xml:space="preserve"> PREPARATO PAVADINIMAS</w:t>
      </w:r>
    </w:p>
    <w:p w14:paraId="3C3AF5D3" w14:textId="77777777" w:rsidR="00653262" w:rsidRPr="003E3BFD" w:rsidRDefault="00653262" w:rsidP="00653262">
      <w:pPr>
        <w:widowControl w:val="0"/>
        <w:ind w:left="0" w:firstLine="0"/>
        <w:rPr>
          <w:rFonts w:ascii="Times New Roman" w:eastAsia="Times New Roman" w:hAnsi="Times New Roman" w:cs="Times New Roman"/>
          <w:noProof/>
          <w:highlight w:val="cyan"/>
          <w:lang w:val="sl-SI"/>
        </w:rPr>
      </w:pPr>
    </w:p>
    <w:p w14:paraId="3CF57D17" w14:textId="77777777" w:rsidR="00653262" w:rsidRPr="003E3BFD" w:rsidRDefault="00653262" w:rsidP="00653262">
      <w:pPr>
        <w:widowControl w:val="0"/>
        <w:ind w:left="0" w:firstLine="0"/>
        <w:rPr>
          <w:rFonts w:ascii="Times New Roman" w:eastAsia="Times New Roman" w:hAnsi="Times New Roman" w:cs="Times New Roman"/>
          <w:noProof/>
        </w:rPr>
      </w:pPr>
      <w:r w:rsidRPr="003E3BFD">
        <w:rPr>
          <w:rFonts w:ascii="Times New Roman" w:eastAsia="Times New Roman" w:hAnsi="Times New Roman" w:cs="Times New Roman"/>
          <w:noProof/>
        </w:rPr>
        <w:t xml:space="preserve">Bixebra 5 mg </w:t>
      </w:r>
      <w:r w:rsidRPr="00D879D6">
        <w:rPr>
          <w:rFonts w:ascii="Times New Roman" w:eastAsia="Times New Roman" w:hAnsi="Times New Roman" w:cs="Times New Roman"/>
          <w:lang w:eastAsia="sl-SI"/>
        </w:rPr>
        <w:t>plėvele dengtos</w:t>
      </w:r>
      <w:r w:rsidRPr="003E3BFD">
        <w:rPr>
          <w:rFonts w:ascii="Times New Roman" w:eastAsia="Times New Roman" w:hAnsi="Times New Roman" w:cs="Times New Roman"/>
          <w:noProof/>
        </w:rPr>
        <w:t xml:space="preserve"> tabletės</w:t>
      </w:r>
    </w:p>
    <w:p w14:paraId="30CCA23D" w14:textId="77777777" w:rsidR="00653262" w:rsidRPr="003E3BFD" w:rsidRDefault="00653262" w:rsidP="00653262">
      <w:pPr>
        <w:widowControl w:val="0"/>
        <w:ind w:left="0" w:firstLine="0"/>
        <w:rPr>
          <w:rFonts w:ascii="Times New Roman" w:eastAsia="Times New Roman" w:hAnsi="Times New Roman" w:cs="Times New Roman"/>
          <w:noProof/>
        </w:rPr>
      </w:pPr>
      <w:r w:rsidRPr="00D879D6">
        <w:rPr>
          <w:rFonts w:ascii="Times New Roman" w:eastAsia="Times New Roman" w:hAnsi="Times New Roman" w:cs="Times New Roman"/>
          <w:highlight w:val="lightGray"/>
          <w:lang w:eastAsia="sl-SI"/>
        </w:rPr>
        <w:t xml:space="preserve">Bixebra 7,5 mg </w:t>
      </w:r>
      <w:r w:rsidRPr="00E729A2">
        <w:rPr>
          <w:rFonts w:ascii="Times New Roman" w:eastAsia="Times New Roman" w:hAnsi="Times New Roman" w:cs="Times New Roman"/>
          <w:noProof/>
          <w:highlight w:val="lightGray"/>
        </w:rPr>
        <w:t>plėvele dengtos</w:t>
      </w:r>
      <w:r w:rsidRPr="00D879D6">
        <w:rPr>
          <w:rFonts w:ascii="Times New Roman" w:eastAsia="Times New Roman" w:hAnsi="Times New Roman" w:cs="Times New Roman"/>
          <w:highlight w:val="lightGray"/>
          <w:lang w:eastAsia="sl-SI"/>
        </w:rPr>
        <w:t xml:space="preserve"> tabletės</w:t>
      </w:r>
    </w:p>
    <w:p w14:paraId="3578D18E" w14:textId="77777777" w:rsidR="00653262" w:rsidRDefault="00653262" w:rsidP="00653262">
      <w:pPr>
        <w:widowControl w:val="0"/>
        <w:ind w:left="0" w:firstLine="0"/>
        <w:rPr>
          <w:rFonts w:ascii="Times New Roman" w:eastAsia="Times New Roman" w:hAnsi="Times New Roman" w:cs="Times New Roman"/>
          <w:noProof/>
        </w:rPr>
      </w:pPr>
    </w:p>
    <w:p w14:paraId="770C14CA" w14:textId="77777777" w:rsidR="00E729A2" w:rsidRPr="00D879D6" w:rsidRDefault="00E729A2" w:rsidP="00653262">
      <w:pPr>
        <w:widowControl w:val="0"/>
        <w:ind w:left="0" w:firstLine="0"/>
        <w:rPr>
          <w:rFonts w:ascii="Times New Roman" w:eastAsia="Times New Roman" w:hAnsi="Times New Roman" w:cs="Times New Roman"/>
          <w:i/>
          <w:noProof/>
          <w:highlight w:val="lightGray"/>
        </w:rPr>
      </w:pPr>
      <w:r w:rsidRPr="00D879D6">
        <w:rPr>
          <w:rFonts w:ascii="Times New Roman" w:eastAsia="Times New Roman" w:hAnsi="Times New Roman" w:cs="Times New Roman"/>
          <w:i/>
          <w:noProof/>
          <w:highlight w:val="lightGray"/>
        </w:rPr>
        <w:t>daugiakalbėms pakuotėms:</w:t>
      </w:r>
    </w:p>
    <w:p w14:paraId="25869247" w14:textId="77777777" w:rsidR="00E729A2" w:rsidRPr="00D879D6" w:rsidRDefault="00E729A2" w:rsidP="00E729A2">
      <w:pPr>
        <w:widowControl w:val="0"/>
        <w:ind w:left="0" w:firstLine="0"/>
        <w:rPr>
          <w:rFonts w:ascii="Times New Roman" w:eastAsia="Times New Roman" w:hAnsi="Times New Roman" w:cs="Times New Roman"/>
          <w:noProof/>
          <w:highlight w:val="lightGray"/>
        </w:rPr>
      </w:pPr>
      <w:r w:rsidRPr="00D879D6">
        <w:rPr>
          <w:rFonts w:ascii="Times New Roman" w:eastAsia="Times New Roman" w:hAnsi="Times New Roman" w:cs="Times New Roman"/>
          <w:noProof/>
          <w:highlight w:val="lightGray"/>
        </w:rPr>
        <w:t>Bixebra 5 mg tabletės</w:t>
      </w:r>
    </w:p>
    <w:p w14:paraId="36A6823D" w14:textId="77777777" w:rsidR="00E729A2" w:rsidRPr="003E3BFD" w:rsidRDefault="00E729A2" w:rsidP="00E729A2">
      <w:pPr>
        <w:widowControl w:val="0"/>
        <w:ind w:left="0" w:firstLine="0"/>
        <w:rPr>
          <w:rFonts w:ascii="Times New Roman" w:eastAsia="Times New Roman" w:hAnsi="Times New Roman" w:cs="Times New Roman"/>
          <w:noProof/>
        </w:rPr>
      </w:pPr>
      <w:r w:rsidRPr="00E729A2">
        <w:rPr>
          <w:rFonts w:ascii="Times New Roman" w:eastAsia="Times New Roman" w:hAnsi="Times New Roman" w:cs="Times New Roman"/>
          <w:highlight w:val="lightGray"/>
          <w:lang w:eastAsia="sl-SI"/>
        </w:rPr>
        <w:t>Bixebra 7,5 mg tabletės</w:t>
      </w:r>
    </w:p>
    <w:p w14:paraId="08C7DCF2" w14:textId="77777777" w:rsidR="00653262" w:rsidRPr="003E3BFD" w:rsidRDefault="00E729A2" w:rsidP="00653262">
      <w:pPr>
        <w:widowControl w:val="0"/>
        <w:ind w:left="0" w:firstLine="0"/>
        <w:rPr>
          <w:rFonts w:ascii="Times New Roman" w:eastAsia="Times New Roman" w:hAnsi="Times New Roman" w:cs="Times New Roman"/>
          <w:noProof/>
          <w:lang w:val="en-GB"/>
        </w:rPr>
      </w:pPr>
      <w:r>
        <w:rPr>
          <w:rFonts w:ascii="Times New Roman" w:eastAsia="Times New Roman" w:hAnsi="Times New Roman" w:cs="Times New Roman"/>
          <w:noProof/>
          <w:lang w:val="en-GB"/>
        </w:rPr>
        <w:t>i</w:t>
      </w:r>
      <w:r w:rsidR="00653262" w:rsidRPr="003E3BFD">
        <w:rPr>
          <w:rFonts w:ascii="Times New Roman" w:eastAsia="Times New Roman" w:hAnsi="Times New Roman" w:cs="Times New Roman"/>
          <w:noProof/>
          <w:lang w:val="en-GB"/>
        </w:rPr>
        <w:t>vabradinas</w:t>
      </w:r>
    </w:p>
    <w:p w14:paraId="7673E329"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56DEA563"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367BACCB"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noProof/>
          <w:lang w:val="sl-SI"/>
        </w:rPr>
      </w:pPr>
      <w:r w:rsidRPr="003E3BFD">
        <w:rPr>
          <w:rFonts w:ascii="Times New Roman" w:eastAsia="Times New Roman" w:hAnsi="Times New Roman" w:cs="Times New Roman"/>
          <w:b/>
          <w:noProof/>
          <w:lang w:val="sl-SI"/>
        </w:rPr>
        <w:t>2.</w:t>
      </w:r>
      <w:r w:rsidRPr="003E3BFD">
        <w:rPr>
          <w:rFonts w:ascii="Times New Roman" w:eastAsia="Times New Roman" w:hAnsi="Times New Roman" w:cs="Times New Roman"/>
          <w:b/>
          <w:noProof/>
          <w:lang w:val="sl-SI"/>
        </w:rPr>
        <w:tab/>
      </w:r>
      <w:r w:rsidRPr="003E3BFD">
        <w:rPr>
          <w:rFonts w:ascii="Times New Roman" w:eastAsia="Times New Roman" w:hAnsi="Times New Roman" w:cs="Times New Roman"/>
          <w:b/>
          <w:caps/>
          <w:lang w:val="sl-SI" w:eastAsia="sl-SI"/>
        </w:rPr>
        <w:t>rEGISTRUOtojo pavadinimas</w:t>
      </w:r>
    </w:p>
    <w:p w14:paraId="41A0BBD1" w14:textId="77777777" w:rsidR="00653262" w:rsidRPr="003E3BFD" w:rsidRDefault="00653262" w:rsidP="00653262">
      <w:pPr>
        <w:widowControl w:val="0"/>
        <w:tabs>
          <w:tab w:val="left" w:pos="567"/>
        </w:tabs>
        <w:ind w:left="0" w:firstLine="0"/>
        <w:rPr>
          <w:rFonts w:ascii="Times New Roman" w:eastAsia="Times New Roman" w:hAnsi="Times New Roman" w:cs="Times New Roman"/>
          <w:highlight w:val="yellow"/>
          <w:lang w:val="sl-SI"/>
        </w:rPr>
      </w:pPr>
    </w:p>
    <w:p w14:paraId="4E52131F" w14:textId="77777777" w:rsidR="00653262" w:rsidRPr="003E3BFD" w:rsidRDefault="00653262" w:rsidP="00653262">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KRKA</w:t>
      </w:r>
    </w:p>
    <w:p w14:paraId="3DB47011" w14:textId="77777777" w:rsidR="00653262" w:rsidRPr="003E3BFD" w:rsidRDefault="00653262" w:rsidP="00653262">
      <w:pPr>
        <w:widowControl w:val="0"/>
        <w:ind w:left="0" w:firstLine="0"/>
        <w:rPr>
          <w:rFonts w:ascii="Times New Roman" w:eastAsia="Times New Roman" w:hAnsi="Times New Roman" w:cs="Times New Roman"/>
          <w:lang w:val="sl-SI" w:eastAsia="sl-SI"/>
        </w:rPr>
      </w:pPr>
    </w:p>
    <w:p w14:paraId="4E3C13EB"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71D4ECBE"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noProof/>
          <w:lang w:val="sl-SI"/>
        </w:rPr>
      </w:pPr>
      <w:r w:rsidRPr="003E3BFD">
        <w:rPr>
          <w:rFonts w:ascii="Times New Roman" w:eastAsia="Times New Roman" w:hAnsi="Times New Roman" w:cs="Times New Roman"/>
          <w:b/>
          <w:noProof/>
          <w:lang w:val="sl-SI"/>
        </w:rPr>
        <w:t>3.</w:t>
      </w:r>
      <w:r w:rsidRPr="003E3BFD">
        <w:rPr>
          <w:rFonts w:ascii="Times New Roman" w:eastAsia="Times New Roman" w:hAnsi="Times New Roman" w:cs="Times New Roman"/>
          <w:b/>
          <w:noProof/>
          <w:lang w:val="sl-SI"/>
        </w:rPr>
        <w:tab/>
      </w:r>
      <w:r w:rsidRPr="003E3BFD">
        <w:rPr>
          <w:rFonts w:ascii="Times New Roman" w:eastAsia="Times New Roman" w:hAnsi="Times New Roman" w:cs="Times New Roman"/>
          <w:b/>
          <w:lang w:val="sl-SI" w:eastAsia="sl-SI"/>
        </w:rPr>
        <w:t>TINKAMUMO LAIKAS</w:t>
      </w:r>
    </w:p>
    <w:p w14:paraId="108B3514"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sl-SI"/>
        </w:rPr>
      </w:pPr>
    </w:p>
    <w:p w14:paraId="47800413"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sl-SI"/>
        </w:rPr>
      </w:pPr>
      <w:r w:rsidRPr="003E3BFD">
        <w:rPr>
          <w:rFonts w:ascii="Times New Roman" w:eastAsia="Times New Roman" w:hAnsi="Times New Roman" w:cs="Times New Roman"/>
          <w:lang w:val="sl-SI"/>
        </w:rPr>
        <w:t>EXP (mm/MMMM)</w:t>
      </w:r>
    </w:p>
    <w:p w14:paraId="15293581" w14:textId="77777777" w:rsidR="00653262" w:rsidRPr="003E3BFD" w:rsidRDefault="00653262" w:rsidP="00653262">
      <w:pPr>
        <w:widowControl w:val="0"/>
        <w:ind w:left="0" w:firstLine="0"/>
        <w:rPr>
          <w:rFonts w:ascii="Times New Roman" w:eastAsia="Times New Roman" w:hAnsi="Times New Roman" w:cs="Times New Roman"/>
          <w:b/>
          <w:noProof/>
          <w:lang w:val="sl-SI"/>
        </w:rPr>
      </w:pPr>
    </w:p>
    <w:p w14:paraId="68F65F37" w14:textId="77777777" w:rsidR="00653262" w:rsidRPr="003E3BFD" w:rsidRDefault="00653262" w:rsidP="00653262">
      <w:pPr>
        <w:widowControl w:val="0"/>
        <w:ind w:left="0" w:firstLine="0"/>
        <w:rPr>
          <w:rFonts w:ascii="Times New Roman" w:eastAsia="Times New Roman" w:hAnsi="Times New Roman" w:cs="Times New Roman"/>
          <w:noProof/>
          <w:lang w:val="sl-SI"/>
        </w:rPr>
      </w:pPr>
    </w:p>
    <w:p w14:paraId="4EAFBA83"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right="113" w:firstLine="0"/>
        <w:rPr>
          <w:rFonts w:ascii="Times New Roman" w:eastAsia="Times New Roman" w:hAnsi="Times New Roman" w:cs="Times New Roman"/>
          <w:noProof/>
          <w:lang w:val="sl-SI"/>
        </w:rPr>
      </w:pPr>
      <w:r w:rsidRPr="003E3BFD">
        <w:rPr>
          <w:rFonts w:ascii="Times New Roman" w:eastAsia="Times New Roman" w:hAnsi="Times New Roman" w:cs="Times New Roman"/>
          <w:b/>
          <w:noProof/>
          <w:lang w:val="sl-SI"/>
        </w:rPr>
        <w:t>4.</w:t>
      </w:r>
      <w:r w:rsidRPr="003E3BFD">
        <w:rPr>
          <w:rFonts w:ascii="Times New Roman" w:eastAsia="Times New Roman" w:hAnsi="Times New Roman" w:cs="Times New Roman"/>
          <w:b/>
          <w:noProof/>
          <w:lang w:val="sl-SI"/>
        </w:rPr>
        <w:tab/>
      </w:r>
      <w:r w:rsidRPr="003E3BFD">
        <w:rPr>
          <w:rFonts w:ascii="Times New Roman" w:eastAsia="Times New Roman" w:hAnsi="Times New Roman" w:cs="Times New Roman"/>
          <w:b/>
          <w:lang w:val="sl-SI" w:eastAsia="sl-SI"/>
        </w:rPr>
        <w:t>SERIJOS NUMERIS</w:t>
      </w:r>
    </w:p>
    <w:p w14:paraId="46932542"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sl-SI"/>
        </w:rPr>
      </w:pPr>
    </w:p>
    <w:p w14:paraId="16091D83" w14:textId="77777777" w:rsidR="00653262" w:rsidRPr="003E3BFD" w:rsidRDefault="00653262" w:rsidP="00653262">
      <w:pPr>
        <w:widowControl w:val="0"/>
        <w:tabs>
          <w:tab w:val="left" w:pos="567"/>
        </w:tabs>
        <w:ind w:left="0" w:firstLine="0"/>
        <w:rPr>
          <w:rFonts w:ascii="Times New Roman" w:eastAsia="Times New Roman" w:hAnsi="Times New Roman" w:cs="Times New Roman"/>
          <w:lang w:val="sl-SI"/>
        </w:rPr>
      </w:pPr>
      <w:r w:rsidRPr="003E3BFD">
        <w:rPr>
          <w:rFonts w:ascii="Times New Roman" w:eastAsia="Times New Roman" w:hAnsi="Times New Roman" w:cs="Times New Roman"/>
          <w:lang w:val="sl-SI"/>
        </w:rPr>
        <w:t>Lot</w:t>
      </w:r>
    </w:p>
    <w:p w14:paraId="76BDD778" w14:textId="77777777" w:rsidR="00653262" w:rsidRPr="003E3BFD" w:rsidRDefault="00653262" w:rsidP="00653262">
      <w:pPr>
        <w:widowControl w:val="0"/>
        <w:ind w:left="0" w:right="113" w:firstLine="0"/>
        <w:rPr>
          <w:rFonts w:ascii="Times New Roman" w:eastAsia="Times New Roman" w:hAnsi="Times New Roman" w:cs="Times New Roman"/>
          <w:noProof/>
          <w:lang w:val="sl-SI"/>
        </w:rPr>
      </w:pPr>
    </w:p>
    <w:p w14:paraId="6C000F3A" w14:textId="77777777" w:rsidR="00653262" w:rsidRPr="003E3BFD" w:rsidRDefault="00653262" w:rsidP="00653262">
      <w:pPr>
        <w:widowControl w:val="0"/>
        <w:ind w:left="0" w:right="113" w:firstLine="0"/>
        <w:rPr>
          <w:rFonts w:ascii="Times New Roman" w:eastAsia="Times New Roman" w:hAnsi="Times New Roman" w:cs="Times New Roman"/>
          <w:noProof/>
          <w:lang w:val="sl-SI"/>
        </w:rPr>
      </w:pPr>
    </w:p>
    <w:p w14:paraId="59550EFE" w14:textId="77777777" w:rsidR="00653262" w:rsidRPr="003E3BFD" w:rsidRDefault="00653262" w:rsidP="00653262">
      <w:pPr>
        <w:widowControl w:val="0"/>
        <w:pBdr>
          <w:top w:val="single" w:sz="4" w:space="1" w:color="auto"/>
          <w:left w:val="single" w:sz="4" w:space="4" w:color="auto"/>
          <w:bottom w:val="single" w:sz="4" w:space="1" w:color="auto"/>
          <w:right w:val="single" w:sz="4" w:space="4" w:color="auto"/>
        </w:pBdr>
        <w:tabs>
          <w:tab w:val="left" w:pos="567"/>
        </w:tabs>
        <w:ind w:left="0" w:right="113" w:firstLine="0"/>
        <w:rPr>
          <w:rFonts w:ascii="Times New Roman" w:eastAsia="Times New Roman" w:hAnsi="Times New Roman" w:cs="Times New Roman"/>
          <w:noProof/>
          <w:lang w:val="sl-SI"/>
        </w:rPr>
      </w:pPr>
      <w:r w:rsidRPr="003E3BFD">
        <w:rPr>
          <w:rFonts w:ascii="Times New Roman" w:eastAsia="Times New Roman" w:hAnsi="Times New Roman" w:cs="Times New Roman"/>
          <w:b/>
          <w:noProof/>
          <w:lang w:val="sl-SI"/>
        </w:rPr>
        <w:t>5.</w:t>
      </w:r>
      <w:r w:rsidRPr="003E3BFD">
        <w:rPr>
          <w:rFonts w:ascii="Times New Roman" w:eastAsia="Times New Roman" w:hAnsi="Times New Roman" w:cs="Times New Roman"/>
          <w:b/>
          <w:noProof/>
          <w:lang w:val="sl-SI"/>
        </w:rPr>
        <w:tab/>
        <w:t>KITA</w:t>
      </w:r>
    </w:p>
    <w:p w14:paraId="2F2D07E8" w14:textId="77777777" w:rsidR="00653262" w:rsidRPr="003E3BFD" w:rsidRDefault="00653262" w:rsidP="00653262">
      <w:pPr>
        <w:widowControl w:val="0"/>
        <w:ind w:left="0" w:firstLine="0"/>
        <w:rPr>
          <w:rFonts w:ascii="Times New Roman" w:eastAsia="Times New Roman" w:hAnsi="Times New Roman" w:cs="Times New Roman"/>
          <w:iCs/>
          <w:highlight w:val="red"/>
          <w:lang w:val="sl-SI" w:eastAsia="sl-SI"/>
        </w:rPr>
      </w:pPr>
    </w:p>
    <w:p w14:paraId="6D951CC1"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i/>
          <w:iCs/>
          <w:color w:val="008000"/>
          <w:lang w:val="sl-SI" w:eastAsia="sl-SI"/>
        </w:rPr>
        <w:br w:type="page"/>
      </w:r>
    </w:p>
    <w:p w14:paraId="0C7D1147"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350C7955"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3A976F9F"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5EA1F403"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61AFB59"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54293A28"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4CA8EC8B"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7876C70"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7157B34A"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4C861D56"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50204508"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105271E"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3DBA49E5"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2EB19F2D"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6F343D23"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421A65F8"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9C6B77C"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2779C21A"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5181FD0"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0989232A"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6D16C95D"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1E37DD16"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602968D6" w14:textId="77777777" w:rsidR="00653262" w:rsidRPr="003E3BFD" w:rsidRDefault="00653262" w:rsidP="00653262">
      <w:pPr>
        <w:widowControl w:val="0"/>
        <w:tabs>
          <w:tab w:val="left" w:pos="567"/>
        </w:tabs>
        <w:ind w:left="0" w:firstLine="0"/>
        <w:outlineLvl w:val="0"/>
        <w:rPr>
          <w:rFonts w:ascii="Times New Roman" w:eastAsia="Times New Roman" w:hAnsi="Times New Roman" w:cs="Times New Roman"/>
          <w:snapToGrid w:val="0"/>
        </w:rPr>
      </w:pPr>
    </w:p>
    <w:p w14:paraId="2FA7BD66" w14:textId="77777777" w:rsidR="00653262" w:rsidRPr="003E3BFD" w:rsidRDefault="00653262" w:rsidP="00653262">
      <w:pPr>
        <w:widowControl w:val="0"/>
        <w:tabs>
          <w:tab w:val="left" w:pos="567"/>
        </w:tabs>
        <w:ind w:left="0" w:firstLine="0"/>
        <w:jc w:val="center"/>
        <w:outlineLvl w:val="0"/>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B. PAKUOTĖS LAPELIS</w:t>
      </w:r>
    </w:p>
    <w:p w14:paraId="5119BBDC" w14:textId="77777777" w:rsidR="00653262" w:rsidRPr="003E3BFD" w:rsidRDefault="00653262" w:rsidP="00653262">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br w:type="page"/>
      </w:r>
      <w:r w:rsidRPr="003E3BFD">
        <w:rPr>
          <w:rFonts w:ascii="Times New Roman" w:eastAsia="Times New Roman" w:hAnsi="Times New Roman" w:cs="Times New Roman"/>
          <w:b/>
          <w:bCs/>
          <w:iCs/>
          <w:snapToGrid w:val="0"/>
          <w:lang w:eastAsia="x-none"/>
        </w:rPr>
        <w:lastRenderedPageBreak/>
        <w:t>Pakuotės lapelis:</w:t>
      </w:r>
      <w:r w:rsidRPr="003E3BFD">
        <w:rPr>
          <w:rFonts w:ascii="Times New Roman" w:eastAsia="Times New Roman" w:hAnsi="Times New Roman" w:cs="Times New Roman"/>
          <w:b/>
          <w:snapToGrid w:val="0"/>
          <w:lang w:eastAsia="x-none"/>
        </w:rPr>
        <w:t xml:space="preserve"> </w:t>
      </w:r>
      <w:r w:rsidRPr="003E3BFD">
        <w:rPr>
          <w:rFonts w:ascii="Times New Roman" w:eastAsia="Times New Roman" w:hAnsi="Times New Roman" w:cs="Times New Roman"/>
          <w:b/>
          <w:bCs/>
          <w:iCs/>
          <w:snapToGrid w:val="0"/>
          <w:lang w:eastAsia="x-none"/>
        </w:rPr>
        <w:t>informacija pacientui</w:t>
      </w:r>
    </w:p>
    <w:p w14:paraId="6348BD8A" w14:textId="77777777" w:rsidR="00653262" w:rsidRPr="003E3BFD" w:rsidRDefault="00653262" w:rsidP="00653262">
      <w:pPr>
        <w:widowControl w:val="0"/>
        <w:numPr>
          <w:ilvl w:val="12"/>
          <w:numId w:val="0"/>
        </w:numPr>
        <w:shd w:val="clear" w:color="auto" w:fill="FFFFFF"/>
        <w:jc w:val="center"/>
        <w:rPr>
          <w:rFonts w:ascii="Times New Roman" w:eastAsia="Times New Roman" w:hAnsi="Times New Roman" w:cs="Times New Roman"/>
          <w:snapToGrid w:val="0"/>
        </w:rPr>
      </w:pPr>
    </w:p>
    <w:p w14:paraId="789C3012" w14:textId="77777777" w:rsidR="00653262" w:rsidRPr="003E3BFD" w:rsidRDefault="00653262" w:rsidP="00653262">
      <w:pPr>
        <w:widowControl w:val="0"/>
        <w:autoSpaceDE w:val="0"/>
        <w:autoSpaceDN w:val="0"/>
        <w:adjustRightInd w:val="0"/>
        <w:ind w:left="0" w:firstLine="0"/>
        <w:jc w:val="center"/>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Bixebra 5 mg plėvele dengtos tabletės</w:t>
      </w:r>
    </w:p>
    <w:p w14:paraId="1AED13AF" w14:textId="77777777" w:rsidR="00653262" w:rsidRPr="003E3BFD" w:rsidRDefault="00653262" w:rsidP="00653262">
      <w:pPr>
        <w:widowControl w:val="0"/>
        <w:autoSpaceDE w:val="0"/>
        <w:autoSpaceDN w:val="0"/>
        <w:adjustRightInd w:val="0"/>
        <w:ind w:left="0" w:firstLine="0"/>
        <w:jc w:val="center"/>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Bixebra 7,5 mg plėvele dengtos tabletės</w:t>
      </w:r>
    </w:p>
    <w:p w14:paraId="1418DED8" w14:textId="77777777" w:rsidR="00653262" w:rsidRPr="003E3BFD" w:rsidRDefault="00E729A2" w:rsidP="00653262">
      <w:pPr>
        <w:widowControl w:val="0"/>
        <w:ind w:left="0" w:firstLine="0"/>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i</w:t>
      </w:r>
      <w:r w:rsidR="00653262" w:rsidRPr="003E3BFD">
        <w:rPr>
          <w:rFonts w:ascii="Times New Roman" w:eastAsia="Calibri" w:hAnsi="Times New Roman" w:cs="Times New Roman"/>
          <w:color w:val="000000"/>
          <w:lang w:eastAsia="lt-LT"/>
        </w:rPr>
        <w:t>vabradinas</w:t>
      </w:r>
    </w:p>
    <w:p w14:paraId="1929B5C6" w14:textId="77777777" w:rsidR="00653262" w:rsidRPr="003E3BFD" w:rsidRDefault="00653262" w:rsidP="00653262">
      <w:pPr>
        <w:widowControl w:val="0"/>
        <w:ind w:left="0" w:firstLine="0"/>
        <w:jc w:val="center"/>
        <w:rPr>
          <w:rFonts w:ascii="Times New Roman" w:eastAsia="Times New Roman" w:hAnsi="Times New Roman" w:cs="Times New Roman"/>
          <w:snapToGrid w:val="0"/>
        </w:rPr>
      </w:pPr>
    </w:p>
    <w:p w14:paraId="702F3455" w14:textId="77777777" w:rsidR="00653262" w:rsidRPr="003E3BFD" w:rsidRDefault="00653262" w:rsidP="00653262">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5DF7A50D" w14:textId="77777777" w:rsidR="00653262" w:rsidRPr="003E3BFD" w:rsidRDefault="00653262" w:rsidP="00D879D6">
      <w:pPr>
        <w:widowControl w:val="0"/>
        <w:numPr>
          <w:ilvl w:val="0"/>
          <w:numId w:val="3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Neišmeskite šio lapelio, nes vėl gali prireikti jį perskaityti.</w:t>
      </w:r>
    </w:p>
    <w:p w14:paraId="0083CD73" w14:textId="77777777" w:rsidR="00653262" w:rsidRPr="003E3BFD" w:rsidRDefault="00653262" w:rsidP="00D879D6">
      <w:pPr>
        <w:widowControl w:val="0"/>
        <w:numPr>
          <w:ilvl w:val="0"/>
          <w:numId w:val="3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Jeigu kiltų daugiau klausimų, kreipkitės į gydytoją arba vaistininką.</w:t>
      </w:r>
    </w:p>
    <w:p w14:paraId="5B6D7391" w14:textId="77777777" w:rsidR="00653262" w:rsidRPr="003E3BFD" w:rsidRDefault="00653262" w:rsidP="00D879D6">
      <w:pPr>
        <w:widowControl w:val="0"/>
        <w:numPr>
          <w:ilvl w:val="0"/>
          <w:numId w:val="3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Šis vaistas skirtas tik Jums, todėl kitiems žmonėms jo duoti negalima.</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Vaistas gali jiems pakenkti (net tiems, kurių ligos požymiai yra tokie patys kaip Jūsų).</w:t>
      </w:r>
    </w:p>
    <w:p w14:paraId="10F763C3" w14:textId="77777777" w:rsidR="00653262" w:rsidRPr="003E3BFD" w:rsidRDefault="00653262" w:rsidP="00D879D6">
      <w:pPr>
        <w:widowControl w:val="0"/>
        <w:numPr>
          <w:ilvl w:val="0"/>
          <w:numId w:val="3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7DBAE5DC" w14:textId="77777777" w:rsidR="00653262" w:rsidRPr="003E3BFD" w:rsidRDefault="00653262" w:rsidP="00653262">
      <w:pPr>
        <w:widowControl w:val="0"/>
        <w:ind w:left="0" w:right="-2" w:firstLine="0"/>
        <w:rPr>
          <w:rFonts w:ascii="Times New Roman" w:eastAsia="Times New Roman" w:hAnsi="Times New Roman" w:cs="Times New Roman"/>
          <w:snapToGrid w:val="0"/>
        </w:rPr>
      </w:pPr>
    </w:p>
    <w:p w14:paraId="061127B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Apie ką rašoma šiame lapelyje?</w:t>
      </w:r>
    </w:p>
    <w:p w14:paraId="5B2CE4C1"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4509B13" w14:textId="77777777" w:rsidR="00653262" w:rsidRPr="003E3BFD" w:rsidRDefault="00653262" w:rsidP="00653262">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1.</w:t>
      </w:r>
      <w:r w:rsidRPr="003E3BFD">
        <w:rPr>
          <w:rFonts w:ascii="Times New Roman" w:eastAsia="Times New Roman" w:hAnsi="Times New Roman" w:cs="Times New Roman"/>
          <w:snapToGrid w:val="0"/>
        </w:rPr>
        <w:tab/>
        <w:t>Kas yra Bixebra ir kam jis vartojamas</w:t>
      </w:r>
    </w:p>
    <w:p w14:paraId="035A1560" w14:textId="77777777" w:rsidR="00653262" w:rsidRPr="003E3BFD" w:rsidRDefault="00653262" w:rsidP="00653262">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2.</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Kas žinotina prieš vartojant Bixebra</w:t>
      </w:r>
    </w:p>
    <w:p w14:paraId="31F2C5D0" w14:textId="77777777" w:rsidR="00653262" w:rsidRPr="003E3BFD" w:rsidRDefault="00653262" w:rsidP="00653262">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3.</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Kaip vartoti Bixebra</w:t>
      </w:r>
    </w:p>
    <w:p w14:paraId="499B9068" w14:textId="77777777" w:rsidR="00653262" w:rsidRPr="003E3BFD" w:rsidRDefault="00653262" w:rsidP="00653262">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4.</w:t>
      </w:r>
      <w:r w:rsidRPr="003E3BFD">
        <w:rPr>
          <w:rFonts w:ascii="Times New Roman" w:eastAsia="Times New Roman" w:hAnsi="Times New Roman" w:cs="Times New Roman"/>
          <w:snapToGrid w:val="0"/>
        </w:rPr>
        <w:tab/>
        <w:t>Galimas šalutinis poveikis</w:t>
      </w:r>
    </w:p>
    <w:p w14:paraId="6FFFC96F" w14:textId="77777777" w:rsidR="00653262" w:rsidRPr="003E3BFD" w:rsidRDefault="00653262" w:rsidP="00653262">
      <w:pPr>
        <w:widowControl w:val="0"/>
        <w:numPr>
          <w:ilvl w:val="12"/>
          <w:numId w:val="0"/>
        </w:numPr>
        <w:tabs>
          <w:tab w:val="left" w:pos="709"/>
        </w:tabs>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5.</w:t>
      </w:r>
      <w:r w:rsidRPr="003E3BFD">
        <w:rPr>
          <w:rFonts w:ascii="Times New Roman" w:eastAsia="Times New Roman" w:hAnsi="Times New Roman" w:cs="Times New Roman"/>
          <w:snapToGrid w:val="0"/>
        </w:rPr>
        <w:tab/>
        <w:t>Kaip laikyti Bixebra</w:t>
      </w:r>
    </w:p>
    <w:p w14:paraId="42DF977E" w14:textId="77777777" w:rsidR="00653262" w:rsidRPr="003E3BFD" w:rsidRDefault="00653262" w:rsidP="00653262">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6.</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Pakuotės turinys ir kita informacija</w:t>
      </w:r>
    </w:p>
    <w:p w14:paraId="16C39378"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7FD1C23"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742D57BC"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1.</w:t>
      </w:r>
      <w:r w:rsidRPr="003E3BFD">
        <w:rPr>
          <w:rFonts w:ascii="Times New Roman" w:eastAsia="Times New Roman" w:hAnsi="Times New Roman" w:cs="Times New Roman"/>
          <w:b/>
          <w:bCs/>
          <w:snapToGrid w:val="0"/>
          <w:lang w:eastAsia="x-none"/>
        </w:rPr>
        <w:tab/>
        <w:t>Kas yra Bixebra ir kam jis vartojamas</w:t>
      </w:r>
    </w:p>
    <w:p w14:paraId="0A8BAC27"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2B581A87"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lang w:val="en-GB"/>
        </w:rPr>
        <w:t>Bixebra (ivabradinas) yra vaistas nuo širdies ligų skirtas gydyti:</w:t>
      </w:r>
    </w:p>
    <w:p w14:paraId="6DFE7605" w14:textId="77777777" w:rsidR="00653262" w:rsidRPr="003E3BFD" w:rsidRDefault="00653262" w:rsidP="00D879D6">
      <w:pPr>
        <w:widowControl w:val="0"/>
        <w:numPr>
          <w:ilvl w:val="0"/>
          <w:numId w:val="23"/>
        </w:numPr>
        <w:tabs>
          <w:tab w:val="left" w:pos="567"/>
        </w:tabs>
        <w:ind w:left="567" w:hanging="567"/>
        <w:rPr>
          <w:rFonts w:ascii="Times New Roman" w:eastAsia="Times New Roman" w:hAnsi="Times New Roman" w:cs="Times New Roman"/>
          <w:noProof/>
        </w:rPr>
      </w:pPr>
      <w:r w:rsidRPr="003E3BFD">
        <w:rPr>
          <w:rFonts w:ascii="Times New Roman" w:eastAsia="Times New Roman" w:hAnsi="Times New Roman" w:cs="Times New Roman"/>
          <w:snapToGrid w:val="0"/>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pilnai kontroliuojama betablokatoriais.</w:t>
      </w:r>
    </w:p>
    <w:p w14:paraId="56029ADF" w14:textId="77777777" w:rsidR="00653262" w:rsidRPr="003E3BFD" w:rsidRDefault="00653262" w:rsidP="00D879D6">
      <w:pPr>
        <w:widowControl w:val="0"/>
        <w:numPr>
          <w:ilvl w:val="0"/>
          <w:numId w:val="23"/>
        </w:numPr>
        <w:tabs>
          <w:tab w:val="left" w:pos="567"/>
        </w:tabs>
        <w:ind w:left="567" w:hanging="567"/>
        <w:rPr>
          <w:rFonts w:ascii="Times New Roman" w:eastAsia="Times New Roman" w:hAnsi="Times New Roman" w:cs="Times New Roman"/>
          <w:noProof/>
          <w:lang w:val="en-GB"/>
        </w:rPr>
      </w:pPr>
      <w:r w:rsidRPr="003E3BFD">
        <w:rPr>
          <w:rFonts w:ascii="Times New Roman" w:eastAsia="Times New Roman" w:hAnsi="Times New Roman" w:cs="Times New Roman"/>
          <w:snapToGrid w:val="0"/>
          <w:lang w:val="en-GB"/>
        </w:rPr>
        <w:t>Lėtinį širdies nepakankamumą suaugusiems pacientams, kurių širdies plakimo greitis yra daugiau arba lygus 75 susitraukimams per minutę. Derinamas kartu su standartiniu gydymu, įskaitant betablokatorius, arba kai betablokatoriai yra kontraindikuotini arba netoleruojami.</w:t>
      </w:r>
    </w:p>
    <w:p w14:paraId="3CFC3CFF"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33BCD04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Stabilioji krūtinės angina (paprastai ji vadinama angina)</w:t>
      </w:r>
    </w:p>
    <w:p w14:paraId="6D8E7B12" w14:textId="44D0C9C6"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Stabilioji krūtinės angina yra širdies liga, pasireiškianti tuo atveju, kai širdis gauna nepakankamą deguonies kiekį. Dažniausias simptomas yra krūtinės skausmas ir nemalonus pojūtis joje.</w:t>
      </w:r>
    </w:p>
    <w:p w14:paraId="0E144E7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3C13C91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Lėtinis širdies nepakankamumas</w:t>
      </w:r>
    </w:p>
    <w:p w14:paraId="5E1602E5" w14:textId="77777777" w:rsidR="00653262" w:rsidRPr="003E3BFD" w:rsidRDefault="00653262" w:rsidP="00653262">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Lėtinis širdies nepakankamumas yra širdies liga, kuri atsiranda tada, kai širdis nebegali išstumti pakankamai kraujo į visą likusį kūną. Dažniausi širdies nepakankamumo simptomai yra dusulys, nuovargis, pavargimas ir kulkšnių tinimas.</w:t>
      </w:r>
    </w:p>
    <w:p w14:paraId="0D79E3FC" w14:textId="77777777" w:rsidR="00653262" w:rsidRPr="003E3BFD" w:rsidRDefault="00653262" w:rsidP="00653262">
      <w:pPr>
        <w:widowControl w:val="0"/>
        <w:numPr>
          <w:ilvl w:val="12"/>
          <w:numId w:val="0"/>
        </w:numPr>
        <w:ind w:right="-2"/>
        <w:rPr>
          <w:rFonts w:ascii="Times New Roman" w:eastAsia="Calibri" w:hAnsi="Times New Roman" w:cs="Times New Roman"/>
          <w:color w:val="000000"/>
          <w:lang w:eastAsia="lt-LT"/>
        </w:rPr>
      </w:pPr>
    </w:p>
    <w:p w14:paraId="182BF764" w14:textId="3D9BC6CE" w:rsidR="00653262" w:rsidRDefault="00653262" w:rsidP="00653262">
      <w:pPr>
        <w:widowControl w:val="0"/>
        <w:autoSpaceDE w:val="0"/>
        <w:autoSpaceDN w:val="0"/>
        <w:adjustRightInd w:val="0"/>
        <w:ind w:left="0" w:firstLine="0"/>
        <w:rPr>
          <w:rFonts w:ascii="Times New Roman" w:eastAsia="Calibri" w:hAnsi="Times New Roman" w:cs="Times New Roman"/>
          <w:bCs/>
          <w:color w:val="000000"/>
          <w:u w:val="single"/>
          <w:lang w:eastAsia="lt-LT"/>
        </w:rPr>
      </w:pPr>
      <w:r w:rsidRPr="003E3BFD">
        <w:rPr>
          <w:rFonts w:ascii="Times New Roman" w:eastAsia="Calibri" w:hAnsi="Times New Roman" w:cs="Times New Roman"/>
          <w:bCs/>
          <w:color w:val="000000"/>
          <w:u w:val="single"/>
          <w:lang w:eastAsia="lt-LT"/>
        </w:rPr>
        <w:t>Kaip Bixebra veikia?</w:t>
      </w:r>
    </w:p>
    <w:p w14:paraId="1C26B36A" w14:textId="550CAAA8" w:rsidR="009166EB" w:rsidRPr="0009751A" w:rsidRDefault="009166EB" w:rsidP="00653262">
      <w:pPr>
        <w:widowControl w:val="0"/>
        <w:autoSpaceDE w:val="0"/>
        <w:autoSpaceDN w:val="0"/>
        <w:adjustRightInd w:val="0"/>
        <w:ind w:left="0" w:firstLine="0"/>
        <w:rPr>
          <w:rFonts w:ascii="Times New Roman" w:eastAsia="Calibri" w:hAnsi="Times New Roman" w:cs="Times New Roman"/>
          <w:bCs/>
          <w:color w:val="000000"/>
          <w:lang w:eastAsia="lt-LT"/>
        </w:rPr>
      </w:pPr>
      <w:r w:rsidRPr="0009751A">
        <w:rPr>
          <w:rFonts w:ascii="Times New Roman" w:eastAsia="Calibri" w:hAnsi="Times New Roman" w:cs="Times New Roman"/>
          <w:bCs/>
          <w:color w:val="000000"/>
          <w:lang w:eastAsia="lt-LT"/>
        </w:rPr>
        <w:t>Specifinis širdies susitraukimų dažnį mažinantis ivabradino veikimas padeda:</w:t>
      </w:r>
    </w:p>
    <w:p w14:paraId="629BCE0C" w14:textId="02479F12" w:rsidR="009166EB" w:rsidRPr="0009751A" w:rsidRDefault="00C35957" w:rsidP="009166EB">
      <w:pPr>
        <w:numPr>
          <w:ilvl w:val="1"/>
          <w:numId w:val="39"/>
        </w:numPr>
        <w:ind w:left="567" w:hanging="567"/>
        <w:contextualSpacing/>
        <w:rPr>
          <w:rFonts w:ascii="Times New Roman" w:eastAsia="Times New Roman" w:hAnsi="Times New Roman" w:cs="Times New Roman"/>
          <w:noProof/>
          <w:sz w:val="24"/>
          <w:szCs w:val="20"/>
          <w:lang w:val="sl-SI"/>
        </w:rPr>
      </w:pPr>
      <w:r w:rsidRPr="003E3BFD">
        <w:rPr>
          <w:rFonts w:ascii="Times New Roman" w:eastAsia="Calibri" w:hAnsi="Times New Roman" w:cs="Times New Roman"/>
          <w:color w:val="000000"/>
          <w:lang w:eastAsia="lt-LT"/>
        </w:rPr>
        <w:t>reguliuoti ir retinti krūtinės anginos priepuolius</w:t>
      </w:r>
      <w:r w:rsidRPr="009166EB">
        <w:rPr>
          <w:rFonts w:ascii="Times New Roman" w:eastAsia="Times New Roman" w:hAnsi="Times New Roman" w:cs="Times New Roman"/>
          <w:noProof/>
          <w:lang w:val="sl-SI"/>
        </w:rPr>
        <w:t xml:space="preserve"> </w:t>
      </w:r>
      <w:r>
        <w:rPr>
          <w:rFonts w:ascii="Times New Roman" w:eastAsia="Times New Roman" w:hAnsi="Times New Roman" w:cs="Times New Roman"/>
          <w:noProof/>
          <w:lang w:val="sl-SI"/>
        </w:rPr>
        <w:t>sumažinant širdies poreikį deguoniui.</w:t>
      </w:r>
    </w:p>
    <w:p w14:paraId="10AE27E5" w14:textId="70A49A1A" w:rsidR="00C35957" w:rsidRPr="0009751A" w:rsidRDefault="00C35957" w:rsidP="009166EB">
      <w:pPr>
        <w:numPr>
          <w:ilvl w:val="1"/>
          <w:numId w:val="39"/>
        </w:numPr>
        <w:ind w:left="567" w:hanging="567"/>
        <w:contextualSpacing/>
        <w:rPr>
          <w:rFonts w:ascii="Times New Roman" w:eastAsia="Times New Roman" w:hAnsi="Times New Roman" w:cs="Times New Roman"/>
          <w:noProof/>
          <w:sz w:val="24"/>
          <w:szCs w:val="20"/>
          <w:lang w:val="sl-SI"/>
        </w:rPr>
      </w:pPr>
      <w:r>
        <w:rPr>
          <w:rFonts w:ascii="Times New Roman" w:eastAsia="Calibri" w:hAnsi="Times New Roman" w:cs="Times New Roman"/>
          <w:color w:val="000000"/>
          <w:lang w:eastAsia="lt-LT"/>
        </w:rPr>
        <w:t>pagerinti</w:t>
      </w:r>
      <w:r w:rsidRPr="00C35957">
        <w:rPr>
          <w:rFonts w:ascii="Times New Roman" w:eastAsia="Calibri" w:hAnsi="Times New Roman" w:cs="Times New Roman"/>
          <w:color w:val="000000"/>
          <w:lang w:eastAsia="lt-LT"/>
        </w:rPr>
        <w:t xml:space="preserve"> pacientų</w:t>
      </w:r>
      <w:r w:rsidR="00EC5637">
        <w:rPr>
          <w:rFonts w:ascii="Times New Roman" w:eastAsia="Calibri" w:hAnsi="Times New Roman" w:cs="Times New Roman"/>
          <w:color w:val="000000"/>
          <w:lang w:eastAsia="lt-LT"/>
        </w:rPr>
        <w:t>,</w:t>
      </w:r>
      <w:r w:rsidRPr="00C35957">
        <w:rPr>
          <w:rFonts w:ascii="Times New Roman" w:eastAsia="Calibri" w:hAnsi="Times New Roman" w:cs="Times New Roman"/>
          <w:color w:val="000000"/>
          <w:lang w:eastAsia="lt-LT"/>
        </w:rPr>
        <w:t xml:space="preserve"> </w:t>
      </w:r>
      <w:r w:rsidR="00EC5637">
        <w:rPr>
          <w:rFonts w:ascii="Times New Roman" w:eastAsia="Calibri" w:hAnsi="Times New Roman" w:cs="Times New Roman"/>
          <w:color w:val="000000"/>
          <w:lang w:eastAsia="lt-LT"/>
        </w:rPr>
        <w:t>turinčių lėtinį</w:t>
      </w:r>
      <w:r>
        <w:rPr>
          <w:rFonts w:ascii="Times New Roman" w:eastAsia="Calibri" w:hAnsi="Times New Roman" w:cs="Times New Roman"/>
          <w:color w:val="000000"/>
          <w:lang w:eastAsia="lt-LT"/>
        </w:rPr>
        <w:t xml:space="preserve"> širdies </w:t>
      </w:r>
      <w:r w:rsidR="00EC5637">
        <w:rPr>
          <w:rFonts w:ascii="Times New Roman" w:eastAsia="Calibri" w:hAnsi="Times New Roman" w:cs="Times New Roman"/>
          <w:color w:val="000000"/>
          <w:lang w:eastAsia="lt-LT"/>
        </w:rPr>
        <w:t>nepakankam</w:t>
      </w:r>
      <w:r w:rsidR="00CE047D">
        <w:rPr>
          <w:rFonts w:ascii="Times New Roman" w:eastAsia="Calibri" w:hAnsi="Times New Roman" w:cs="Times New Roman"/>
          <w:color w:val="000000"/>
          <w:lang w:eastAsia="lt-LT"/>
        </w:rPr>
        <w:t>um</w:t>
      </w:r>
      <w:r w:rsidR="00EC5637">
        <w:rPr>
          <w:rFonts w:ascii="Times New Roman" w:eastAsia="Calibri" w:hAnsi="Times New Roman" w:cs="Times New Roman"/>
          <w:color w:val="000000"/>
          <w:lang w:eastAsia="lt-LT"/>
        </w:rPr>
        <w:t>ą,</w:t>
      </w:r>
      <w:r>
        <w:rPr>
          <w:rFonts w:ascii="Times New Roman" w:eastAsia="Calibri" w:hAnsi="Times New Roman" w:cs="Times New Roman"/>
          <w:color w:val="000000"/>
          <w:lang w:eastAsia="lt-LT"/>
        </w:rPr>
        <w:t xml:space="preserve"> </w:t>
      </w:r>
      <w:r w:rsidRPr="00C35957">
        <w:rPr>
          <w:rFonts w:ascii="Times New Roman" w:eastAsia="Calibri" w:hAnsi="Times New Roman" w:cs="Times New Roman"/>
          <w:color w:val="000000"/>
          <w:lang w:eastAsia="lt-LT"/>
        </w:rPr>
        <w:t>širdies veiklą ir gyvybines prognozes</w:t>
      </w:r>
      <w:r w:rsidR="00EC5637">
        <w:rPr>
          <w:rFonts w:ascii="Times New Roman" w:eastAsia="Calibri" w:hAnsi="Times New Roman" w:cs="Times New Roman"/>
          <w:color w:val="000000"/>
          <w:lang w:eastAsia="lt-LT"/>
        </w:rPr>
        <w:t>.</w:t>
      </w:r>
    </w:p>
    <w:p w14:paraId="193F34B9"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28D663D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43C1FA24"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2.</w:t>
      </w:r>
      <w:r w:rsidRPr="003E3BFD">
        <w:rPr>
          <w:rFonts w:ascii="Times New Roman" w:eastAsia="Times New Roman" w:hAnsi="Times New Roman" w:cs="Times New Roman"/>
          <w:b/>
          <w:bCs/>
          <w:snapToGrid w:val="0"/>
          <w:lang w:eastAsia="x-none"/>
        </w:rPr>
        <w:tab/>
        <w:t>Kas žinotina prieš vartojant Bixebra</w:t>
      </w:r>
    </w:p>
    <w:p w14:paraId="03A5FD4A"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11F2BAEE" w14:textId="51944491"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 xml:space="preserve">Bixebra vartoti </w:t>
      </w:r>
      <w:r w:rsidR="00EA68E8">
        <w:rPr>
          <w:rFonts w:ascii="Times New Roman" w:eastAsia="Times New Roman" w:hAnsi="Times New Roman" w:cs="Times New Roman"/>
          <w:b/>
          <w:bCs/>
          <w:snapToGrid w:val="0"/>
          <w:lang w:eastAsia="x-none"/>
        </w:rPr>
        <w:t>draudžiama:</w:t>
      </w:r>
    </w:p>
    <w:p w14:paraId="27F9F509" w14:textId="77777777" w:rsidR="00653262" w:rsidRPr="003E3BFD" w:rsidRDefault="00653262" w:rsidP="00D879D6">
      <w:pPr>
        <w:widowControl w:val="0"/>
        <w:numPr>
          <w:ilvl w:val="0"/>
          <w:numId w:val="37"/>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 xml:space="preserve">jeigu yra alergija ivabradinui arba bet kuriai pagalbinei šio vaisto medžiagai (jos išvardytos 6.1 </w:t>
      </w:r>
      <w:r w:rsidRPr="003E3BFD">
        <w:rPr>
          <w:rFonts w:ascii="Times New Roman" w:eastAsia="Times New Roman" w:hAnsi="Times New Roman" w:cs="Times New Roman"/>
          <w:snapToGrid w:val="0"/>
        </w:rPr>
        <w:lastRenderedPageBreak/>
        <w:t>skyriuje);</w:t>
      </w:r>
    </w:p>
    <w:p w14:paraId="3B3A1311" w14:textId="77777777" w:rsidR="00653262" w:rsidRPr="003E3BFD" w:rsidRDefault="00653262" w:rsidP="00D879D6">
      <w:pPr>
        <w:widowControl w:val="0"/>
        <w:numPr>
          <w:ilvl w:val="0"/>
          <w:numId w:val="37"/>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prieš pradedant gydyti širdies ritmas ramybės metu yra per lėtas (širdis susitraukinėja rečiau negu 70 kartų per minutę);</w:t>
      </w:r>
    </w:p>
    <w:p w14:paraId="3DFA40E0" w14:textId="77777777" w:rsidR="00653262" w:rsidRPr="003E3BFD" w:rsidRDefault="00653262" w:rsidP="00D879D6">
      <w:pPr>
        <w:widowControl w:val="0"/>
        <w:numPr>
          <w:ilvl w:val="0"/>
          <w:numId w:val="37"/>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ištiko kardiogeninis šokas (ligoninėje gydomas širdies sutrikimas);</w:t>
      </w:r>
    </w:p>
    <w:p w14:paraId="4497B913" w14:textId="57F7E1B2" w:rsidR="00653262" w:rsidRPr="003E3BFD" w:rsidRDefault="00653262" w:rsidP="00D879D6">
      <w:pPr>
        <w:widowControl w:val="0"/>
        <w:numPr>
          <w:ilvl w:val="0"/>
          <w:numId w:val="37"/>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sutrikęs širdies ritmas</w:t>
      </w:r>
      <w:r w:rsidR="00EC5637">
        <w:rPr>
          <w:rFonts w:ascii="Times New Roman" w:eastAsia="Times New Roman" w:hAnsi="Times New Roman" w:cs="Times New Roman"/>
          <w:noProof/>
        </w:rPr>
        <w:t xml:space="preserve"> (sergate </w:t>
      </w:r>
      <w:r w:rsidR="000B2373" w:rsidRPr="00E41B89">
        <w:rPr>
          <w:rFonts w:ascii="Times New Roman" w:eastAsia="Calibri" w:hAnsi="Times New Roman" w:cs="Times New Roman"/>
          <w:color w:val="000000"/>
          <w:lang w:eastAsia="lt-LT"/>
        </w:rPr>
        <w:t>sinus</w:t>
      </w:r>
      <w:r w:rsidR="000B2373">
        <w:rPr>
          <w:rFonts w:ascii="Times New Roman" w:eastAsia="Calibri" w:hAnsi="Times New Roman" w:cs="Times New Roman"/>
          <w:color w:val="000000"/>
          <w:lang w:eastAsia="lt-LT"/>
        </w:rPr>
        <w:t>inio</w:t>
      </w:r>
      <w:r w:rsidR="000B2373" w:rsidRPr="00E41B89">
        <w:rPr>
          <w:rFonts w:ascii="Times New Roman" w:eastAsia="Calibri" w:hAnsi="Times New Roman" w:cs="Times New Roman"/>
          <w:color w:val="000000"/>
          <w:lang w:eastAsia="lt-LT"/>
        </w:rPr>
        <w:t xml:space="preserve"> </w:t>
      </w:r>
      <w:r w:rsidR="000B2373">
        <w:rPr>
          <w:rFonts w:ascii="Times New Roman" w:eastAsia="Calibri" w:hAnsi="Times New Roman" w:cs="Times New Roman"/>
          <w:color w:val="000000"/>
          <w:lang w:eastAsia="lt-LT"/>
        </w:rPr>
        <w:t>mazgo silpnumo sindromu</w:t>
      </w:r>
      <w:r w:rsidR="00EC5637">
        <w:rPr>
          <w:rFonts w:ascii="Times New Roman" w:eastAsia="Times New Roman" w:hAnsi="Times New Roman" w:cs="Times New Roman"/>
          <w:noProof/>
        </w:rPr>
        <w:t>, sinoatraline blokada, 3 laipsnio AV blokada)</w:t>
      </w:r>
      <w:r w:rsidRPr="003E3BFD">
        <w:rPr>
          <w:rFonts w:ascii="Times New Roman" w:eastAsia="Times New Roman" w:hAnsi="Times New Roman" w:cs="Times New Roman"/>
          <w:noProof/>
        </w:rPr>
        <w:t>;</w:t>
      </w:r>
    </w:p>
    <w:p w14:paraId="0BA3F6BB" w14:textId="77777777" w:rsidR="00653262" w:rsidRPr="003E3BFD" w:rsidRDefault="00653262" w:rsidP="00D879D6">
      <w:pPr>
        <w:widowControl w:val="0"/>
        <w:numPr>
          <w:ilvl w:val="0"/>
          <w:numId w:val="37"/>
        </w:numPr>
        <w:ind w:left="567" w:hanging="567"/>
        <w:rPr>
          <w:rFonts w:ascii="Times New Roman" w:eastAsia="Calibri" w:hAnsi="Times New Roman" w:cs="Times New Roman"/>
          <w:snapToGrid w:val="0"/>
          <w:lang w:eastAsia="lt-LT"/>
        </w:rPr>
      </w:pPr>
      <w:r w:rsidRPr="003E3BFD">
        <w:rPr>
          <w:rFonts w:ascii="Times New Roman" w:eastAsia="Calibri" w:hAnsi="Times New Roman" w:cs="Times New Roman"/>
          <w:snapToGrid w:val="0"/>
          <w:lang w:eastAsia="lt-LT"/>
        </w:rPr>
        <w:t>jeigu ištiko miokardo infarktas;</w:t>
      </w:r>
    </w:p>
    <w:p w14:paraId="2C3D1BD5"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kraujospūdis labai mažas;</w:t>
      </w:r>
    </w:p>
    <w:p w14:paraId="3F618130"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sergama nestabiliąja krūtinės angina (sunkia liga, kurios metu labai dažnai kartojasi krūtinės skausmo priepuoliai ir fizinių pratimų ir kitu metu);</w:t>
      </w:r>
    </w:p>
    <w:p w14:paraId="1AA5DADE"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yra širdies nepakankamumas, kuris neseniai pasunkėjo;</w:t>
      </w:r>
    </w:p>
    <w:p w14:paraId="67CA349D"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Jūsų širdies plakimą išskirtinai palaiko širdies stimuliatorius;</w:t>
      </w:r>
    </w:p>
    <w:p w14:paraId="53514D31"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yra sunkus kepenų funkcijos sutrikimas;</w:t>
      </w:r>
    </w:p>
    <w:p w14:paraId="710B28B0"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vartojama vaistinių preparatų nuo grybelinių ligų (pvz., ketokonazolo, itrakonazolo), makrolidinių antibiotikų (pvz., jozamicino, klaritromicino, telitromicino ar geriamųjų eritromicino preparatų), vaistų nuo žmogaus imunodeficito viruso (ŽIV) ligos (pvz., nelfinaviro, ritonaviro) arba nefazodono, t. y. vaisto nuo depresijos, arba diltiazemo, verapamilio (vaistai vartojami nuo didelio kraujospūdžio ligos arba krūtinės anginos);</w:t>
      </w:r>
    </w:p>
    <w:p w14:paraId="5424EA9D"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 esate moteris, galinti susilaukti vaikų ir nenaudojanti veiksmingos kontracepcijos;</w:t>
      </w:r>
    </w:p>
    <w:p w14:paraId="27495A7C" w14:textId="77777777" w:rsidR="00653262" w:rsidRPr="003E3BFD" w:rsidRDefault="00653262" w:rsidP="00D879D6">
      <w:pPr>
        <w:widowControl w:val="0"/>
        <w:numPr>
          <w:ilvl w:val="0"/>
          <w:numId w:val="3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esate nėščia arba ketinanti pastoti moteris;</w:t>
      </w:r>
    </w:p>
    <w:p w14:paraId="44210B88" w14:textId="77777777" w:rsidR="00653262" w:rsidRPr="003E3BFD" w:rsidRDefault="00653262" w:rsidP="00D879D6">
      <w:pPr>
        <w:widowControl w:val="0"/>
        <w:numPr>
          <w:ilvl w:val="0"/>
          <w:numId w:val="37"/>
        </w:numPr>
        <w:ind w:left="567" w:hanging="567"/>
        <w:rPr>
          <w:rFonts w:ascii="Times New Roman" w:eastAsia="Times New Roman" w:hAnsi="Times New Roman" w:cs="Times New Roman"/>
          <w:noProof/>
          <w:lang w:val="en-GB"/>
        </w:rPr>
      </w:pPr>
      <w:r w:rsidRPr="003E3BFD">
        <w:rPr>
          <w:rFonts w:ascii="Times New Roman" w:eastAsia="Calibri" w:hAnsi="Times New Roman" w:cs="Times New Roman"/>
          <w:color w:val="000000"/>
          <w:lang w:eastAsia="lt-LT"/>
        </w:rPr>
        <w:t>jeigu žindomas kūdikis.</w:t>
      </w:r>
    </w:p>
    <w:p w14:paraId="42C43AFF"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7D181343"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Įspėjimai ir atsargumo priemonės</w:t>
      </w:r>
    </w:p>
    <w:p w14:paraId="1FA7EE3F"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lang w:val="en-GB"/>
        </w:rPr>
        <w:t>Pasitarkite su gydytoju arba vaistininku, prieš pradėdami vartoti Bixebra.</w:t>
      </w:r>
    </w:p>
    <w:p w14:paraId="086BB8F0"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27A27EB2"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nuovargis, svaigulys ar dusulys (tokie simptomai gali būti per didelio širdies ritmo sulėtėjimo požymis);</w:t>
      </w:r>
    </w:p>
    <w:p w14:paraId="1FE32C49"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Jums pasireiškia prieširdžių virpėjimo simptomai (pulso dažnis ramybės būsenoje be jokių akivaizdžių priežasčių neįprastai didelis (daugiau kaip 110 tvinksnių per minutę) arba nereguliarus, dėl ko jį sunku išmatuoti);</w:t>
      </w:r>
    </w:p>
    <w:p w14:paraId="6926BA25"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neseniai ištiko smegenų insultas (smegenų apopleksija);</w:t>
      </w:r>
    </w:p>
    <w:p w14:paraId="0DBFFE2D"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lengva arba vidutinio sunkumo hipotenzija (mažas kraujospūdis);</w:t>
      </w:r>
    </w:p>
    <w:p w14:paraId="1986CAEF"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nekontroliuojamas kraujo spaudimas, ypač pakeitus antihipertenzinį gydymą;</w:t>
      </w:r>
    </w:p>
    <w:p w14:paraId="6323EA58"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 xml:space="preserve">jeigu yra sunkus širdies nepakankamumas arba širdies nepakankamumas su pokyčiu elektrokardiogramoje, vadinamas </w:t>
      </w:r>
      <w:r w:rsidRPr="003E3BFD">
        <w:rPr>
          <w:rFonts w:ascii="Times New Roman" w:eastAsia="Times New Roman" w:hAnsi="Times New Roman" w:cs="Times New Roman"/>
          <w:i/>
          <w:noProof/>
        </w:rPr>
        <w:t>Hiso</w:t>
      </w:r>
      <w:r w:rsidRPr="003E3BFD">
        <w:rPr>
          <w:rFonts w:ascii="Times New Roman" w:eastAsia="Times New Roman" w:hAnsi="Times New Roman" w:cs="Times New Roman"/>
          <w:noProof/>
        </w:rPr>
        <w:t xml:space="preserve"> pluošto kojytės blokada;</w:t>
      </w:r>
    </w:p>
    <w:p w14:paraId="73E222A8"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sergama lėtine akių tinklainės liga;</w:t>
      </w:r>
    </w:p>
    <w:p w14:paraId="45588E6D"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vidutinio sunkumo kepenų funkcijos sutrikimas.</w:t>
      </w:r>
    </w:p>
    <w:p w14:paraId="715CCE20" w14:textId="77777777" w:rsidR="00653262" w:rsidRPr="003E3BFD" w:rsidRDefault="00653262" w:rsidP="00D879D6">
      <w:pPr>
        <w:widowControl w:val="0"/>
        <w:numPr>
          <w:ilvl w:val="0"/>
          <w:numId w:val="24"/>
        </w:numPr>
        <w:ind w:left="567" w:hanging="567"/>
        <w:rPr>
          <w:rFonts w:ascii="Times New Roman" w:eastAsia="Times New Roman" w:hAnsi="Times New Roman" w:cs="Times New Roman"/>
          <w:noProof/>
          <w:lang w:val="en-GB"/>
        </w:rPr>
      </w:pPr>
      <w:r w:rsidRPr="003E3BFD">
        <w:rPr>
          <w:rFonts w:ascii="Times New Roman" w:eastAsia="Times New Roman" w:hAnsi="Times New Roman" w:cs="Times New Roman"/>
          <w:noProof/>
        </w:rPr>
        <w:t>jeigu yra sunkus inkstų funkcijos sutrikimas.</w:t>
      </w:r>
    </w:p>
    <w:p w14:paraId="105C9C5C"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kuri nors iš minėtų būklių yra, prieš gydymą Bixebra arba jo metu reikia iš karto pasikalbėti su gydytoju.</w:t>
      </w:r>
    </w:p>
    <w:p w14:paraId="4BE73D47"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0126AE0E" w14:textId="77777777" w:rsidR="00653262" w:rsidRPr="003E3BFD" w:rsidRDefault="00653262" w:rsidP="00653262">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Vaikams ir paaugliams</w:t>
      </w:r>
    </w:p>
    <w:p w14:paraId="43EFF9B8" w14:textId="5B9A4526" w:rsidR="00653262" w:rsidRPr="003E3BFD" w:rsidRDefault="00605164" w:rsidP="00653262">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Neduokite šio vaisto</w:t>
      </w:r>
      <w:r w:rsidR="00653262" w:rsidRPr="003E3BFD">
        <w:rPr>
          <w:rFonts w:ascii="Times New Roman" w:eastAsia="Times New Roman" w:hAnsi="Times New Roman" w:cs="Times New Roman"/>
          <w:snapToGrid w:val="0"/>
        </w:rPr>
        <w:t xml:space="preserve"> vaikams ir jaunesniems nei 18 metų paaugliams.</w:t>
      </w:r>
      <w:r w:rsidRPr="00605164">
        <w:t xml:space="preserve"> </w:t>
      </w:r>
      <w:r w:rsidRPr="00605164">
        <w:rPr>
          <w:rFonts w:ascii="Times New Roman" w:eastAsia="Times New Roman" w:hAnsi="Times New Roman" w:cs="Times New Roman"/>
          <w:snapToGrid w:val="0"/>
        </w:rPr>
        <w:t>Turimų duomenų šioje amžiaus grupėje nepakanka.</w:t>
      </w:r>
    </w:p>
    <w:p w14:paraId="684BEF3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44261C4D" w14:textId="77777777" w:rsidR="00653262" w:rsidRPr="003E3BFD" w:rsidRDefault="00653262" w:rsidP="00653262">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Kiti vaistai ir Bixebra</w:t>
      </w:r>
    </w:p>
    <w:p w14:paraId="05189CB4"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vartojate ar neseniai vartojote kitų vaistų arba dėl to nesate tikri, apie tai pasakykite gydytojui arba vaistininkui.</w:t>
      </w:r>
    </w:p>
    <w:p w14:paraId="1C4059F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BC92C61"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vartojate žemiau išvardytų preparatų, būtinai informuokite gydytoją, kadangi gali reikėti keisti Bixe</w:t>
      </w:r>
      <w:r w:rsidR="00B12FE0">
        <w:rPr>
          <w:rFonts w:ascii="Times New Roman" w:eastAsia="Times New Roman" w:hAnsi="Times New Roman" w:cs="Times New Roman"/>
          <w:snapToGrid w:val="0"/>
        </w:rPr>
        <w:t>b</w:t>
      </w:r>
      <w:r w:rsidRPr="003E3BFD">
        <w:rPr>
          <w:rFonts w:ascii="Times New Roman" w:eastAsia="Times New Roman" w:hAnsi="Times New Roman" w:cs="Times New Roman"/>
          <w:snapToGrid w:val="0"/>
        </w:rPr>
        <w:t>ra dozę arba gydymo metu Jus prižiūrėti.</w:t>
      </w:r>
    </w:p>
    <w:p w14:paraId="1FB86D8A"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Flukonazolo (priešgrybelinio vaisto).</w:t>
      </w:r>
    </w:p>
    <w:p w14:paraId="014F1AFB"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Rifampicino (antibiotiko).</w:t>
      </w:r>
    </w:p>
    <w:p w14:paraId="52CACC79"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lastRenderedPageBreak/>
        <w:t>Barbitūratų (vaistų nuo nemigos ir epilepsijos).</w:t>
      </w:r>
    </w:p>
    <w:p w14:paraId="49132E20"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Fenitoino (vaistas nuo epilepsijos).</w:t>
      </w:r>
    </w:p>
    <w:p w14:paraId="7FDD63B4"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Paprastųjų jonažolių preparatų (vaistažolių preparatų nuo depresijos).</w:t>
      </w:r>
    </w:p>
    <w:p w14:paraId="6B46E7AD"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QT intervalą ilginančių vaistų, vartojamų širdies ritmo sutrikimui bei kitokioms ligoms gydyti:</w:t>
      </w:r>
    </w:p>
    <w:p w14:paraId="1A32B848"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chinidino, dizopiramido, ibutilido, sotalolio, amjodarono (medikamentų nuo širdies ritmo sutrikimo);</w:t>
      </w:r>
    </w:p>
    <w:p w14:paraId="26D4734E"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bepridilio (preparato nuo krūtinės anginos);</w:t>
      </w:r>
    </w:p>
    <w:p w14:paraId="3F584650"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kai kurių vaistų nuo nerimo, šizofrenijos ar kitokios psichozės (pvz., pimozido,</w:t>
      </w:r>
    </w:p>
    <w:p w14:paraId="388E2FC6"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ziprazidono, sertindolo);</w:t>
      </w:r>
    </w:p>
    <w:p w14:paraId="41CB880F"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vaistų nuo maliarijos, pvz., meflokvino, halofantrino;</w:t>
      </w:r>
    </w:p>
    <w:p w14:paraId="382F8C14"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į veną leidžiamų eritromicino preparatų (antibiotiko);</w:t>
      </w:r>
    </w:p>
    <w:p w14:paraId="131DB2EF"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pentamido (vaisto nuo parazitų sukeliamų ligų);</w:t>
      </w:r>
    </w:p>
    <w:p w14:paraId="7566423A" w14:textId="77777777" w:rsidR="00653262" w:rsidRPr="003E3BFD" w:rsidRDefault="00653262" w:rsidP="00D879D6">
      <w:pPr>
        <w:widowControl w:val="0"/>
        <w:numPr>
          <w:ilvl w:val="0"/>
          <w:numId w:val="25"/>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cisaprido (vaisto nuo gastroezofaginio refliukso).</w:t>
      </w:r>
    </w:p>
    <w:p w14:paraId="6F07AF3E" w14:textId="77777777" w:rsidR="00653262" w:rsidRPr="003E3BFD" w:rsidRDefault="00653262" w:rsidP="00D879D6">
      <w:pPr>
        <w:widowControl w:val="0"/>
        <w:numPr>
          <w:ilvl w:val="0"/>
          <w:numId w:val="26"/>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Kai kurių rūšių diuretikai, kurie gali sumažinti kalio koncentraciją kraujyje, tokie kaip furozemidas, hidrochlortiazidas, indapamidas (naudojami edemai, aukštam kraujospūdžiui gydyti).</w:t>
      </w:r>
    </w:p>
    <w:p w14:paraId="14DAC740"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p>
    <w:p w14:paraId="281AA11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Bixebra vartojimas su maistu ir gėrimais</w:t>
      </w:r>
    </w:p>
    <w:p w14:paraId="20A3BE96"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Bixebra vartojimo metu reikia vengti greipfrutų sulčių gėrimo.</w:t>
      </w:r>
    </w:p>
    <w:p w14:paraId="44D34D4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7949170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Nėštumas ir žindymo laikotarpis</w:t>
      </w:r>
    </w:p>
    <w:p w14:paraId="735A53DB" w14:textId="77777777" w:rsidR="00F07D81" w:rsidRPr="003E3BFD" w:rsidRDefault="00F07D81" w:rsidP="00F07D81">
      <w:pPr>
        <w:widowControl w:val="0"/>
        <w:numPr>
          <w:ilvl w:val="12"/>
          <w:numId w:val="0"/>
        </w:numPr>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Jeigu esate nėščia, žindote kūdikį, manote, kad galbūt esate nėščia arba planuojate pastoti, tai prieš vartodama šį vaistą pasitarkite su gydytoju arba vaistininku.</w:t>
      </w:r>
    </w:p>
    <w:p w14:paraId="040641A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esate nėščia arba planuojate pastoti, Bixebra vartoti negalite (žr. poskyrį „Bixebra vartoti draudžiama“).</w:t>
      </w:r>
    </w:p>
    <w:p w14:paraId="7F10E40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 esate nėščia ir vartojote Bixebra, kreipkitės į gydytoją.</w:t>
      </w:r>
    </w:p>
    <w:p w14:paraId="4609BEC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Nevartokite Bixebra, jeigu galite pastoti, nebent naudojatės veiksmingais kontracepcijos metodais (žr. skyrių „Bixebra vartoti negalima“).</w:t>
      </w:r>
    </w:p>
    <w:p w14:paraId="7EE7F203"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krūtimi maitinate kūdikį, Bixebra vartoti negalite (žr. poskyrį „Bixebra vartoti negalima“). Pasitarkite su gydytoju, jeigu žindote arba ketinate žindyti kūdikį, nes gydymo Bixebra metu žindymą reikia nutraukti.</w:t>
      </w:r>
    </w:p>
    <w:p w14:paraId="5E2CF40F"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p>
    <w:p w14:paraId="7D9BBE1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Vairavimas ir mechanizmų valdymas</w:t>
      </w:r>
    </w:p>
    <w:p w14:paraId="5AD9302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Bixebra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59185AD9" w14:textId="77777777" w:rsidR="00653262" w:rsidRPr="003E3BFD" w:rsidRDefault="00653262" w:rsidP="00653262">
      <w:pPr>
        <w:widowControl w:val="0"/>
        <w:numPr>
          <w:ilvl w:val="12"/>
          <w:numId w:val="0"/>
        </w:numPr>
        <w:ind w:right="-2"/>
        <w:rPr>
          <w:rFonts w:ascii="Times New Roman" w:eastAsia="Calibri" w:hAnsi="Times New Roman" w:cs="Times New Roman"/>
          <w:b/>
          <w:bCs/>
          <w:color w:val="000000"/>
          <w:lang w:eastAsia="lt-LT"/>
        </w:rPr>
      </w:pPr>
    </w:p>
    <w:p w14:paraId="16621026" w14:textId="77777777" w:rsidR="00653262" w:rsidRPr="003E3BFD" w:rsidRDefault="00653262" w:rsidP="00653262">
      <w:pPr>
        <w:widowControl w:val="0"/>
        <w:numPr>
          <w:ilvl w:val="12"/>
          <w:numId w:val="0"/>
        </w:numPr>
        <w:ind w:right="-2"/>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Bixebra sudėtyje yra laktozės.</w:t>
      </w:r>
    </w:p>
    <w:p w14:paraId="4B124910" w14:textId="5B4AFED6" w:rsidR="00653262" w:rsidRPr="003E3BFD" w:rsidRDefault="00915C8C" w:rsidP="00653262">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1789BAB0"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19CBBD8B"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38333B8A"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3.</w:t>
      </w:r>
      <w:r w:rsidRPr="003E3BFD">
        <w:rPr>
          <w:rFonts w:ascii="Times New Roman" w:eastAsia="Times New Roman" w:hAnsi="Times New Roman" w:cs="Times New Roman"/>
          <w:b/>
          <w:bCs/>
          <w:snapToGrid w:val="0"/>
          <w:lang w:eastAsia="x-none"/>
        </w:rPr>
        <w:tab/>
        <w:t>Kaip vartoti Bixebra</w:t>
      </w:r>
    </w:p>
    <w:p w14:paraId="207FDFE5"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4BD27F6"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Visada vartokite šį vaistą tiksliai kaip nurodė gydytojas arba vaistininkas.</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Jeigu abejojate, kreipkitės į gydytoją arba vaistininką.</w:t>
      </w:r>
    </w:p>
    <w:p w14:paraId="47B2E50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Bixebra reikia gerti valgio metu.</w:t>
      </w:r>
    </w:p>
    <w:p w14:paraId="350A1803" w14:textId="6041C58C" w:rsidR="00653262" w:rsidRDefault="00806DBF" w:rsidP="00653262">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Bixebra 5 mg </w:t>
      </w:r>
      <w:r w:rsidR="00816F21">
        <w:rPr>
          <w:rFonts w:ascii="Times New Roman" w:eastAsia="Calibri" w:hAnsi="Times New Roman" w:cs="Times New Roman"/>
          <w:color w:val="000000"/>
          <w:lang w:eastAsia="lt-LT"/>
        </w:rPr>
        <w:t>plėvele dengta tabletė</w:t>
      </w:r>
      <w:r>
        <w:rPr>
          <w:rFonts w:ascii="Times New Roman" w:eastAsia="Calibri" w:hAnsi="Times New Roman" w:cs="Times New Roman"/>
          <w:color w:val="000000"/>
          <w:lang w:eastAsia="lt-LT"/>
        </w:rPr>
        <w:t xml:space="preserve"> gali būti padalinta į lygias dalis.</w:t>
      </w:r>
    </w:p>
    <w:p w14:paraId="6E5488D8" w14:textId="77777777" w:rsidR="00806DBF" w:rsidRPr="003E3BFD" w:rsidRDefault="00806DBF" w:rsidP="00653262">
      <w:pPr>
        <w:widowControl w:val="0"/>
        <w:numPr>
          <w:ilvl w:val="12"/>
          <w:numId w:val="0"/>
        </w:numPr>
        <w:ind w:right="-2"/>
        <w:rPr>
          <w:rFonts w:ascii="Times New Roman" w:eastAsia="Times New Roman" w:hAnsi="Times New Roman" w:cs="Times New Roman"/>
          <w:snapToGrid w:val="0"/>
        </w:rPr>
      </w:pPr>
    </w:p>
    <w:p w14:paraId="5F48015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Jeigu Jums yra gydoma krūtinės angina</w:t>
      </w:r>
    </w:p>
    <w:p w14:paraId="6867F657" w14:textId="54E0D422"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Pradinė dozė neturėtų viršyti vienos Bixebra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w:t>
      </w:r>
      <w:r w:rsidR="00F07D81">
        <w:rPr>
          <w:rFonts w:ascii="Times New Roman" w:eastAsia="Calibri" w:hAnsi="Times New Roman" w:cs="Times New Roman"/>
          <w:color w:val="000000"/>
          <w:lang w:eastAsia="lt-LT"/>
        </w:rPr>
        <w:t xml:space="preserve"> nei 75 metų</w:t>
      </w:r>
      <w:r w:rsidRPr="003E3BFD">
        <w:rPr>
          <w:rFonts w:ascii="Times New Roman" w:eastAsia="Calibri" w:hAnsi="Times New Roman" w:cs="Times New Roman"/>
          <w:color w:val="000000"/>
          <w:lang w:eastAsia="lt-LT"/>
        </w:rPr>
        <w:t xml:space="preserve"> amžiaus), Jūsų gydytojas gali Jums paskirti </w:t>
      </w:r>
      <w:r w:rsidRPr="003E3BFD">
        <w:rPr>
          <w:rFonts w:ascii="Times New Roman" w:eastAsia="Calibri" w:hAnsi="Times New Roman" w:cs="Times New Roman"/>
          <w:color w:val="000000"/>
          <w:lang w:eastAsia="lt-LT"/>
        </w:rPr>
        <w:lastRenderedPageBreak/>
        <w:t>pusę vaisto dozės, t. y. po pusę Bixebra 5 mg tabletės (ši dozė atitinka 2,5 mg ivabradino) rytais ir pusę 5 mg tabletės vakarais.</w:t>
      </w:r>
    </w:p>
    <w:p w14:paraId="776246F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04A3A85"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Jeigu Jums yra gydomas lėtinis širdies nepakankamumas</w:t>
      </w:r>
    </w:p>
    <w:p w14:paraId="0AB3B54B" w14:textId="50370660" w:rsidR="00653262" w:rsidRPr="003E3BFD" w:rsidRDefault="00653262" w:rsidP="00653262">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Įprastinė rekomenduojama pradinė dozė yra 5 mg. Ji geriama 2 kartus per parą. Prireikus dozę galima didinti ir gerti po 7,5 mg 2 kartus per parą. Tinkamą dozę nustatys gydytojas. Paprastai viena tabletė geriama ryte, kita vakare. Kai kuriais atvejais (pvz., </w:t>
      </w:r>
      <w:r w:rsidR="00F07D81" w:rsidRPr="003E3BFD">
        <w:rPr>
          <w:rFonts w:ascii="Times New Roman" w:eastAsia="Calibri" w:hAnsi="Times New Roman" w:cs="Times New Roman"/>
          <w:color w:val="000000"/>
          <w:lang w:eastAsia="lt-LT"/>
        </w:rPr>
        <w:t>jeigu Jūs esate vyresni</w:t>
      </w:r>
      <w:r w:rsidR="00F07D81">
        <w:rPr>
          <w:rFonts w:ascii="Times New Roman" w:eastAsia="Calibri" w:hAnsi="Times New Roman" w:cs="Times New Roman"/>
          <w:color w:val="000000"/>
          <w:lang w:eastAsia="lt-LT"/>
        </w:rPr>
        <w:t xml:space="preserve"> nei 75 metų</w:t>
      </w:r>
      <w:r w:rsidR="00F07D81" w:rsidRPr="003E3BFD">
        <w:rPr>
          <w:rFonts w:ascii="Times New Roman" w:eastAsia="Calibri" w:hAnsi="Times New Roman" w:cs="Times New Roman"/>
          <w:color w:val="000000"/>
          <w:lang w:eastAsia="lt-LT"/>
        </w:rPr>
        <w:t xml:space="preserve"> amžiaus</w:t>
      </w:r>
      <w:r w:rsidRPr="003E3BFD">
        <w:rPr>
          <w:rFonts w:ascii="Times New Roman" w:eastAsia="Calibri" w:hAnsi="Times New Roman" w:cs="Times New Roman"/>
          <w:color w:val="000000"/>
          <w:lang w:eastAsia="lt-LT"/>
        </w:rPr>
        <w:t>) gydytojas gali skirti gerti po pusę 5 mg tabletės ryte ir vakare.</w:t>
      </w:r>
    </w:p>
    <w:p w14:paraId="2B3EC1D5"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219EDC13" w14:textId="69FC6B89"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Ką daryti pavartojus per didelę Bixebra dozę</w:t>
      </w:r>
    </w:p>
    <w:p w14:paraId="666D9A9E"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Išgėrus didelę Bixebra dozę, gali atsirasti dusulys ir nuovargis, kadangi per daug suretėja širdies susitraukimai. Taip atsitikus būtina nedelsiant kreiptis į gydytoją.</w:t>
      </w:r>
    </w:p>
    <w:p w14:paraId="15D197D0"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24B9B61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Pamiršus pavartoti Bixebra</w:t>
      </w:r>
    </w:p>
    <w:p w14:paraId="038A8A2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Įprastiniu laiku medikamento išgerti pamiršus, jo reikia gerti atėjus kitos dozės vartojimo laikui.</w:t>
      </w:r>
    </w:p>
    <w:p w14:paraId="74E31484"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Praleidus dozę, vėliau vietoj jos dvigubos dozės vartoti negalima.</w:t>
      </w:r>
    </w:p>
    <w:p w14:paraId="4697130C"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2CC2A06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Nustojus vartoti Bixebra</w:t>
      </w:r>
    </w:p>
    <w:p w14:paraId="418F8E1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Kadangi krūtinės anginos ar lėtinio širdies nepakankamumo gydymas tęsiasi visą gyvenimą, prieš nustodami vartoti šį vaistą kreipkitės į gydytoją ar vaistininką.</w:t>
      </w:r>
    </w:p>
    <w:p w14:paraId="3B4AF4E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manote, kad Bixebra veikia per stipriai arba per silpnai, kreipkitės į gydytoją arba vaistininką.</w:t>
      </w:r>
    </w:p>
    <w:p w14:paraId="45A30981" w14:textId="77777777" w:rsidR="00653262" w:rsidRPr="003E3BFD" w:rsidRDefault="00653262" w:rsidP="00653262">
      <w:pPr>
        <w:widowControl w:val="0"/>
        <w:numPr>
          <w:ilvl w:val="12"/>
          <w:numId w:val="0"/>
        </w:numPr>
        <w:rPr>
          <w:rFonts w:ascii="Times New Roman" w:eastAsia="Calibri" w:hAnsi="Times New Roman" w:cs="Times New Roman"/>
          <w:color w:val="000000"/>
          <w:lang w:eastAsia="lt-LT"/>
        </w:rPr>
      </w:pPr>
    </w:p>
    <w:p w14:paraId="1AB078CD"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Jeigu kiltų daugiau klausimų dėl šio vaisto vartojimo, kreipkitės į gydytoją arba vaistininką.</w:t>
      </w:r>
    </w:p>
    <w:p w14:paraId="7F170944"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p>
    <w:p w14:paraId="31CB69C5"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p>
    <w:p w14:paraId="63A56BFA"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w:t>
      </w:r>
      <w:r w:rsidRPr="003E3BFD">
        <w:rPr>
          <w:rFonts w:ascii="Times New Roman" w:eastAsia="Times New Roman" w:hAnsi="Times New Roman" w:cs="Times New Roman"/>
          <w:b/>
          <w:bCs/>
          <w:snapToGrid w:val="0"/>
          <w:lang w:eastAsia="x-none"/>
        </w:rPr>
        <w:tab/>
        <w:t>Galimas šalutinis poveikis</w:t>
      </w:r>
    </w:p>
    <w:p w14:paraId="5C2C459D"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p>
    <w:p w14:paraId="2977722D" w14:textId="77777777" w:rsidR="00653262" w:rsidRPr="003E3BFD" w:rsidRDefault="00653262" w:rsidP="00653262">
      <w:pPr>
        <w:widowControl w:val="0"/>
        <w:numPr>
          <w:ilvl w:val="12"/>
          <w:numId w:val="0"/>
        </w:numPr>
        <w:ind w:right="-29"/>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Šis vaistas, kaip ir visi kiti, gali sukelti šalutinį poveikį, nors jis pasireiškia ne visiems žmonėms.</w:t>
      </w:r>
    </w:p>
    <w:p w14:paraId="6663EF87" w14:textId="77777777" w:rsidR="00653262" w:rsidRPr="003E3BFD" w:rsidRDefault="00653262" w:rsidP="00653262">
      <w:pPr>
        <w:widowControl w:val="0"/>
        <w:numPr>
          <w:ilvl w:val="12"/>
          <w:numId w:val="0"/>
        </w:numPr>
        <w:ind w:right="-29"/>
        <w:rPr>
          <w:rFonts w:ascii="Times New Roman" w:eastAsia="Times New Roman" w:hAnsi="Times New Roman" w:cs="Times New Roman"/>
          <w:snapToGrid w:val="0"/>
        </w:rPr>
      </w:pPr>
    </w:p>
    <w:p w14:paraId="22E8FD50"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eastAsia="x-none"/>
        </w:rPr>
      </w:pPr>
      <w:r w:rsidRPr="003E3BFD">
        <w:rPr>
          <w:rFonts w:ascii="Times New Roman" w:eastAsia="Times New Roman" w:hAnsi="Times New Roman" w:cs="Times New Roman"/>
          <w:snapToGrid w:val="0"/>
        </w:rPr>
        <w:t>Dažniausiai pasireiškiančios šio vaisto nepageidaujamos reakcijos yra priklausomos nuo dozės ir susijusios su vaisto veikimo mechanizmu.</w:t>
      </w:r>
    </w:p>
    <w:p w14:paraId="5F4AB5C9"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eastAsia="x-none"/>
        </w:rPr>
      </w:pPr>
    </w:p>
    <w:p w14:paraId="502CC40C" w14:textId="13B65EBC"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Labai dažn</w:t>
      </w:r>
      <w:r w:rsidR="0061017A">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i/>
          <w:snapToGrid w:val="0"/>
        </w:rPr>
        <w:t xml:space="preserve"> (gali pasireikšti da</w:t>
      </w:r>
      <w:r w:rsidR="00F7127E">
        <w:rPr>
          <w:rFonts w:ascii="Times New Roman" w:eastAsia="Times New Roman" w:hAnsi="Times New Roman" w:cs="Times New Roman"/>
          <w:i/>
          <w:snapToGrid w:val="0"/>
        </w:rPr>
        <w:t>žn</w:t>
      </w:r>
      <w:r w:rsidRPr="003E3BFD">
        <w:rPr>
          <w:rFonts w:ascii="Times New Roman" w:eastAsia="Times New Roman" w:hAnsi="Times New Roman" w:cs="Times New Roman"/>
          <w:i/>
          <w:snapToGrid w:val="0"/>
        </w:rPr>
        <w:t xml:space="preserve">iau nei 1 iš 10 </w:t>
      </w:r>
      <w:r w:rsidR="00EA68E8">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14:paraId="6069ED01"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pabaigus gydymą.</w:t>
      </w:r>
    </w:p>
    <w:p w14:paraId="5AB627BD"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p>
    <w:p w14:paraId="191F587A" w14:textId="565CFE5B"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Dažn</w:t>
      </w:r>
      <w:r w:rsidR="0061017A">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i/>
          <w:snapToGrid w:val="0"/>
        </w:rPr>
        <w:t xml:space="preserve">(gali pasireikšti </w:t>
      </w:r>
      <w:r w:rsidR="00B12FE0">
        <w:rPr>
          <w:rFonts w:ascii="Times New Roman" w:eastAsia="Times New Roman" w:hAnsi="Times New Roman" w:cs="Times New Roman"/>
          <w:i/>
          <w:snapToGrid w:val="0"/>
        </w:rPr>
        <w:t>reč</w:t>
      </w:r>
      <w:r w:rsidRPr="003E3BFD">
        <w:rPr>
          <w:rFonts w:ascii="Times New Roman" w:eastAsia="Times New Roman" w:hAnsi="Times New Roman" w:cs="Times New Roman"/>
          <w:i/>
          <w:snapToGrid w:val="0"/>
        </w:rPr>
        <w:t xml:space="preserve">iau nei 1 iš 10 </w:t>
      </w:r>
      <w:r w:rsidR="00EA68E8">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14:paraId="6291F97D" w14:textId="77777777"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Širdies darbo pokytis (simptomai – širdies ritmo sulėtėjimas). Jie ypač pasireiškia per pirmuosius 2 – 3 mėnesius nuo gydymo pradžios.</w:t>
      </w:r>
    </w:p>
    <w:p w14:paraId="151D20F5"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eastAsia="x-none"/>
        </w:rPr>
      </w:pPr>
    </w:p>
    <w:p w14:paraId="198603BD"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lang w:val="en-GB"/>
        </w:rPr>
        <w:t>Taip pat buvo stebimi kiti šalutiniai poveikiai:</w:t>
      </w:r>
    </w:p>
    <w:p w14:paraId="454A2DFF"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lang w:val="en-GB"/>
        </w:rPr>
      </w:pPr>
    </w:p>
    <w:p w14:paraId="49D35C4A" w14:textId="4896BB68"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Dažn</w:t>
      </w:r>
      <w:r w:rsidR="0061017A">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 </w:t>
      </w:r>
      <w:r w:rsidRPr="003E3BFD">
        <w:rPr>
          <w:rFonts w:ascii="Times New Roman" w:eastAsia="Times New Roman" w:hAnsi="Times New Roman" w:cs="Times New Roman"/>
          <w:i/>
          <w:snapToGrid w:val="0"/>
          <w:lang w:val="en-GB"/>
        </w:rPr>
        <w:t xml:space="preserve">(gali pasireikšti </w:t>
      </w:r>
      <w:r w:rsidR="00B12FE0">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 </w:t>
      </w:r>
      <w:r w:rsidR="00EA68E8">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14:paraId="4C8855C1" w14:textId="2BAEED4E"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Nereguliarus greitas širdies susitraukinėjimas</w:t>
      </w:r>
      <w:r w:rsidR="0061017A">
        <w:rPr>
          <w:rFonts w:ascii="Times New Roman" w:eastAsia="Calibri" w:hAnsi="Times New Roman" w:cs="Times New Roman"/>
          <w:color w:val="000000"/>
          <w:lang w:eastAsia="lt-LT"/>
        </w:rPr>
        <w:t xml:space="preserve"> </w:t>
      </w:r>
      <w:r w:rsidR="0061017A" w:rsidRPr="0061017A">
        <w:rPr>
          <w:rFonts w:ascii="Times New Roman" w:eastAsia="Calibri" w:hAnsi="Times New Roman" w:cs="Times New Roman"/>
          <w:color w:val="000000"/>
          <w:lang w:eastAsia="lt-LT"/>
        </w:rPr>
        <w:t>(prieširdžių virpėjimas</w:t>
      </w:r>
      <w:r w:rsidR="0061017A">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nenormalus širdies plakimo pojūtis</w:t>
      </w:r>
      <w:r w:rsidR="0061017A">
        <w:rPr>
          <w:rFonts w:ascii="Times New Roman" w:eastAsia="Calibri" w:hAnsi="Times New Roman" w:cs="Times New Roman"/>
          <w:color w:val="000000"/>
          <w:lang w:eastAsia="lt-LT"/>
        </w:rPr>
        <w:t xml:space="preserve"> </w:t>
      </w:r>
      <w:r w:rsidR="0061017A" w:rsidRPr="0061017A">
        <w:rPr>
          <w:rFonts w:ascii="Times New Roman" w:eastAsia="Calibri" w:hAnsi="Times New Roman" w:cs="Times New Roman"/>
          <w:color w:val="000000"/>
          <w:lang w:eastAsia="lt-LT"/>
        </w:rPr>
        <w:t>(bradikardija, skilvelių ekstrasistolės, 1 laipsnio AV blokada (pailgėjęs EKG PQ intervalas</w:t>
      </w:r>
      <w:r w:rsidR="0061017A">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nekontroliuojamas kraujo spaudimas, galvos skausmas, svaigulys ir neryškus matymas (miglotas matymas).</w:t>
      </w:r>
    </w:p>
    <w:p w14:paraId="254EA2E8"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p>
    <w:p w14:paraId="54CC774C" w14:textId="59A05028"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Nedažn</w:t>
      </w:r>
      <w:r w:rsidR="00E41B89">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i/>
          <w:snapToGrid w:val="0"/>
        </w:rPr>
        <w:t xml:space="preserve">(gali pasireikšti </w:t>
      </w:r>
      <w:r w:rsidR="00B12FE0">
        <w:rPr>
          <w:rFonts w:ascii="Times New Roman" w:eastAsia="Times New Roman" w:hAnsi="Times New Roman" w:cs="Times New Roman"/>
          <w:i/>
          <w:snapToGrid w:val="0"/>
        </w:rPr>
        <w:t>reč</w:t>
      </w:r>
      <w:r w:rsidRPr="003E3BFD">
        <w:rPr>
          <w:rFonts w:ascii="Times New Roman" w:eastAsia="Times New Roman" w:hAnsi="Times New Roman" w:cs="Times New Roman"/>
          <w:i/>
          <w:snapToGrid w:val="0"/>
        </w:rPr>
        <w:t xml:space="preserve">iau nei 1 iš 100 </w:t>
      </w:r>
      <w:r w:rsidR="00EA68E8">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14:paraId="4309705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Juntamas dažnas širdies plakimas ir papildomi širdies susitraukimai, pykinimas, vidurių užkietėjimas, viduriavimas, skausmas pilve, galvos svaigimas (</w:t>
      </w:r>
      <w:r w:rsidRPr="003E3BFD">
        <w:rPr>
          <w:rFonts w:ascii="Times New Roman" w:eastAsia="Calibri" w:hAnsi="Times New Roman" w:cs="Times New Roman"/>
          <w:i/>
          <w:color w:val="000000"/>
          <w:lang w:eastAsia="lt-LT"/>
        </w:rPr>
        <w:t>vertigo</w:t>
      </w:r>
      <w:r w:rsidRPr="003E3BFD">
        <w:rPr>
          <w:rFonts w:ascii="Times New Roman" w:eastAsia="Calibri" w:hAnsi="Times New Roman" w:cs="Times New Roman"/>
          <w:color w:val="000000"/>
          <w:lang w:eastAsia="lt-LT"/>
        </w:rPr>
        <w:t xml:space="preserve">), apsunkintas kvėpavimas (dusulys), raumenų </w:t>
      </w:r>
      <w:r w:rsidR="00EB2D18">
        <w:rPr>
          <w:rFonts w:ascii="Times New Roman" w:eastAsia="Calibri" w:hAnsi="Times New Roman" w:cs="Times New Roman"/>
          <w:color w:val="000000"/>
          <w:lang w:eastAsia="lt-LT"/>
        </w:rPr>
        <w:t>spazmai</w:t>
      </w:r>
      <w:r w:rsidRPr="003E3BFD">
        <w:rPr>
          <w:rFonts w:ascii="Times New Roman" w:eastAsia="Calibri" w:hAnsi="Times New Roman" w:cs="Times New Roman"/>
          <w:color w:val="000000"/>
          <w:lang w:eastAsia="lt-LT"/>
        </w:rPr>
        <w:t xml:space="preserve">, laboratorinių tyrimų pokyčiai: per didelis šlapimo rūgšties kraujyje kiekis, padidėjęs eozinofilų (baltųjų kraujo kūnelių) kiekis ir padidėjusi kreatino (raumenyse skylanti medžiaga) koncentracija kraujyje, odos bėrimas, angioneurozinė edema (tokia kaip veido, liežuvio arba gerklės </w:t>
      </w:r>
      <w:r w:rsidRPr="003E3BFD">
        <w:rPr>
          <w:rFonts w:ascii="Times New Roman" w:eastAsia="Calibri" w:hAnsi="Times New Roman" w:cs="Times New Roman"/>
          <w:color w:val="000000"/>
          <w:lang w:eastAsia="lt-LT"/>
        </w:rPr>
        <w:lastRenderedPageBreak/>
        <w:t>tinimas, sunkumas kvėpuoti arba nuryti), žemas kraujospūdis, alpimas, nuovargio, silpnumo pojūtis, stebimi širdies EKG pakitimai, susidvejinęs vaizdas, sutrikęs vaizdas.</w:t>
      </w:r>
    </w:p>
    <w:p w14:paraId="5C28336A"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p>
    <w:p w14:paraId="0D4959FB" w14:textId="76300464"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Ret</w:t>
      </w:r>
      <w:r w:rsidR="00E41B89">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 </w:t>
      </w:r>
      <w:r w:rsidRPr="003E3BFD">
        <w:rPr>
          <w:rFonts w:ascii="Times New Roman" w:eastAsia="Times New Roman" w:hAnsi="Times New Roman" w:cs="Times New Roman"/>
          <w:i/>
          <w:snapToGrid w:val="0"/>
          <w:lang w:val="en-GB"/>
        </w:rPr>
        <w:t xml:space="preserve">(gali pasireikšti </w:t>
      </w:r>
      <w:r w:rsidR="00B12FE0">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1000 </w:t>
      </w:r>
      <w:r w:rsidR="00EA68E8">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14:paraId="520D97F2"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Dilgėlinė, niežėjimas, odos paraudimas, bloga savijauta.</w:t>
      </w:r>
    </w:p>
    <w:p w14:paraId="6E8B0DBB" w14:textId="77777777"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p>
    <w:p w14:paraId="679AB192" w14:textId="2B2565D1" w:rsidR="00653262" w:rsidRPr="003E3BFD" w:rsidRDefault="00653262" w:rsidP="00653262">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Labai ret</w:t>
      </w:r>
      <w:r w:rsidR="00E41B89">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s </w:t>
      </w:r>
      <w:r w:rsidRPr="003E3BFD">
        <w:rPr>
          <w:rFonts w:ascii="Times New Roman" w:eastAsia="Times New Roman" w:hAnsi="Times New Roman" w:cs="Times New Roman"/>
          <w:i/>
          <w:snapToGrid w:val="0"/>
          <w:lang w:val="en-GB"/>
        </w:rPr>
        <w:t xml:space="preserve">(gali pasireikšti </w:t>
      </w:r>
      <w:r w:rsidR="00B12FE0">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10000 </w:t>
      </w:r>
      <w:r w:rsidR="00EA68E8">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14:paraId="349B2AF2" w14:textId="5E71294A" w:rsidR="00653262" w:rsidRPr="003E3BFD" w:rsidRDefault="00653262" w:rsidP="00653262">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Nereguliarus širdies plakimas</w:t>
      </w:r>
      <w:r w:rsidR="00E41B89">
        <w:rPr>
          <w:rFonts w:ascii="Times New Roman" w:eastAsia="Calibri" w:hAnsi="Times New Roman" w:cs="Times New Roman"/>
          <w:color w:val="000000"/>
          <w:lang w:eastAsia="lt-LT"/>
        </w:rPr>
        <w:t xml:space="preserve"> (</w:t>
      </w:r>
      <w:r w:rsidR="00E41B89" w:rsidRPr="00E41B89">
        <w:rPr>
          <w:rFonts w:ascii="Times New Roman" w:eastAsia="Calibri" w:hAnsi="Times New Roman" w:cs="Times New Roman"/>
          <w:color w:val="000000"/>
          <w:lang w:eastAsia="lt-LT"/>
        </w:rPr>
        <w:t>AV 2 laipsnio blokada, AV 3 laipsnio blokada, sinus</w:t>
      </w:r>
      <w:r w:rsidR="00CE047D">
        <w:rPr>
          <w:rFonts w:ascii="Times New Roman" w:eastAsia="Calibri" w:hAnsi="Times New Roman" w:cs="Times New Roman"/>
          <w:color w:val="000000"/>
          <w:lang w:eastAsia="lt-LT"/>
        </w:rPr>
        <w:t>inio</w:t>
      </w:r>
      <w:r w:rsidR="00E41B89" w:rsidRPr="00E41B89">
        <w:rPr>
          <w:rFonts w:ascii="Times New Roman" w:eastAsia="Calibri" w:hAnsi="Times New Roman" w:cs="Times New Roman"/>
          <w:color w:val="000000"/>
          <w:lang w:eastAsia="lt-LT"/>
        </w:rPr>
        <w:t xml:space="preserve"> </w:t>
      </w:r>
      <w:r w:rsidR="00CE047D">
        <w:rPr>
          <w:rFonts w:ascii="Times New Roman" w:eastAsia="Calibri" w:hAnsi="Times New Roman" w:cs="Times New Roman"/>
          <w:color w:val="000000"/>
          <w:lang w:eastAsia="lt-LT"/>
        </w:rPr>
        <w:t xml:space="preserve">mazgo silpnumo </w:t>
      </w:r>
      <w:r w:rsidR="00E41B89" w:rsidRPr="00E41B89">
        <w:rPr>
          <w:rFonts w:ascii="Times New Roman" w:eastAsia="Calibri" w:hAnsi="Times New Roman" w:cs="Times New Roman"/>
          <w:color w:val="000000"/>
          <w:lang w:eastAsia="lt-LT"/>
        </w:rPr>
        <w:t>sindromas</w:t>
      </w:r>
      <w:r w:rsidR="00E41B89">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w:t>
      </w:r>
    </w:p>
    <w:p w14:paraId="3FCB57E3" w14:textId="77777777" w:rsidR="00653262" w:rsidRPr="003E3BFD" w:rsidRDefault="00653262" w:rsidP="00653262">
      <w:pPr>
        <w:widowControl w:val="0"/>
        <w:tabs>
          <w:tab w:val="left" w:pos="567"/>
        </w:tabs>
        <w:ind w:left="0" w:firstLine="0"/>
        <w:rPr>
          <w:rFonts w:ascii="Times New Roman" w:eastAsia="Times New Roman" w:hAnsi="Times New Roman" w:cs="Times New Roman"/>
          <w:b/>
          <w:snapToGrid w:val="0"/>
        </w:rPr>
      </w:pPr>
    </w:p>
    <w:p w14:paraId="76F76E5C" w14:textId="77777777" w:rsidR="00653262" w:rsidRPr="00C119A2" w:rsidRDefault="00653262" w:rsidP="00653262">
      <w:pPr>
        <w:widowControl w:val="0"/>
        <w:tabs>
          <w:tab w:val="left" w:pos="567"/>
        </w:tabs>
        <w:ind w:left="0" w:firstLine="0"/>
        <w:rPr>
          <w:rFonts w:ascii="Times New Roman" w:eastAsia="Times New Roman" w:hAnsi="Times New Roman" w:cs="Times New Roman"/>
          <w:b/>
          <w:snapToGrid w:val="0"/>
        </w:rPr>
      </w:pPr>
      <w:r w:rsidRPr="00D71C3C">
        <w:rPr>
          <w:rFonts w:ascii="Times New Roman" w:eastAsia="Times New Roman" w:hAnsi="Times New Roman" w:cs="Times New Roman"/>
          <w:b/>
          <w:noProof/>
          <w:snapToGrid w:val="0"/>
        </w:rPr>
        <w:t>Pranešimas apie šalutinį poveikį</w:t>
      </w:r>
    </w:p>
    <w:p w14:paraId="0D51C9E5" w14:textId="3649E143" w:rsidR="00653262" w:rsidRPr="00C119A2" w:rsidRDefault="00653262" w:rsidP="00653262">
      <w:pPr>
        <w:widowControl w:val="0"/>
        <w:ind w:left="0" w:right="-449" w:firstLine="0"/>
        <w:rPr>
          <w:rFonts w:ascii="Times New Roman" w:eastAsia="Times New Roman" w:hAnsi="Times New Roman" w:cs="Times New Roman"/>
          <w:noProof/>
          <w:snapToGrid w:val="0"/>
        </w:rPr>
      </w:pPr>
      <w:r w:rsidRPr="00D71C3C">
        <w:rPr>
          <w:rFonts w:ascii="Times New Roman" w:eastAsia="Times New Roman" w:hAnsi="Times New Roman" w:cs="Times New Roman"/>
          <w:snapToGrid w:val="0"/>
        </w:rPr>
        <w:t xml:space="preserve">Jeigu pasireiškia stiprus šalutinis poveikis arba jeigu atsiranda šiame lapelyje nepaminėtas šalutinis poveikis, pasakykite gydytojui arba vaistininkui. </w:t>
      </w:r>
      <w:r w:rsidR="00EA68E8" w:rsidRPr="00D71C3C">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EA68E8" w:rsidRPr="0009751A">
          <w:rPr>
            <w:rFonts w:ascii="Times New Roman" w:eastAsia="Calibri" w:hAnsi="Times New Roman" w:cs="Times New Roman"/>
          </w:rPr>
          <w:t>https://vapris.vvkt.lt/vvkt-web/public/nrv</w:t>
        </w:r>
      </w:hyperlink>
      <w:r w:rsidR="00EA68E8" w:rsidRPr="00D71C3C">
        <w:rPr>
          <w:rFonts w:ascii="Times New Roman" w:eastAsia="Calibri" w:hAnsi="Times New Roman" w:cs="Times New Roman"/>
        </w:rPr>
        <w:t xml:space="preserve"> arba užpildant Sveikatos priežiūros ar farmacijos specialisto pranešimo apie įtariamą nepageidaujamą reakciją formą, kuri skelbiama </w:t>
      </w:r>
      <w:hyperlink r:id="rId12" w:history="1">
        <w:r w:rsidR="00EA68E8" w:rsidRPr="0009751A">
          <w:rPr>
            <w:rFonts w:ascii="Times New Roman" w:eastAsia="Calibri" w:hAnsi="Times New Roman" w:cs="Times New Roman"/>
          </w:rPr>
          <w:t>https://www.vvkt.lt/index.php?4004286486</w:t>
        </w:r>
      </w:hyperlink>
      <w:r w:rsidR="00EA68E8" w:rsidRPr="00D71C3C">
        <w:rPr>
          <w:rFonts w:ascii="Times New Roman" w:eastAsia="Calibri" w:hAnsi="Times New Roman" w:cs="Times New Roman"/>
        </w:rPr>
        <w:t xml:space="preserve">, ir atsiunčiant elektroniniu paštu (adresu </w:t>
      </w:r>
      <w:hyperlink r:id="rId13" w:history="1">
        <w:r w:rsidR="00EA68E8" w:rsidRPr="0009751A">
          <w:rPr>
            <w:rFonts w:ascii="Times New Roman" w:eastAsia="Calibri" w:hAnsi="Times New Roman" w:cs="Times New Roman"/>
          </w:rPr>
          <w:t>NepageidaujamaR@vvkt.lt</w:t>
        </w:r>
      </w:hyperlink>
      <w:r w:rsidR="00EA68E8" w:rsidRPr="00D71C3C">
        <w:rPr>
          <w:rFonts w:ascii="Times New Roman" w:eastAsia="Calibri" w:hAnsi="Times New Roman" w:cs="Times New Roman"/>
        </w:rPr>
        <w:t>) arba nemokamu telefonu 8 800 73 568.</w:t>
      </w:r>
    </w:p>
    <w:p w14:paraId="15BAFD15" w14:textId="77777777" w:rsidR="00653262" w:rsidRPr="003E3BFD" w:rsidRDefault="00653262" w:rsidP="00653262">
      <w:pPr>
        <w:widowControl w:val="0"/>
        <w:tabs>
          <w:tab w:val="left" w:pos="567"/>
        </w:tabs>
        <w:ind w:left="0" w:right="-449" w:firstLine="0"/>
        <w:rPr>
          <w:rFonts w:ascii="Times New Roman" w:eastAsia="Times New Roman" w:hAnsi="Times New Roman" w:cs="Times New Roman"/>
          <w:noProof/>
          <w:snapToGrid w:val="0"/>
        </w:rPr>
      </w:pPr>
    </w:p>
    <w:p w14:paraId="418BCC85" w14:textId="77777777" w:rsidR="00653262" w:rsidRPr="003E3BFD" w:rsidRDefault="00653262" w:rsidP="00653262">
      <w:pPr>
        <w:widowControl w:val="0"/>
        <w:tabs>
          <w:tab w:val="left" w:pos="567"/>
        </w:tabs>
        <w:ind w:left="0" w:right="-449" w:firstLine="0"/>
        <w:rPr>
          <w:rFonts w:ascii="Times New Roman" w:eastAsia="Times New Roman" w:hAnsi="Times New Roman" w:cs="Times New Roman"/>
          <w:noProof/>
          <w:snapToGrid w:val="0"/>
        </w:rPr>
      </w:pPr>
    </w:p>
    <w:p w14:paraId="2B31E581"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w:t>
      </w:r>
      <w:r w:rsidRPr="003E3BFD">
        <w:rPr>
          <w:rFonts w:ascii="Times New Roman" w:eastAsia="Times New Roman" w:hAnsi="Times New Roman" w:cs="Times New Roman"/>
          <w:b/>
          <w:bCs/>
          <w:snapToGrid w:val="0"/>
          <w:lang w:eastAsia="x-none"/>
        </w:rPr>
        <w:tab/>
        <w:t>Kaip laikyti Bixebra</w:t>
      </w:r>
    </w:p>
    <w:p w14:paraId="343E61E0"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583DAA50"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Šį vaistą laikykite vaikams nepastebimoje ir nepasiekiamoje vietoje.</w:t>
      </w:r>
    </w:p>
    <w:p w14:paraId="50BB9408"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472ACFFF"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 xml:space="preserve">Ant pakuotės po </w:t>
      </w:r>
      <w:r w:rsidRPr="003E3BFD">
        <w:rPr>
          <w:rFonts w:ascii="Times New Roman" w:hAnsi="Times New Roman"/>
          <w:highlight w:val="lightGray"/>
        </w:rPr>
        <w:t>„Tinka iki“arba</w:t>
      </w:r>
      <w:r w:rsidRPr="003E3BFD">
        <w:rPr>
          <w:rFonts w:ascii="Times New Roman" w:eastAsia="Times New Roman" w:hAnsi="Times New Roman" w:cs="Times New Roman"/>
          <w:noProof/>
          <w:snapToGrid w:val="0"/>
        </w:rPr>
        <w:t xml:space="preserve"> „EXP“ nurodytam tinkamumo laikui pasibaigus, šio vaisto vartoti negalima.</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Vaistas tinkamas vartoti iki paskutinės nurodyto mėnesio dienos.</w:t>
      </w:r>
    </w:p>
    <w:p w14:paraId="507A425A"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7D5052E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Šiam vaistui specialių laikymo sąlygų nereikia.</w:t>
      </w:r>
    </w:p>
    <w:p w14:paraId="0D8A654E"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115D2A18" w14:textId="77777777" w:rsidR="00653262" w:rsidRPr="003E3BFD" w:rsidRDefault="00653262" w:rsidP="00653262">
      <w:pPr>
        <w:widowControl w:val="0"/>
        <w:numPr>
          <w:ilvl w:val="12"/>
          <w:numId w:val="0"/>
        </w:numPr>
        <w:ind w:right="-2"/>
        <w:rPr>
          <w:rFonts w:ascii="Times New Roman" w:eastAsia="Times New Roman" w:hAnsi="Times New Roman" w:cs="Times New Roman"/>
          <w:i/>
          <w:snapToGrid w:val="0"/>
        </w:rPr>
      </w:pPr>
      <w:r w:rsidRPr="003E3BFD">
        <w:rPr>
          <w:rFonts w:ascii="Times New Roman" w:eastAsia="Times New Roman" w:hAnsi="Times New Roman" w:cs="Times New Roman"/>
          <w:noProof/>
          <w:snapToGrid w:val="0"/>
        </w:rPr>
        <w:t>Vaistų negalima išmesti į kanalizaciją arba su buitinėmis atliekomis.</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Kaip išmesti nereikalingus vaistus, klauskite vaistininko.</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Šios priemonės padės apsaugoti aplinką.</w:t>
      </w:r>
    </w:p>
    <w:p w14:paraId="3E249C82" w14:textId="77777777" w:rsidR="00653262" w:rsidRPr="003E3BFD" w:rsidRDefault="00653262" w:rsidP="00653262">
      <w:pPr>
        <w:widowControl w:val="0"/>
        <w:numPr>
          <w:ilvl w:val="12"/>
          <w:numId w:val="0"/>
        </w:numPr>
        <w:ind w:right="-2"/>
        <w:rPr>
          <w:rFonts w:ascii="Times New Roman" w:eastAsia="Times New Roman" w:hAnsi="Times New Roman" w:cs="Times New Roman"/>
          <w:noProof/>
          <w:snapToGrid w:val="0"/>
        </w:rPr>
      </w:pPr>
    </w:p>
    <w:p w14:paraId="1D94ED23" w14:textId="77777777" w:rsidR="00653262" w:rsidRPr="003E3BFD" w:rsidRDefault="00653262" w:rsidP="00653262">
      <w:pPr>
        <w:widowControl w:val="0"/>
        <w:numPr>
          <w:ilvl w:val="12"/>
          <w:numId w:val="0"/>
        </w:numPr>
        <w:ind w:right="-2"/>
        <w:rPr>
          <w:rFonts w:ascii="Times New Roman" w:eastAsia="Times New Roman" w:hAnsi="Times New Roman" w:cs="Times New Roman"/>
          <w:noProof/>
          <w:snapToGrid w:val="0"/>
        </w:rPr>
      </w:pPr>
    </w:p>
    <w:p w14:paraId="755A1D3F" w14:textId="77777777" w:rsidR="00653262" w:rsidRPr="003E3BFD" w:rsidRDefault="00653262" w:rsidP="00653262">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w:t>
      </w:r>
      <w:r w:rsidRPr="003E3BFD">
        <w:rPr>
          <w:rFonts w:ascii="Times New Roman" w:eastAsia="Times New Roman" w:hAnsi="Times New Roman" w:cs="Times New Roman"/>
          <w:bCs/>
          <w:snapToGrid w:val="0"/>
          <w:lang w:eastAsia="x-none"/>
        </w:rPr>
        <w:tab/>
      </w:r>
      <w:r w:rsidRPr="003E3BFD">
        <w:rPr>
          <w:rFonts w:ascii="Times New Roman" w:eastAsia="Times New Roman" w:hAnsi="Times New Roman" w:cs="Times New Roman"/>
          <w:b/>
          <w:bCs/>
          <w:snapToGrid w:val="0"/>
          <w:lang w:eastAsia="x-none"/>
        </w:rPr>
        <w:t>Pakuotės turinys ir kita informacija</w:t>
      </w:r>
    </w:p>
    <w:p w14:paraId="1D20E94F" w14:textId="77777777" w:rsidR="00653262" w:rsidRPr="003E3BFD" w:rsidRDefault="00653262" w:rsidP="00653262">
      <w:pPr>
        <w:widowControl w:val="0"/>
        <w:numPr>
          <w:ilvl w:val="12"/>
          <w:numId w:val="0"/>
        </w:numPr>
        <w:rPr>
          <w:rFonts w:ascii="Times New Roman" w:eastAsia="Times New Roman" w:hAnsi="Times New Roman" w:cs="Times New Roman"/>
          <w:snapToGrid w:val="0"/>
        </w:rPr>
      </w:pPr>
    </w:p>
    <w:p w14:paraId="12A33313"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Bixebra sudėtis</w:t>
      </w:r>
    </w:p>
    <w:p w14:paraId="19EB1C4C" w14:textId="77777777" w:rsidR="00653262" w:rsidRPr="003E3BFD" w:rsidRDefault="00653262" w:rsidP="00D879D6">
      <w:pPr>
        <w:widowControl w:val="0"/>
        <w:numPr>
          <w:ilvl w:val="0"/>
          <w:numId w:val="38"/>
        </w:numPr>
        <w:ind w:left="567" w:hanging="567"/>
        <w:rPr>
          <w:rFonts w:ascii="Times New Roman" w:eastAsia="Calibri" w:hAnsi="Times New Roman" w:cs="Times New Roman"/>
          <w:color w:val="000000"/>
          <w:lang w:eastAsia="lt-LT"/>
        </w:rPr>
      </w:pPr>
      <w:r w:rsidRPr="003E3BFD">
        <w:rPr>
          <w:rFonts w:ascii="Times New Roman" w:eastAsia="Times New Roman" w:hAnsi="Times New Roman" w:cs="Times New Roman"/>
          <w:noProof/>
          <w:snapToGrid w:val="0"/>
        </w:rPr>
        <w:t>Veiklioji medžiaga yra ivabradinas.</w:t>
      </w:r>
    </w:p>
    <w:p w14:paraId="6BA95285" w14:textId="77777777" w:rsidR="00653262" w:rsidRPr="003E3BFD" w:rsidRDefault="00653262" w:rsidP="00D879D6">
      <w:pPr>
        <w:widowControl w:val="0"/>
        <w:ind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5 mg plėvele dengtos tabletės</w:t>
      </w:r>
      <w:r w:rsidRPr="003E3BFD">
        <w:rPr>
          <w:rFonts w:ascii="Times New Roman" w:eastAsia="Times New Roman" w:hAnsi="Times New Roman" w:cs="Times New Roman"/>
          <w:noProof/>
          <w:snapToGrid w:val="0"/>
        </w:rPr>
        <w:t>: kiekvienoje plėvele dengtoje tabletėje yra 5 mg ivabradino (atitinka 5,390 mg ivabradino hidrochlorido).</w:t>
      </w:r>
    </w:p>
    <w:p w14:paraId="59CF9A06" w14:textId="77777777" w:rsidR="00653262" w:rsidRPr="003E3BFD" w:rsidRDefault="00653262" w:rsidP="00D879D6">
      <w:pPr>
        <w:widowControl w:val="0"/>
        <w:ind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7,5 mg plėvele dengtos tabletės</w:t>
      </w:r>
      <w:r w:rsidRPr="003E3BFD">
        <w:rPr>
          <w:rFonts w:ascii="Times New Roman" w:eastAsia="Times New Roman" w:hAnsi="Times New Roman" w:cs="Times New Roman"/>
          <w:noProof/>
          <w:snapToGrid w:val="0"/>
        </w:rPr>
        <w:t>: kiekvienoje plėvele dengtoje tabletėje yra 7,5 mg ivabradino (atitinka 8,085 mg ivabradino hidrochlorido).</w:t>
      </w:r>
    </w:p>
    <w:p w14:paraId="0C54ACA1" w14:textId="4B5397F6" w:rsidR="00653262" w:rsidRPr="003E3BFD" w:rsidRDefault="00653262" w:rsidP="00D879D6">
      <w:pPr>
        <w:widowControl w:val="0"/>
        <w:numPr>
          <w:ilvl w:val="0"/>
          <w:numId w:val="38"/>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 xml:space="preserve">Pagalbinės </w:t>
      </w:r>
      <w:r w:rsidRPr="003E3BFD">
        <w:rPr>
          <w:rFonts w:ascii="Times New Roman" w:eastAsia="Times New Roman" w:hAnsi="Times New Roman" w:cs="Times New Roman"/>
          <w:snapToGrid w:val="0"/>
        </w:rPr>
        <w:t xml:space="preserve">tablečių šerdies medžiagos yra maltodekstrinas, laktozė monohidratas, kukurūzų krakmolas, bevandenis koloidinis silicio dioksidas, magnio stearatas (E 470b) ir hipromeliozė 3 cP. Pagalbinės tablečių plėvelės medžiagos yra hipromeliozė 6 cP, titano dioksidas (E 171), talkas, propilenglikolis, geltonasis geležies oksidas (E 172), raudonasis geležies oksidas (E 172). </w:t>
      </w:r>
      <w:r w:rsidRPr="003E3BFD">
        <w:rPr>
          <w:rFonts w:ascii="Times New Roman" w:eastAsia="Times New Roman" w:hAnsi="Times New Roman" w:cs="Times New Roman"/>
          <w:snapToGrid w:val="0"/>
          <w:lang w:val="en-GB"/>
        </w:rPr>
        <w:t>Žiūrėti 2 skyrių “Bixebra sudėtyje yra laktozės”.</w:t>
      </w:r>
    </w:p>
    <w:p w14:paraId="276F44CD"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72AF3BAB"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Bixebra išvaizda ir kiekis pakuotėje</w:t>
      </w:r>
    </w:p>
    <w:p w14:paraId="47910F19"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5 mg plėvele dengtos tabletės</w:t>
      </w:r>
      <w:r w:rsidRPr="003E3BFD">
        <w:rPr>
          <w:rFonts w:ascii="Times New Roman" w:eastAsia="Times New Roman" w:hAnsi="Times New Roman" w:cs="Times New Roman"/>
          <w:noProof/>
          <w:snapToGrid w:val="0"/>
        </w:rPr>
        <w:t>: šviesiai rausvai oranžinės, stačiakampio formos, šiek tiek abipus išgaubtos, plėvele dengtos tabletės (tabletės) su vagele vienoje pusėje, kurių matmenys 8 mm x 4,5 mm. Tabletę galima padalyti į lygias dozes.</w:t>
      </w:r>
    </w:p>
    <w:p w14:paraId="22FD1537"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p>
    <w:p w14:paraId="62239E5E" w14:textId="77777777" w:rsidR="00653262" w:rsidRPr="003E3BFD" w:rsidRDefault="00653262" w:rsidP="00653262">
      <w:pPr>
        <w:widowControl w:val="0"/>
        <w:tabs>
          <w:tab w:val="left" w:pos="567"/>
        </w:tabs>
        <w:ind w:left="0" w:firstLine="0"/>
        <w:rPr>
          <w:rFonts w:ascii="Times New Roman" w:eastAsia="Times New Roman" w:hAnsi="Times New Roman" w:cs="Times New Roman"/>
          <w:snapToGrid w:val="0"/>
        </w:rPr>
      </w:pPr>
      <w:r w:rsidRPr="00D879D6">
        <w:rPr>
          <w:rFonts w:ascii="Times New Roman" w:eastAsia="Times New Roman" w:hAnsi="Times New Roman" w:cs="Times New Roman"/>
          <w:noProof/>
          <w:snapToGrid w:val="0"/>
          <w:u w:val="single"/>
        </w:rPr>
        <w:t>Bixebra 7,5 mg plėvele dengtos tabletės</w:t>
      </w:r>
      <w:r w:rsidRPr="003E3BFD">
        <w:rPr>
          <w:rFonts w:ascii="Times New Roman" w:eastAsia="Times New Roman" w:hAnsi="Times New Roman" w:cs="Times New Roman"/>
          <w:noProof/>
          <w:snapToGrid w:val="0"/>
        </w:rPr>
        <w:t>: šviesiai rausvai oranžinės, apvalios, šiek tiek abipus išgaubtos, plėvele dengtos tabletės (tabletės) nuožulniais kraštais, 7 mm skersmens.</w:t>
      </w:r>
    </w:p>
    <w:p w14:paraId="0B7F6F9E" w14:textId="77777777" w:rsidR="00653262" w:rsidRPr="00C119A2" w:rsidRDefault="00653262" w:rsidP="00653262">
      <w:pPr>
        <w:widowControl w:val="0"/>
        <w:numPr>
          <w:ilvl w:val="12"/>
          <w:numId w:val="0"/>
        </w:numPr>
        <w:ind w:right="-2"/>
        <w:rPr>
          <w:rFonts w:ascii="Times New Roman" w:eastAsia="Times New Roman" w:hAnsi="Times New Roman" w:cs="Times New Roman"/>
          <w:snapToGrid w:val="0"/>
        </w:rPr>
      </w:pPr>
    </w:p>
    <w:p w14:paraId="32E9B05B" w14:textId="77777777" w:rsidR="00653262" w:rsidRPr="00C119A2" w:rsidRDefault="00653262" w:rsidP="00653262">
      <w:pPr>
        <w:widowControl w:val="0"/>
        <w:numPr>
          <w:ilvl w:val="12"/>
          <w:numId w:val="0"/>
        </w:numPr>
        <w:ind w:right="-2"/>
        <w:rPr>
          <w:rFonts w:ascii="Times New Roman" w:eastAsia="Times New Roman" w:hAnsi="Times New Roman" w:cs="Times New Roman"/>
          <w:snapToGrid w:val="0"/>
        </w:rPr>
      </w:pPr>
      <w:r w:rsidRPr="00C119A2">
        <w:rPr>
          <w:rFonts w:ascii="Times New Roman" w:eastAsia="Times New Roman" w:hAnsi="Times New Roman" w:cs="Times New Roman"/>
          <w:snapToGrid w:val="0"/>
        </w:rPr>
        <w:t>Bixebra tiekiamas dėžutėmis po:</w:t>
      </w:r>
    </w:p>
    <w:p w14:paraId="4A1F5020" w14:textId="77777777" w:rsidR="00653262" w:rsidRPr="00C119A2" w:rsidRDefault="00653262" w:rsidP="00D879D6">
      <w:pPr>
        <w:widowControl w:val="0"/>
        <w:numPr>
          <w:ilvl w:val="0"/>
          <w:numId w:val="20"/>
        </w:numPr>
        <w:ind w:left="567" w:hanging="567"/>
        <w:rPr>
          <w:rFonts w:ascii="Times New Roman" w:eastAsia="Times New Roman" w:hAnsi="Times New Roman" w:cs="Times New Roman"/>
          <w:noProof/>
          <w:lang w:val="en-GB"/>
        </w:rPr>
      </w:pPr>
      <w:r w:rsidRPr="00C119A2">
        <w:rPr>
          <w:rFonts w:ascii="Times New Roman" w:eastAsia="Times New Roman" w:hAnsi="Times New Roman" w:cs="Times New Roman"/>
          <w:lang w:val="en-GB"/>
        </w:rPr>
        <w:lastRenderedPageBreak/>
        <w:t xml:space="preserve">14, 28, 30, 56, 60, 90, 98, 100, 112 ir 180 </w:t>
      </w:r>
      <w:r w:rsidRPr="00C119A2">
        <w:rPr>
          <w:rFonts w:ascii="Times New Roman" w:eastAsia="Times New Roman" w:hAnsi="Times New Roman" w:cs="Times New Roman"/>
          <w:noProof/>
          <w:lang w:val="en-GB"/>
        </w:rPr>
        <w:t>plėvele dengtų tablečių lizdinėse plokštelėse,</w:t>
      </w:r>
    </w:p>
    <w:p w14:paraId="2E51B6E4" w14:textId="77777777" w:rsidR="00653262" w:rsidRPr="00C119A2" w:rsidRDefault="00653262" w:rsidP="00D879D6">
      <w:pPr>
        <w:widowControl w:val="0"/>
        <w:numPr>
          <w:ilvl w:val="0"/>
          <w:numId w:val="20"/>
        </w:numPr>
        <w:ind w:left="567" w:hanging="567"/>
        <w:rPr>
          <w:rFonts w:ascii="Times New Roman" w:eastAsia="Times New Roman" w:hAnsi="Times New Roman" w:cs="Times New Roman"/>
          <w:u w:val="single"/>
          <w:lang w:val="en-GB"/>
        </w:rPr>
      </w:pPr>
      <w:r w:rsidRPr="00C119A2">
        <w:rPr>
          <w:rFonts w:ascii="Times New Roman" w:eastAsia="Times New Roman" w:hAnsi="Times New Roman" w:cs="Times New Roman"/>
          <w:lang w:val="en-GB"/>
        </w:rPr>
        <w:t>14 </w:t>
      </w:r>
      <w:r w:rsidR="00EB2D18" w:rsidRPr="0009751A">
        <w:rPr>
          <w:rFonts w:ascii="Times New Roman" w:hAnsi="Times New Roman" w:cs="Times New Roman"/>
        </w:rPr>
        <w:t>×</w:t>
      </w:r>
      <w:r w:rsidRPr="00C119A2">
        <w:rPr>
          <w:rFonts w:ascii="Times New Roman" w:eastAsia="Times New Roman" w:hAnsi="Times New Roman" w:cs="Times New Roman"/>
          <w:lang w:val="en-GB"/>
        </w:rPr>
        <w:t> 1, 28 </w:t>
      </w:r>
      <w:r w:rsidR="00EB2D18" w:rsidRPr="0009751A">
        <w:rPr>
          <w:rFonts w:ascii="Times New Roman" w:hAnsi="Times New Roman" w:cs="Times New Roman"/>
        </w:rPr>
        <w:t>×</w:t>
      </w:r>
      <w:r w:rsidRPr="00C119A2">
        <w:rPr>
          <w:rFonts w:ascii="Times New Roman" w:eastAsia="Times New Roman" w:hAnsi="Times New Roman" w:cs="Times New Roman"/>
          <w:lang w:val="en-GB"/>
        </w:rPr>
        <w:t> 1, 30 </w:t>
      </w:r>
      <w:r w:rsidR="00EB2D18" w:rsidRPr="0009751A">
        <w:rPr>
          <w:rFonts w:ascii="Times New Roman" w:hAnsi="Times New Roman" w:cs="Times New Roman"/>
        </w:rPr>
        <w:t>×</w:t>
      </w:r>
      <w:r w:rsidRPr="00C119A2">
        <w:rPr>
          <w:rFonts w:ascii="Times New Roman" w:eastAsia="Times New Roman" w:hAnsi="Times New Roman" w:cs="Times New Roman"/>
          <w:lang w:val="en-GB"/>
        </w:rPr>
        <w:t> 1, 56 </w:t>
      </w:r>
      <w:r w:rsidR="00EB2D18" w:rsidRPr="0009751A">
        <w:rPr>
          <w:rFonts w:ascii="Times New Roman" w:hAnsi="Times New Roman" w:cs="Times New Roman"/>
        </w:rPr>
        <w:t>×</w:t>
      </w:r>
      <w:r w:rsidRPr="00C119A2">
        <w:rPr>
          <w:rFonts w:ascii="Times New Roman" w:eastAsia="Times New Roman" w:hAnsi="Times New Roman" w:cs="Times New Roman"/>
          <w:lang w:val="en-GB"/>
        </w:rPr>
        <w:t> 1, 60 </w:t>
      </w:r>
      <w:r w:rsidR="00EB2D18" w:rsidRPr="0009751A">
        <w:rPr>
          <w:rFonts w:ascii="Times New Roman" w:hAnsi="Times New Roman" w:cs="Times New Roman"/>
        </w:rPr>
        <w:t>×</w:t>
      </w:r>
      <w:r w:rsidRPr="00C119A2">
        <w:rPr>
          <w:rFonts w:ascii="Times New Roman" w:eastAsia="Times New Roman" w:hAnsi="Times New Roman" w:cs="Times New Roman"/>
          <w:lang w:val="en-GB"/>
        </w:rPr>
        <w:t> 1, 90 </w:t>
      </w:r>
      <w:r w:rsidR="00EB2D18" w:rsidRPr="0009751A">
        <w:rPr>
          <w:rFonts w:ascii="Times New Roman" w:hAnsi="Times New Roman" w:cs="Times New Roman"/>
        </w:rPr>
        <w:t>×</w:t>
      </w:r>
      <w:r w:rsidRPr="00C119A2">
        <w:rPr>
          <w:rFonts w:ascii="Times New Roman" w:eastAsia="Times New Roman" w:hAnsi="Times New Roman" w:cs="Times New Roman"/>
          <w:lang w:val="en-GB"/>
        </w:rPr>
        <w:t> 1, 98 </w:t>
      </w:r>
      <w:r w:rsidR="00EB2D18" w:rsidRPr="0009751A">
        <w:rPr>
          <w:rFonts w:ascii="Times New Roman" w:hAnsi="Times New Roman" w:cs="Times New Roman"/>
        </w:rPr>
        <w:t>×</w:t>
      </w:r>
      <w:r w:rsidRPr="00C119A2">
        <w:rPr>
          <w:rFonts w:ascii="Times New Roman" w:eastAsia="Times New Roman" w:hAnsi="Times New Roman" w:cs="Times New Roman"/>
          <w:lang w:val="en-GB"/>
        </w:rPr>
        <w:t> 1, 100 </w:t>
      </w:r>
      <w:r w:rsidR="00EB2D18" w:rsidRPr="0009751A">
        <w:rPr>
          <w:rFonts w:ascii="Times New Roman" w:hAnsi="Times New Roman" w:cs="Times New Roman"/>
        </w:rPr>
        <w:t>×</w:t>
      </w:r>
      <w:r w:rsidRPr="00C119A2">
        <w:rPr>
          <w:rFonts w:ascii="Times New Roman" w:eastAsia="Times New Roman" w:hAnsi="Times New Roman" w:cs="Times New Roman"/>
          <w:lang w:val="en-GB"/>
        </w:rPr>
        <w:t> 1, 112 </w:t>
      </w:r>
      <w:r w:rsidR="00EB2D18" w:rsidRPr="0009751A">
        <w:rPr>
          <w:rFonts w:ascii="Times New Roman" w:hAnsi="Times New Roman" w:cs="Times New Roman"/>
        </w:rPr>
        <w:t>×</w:t>
      </w:r>
      <w:r w:rsidRPr="00C119A2">
        <w:rPr>
          <w:rFonts w:ascii="Times New Roman" w:eastAsia="Times New Roman" w:hAnsi="Times New Roman" w:cs="Times New Roman"/>
          <w:lang w:val="en-GB"/>
        </w:rPr>
        <w:t> 1 ir180 </w:t>
      </w:r>
      <w:r w:rsidR="00EB2D18" w:rsidRPr="0009751A">
        <w:rPr>
          <w:rFonts w:ascii="Times New Roman" w:hAnsi="Times New Roman" w:cs="Times New Roman"/>
        </w:rPr>
        <w:t>×</w:t>
      </w:r>
      <w:r w:rsidRPr="00C119A2">
        <w:rPr>
          <w:rFonts w:ascii="Times New Roman" w:eastAsia="Times New Roman" w:hAnsi="Times New Roman" w:cs="Times New Roman"/>
          <w:lang w:val="en-GB"/>
        </w:rPr>
        <w:t> 1 plėvele dengtų tablečių perforuotose dalomosiose lizdinėse plokštelėse.</w:t>
      </w:r>
    </w:p>
    <w:p w14:paraId="0FE20573" w14:textId="77777777" w:rsidR="00653262" w:rsidRPr="003E3BFD" w:rsidRDefault="00653262" w:rsidP="00653262">
      <w:pPr>
        <w:widowControl w:val="0"/>
        <w:ind w:left="0" w:firstLine="0"/>
        <w:rPr>
          <w:rFonts w:ascii="Times New Roman" w:eastAsia="Times New Roman" w:hAnsi="Times New Roman" w:cs="Times New Roman"/>
          <w:snapToGrid w:val="0"/>
          <w:lang w:val="en-GB"/>
        </w:rPr>
      </w:pPr>
    </w:p>
    <w:p w14:paraId="6CF7BE3A" w14:textId="77777777" w:rsidR="00653262" w:rsidRPr="003E3BFD" w:rsidRDefault="00653262" w:rsidP="00653262">
      <w:pPr>
        <w:widowControl w:val="0"/>
        <w:ind w:left="0" w:firstLine="0"/>
        <w:rPr>
          <w:rFonts w:ascii="Times New Roman" w:eastAsia="Times New Roman" w:hAnsi="Times New Roman" w:cs="Times New Roman"/>
          <w:u w:val="single"/>
          <w:lang w:val="en-GB"/>
        </w:rPr>
      </w:pPr>
      <w:r w:rsidRPr="003E3BFD">
        <w:rPr>
          <w:rFonts w:ascii="Times New Roman" w:eastAsia="Times New Roman" w:hAnsi="Times New Roman" w:cs="Times New Roman"/>
          <w:snapToGrid w:val="0"/>
          <w:lang w:val="en-GB"/>
        </w:rPr>
        <w:t>Gali būti tiekiamos ne visų dydžių pakuotės.</w:t>
      </w:r>
    </w:p>
    <w:p w14:paraId="7749B2C6"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15C51EF" w14:textId="77777777" w:rsidR="00653262" w:rsidRPr="003E3BFD" w:rsidRDefault="00653262" w:rsidP="00653262">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Registruotojas ir gamintojas</w:t>
      </w:r>
    </w:p>
    <w:p w14:paraId="2DC02F58"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KRKA, d.d, Novo mesto</w:t>
      </w:r>
    </w:p>
    <w:p w14:paraId="40E4FD90"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Šmarješka cesta 6</w:t>
      </w:r>
    </w:p>
    <w:p w14:paraId="2BE058CD"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8501 Novo mesto</w:t>
      </w:r>
    </w:p>
    <w:p w14:paraId="58BB81FE" w14:textId="77777777" w:rsidR="00653262" w:rsidRPr="003E3BFD" w:rsidRDefault="00653262" w:rsidP="00653262">
      <w:pPr>
        <w:widowControl w:val="0"/>
        <w:tabs>
          <w:tab w:val="left" w:pos="567"/>
        </w:tabs>
        <w:ind w:left="0" w:firstLine="0"/>
        <w:rPr>
          <w:rFonts w:ascii="Times New Roman" w:eastAsia="Times New Roman" w:hAnsi="Times New Roman" w:cs="Times New Roman"/>
          <w:color w:val="000000"/>
        </w:rPr>
      </w:pPr>
      <w:r w:rsidRPr="003E3BFD">
        <w:rPr>
          <w:rFonts w:ascii="Times New Roman" w:eastAsia="Times New Roman" w:hAnsi="Times New Roman" w:cs="Times New Roman"/>
          <w:color w:val="000000"/>
          <w:lang w:eastAsia="sl-SI"/>
        </w:rPr>
        <w:t>Slovėnija</w:t>
      </w:r>
    </w:p>
    <w:p w14:paraId="2C76DF17" w14:textId="77777777" w:rsidR="00653262" w:rsidRPr="003E3BFD" w:rsidRDefault="00653262" w:rsidP="00653262">
      <w:pPr>
        <w:widowControl w:val="0"/>
        <w:numPr>
          <w:ilvl w:val="12"/>
          <w:numId w:val="0"/>
        </w:numPr>
        <w:ind w:right="-2"/>
        <w:rPr>
          <w:rFonts w:ascii="Times New Roman" w:eastAsia="Times New Roman" w:hAnsi="Times New Roman" w:cs="Times New Roman"/>
          <w:snapToGrid w:val="0"/>
        </w:rPr>
      </w:pPr>
    </w:p>
    <w:p w14:paraId="67594BD2"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Jeigu apie šį vaistą norite sužinoti daugiau, kreipkitės į vietinį registruotojo atstovą.</w:t>
      </w:r>
    </w:p>
    <w:p w14:paraId="67BEA8A7" w14:textId="77777777" w:rsidR="00653262" w:rsidRPr="003E3BFD" w:rsidRDefault="00653262" w:rsidP="00653262">
      <w:pPr>
        <w:widowControl w:val="0"/>
        <w:tabs>
          <w:tab w:val="left" w:pos="567"/>
        </w:tabs>
        <w:ind w:left="0" w:firstLine="0"/>
        <w:rPr>
          <w:rFonts w:ascii="Times New Roman" w:eastAsia="Times New Roman" w:hAnsi="Times New Roman" w:cs="Times New Roman"/>
          <w:noProof/>
          <w:snapToGrid w:val="0"/>
        </w:rPr>
      </w:pPr>
    </w:p>
    <w:p w14:paraId="1859080E" w14:textId="77777777" w:rsidR="00653262" w:rsidRPr="003E3BFD" w:rsidRDefault="00653262" w:rsidP="00653262">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UAB KRKA Lietuva</w:t>
      </w:r>
    </w:p>
    <w:p w14:paraId="2A96BE74" w14:textId="77777777" w:rsidR="00653262" w:rsidRPr="003E3BFD" w:rsidRDefault="00653262" w:rsidP="00653262">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Senasis Ukmergės kelias 4,</w:t>
      </w:r>
    </w:p>
    <w:p w14:paraId="741538E9" w14:textId="77777777" w:rsidR="00653262" w:rsidRPr="003E3BFD" w:rsidRDefault="00653262" w:rsidP="00653262">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Užubalių km., Vilniaus r.</w:t>
      </w:r>
    </w:p>
    <w:p w14:paraId="6D353B80" w14:textId="77777777" w:rsidR="00653262" w:rsidRPr="003E3BFD" w:rsidRDefault="00653262" w:rsidP="00653262">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LT - 14013</w:t>
      </w:r>
    </w:p>
    <w:p w14:paraId="2E389D41"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Tel. + 370 5 236 27 40</w:t>
      </w:r>
    </w:p>
    <w:p w14:paraId="4CF594EA"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snapToGrid w:val="0"/>
        </w:rPr>
      </w:pPr>
    </w:p>
    <w:p w14:paraId="045EA7BC" w14:textId="60F9A34A"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snapToGrid w:val="0"/>
        </w:rPr>
      </w:pPr>
      <w:r w:rsidRPr="003E3BFD">
        <w:rPr>
          <w:rFonts w:ascii="Times New Roman" w:eastAsia="Times New Roman" w:hAnsi="Times New Roman" w:cs="Times New Roman"/>
          <w:b/>
          <w:snapToGrid w:val="0"/>
        </w:rPr>
        <w:t>Šis vaistas E</w:t>
      </w:r>
      <w:r w:rsidR="007E09B0">
        <w:rPr>
          <w:rFonts w:ascii="Times New Roman" w:eastAsia="Times New Roman" w:hAnsi="Times New Roman" w:cs="Times New Roman"/>
          <w:b/>
          <w:snapToGrid w:val="0"/>
        </w:rPr>
        <w:t>uropos ekonominės erdvės</w:t>
      </w:r>
      <w:r w:rsidRPr="003E3BFD">
        <w:rPr>
          <w:rFonts w:ascii="Times New Roman" w:eastAsia="Times New Roman" w:hAnsi="Times New Roman" w:cs="Times New Roman"/>
          <w:b/>
          <w:snapToGrid w:val="0"/>
        </w:rPr>
        <w:t xml:space="preserve"> valstybėse narėse registruotas tokiais pavadinimais</w:t>
      </w:r>
      <w:r w:rsidRPr="003E3BFD">
        <w:rPr>
          <w:rFonts w:ascii="Times New Roman" w:eastAsia="Times New Roman" w:hAnsi="Times New Roman" w:cs="Times New Roman"/>
          <w:snapToGrid w:val="0"/>
        </w:rPr>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163"/>
      </w:tblGrid>
      <w:tr w:rsidR="00653262" w:rsidRPr="003E3BFD" w14:paraId="74296A93" w14:textId="77777777" w:rsidTr="00A23238">
        <w:tc>
          <w:tcPr>
            <w:tcW w:w="5387" w:type="dxa"/>
          </w:tcPr>
          <w:p w14:paraId="3E5578CA" w14:textId="77777777" w:rsidR="00653262" w:rsidRPr="003E3BFD" w:rsidRDefault="00653262" w:rsidP="00A23238">
            <w:pPr>
              <w:widowControl w:val="0"/>
              <w:numPr>
                <w:ilvl w:val="12"/>
                <w:numId w:val="0"/>
              </w:numPr>
              <w:ind w:right="-2"/>
              <w:rPr>
                <w:rFonts w:ascii="Times New Roman" w:eastAsia="Times New Roman" w:hAnsi="Times New Roman" w:cs="Times New Roman"/>
                <w:lang w:val="en-US" w:eastAsia="sl-SI"/>
              </w:rPr>
            </w:pPr>
            <w:r w:rsidRPr="003E3BFD">
              <w:rPr>
                <w:rFonts w:ascii="Times New Roman" w:eastAsia="Times New Roman" w:hAnsi="Times New Roman" w:cs="Times New Roman"/>
                <w:lang w:val="en-US" w:eastAsia="sl-SI"/>
              </w:rPr>
              <w:t>Valstybės narės pavadinimas</w:t>
            </w:r>
          </w:p>
        </w:tc>
        <w:tc>
          <w:tcPr>
            <w:tcW w:w="3163" w:type="dxa"/>
          </w:tcPr>
          <w:p w14:paraId="7007BEA3" w14:textId="77777777" w:rsidR="00653262" w:rsidRPr="003E3BFD" w:rsidRDefault="00653262" w:rsidP="00A23238">
            <w:pPr>
              <w:widowControl w:val="0"/>
              <w:numPr>
                <w:ilvl w:val="12"/>
                <w:numId w:val="0"/>
              </w:numPr>
              <w:ind w:right="-2"/>
              <w:rPr>
                <w:rFonts w:ascii="Times New Roman" w:eastAsia="Times New Roman" w:hAnsi="Times New Roman" w:cs="Times New Roman"/>
                <w:lang w:val="en-US" w:eastAsia="sl-SI"/>
              </w:rPr>
            </w:pPr>
            <w:r w:rsidRPr="003E3BFD">
              <w:rPr>
                <w:rFonts w:ascii="Times New Roman" w:eastAsia="Times New Roman" w:hAnsi="Times New Roman" w:cs="Times New Roman"/>
                <w:lang w:val="en-US" w:eastAsia="sl-SI"/>
              </w:rPr>
              <w:t>Vaisto pavadinimas</w:t>
            </w:r>
          </w:p>
        </w:tc>
      </w:tr>
      <w:tr w:rsidR="00653262" w:rsidRPr="003E3BFD" w14:paraId="0B75669A" w14:textId="77777777" w:rsidTr="00A23238">
        <w:tblPrEx>
          <w:tblLook w:val="00A0" w:firstRow="1" w:lastRow="0" w:firstColumn="1" w:lastColumn="0" w:noHBand="0" w:noVBand="0"/>
        </w:tblPrEx>
        <w:tc>
          <w:tcPr>
            <w:tcW w:w="5387" w:type="dxa"/>
          </w:tcPr>
          <w:p w14:paraId="73EA70E0" w14:textId="63FA2F70"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Čekija, Estija, Kroatija, Lietuva, Latvija, Lenkija, Rumunija, Slovėnija, Slovakija, Ispanija</w:t>
            </w:r>
          </w:p>
        </w:tc>
        <w:tc>
          <w:tcPr>
            <w:tcW w:w="3163" w:type="dxa"/>
          </w:tcPr>
          <w:p w14:paraId="03F93BBD" w14:textId="77777777"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Bixebra</w:t>
            </w:r>
          </w:p>
        </w:tc>
      </w:tr>
      <w:tr w:rsidR="00653262" w:rsidRPr="003E3BFD" w14:paraId="030015F3" w14:textId="77777777" w:rsidTr="00A23238">
        <w:tblPrEx>
          <w:tblLook w:val="00A0" w:firstRow="1" w:lastRow="0" w:firstColumn="1" w:lastColumn="0" w:noHBand="0" w:noVBand="0"/>
        </w:tblPrEx>
        <w:tc>
          <w:tcPr>
            <w:tcW w:w="5387" w:type="dxa"/>
          </w:tcPr>
          <w:p w14:paraId="31EDEA7A" w14:textId="77777777"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Austrija</w:t>
            </w:r>
          </w:p>
        </w:tc>
        <w:tc>
          <w:tcPr>
            <w:tcW w:w="3163" w:type="dxa"/>
          </w:tcPr>
          <w:p w14:paraId="0F491D92" w14:textId="77777777"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Ivabradin HCS</w:t>
            </w:r>
          </w:p>
        </w:tc>
      </w:tr>
      <w:tr w:rsidR="00653262" w:rsidRPr="003E3BFD" w14:paraId="32ED61B4" w14:textId="77777777" w:rsidTr="00A23238">
        <w:tblPrEx>
          <w:tblLook w:val="00A0" w:firstRow="1" w:lastRow="0" w:firstColumn="1" w:lastColumn="0" w:noHBand="0" w:noVBand="0"/>
        </w:tblPrEx>
        <w:tc>
          <w:tcPr>
            <w:tcW w:w="5387" w:type="dxa"/>
          </w:tcPr>
          <w:p w14:paraId="3556CFB0" w14:textId="77777777"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Bulgarija</w:t>
            </w:r>
          </w:p>
        </w:tc>
        <w:tc>
          <w:tcPr>
            <w:tcW w:w="3163" w:type="dxa"/>
          </w:tcPr>
          <w:p w14:paraId="5E6A668F" w14:textId="77777777" w:rsidR="00653262" w:rsidRPr="003E3BFD" w:rsidRDefault="00653262" w:rsidP="00A23238">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bg-BG" w:eastAsia="sl-SI"/>
              </w:rPr>
              <w:t>Биксебра</w:t>
            </w:r>
          </w:p>
        </w:tc>
      </w:tr>
    </w:tbl>
    <w:p w14:paraId="57CA037E" w14:textId="77777777" w:rsidR="00653262" w:rsidRPr="003E3BFD" w:rsidRDefault="00653262" w:rsidP="00653262">
      <w:pPr>
        <w:widowControl w:val="0"/>
        <w:tabs>
          <w:tab w:val="left" w:pos="567"/>
        </w:tabs>
        <w:rPr>
          <w:rFonts w:ascii="Times New Roman" w:eastAsia="Times New Roman" w:hAnsi="Times New Roman" w:cs="Times New Roman"/>
          <w:snapToGrid w:val="0"/>
        </w:rPr>
      </w:pPr>
    </w:p>
    <w:p w14:paraId="7BF4CF16" w14:textId="77777777" w:rsidR="00653262" w:rsidRPr="003E3BFD" w:rsidRDefault="00653262" w:rsidP="00653262">
      <w:pPr>
        <w:widowControl w:val="0"/>
        <w:tabs>
          <w:tab w:val="left" w:pos="567"/>
        </w:tabs>
        <w:rPr>
          <w:rFonts w:ascii="Times New Roman" w:eastAsia="Times New Roman" w:hAnsi="Times New Roman" w:cs="Times New Roman"/>
          <w:snapToGrid w:val="0"/>
        </w:rPr>
      </w:pPr>
    </w:p>
    <w:p w14:paraId="79B988C8" w14:textId="0FFAC890" w:rsidR="00653262" w:rsidRPr="003E3BFD" w:rsidRDefault="00653262" w:rsidP="00653262">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 xml:space="preserve">Šis pakuotės lapelis paskutinį kartą peržiūrėtas </w:t>
      </w:r>
      <w:r w:rsidR="00464F04">
        <w:rPr>
          <w:rFonts w:ascii="Times New Roman" w:hAnsi="Times New Roman" w:cs="Times New Roman"/>
          <w:b/>
        </w:rPr>
        <w:t>2023-07-27</w:t>
      </w:r>
      <w:r w:rsidR="00835885">
        <w:rPr>
          <w:rFonts w:ascii="Times New Roman" w:hAnsi="Times New Roman" w:cs="Times New Roman"/>
          <w:b/>
        </w:rPr>
        <w:t>.</w:t>
      </w:r>
    </w:p>
    <w:p w14:paraId="5DC1625B"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i/>
          <w:snapToGrid w:val="0"/>
        </w:rPr>
      </w:pPr>
    </w:p>
    <w:p w14:paraId="5EE72715"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i/>
          <w:snapToGrid w:val="0"/>
        </w:rPr>
      </w:pPr>
    </w:p>
    <w:p w14:paraId="64D32B4A" w14:textId="4827C856"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E3BFD">
        <w:rPr>
          <w:rFonts w:ascii="Times New Roman" w:eastAsia="Times New Roman" w:hAnsi="Times New Roman" w:cs="Times New Roman"/>
          <w:i/>
          <w:snapToGrid w:val="0"/>
        </w:rPr>
        <w:t xml:space="preserve"> </w:t>
      </w:r>
      <w:hyperlink r:id="rId14" w:history="1">
        <w:r w:rsidRPr="003E3BFD">
          <w:rPr>
            <w:rFonts w:ascii="Times New Roman" w:eastAsia="SimSun" w:hAnsi="Times New Roman" w:cs="Times New Roman"/>
            <w:snapToGrid w:val="0"/>
            <w:color w:val="0000FF"/>
            <w:u w:val="single"/>
          </w:rPr>
          <w:t>http://www.vvkt.lt/</w:t>
        </w:r>
      </w:hyperlink>
      <w:r w:rsidRPr="003E3BFD">
        <w:rPr>
          <w:rFonts w:ascii="Times New Roman" w:eastAsia="Times New Roman" w:hAnsi="Times New Roman" w:cs="Times New Roman"/>
          <w:snapToGrid w:val="0"/>
        </w:rPr>
        <w:t>.</w:t>
      </w:r>
    </w:p>
    <w:p w14:paraId="1430ADD9"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snapToGrid w:val="0"/>
        </w:rPr>
      </w:pPr>
    </w:p>
    <w:p w14:paraId="2A8A09E4" w14:textId="77777777" w:rsidR="00653262" w:rsidRPr="003E3BFD" w:rsidRDefault="00653262" w:rsidP="00653262">
      <w:pPr>
        <w:widowControl w:val="0"/>
        <w:numPr>
          <w:ilvl w:val="12"/>
          <w:numId w:val="0"/>
        </w:numPr>
        <w:tabs>
          <w:tab w:val="left" w:pos="567"/>
        </w:tabs>
        <w:ind w:right="-2"/>
        <w:rPr>
          <w:rFonts w:ascii="Times New Roman" w:eastAsia="Times New Roman" w:hAnsi="Times New Roman" w:cs="Times New Roman"/>
          <w:snapToGrid w:val="0"/>
        </w:rPr>
      </w:pPr>
    </w:p>
    <w:p w14:paraId="0CAA422E" w14:textId="77777777" w:rsidR="00653262" w:rsidRPr="003E3BFD" w:rsidRDefault="00653262" w:rsidP="00653262">
      <w:pPr>
        <w:spacing w:after="160" w:line="259" w:lineRule="auto"/>
        <w:ind w:left="0" w:firstLine="0"/>
        <w:rPr>
          <w:rFonts w:ascii="Calibri" w:hAnsi="Calibri"/>
        </w:rPr>
      </w:pPr>
    </w:p>
    <w:p w14:paraId="7AB983B9" w14:textId="77777777" w:rsidR="00653262" w:rsidRPr="003E3BFD" w:rsidRDefault="00653262" w:rsidP="00653262"/>
    <w:p w14:paraId="39FF4612" w14:textId="77777777" w:rsidR="00BF1234" w:rsidRDefault="00BF1234"/>
    <w:sectPr w:rsidR="00BF1234" w:rsidSect="00693EB7">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98DE1" w14:textId="77777777" w:rsidR="002514B8" w:rsidRDefault="002514B8">
      <w:r>
        <w:separator/>
      </w:r>
    </w:p>
  </w:endnote>
  <w:endnote w:type="continuationSeparator" w:id="0">
    <w:p w14:paraId="28FFA2BC" w14:textId="77777777" w:rsidR="002514B8" w:rsidRDefault="0025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D35C" w14:textId="77777777" w:rsidR="00CE047D" w:rsidRDefault="00CE047D" w:rsidP="00A232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B65D84" w14:textId="77777777" w:rsidR="00CE047D" w:rsidRDefault="00CE047D" w:rsidP="00A232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33413"/>
      <w:docPartObj>
        <w:docPartGallery w:val="Page Numbers (Bottom of Page)"/>
        <w:docPartUnique/>
      </w:docPartObj>
    </w:sdtPr>
    <w:sdtEndPr/>
    <w:sdtContent>
      <w:p w14:paraId="6A75A061" w14:textId="56EFA3CD" w:rsidR="00CE047D" w:rsidRDefault="00CE047D">
        <w:pPr>
          <w:pStyle w:val="Porat"/>
          <w:jc w:val="center"/>
        </w:pPr>
        <w:r w:rsidRPr="00195305">
          <w:rPr>
            <w:sz w:val="22"/>
          </w:rPr>
          <w:fldChar w:fldCharType="begin"/>
        </w:r>
        <w:r w:rsidRPr="00195305">
          <w:rPr>
            <w:sz w:val="22"/>
          </w:rPr>
          <w:instrText>PAGE   \* MERGEFORMAT</w:instrText>
        </w:r>
        <w:r w:rsidRPr="00195305">
          <w:rPr>
            <w:sz w:val="22"/>
          </w:rPr>
          <w:fldChar w:fldCharType="separate"/>
        </w:r>
        <w:r w:rsidR="009D40B9" w:rsidRPr="009D40B9">
          <w:rPr>
            <w:noProof/>
            <w:sz w:val="22"/>
            <w:lang w:val="lt-LT"/>
          </w:rPr>
          <w:t>2</w:t>
        </w:r>
        <w:r w:rsidRPr="00195305">
          <w:rPr>
            <w:sz w:val="22"/>
          </w:rPr>
          <w:fldChar w:fldCharType="end"/>
        </w:r>
      </w:p>
    </w:sdtContent>
  </w:sdt>
  <w:p w14:paraId="3D968B05" w14:textId="77777777" w:rsidR="00CE047D" w:rsidRDefault="00CE0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14D6" w14:textId="77777777" w:rsidR="00CE047D" w:rsidRDefault="00CE0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480F" w14:textId="77777777" w:rsidR="002514B8" w:rsidRDefault="002514B8">
      <w:r>
        <w:separator/>
      </w:r>
    </w:p>
  </w:footnote>
  <w:footnote w:type="continuationSeparator" w:id="0">
    <w:p w14:paraId="5B678571" w14:textId="77777777" w:rsidR="002514B8" w:rsidRDefault="0025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E18E" w14:textId="77777777" w:rsidR="00CE047D" w:rsidRDefault="00CE04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37E5" w14:textId="77777777" w:rsidR="00CE047D" w:rsidRDefault="00CE047D" w:rsidP="00A23238">
    <w:pPr>
      <w:spacing w:line="20" w:lineRule="exact"/>
    </w:pPr>
  </w:p>
  <w:p w14:paraId="45504AE5" w14:textId="77777777" w:rsidR="00CE047D" w:rsidRDefault="00CE047D">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11AB" w14:textId="77777777" w:rsidR="00CE047D" w:rsidRDefault="00CE04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786B77"/>
    <w:multiLevelType w:val="hybridMultilevel"/>
    <w:tmpl w:val="21308306"/>
    <w:lvl w:ilvl="0" w:tplc="54BAF2BC">
      <w:start w:val="2"/>
      <w:numFmt w:val="bullet"/>
      <w:lvlText w:val="-"/>
      <w:lvlJc w:val="left"/>
      <w:pPr>
        <w:ind w:left="720" w:hanging="360"/>
      </w:pPr>
      <w:rPr>
        <w:rFonts w:ascii="Calibri" w:eastAsiaTheme="minorHAnsi" w:hAnsi="Calibri" w:cs="Calibri" w:hint="default"/>
      </w:rPr>
    </w:lvl>
    <w:lvl w:ilvl="1" w:tplc="54BAF2B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12B66"/>
    <w:multiLevelType w:val="hybridMultilevel"/>
    <w:tmpl w:val="DF1CE51E"/>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C86C19"/>
    <w:multiLevelType w:val="hybridMultilevel"/>
    <w:tmpl w:val="9EA6D9E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1B0221"/>
    <w:multiLevelType w:val="hybridMultilevel"/>
    <w:tmpl w:val="970C2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A5F3CBA"/>
    <w:multiLevelType w:val="hybridMultilevel"/>
    <w:tmpl w:val="D1C285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2D0B22"/>
    <w:multiLevelType w:val="hybridMultilevel"/>
    <w:tmpl w:val="9FCCF78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8A05AF"/>
    <w:multiLevelType w:val="hybridMultilevel"/>
    <w:tmpl w:val="6EE48C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A0ECF"/>
    <w:multiLevelType w:val="hybridMultilevel"/>
    <w:tmpl w:val="ACB2B0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4D2DFC"/>
    <w:multiLevelType w:val="hybridMultilevel"/>
    <w:tmpl w:val="C470B10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F76247"/>
    <w:multiLevelType w:val="hybridMultilevel"/>
    <w:tmpl w:val="2E4C67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126282"/>
    <w:multiLevelType w:val="hybridMultilevel"/>
    <w:tmpl w:val="E392D30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8"/>
  </w:num>
  <w:num w:numId="6">
    <w:abstractNumId w:val="30"/>
  </w:num>
  <w:num w:numId="7">
    <w:abstractNumId w:val="17"/>
  </w:num>
  <w:num w:numId="8">
    <w:abstractNumId w:val="25"/>
  </w:num>
  <w:num w:numId="9">
    <w:abstractNumId w:val="14"/>
  </w:num>
  <w:num w:numId="10">
    <w:abstractNumId w:val="18"/>
  </w:num>
  <w:num w:numId="11">
    <w:abstractNumId w:val="29"/>
  </w:num>
  <w:num w:numId="12">
    <w:abstractNumId w:val="0"/>
    <w:lvlOverride w:ilvl="0">
      <w:lvl w:ilvl="0">
        <w:start w:val="1"/>
        <w:numFmt w:val="bullet"/>
        <w:lvlText w:val="-"/>
        <w:legacy w:legacy="1" w:legacySpace="0" w:legacyIndent="360"/>
        <w:lvlJc w:val="left"/>
        <w:pPr>
          <w:ind w:left="360" w:hanging="360"/>
        </w:pPr>
      </w:lvl>
    </w:lvlOverride>
  </w:num>
  <w:num w:numId="13">
    <w:abstractNumId w:val="24"/>
  </w:num>
  <w:num w:numId="14">
    <w:abstractNumId w:val="22"/>
  </w:num>
  <w:num w:numId="15">
    <w:abstractNumId w:val="10"/>
  </w:num>
  <w:num w:numId="16">
    <w:abstractNumId w:val="7"/>
  </w:num>
  <w:num w:numId="17">
    <w:abstractNumId w:val="12"/>
  </w:num>
  <w:num w:numId="18">
    <w:abstractNumId w:val="13"/>
  </w:num>
  <w:num w:numId="19">
    <w:abstractNumId w:val="19"/>
  </w:num>
  <w:num w:numId="20">
    <w:abstractNumId w:val="21"/>
  </w:num>
  <w:num w:numId="21">
    <w:abstractNumId w:val="1"/>
  </w:num>
  <w:num w:numId="22">
    <w:abstractNumId w:val="23"/>
  </w:num>
  <w:num w:numId="23">
    <w:abstractNumId w:val="2"/>
  </w:num>
  <w:num w:numId="24">
    <w:abstractNumId w:val="26"/>
  </w:num>
  <w:num w:numId="25">
    <w:abstractNumId w:val="11"/>
  </w:num>
  <w:num w:numId="26">
    <w:abstractNumId w:val="9"/>
  </w:num>
  <w:num w:numId="27">
    <w:abstractNumId w:val="32"/>
  </w:num>
  <w:num w:numId="28">
    <w:abstractNumId w:val="5"/>
  </w:num>
  <w:num w:numId="29">
    <w:abstractNumId w:val="15"/>
  </w:num>
  <w:num w:numId="30">
    <w:abstractNumId w:val="27"/>
  </w:num>
  <w:num w:numId="31">
    <w:abstractNumId w:val="4"/>
  </w:num>
  <w:num w:numId="32">
    <w:abstractNumId w:val="31"/>
  </w:num>
  <w:num w:numId="33">
    <w:abstractNumId w:val="0"/>
    <w:lvlOverride w:ilvl="0">
      <w:lvl w:ilvl="0">
        <w:start w:val="1"/>
        <w:numFmt w:val="bullet"/>
        <w:lvlText w:val="-"/>
        <w:lvlJc w:val="left"/>
        <w:pPr>
          <w:ind w:left="360" w:hanging="360"/>
        </w:pPr>
      </w:lvl>
    </w:lvlOverride>
  </w:num>
  <w:num w:numId="34">
    <w:abstractNumId w:val="0"/>
    <w:lvlOverride w:ilvl="0">
      <w:lvl w:ilvl="0">
        <w:start w:val="1"/>
        <w:numFmt w:val="bullet"/>
        <w:lvlText w:val=""/>
        <w:lvlJc w:val="left"/>
        <w:pPr>
          <w:ind w:left="360" w:hanging="360"/>
        </w:pPr>
        <w:rPr>
          <w:rFonts w:ascii="Symbol" w:hAnsi="Symbol" w:hint="default"/>
        </w:rPr>
      </w:lvl>
    </w:lvlOverride>
  </w:num>
  <w:num w:numId="35">
    <w:abstractNumId w:val="0"/>
    <w:lvlOverride w:ilvl="0">
      <w:lvl w:ilvl="0">
        <w:start w:val="1"/>
        <w:numFmt w:val="bullet"/>
        <w:lvlText w:val="-"/>
        <w:lvlJc w:val="left"/>
        <w:pPr>
          <w:ind w:left="360" w:hanging="360"/>
        </w:pPr>
      </w:lvl>
    </w:lvlOverride>
  </w:num>
  <w:num w:numId="36">
    <w:abstractNumId w:val="33"/>
  </w:num>
  <w:num w:numId="37">
    <w:abstractNumId w:val="34"/>
  </w:num>
  <w:num w:numId="38">
    <w:abstractNumId w:val="1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A4"/>
    <w:rsid w:val="00013F82"/>
    <w:rsid w:val="0004450A"/>
    <w:rsid w:val="000812CE"/>
    <w:rsid w:val="0009751A"/>
    <w:rsid w:val="000B1F7B"/>
    <w:rsid w:val="000B2373"/>
    <w:rsid w:val="001A54FC"/>
    <w:rsid w:val="001B1890"/>
    <w:rsid w:val="001D5DBA"/>
    <w:rsid w:val="002242EA"/>
    <w:rsid w:val="002514B8"/>
    <w:rsid w:val="00286D09"/>
    <w:rsid w:val="00290653"/>
    <w:rsid w:val="00294F87"/>
    <w:rsid w:val="002B588D"/>
    <w:rsid w:val="00327C55"/>
    <w:rsid w:val="003F2DE2"/>
    <w:rsid w:val="003F4EE5"/>
    <w:rsid w:val="00410EF4"/>
    <w:rsid w:val="0041541C"/>
    <w:rsid w:val="004404AF"/>
    <w:rsid w:val="00464F04"/>
    <w:rsid w:val="00493B39"/>
    <w:rsid w:val="004C591A"/>
    <w:rsid w:val="00546990"/>
    <w:rsid w:val="00592DB7"/>
    <w:rsid w:val="005E62EA"/>
    <w:rsid w:val="00605164"/>
    <w:rsid w:val="0061017A"/>
    <w:rsid w:val="00651049"/>
    <w:rsid w:val="00653262"/>
    <w:rsid w:val="00667264"/>
    <w:rsid w:val="00693EB7"/>
    <w:rsid w:val="006A1693"/>
    <w:rsid w:val="006D2051"/>
    <w:rsid w:val="00734A48"/>
    <w:rsid w:val="00761CDD"/>
    <w:rsid w:val="00781E4A"/>
    <w:rsid w:val="007E09B0"/>
    <w:rsid w:val="00806DBF"/>
    <w:rsid w:val="00816F21"/>
    <w:rsid w:val="0082553F"/>
    <w:rsid w:val="00835885"/>
    <w:rsid w:val="00865697"/>
    <w:rsid w:val="00896C10"/>
    <w:rsid w:val="00915C8C"/>
    <w:rsid w:val="009166EB"/>
    <w:rsid w:val="00933B5A"/>
    <w:rsid w:val="00957DD6"/>
    <w:rsid w:val="00983BF7"/>
    <w:rsid w:val="009B25D4"/>
    <w:rsid w:val="009D40B9"/>
    <w:rsid w:val="00A23238"/>
    <w:rsid w:val="00AF6841"/>
    <w:rsid w:val="00B12FE0"/>
    <w:rsid w:val="00BA2294"/>
    <w:rsid w:val="00BF1234"/>
    <w:rsid w:val="00BF2251"/>
    <w:rsid w:val="00BF3FEA"/>
    <w:rsid w:val="00C119A2"/>
    <w:rsid w:val="00C172AB"/>
    <w:rsid w:val="00C35957"/>
    <w:rsid w:val="00C919A4"/>
    <w:rsid w:val="00CE047D"/>
    <w:rsid w:val="00D11F75"/>
    <w:rsid w:val="00D42BEF"/>
    <w:rsid w:val="00D70AC0"/>
    <w:rsid w:val="00D71C3C"/>
    <w:rsid w:val="00D879D6"/>
    <w:rsid w:val="00E41B89"/>
    <w:rsid w:val="00E729A2"/>
    <w:rsid w:val="00EA3902"/>
    <w:rsid w:val="00EA68E8"/>
    <w:rsid w:val="00EB2C22"/>
    <w:rsid w:val="00EB2D18"/>
    <w:rsid w:val="00EC1CAB"/>
    <w:rsid w:val="00EC5637"/>
    <w:rsid w:val="00EE0AEF"/>
    <w:rsid w:val="00F07D81"/>
    <w:rsid w:val="00F7127E"/>
    <w:rsid w:val="00F825D9"/>
    <w:rsid w:val="00FB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0B8B25"/>
  <w15:docId w15:val="{F5B55789-651C-4948-89EE-BEB7C4A7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262"/>
    <w:pPr>
      <w:spacing w:after="0" w:line="240" w:lineRule="auto"/>
      <w:ind w:left="567" w:hanging="567"/>
    </w:pPr>
  </w:style>
  <w:style w:type="paragraph" w:styleId="Antrat1">
    <w:name w:val="heading 1"/>
    <w:basedOn w:val="prastasis"/>
    <w:next w:val="prastasis"/>
    <w:link w:val="Antrat1Diagrama"/>
    <w:uiPriority w:val="99"/>
    <w:qFormat/>
    <w:rsid w:val="00653262"/>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653262"/>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653262"/>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653262"/>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653262"/>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653262"/>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653262"/>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653262"/>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653262"/>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5326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65326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653262"/>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653262"/>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65326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53262"/>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65326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5326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53262"/>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653262"/>
  </w:style>
  <w:style w:type="numbering" w:customStyle="1" w:styleId="Sraonra11">
    <w:name w:val="Sąrašo nėra11"/>
    <w:next w:val="Sraonra"/>
    <w:uiPriority w:val="99"/>
    <w:semiHidden/>
    <w:unhideWhenUsed/>
    <w:rsid w:val="00653262"/>
  </w:style>
  <w:style w:type="paragraph" w:styleId="Antrats">
    <w:name w:val="header"/>
    <w:basedOn w:val="prastasis"/>
    <w:link w:val="AntratsDiagrama"/>
    <w:uiPriority w:val="99"/>
    <w:rsid w:val="0065326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653262"/>
  </w:style>
  <w:style w:type="character" w:customStyle="1" w:styleId="AntratsDiagrama">
    <w:name w:val="Antraštės Diagrama"/>
    <w:basedOn w:val="Numatytasispastraiposriftas"/>
    <w:link w:val="Antrats"/>
    <w:uiPriority w:val="99"/>
    <w:rsid w:val="0065326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65326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53262"/>
    <w:rPr>
      <w:rFonts w:ascii="Times New Roman" w:eastAsia="Times New Roman" w:hAnsi="Times New Roman" w:cs="Times New Roman"/>
      <w:sz w:val="24"/>
      <w:szCs w:val="20"/>
      <w:lang w:val="sl-SI" w:eastAsia="sl-SI"/>
    </w:rPr>
  </w:style>
  <w:style w:type="table" w:styleId="Lentelstinklelis">
    <w:name w:val="Table Grid"/>
    <w:basedOn w:val="prastojilentel"/>
    <w:rsid w:val="006532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653262"/>
  </w:style>
  <w:style w:type="character" w:styleId="Hipersaitas">
    <w:name w:val="Hyperlink"/>
    <w:uiPriority w:val="99"/>
    <w:rsid w:val="00653262"/>
    <w:rPr>
      <w:rFonts w:ascii="Times New Roman" w:hAnsi="Times New Roman"/>
      <w:color w:val="auto"/>
      <w:sz w:val="24"/>
      <w:szCs w:val="24"/>
      <w:u w:val="single"/>
      <w:lang w:val="en-US"/>
    </w:rPr>
  </w:style>
  <w:style w:type="character" w:styleId="Perirtashipersaitas">
    <w:name w:val="FollowedHyperlink"/>
    <w:uiPriority w:val="99"/>
    <w:rsid w:val="00653262"/>
    <w:rPr>
      <w:color w:val="800080"/>
      <w:u w:val="single"/>
    </w:rPr>
  </w:style>
  <w:style w:type="paragraph" w:styleId="Paprastasistekstas">
    <w:name w:val="Plain Text"/>
    <w:basedOn w:val="prastasis"/>
    <w:link w:val="PaprastasistekstasDiagrama"/>
    <w:uiPriority w:val="99"/>
    <w:rsid w:val="00653262"/>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653262"/>
    <w:rPr>
      <w:rFonts w:ascii="Courier New" w:eastAsia="Times New Roman" w:hAnsi="Courier New" w:cs="Times New Roman"/>
      <w:sz w:val="20"/>
      <w:szCs w:val="20"/>
      <w:lang w:val="en-GB" w:eastAsia="sl-SI"/>
    </w:rPr>
  </w:style>
  <w:style w:type="paragraph" w:styleId="Antrat">
    <w:name w:val="caption"/>
    <w:basedOn w:val="prastasis"/>
    <w:next w:val="prastasis"/>
    <w:qFormat/>
    <w:rsid w:val="00653262"/>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653262"/>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653262"/>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653262"/>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53262"/>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653262"/>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53262"/>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653262"/>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653262"/>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653262"/>
  </w:style>
  <w:style w:type="paragraph" w:styleId="Dokumentoinaostekstas">
    <w:name w:val="endnote text"/>
    <w:basedOn w:val="prastasis"/>
    <w:link w:val="DokumentoinaostekstasDiagrama"/>
    <w:uiPriority w:val="99"/>
    <w:rsid w:val="00653262"/>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653262"/>
    <w:rPr>
      <w:rFonts w:ascii="Times New Roman" w:eastAsia="Times New Roman" w:hAnsi="Times New Roman" w:cs="Times New Roman"/>
      <w:szCs w:val="20"/>
      <w:lang w:val="en-GB"/>
    </w:rPr>
  </w:style>
  <w:style w:type="numbering" w:customStyle="1" w:styleId="Brezseznama2">
    <w:name w:val="Brez seznama2"/>
    <w:next w:val="Sraonra"/>
    <w:semiHidden/>
    <w:rsid w:val="00653262"/>
  </w:style>
  <w:style w:type="numbering" w:customStyle="1" w:styleId="Brezseznama3">
    <w:name w:val="Brez seznama3"/>
    <w:next w:val="Sraonra"/>
    <w:semiHidden/>
    <w:rsid w:val="00653262"/>
  </w:style>
  <w:style w:type="paragraph" w:styleId="Pavadinimas">
    <w:name w:val="Title"/>
    <w:basedOn w:val="prastasis"/>
    <w:link w:val="PavadinimasDiagrama"/>
    <w:uiPriority w:val="99"/>
    <w:qFormat/>
    <w:rsid w:val="00653262"/>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653262"/>
    <w:rPr>
      <w:rFonts w:ascii="Times New Roman" w:eastAsia="Times New Roman" w:hAnsi="Times New Roman" w:cs="Times New Roman"/>
      <w:b/>
      <w:szCs w:val="20"/>
      <w:lang w:val="en-GB"/>
    </w:rPr>
  </w:style>
  <w:style w:type="numbering" w:customStyle="1" w:styleId="Brezseznama4">
    <w:name w:val="Brez seznama4"/>
    <w:next w:val="Sraonra"/>
    <w:semiHidden/>
    <w:rsid w:val="00653262"/>
  </w:style>
  <w:style w:type="numbering" w:customStyle="1" w:styleId="Brezseznama5">
    <w:name w:val="Brez seznama5"/>
    <w:next w:val="Sraonra"/>
    <w:uiPriority w:val="99"/>
    <w:semiHidden/>
    <w:unhideWhenUsed/>
    <w:rsid w:val="00653262"/>
  </w:style>
  <w:style w:type="character" w:styleId="Komentaronuoroda">
    <w:name w:val="annotation reference"/>
    <w:uiPriority w:val="99"/>
    <w:rsid w:val="00653262"/>
    <w:rPr>
      <w:sz w:val="16"/>
      <w:szCs w:val="16"/>
    </w:rPr>
  </w:style>
  <w:style w:type="numbering" w:customStyle="1" w:styleId="Brezseznama6">
    <w:name w:val="Brez seznama6"/>
    <w:next w:val="Sraonra"/>
    <w:uiPriority w:val="99"/>
    <w:semiHidden/>
    <w:unhideWhenUsed/>
    <w:rsid w:val="00653262"/>
  </w:style>
  <w:style w:type="paragraph" w:customStyle="1" w:styleId="BodytextAgency">
    <w:name w:val="Body text (Agency)"/>
    <w:basedOn w:val="prastasis"/>
    <w:link w:val="BodytextAgencyChar"/>
    <w:uiPriority w:val="99"/>
    <w:rsid w:val="00653262"/>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65326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53262"/>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653262"/>
    <w:rPr>
      <w:rFonts w:ascii="Courier New" w:hAnsi="Courier New"/>
      <w:color w:val="00FF00"/>
      <w:sz w:val="40"/>
    </w:rPr>
  </w:style>
  <w:style w:type="character" w:customStyle="1" w:styleId="tw4winTerm">
    <w:name w:val="tw4winTerm"/>
    <w:uiPriority w:val="99"/>
    <w:rsid w:val="00653262"/>
    <w:rPr>
      <w:color w:val="0000FF"/>
    </w:rPr>
  </w:style>
  <w:style w:type="character" w:customStyle="1" w:styleId="tw4winPopup">
    <w:name w:val="tw4winPopup"/>
    <w:uiPriority w:val="99"/>
    <w:rsid w:val="00653262"/>
    <w:rPr>
      <w:rFonts w:ascii="Courier New" w:hAnsi="Courier New"/>
      <w:noProof/>
      <w:color w:val="008000"/>
    </w:rPr>
  </w:style>
  <w:style w:type="character" w:customStyle="1" w:styleId="tw4winJump">
    <w:name w:val="tw4winJump"/>
    <w:uiPriority w:val="99"/>
    <w:rsid w:val="00653262"/>
    <w:rPr>
      <w:rFonts w:ascii="Courier New" w:hAnsi="Courier New"/>
      <w:noProof/>
      <w:color w:val="008080"/>
    </w:rPr>
  </w:style>
  <w:style w:type="character" w:customStyle="1" w:styleId="tw4winExternal">
    <w:name w:val="tw4winExternal"/>
    <w:uiPriority w:val="99"/>
    <w:rsid w:val="00653262"/>
    <w:rPr>
      <w:rFonts w:ascii="Courier New" w:hAnsi="Courier New"/>
      <w:noProof/>
      <w:color w:val="808080"/>
    </w:rPr>
  </w:style>
  <w:style w:type="character" w:customStyle="1" w:styleId="tw4winInternal">
    <w:name w:val="tw4winInternal"/>
    <w:uiPriority w:val="99"/>
    <w:rsid w:val="00653262"/>
    <w:rPr>
      <w:rFonts w:ascii="Courier New" w:hAnsi="Courier New"/>
      <w:noProof/>
      <w:color w:val="FF0000"/>
    </w:rPr>
  </w:style>
  <w:style w:type="character" w:customStyle="1" w:styleId="DONOTTRANSLATE">
    <w:name w:val="DO_NOT_TRANSLATE"/>
    <w:uiPriority w:val="99"/>
    <w:rsid w:val="00653262"/>
    <w:rPr>
      <w:rFonts w:ascii="Courier New" w:hAnsi="Courier New"/>
      <w:noProof/>
      <w:color w:val="800000"/>
    </w:rPr>
  </w:style>
  <w:style w:type="paragraph" w:styleId="Debesliotekstas">
    <w:name w:val="Balloon Text"/>
    <w:basedOn w:val="prastasis"/>
    <w:link w:val="DebesliotekstasDiagrama"/>
    <w:uiPriority w:val="99"/>
    <w:rsid w:val="00653262"/>
    <w:pPr>
      <w:tabs>
        <w:tab w:val="left" w:pos="567"/>
      </w:tabs>
      <w:ind w:left="0" w:firstLine="0"/>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653262"/>
    <w:rPr>
      <w:rFonts w:ascii="Tahoma" w:eastAsia="Times New Roman" w:hAnsi="Tahoma" w:cs="Times New Roman"/>
      <w:snapToGrid w:val="0"/>
      <w:sz w:val="16"/>
      <w:szCs w:val="16"/>
      <w:lang w:val="en-GB" w:eastAsia="x-none"/>
    </w:rPr>
  </w:style>
  <w:style w:type="paragraph" w:styleId="Komentarotekstas">
    <w:name w:val="annotation text"/>
    <w:basedOn w:val="prastasis"/>
    <w:link w:val="KomentarotekstasDiagrama"/>
    <w:uiPriority w:val="99"/>
    <w:rsid w:val="00653262"/>
    <w:pPr>
      <w:tabs>
        <w:tab w:val="left" w:pos="567"/>
      </w:tabs>
      <w:spacing w:line="260" w:lineRule="exact"/>
      <w:ind w:left="0" w:firstLine="0"/>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65326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53262"/>
    <w:rPr>
      <w:b/>
      <w:bCs/>
    </w:rPr>
  </w:style>
  <w:style w:type="character" w:customStyle="1" w:styleId="KomentarotemaDiagrama">
    <w:name w:val="Komentaro tema Diagrama"/>
    <w:basedOn w:val="KomentarotekstasDiagrama"/>
    <w:link w:val="Komentarotema"/>
    <w:uiPriority w:val="99"/>
    <w:rsid w:val="0065326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53262"/>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653262"/>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653262"/>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65326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53262"/>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65326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53262"/>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65326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5326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653262"/>
    <w:rPr>
      <w:rFonts w:ascii="Times New Roman" w:eastAsia="SimSun" w:hAnsi="Times New Roman" w:cs="Times New Roman"/>
      <w:b/>
      <w:bCs/>
      <w:color w:val="0000FF"/>
      <w:lang w:val="en-GB"/>
    </w:rPr>
  </w:style>
  <w:style w:type="paragraph" w:customStyle="1" w:styleId="AHeader1">
    <w:name w:val="AHeader 1"/>
    <w:basedOn w:val="prastasis"/>
    <w:uiPriority w:val="99"/>
    <w:rsid w:val="00653262"/>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653262"/>
    <w:pPr>
      <w:tabs>
        <w:tab w:val="clear" w:pos="720"/>
        <w:tab w:val="num" w:pos="360"/>
      </w:tabs>
      <w:ind w:left="709" w:hanging="425"/>
    </w:pPr>
    <w:rPr>
      <w:sz w:val="22"/>
    </w:rPr>
  </w:style>
  <w:style w:type="paragraph" w:customStyle="1" w:styleId="AHeader3">
    <w:name w:val="AHeader 3"/>
    <w:basedOn w:val="AHeader2"/>
    <w:uiPriority w:val="99"/>
    <w:rsid w:val="00653262"/>
    <w:pPr>
      <w:ind w:left="1276" w:hanging="567"/>
    </w:pPr>
  </w:style>
  <w:style w:type="paragraph" w:customStyle="1" w:styleId="AHeader2abc">
    <w:name w:val="AHeader 2 abc"/>
    <w:basedOn w:val="AHeader3"/>
    <w:uiPriority w:val="99"/>
    <w:rsid w:val="00653262"/>
    <w:pPr>
      <w:jc w:val="both"/>
    </w:pPr>
    <w:rPr>
      <w:b w:val="0"/>
      <w:bCs w:val="0"/>
    </w:rPr>
  </w:style>
  <w:style w:type="paragraph" w:customStyle="1" w:styleId="AHeader3abc">
    <w:name w:val="AHeader 3 abc"/>
    <w:basedOn w:val="AHeader2abc"/>
    <w:uiPriority w:val="99"/>
    <w:rsid w:val="00653262"/>
    <w:pPr>
      <w:ind w:left="1701" w:hanging="425"/>
    </w:pPr>
  </w:style>
  <w:style w:type="paragraph" w:styleId="Pagrindiniotekstotrauka3">
    <w:name w:val="Body Text Indent 3"/>
    <w:basedOn w:val="prastasis"/>
    <w:link w:val="Pagrindiniotekstotrauka3Diagrama"/>
    <w:uiPriority w:val="99"/>
    <w:rsid w:val="00653262"/>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653262"/>
    <w:rPr>
      <w:rFonts w:ascii="Times New Roman" w:eastAsia="SimSun" w:hAnsi="Times New Roman" w:cs="Times New Roman"/>
      <w:szCs w:val="21"/>
      <w:lang w:val="en-GB"/>
    </w:rPr>
  </w:style>
  <w:style w:type="character" w:styleId="Grietas">
    <w:name w:val="Strong"/>
    <w:uiPriority w:val="99"/>
    <w:qFormat/>
    <w:rsid w:val="00653262"/>
    <w:rPr>
      <w:rFonts w:cs="Times New Roman"/>
      <w:b/>
      <w:bCs/>
    </w:rPr>
  </w:style>
  <w:style w:type="character" w:customStyle="1" w:styleId="BodytextAgencyChar">
    <w:name w:val="Body text (Agency) Char"/>
    <w:link w:val="BodytextAgency"/>
    <w:uiPriority w:val="99"/>
    <w:locked/>
    <w:rsid w:val="0065326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5326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53262"/>
    <w:pPr>
      <w:keepNext/>
    </w:pPr>
    <w:rPr>
      <w:rFonts w:eastAsia="SimSun" w:cs="Verdana"/>
      <w:b/>
      <w:snapToGrid/>
      <w:szCs w:val="18"/>
      <w:lang w:eastAsia="en-GB"/>
    </w:rPr>
  </w:style>
  <w:style w:type="character" w:customStyle="1" w:styleId="NormalAgencyChar">
    <w:name w:val="Normal (Agency) Char"/>
    <w:link w:val="NormalAgency"/>
    <w:uiPriority w:val="99"/>
    <w:locked/>
    <w:rsid w:val="00653262"/>
    <w:rPr>
      <w:rFonts w:ascii="Verdana" w:eastAsia="Times New Roman" w:hAnsi="Verdana" w:cs="Times New Roman"/>
      <w:snapToGrid w:val="0"/>
      <w:sz w:val="18"/>
      <w:lang w:val="en-GB" w:eastAsia="lt-LT"/>
    </w:rPr>
  </w:style>
  <w:style w:type="paragraph" w:customStyle="1" w:styleId="BTEMEASMCA">
    <w:name w:val="BT EMEA_SMCA"/>
    <w:basedOn w:val="prastasis"/>
    <w:link w:val="BTEMEASMCAChar"/>
    <w:autoRedefine/>
    <w:uiPriority w:val="99"/>
    <w:rsid w:val="00653262"/>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653262"/>
    <w:rPr>
      <w:rFonts w:ascii="Times New Roman" w:eastAsia="SimSun" w:hAnsi="Times New Roman" w:cs="Times New Roman"/>
      <w:noProof/>
      <w:sz w:val="20"/>
      <w:szCs w:val="20"/>
      <w:lang w:val="x-none" w:eastAsia="x-none"/>
    </w:rPr>
  </w:style>
  <w:style w:type="character" w:customStyle="1" w:styleId="CharChar12">
    <w:name w:val="Char Char12"/>
    <w:locked/>
    <w:rsid w:val="00653262"/>
    <w:rPr>
      <w:snapToGrid w:val="0"/>
      <w:lang w:val="en-GB" w:eastAsia="en-US" w:bidi="ar-SA"/>
    </w:rPr>
  </w:style>
  <w:style w:type="paragraph" w:styleId="Sraopastraipa">
    <w:name w:val="List Paragraph"/>
    <w:basedOn w:val="prastasis"/>
    <w:uiPriority w:val="34"/>
    <w:qFormat/>
    <w:rsid w:val="00C35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vapris.vvkt.lt/vvkt-web/public/med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47737</Words>
  <Characters>27211</Characters>
  <Application>Microsoft Office Word</Application>
  <DocSecurity>4</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2023-09-05T12:29:00Z</dcterms:created>
  <dcterms:modified xsi:type="dcterms:W3CDTF">2023-09-05T12:29:00Z</dcterms:modified>
</cp:coreProperties>
</file>