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941" w:rsidRDefault="00062941"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Default="001B0F25" w:rsidP="00062941">
      <w:pPr>
        <w:tabs>
          <w:tab w:val="left" w:pos="567"/>
        </w:tabs>
        <w:spacing w:after="0" w:line="240" w:lineRule="auto"/>
        <w:rPr>
          <w:rFonts w:eastAsia="Times New Roman"/>
          <w:sz w:val="22"/>
          <w:szCs w:val="22"/>
          <w:lang w:val="lt-LT"/>
        </w:rPr>
      </w:pPr>
    </w:p>
    <w:p w:rsidR="001B0F25" w:rsidRPr="00EC23FD" w:rsidRDefault="001B0F25" w:rsidP="00062941">
      <w:pPr>
        <w:tabs>
          <w:tab w:val="left" w:pos="567"/>
        </w:tabs>
        <w:spacing w:after="0" w:line="240" w:lineRule="auto"/>
        <w:rPr>
          <w:rFonts w:eastAsia="Times New Roman"/>
          <w:sz w:val="22"/>
          <w:szCs w:val="22"/>
          <w:lang w:val="lt-LT"/>
        </w:rPr>
      </w:pPr>
    </w:p>
    <w:p w:rsidR="00062941" w:rsidRDefault="00062941" w:rsidP="00062941">
      <w:pPr>
        <w:tabs>
          <w:tab w:val="left" w:pos="567"/>
        </w:tabs>
        <w:spacing w:after="0" w:line="240" w:lineRule="auto"/>
        <w:ind w:left="567" w:hanging="567"/>
        <w:jc w:val="center"/>
        <w:outlineLvl w:val="0"/>
        <w:rPr>
          <w:rFonts w:eastAsia="Times New Roman"/>
          <w:b/>
          <w:caps/>
          <w:sz w:val="22"/>
          <w:szCs w:val="22"/>
          <w:lang w:val="lt-LT"/>
        </w:rPr>
      </w:pPr>
      <w:bookmarkStart w:id="0" w:name="_Toc129243261"/>
      <w:bookmarkStart w:id="1" w:name="_Toc129243136"/>
    </w:p>
    <w:p w:rsidR="00062941" w:rsidRPr="00EC23FD" w:rsidRDefault="00062941" w:rsidP="00062941">
      <w:pPr>
        <w:tabs>
          <w:tab w:val="left" w:pos="567"/>
        </w:tabs>
        <w:spacing w:after="0" w:line="240" w:lineRule="auto"/>
        <w:ind w:left="567" w:hanging="567"/>
        <w:jc w:val="center"/>
        <w:outlineLvl w:val="0"/>
        <w:rPr>
          <w:rFonts w:eastAsia="Times New Roman"/>
          <w:b/>
          <w:caps/>
          <w:sz w:val="22"/>
          <w:szCs w:val="22"/>
          <w:lang w:val="lt-LT"/>
        </w:rPr>
      </w:pPr>
      <w:r w:rsidRPr="00EC23FD">
        <w:rPr>
          <w:rFonts w:eastAsia="Times New Roman"/>
          <w:b/>
          <w:caps/>
          <w:sz w:val="22"/>
          <w:szCs w:val="22"/>
          <w:lang w:val="lt-LT"/>
        </w:rPr>
        <w:t>A. ŽENKLINIMAS</w:t>
      </w:r>
      <w:bookmarkEnd w:id="0"/>
      <w:bookmarkEnd w:id="1"/>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br w:type="page"/>
      </w: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lastRenderedPageBreak/>
        <w:t>INFORMACIJA ANT IŠORINĖS PAKUOTĖS</w:t>
      </w: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KARTONO DĖŽUTĖ</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1.</w:t>
      </w:r>
      <w:r w:rsidRPr="00EC23FD">
        <w:rPr>
          <w:rFonts w:eastAsia="Times New Roman"/>
          <w:b/>
          <w:sz w:val="22"/>
          <w:szCs w:val="22"/>
          <w:lang w:val="lt-LT"/>
        </w:rPr>
        <w:tab/>
        <w:t>VAISTINIO PREPARATO PAVADINIMAS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keepNext/>
        <w:spacing w:after="0" w:line="240" w:lineRule="auto"/>
        <w:outlineLvl w:val="2"/>
        <w:rPr>
          <w:rFonts w:eastAsia="Times New Roman"/>
          <w:sz w:val="22"/>
          <w:szCs w:val="22"/>
          <w:lang w:val="lt-LT"/>
        </w:rPr>
      </w:pPr>
      <w:r w:rsidRPr="00EC23FD">
        <w:rPr>
          <w:rFonts w:eastAsia="Times New Roman"/>
          <w:sz w:val="22"/>
          <w:szCs w:val="22"/>
          <w:lang w:val="lt-LT"/>
        </w:rPr>
        <w:t xml:space="preserve">TOBREX 3 mg/g akių tepalas </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Tobramicinas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2.</w:t>
      </w:r>
      <w:r w:rsidRPr="00EC23FD">
        <w:rPr>
          <w:rFonts w:eastAsia="Times New Roman"/>
          <w:b/>
          <w:sz w:val="22"/>
          <w:szCs w:val="22"/>
          <w:lang w:val="lt-LT"/>
        </w:rPr>
        <w:tab/>
      </w:r>
      <w:r w:rsidRPr="00EC23FD">
        <w:rPr>
          <w:rFonts w:eastAsia="Times New Roman"/>
          <w:b/>
          <w:noProof/>
          <w:snapToGrid w:val="0"/>
          <w:sz w:val="22"/>
          <w:szCs w:val="22"/>
          <w:lang w:val="lt-LT"/>
        </w:rPr>
        <w:t>VEIKLIOJI (-IOS) MEDŽIAGA (-OS) IR JOS (-Ų) KIEKIS (-IAI)</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spacing w:after="0" w:line="240" w:lineRule="auto"/>
        <w:jc w:val="both"/>
        <w:rPr>
          <w:rFonts w:eastAsia="Times New Roman"/>
          <w:color w:val="000000"/>
          <w:sz w:val="22"/>
          <w:szCs w:val="22"/>
          <w:lang w:val="lt-LT"/>
        </w:rPr>
      </w:pPr>
      <w:r w:rsidRPr="00EC23FD">
        <w:rPr>
          <w:rFonts w:eastAsia="Times New Roman"/>
          <w:color w:val="000000"/>
          <w:sz w:val="22"/>
          <w:szCs w:val="22"/>
          <w:lang w:val="lt-LT"/>
        </w:rPr>
        <w:t>Viename grame akių tepalo yra 3 mg tobramicino.</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highlight w:val="lightGray"/>
          <w:lang w:val="lt-LT"/>
        </w:rPr>
      </w:pPr>
      <w:r w:rsidRPr="00EC23FD">
        <w:rPr>
          <w:rFonts w:eastAsia="Times New Roman"/>
          <w:b/>
          <w:sz w:val="22"/>
          <w:szCs w:val="22"/>
          <w:lang w:val="lt-LT"/>
        </w:rPr>
        <w:t>3.</w:t>
      </w:r>
      <w:r w:rsidRPr="00EC23FD">
        <w:rPr>
          <w:rFonts w:eastAsia="Times New Roman"/>
          <w:b/>
          <w:sz w:val="22"/>
          <w:szCs w:val="22"/>
          <w:lang w:val="lt-LT"/>
        </w:rPr>
        <w:tab/>
        <w:t>PAGALBINIŲ MEDŽIAGŲ SĄRAŠAS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spacing w:after="0" w:line="240" w:lineRule="auto"/>
        <w:jc w:val="both"/>
        <w:rPr>
          <w:rFonts w:eastAsia="Times New Roman"/>
          <w:sz w:val="22"/>
          <w:szCs w:val="22"/>
          <w:lang w:val="lt-LT"/>
        </w:rPr>
      </w:pPr>
      <w:r w:rsidRPr="00EC23FD">
        <w:rPr>
          <w:rFonts w:eastAsia="Times New Roman"/>
          <w:sz w:val="22"/>
          <w:szCs w:val="22"/>
          <w:lang w:val="lt-LT"/>
        </w:rPr>
        <w:t>Bevandenis chlorobutanolis, skystasis parafinas, minkštasis baltas parafinas.</w:t>
      </w:r>
    </w:p>
    <w:p w:rsidR="00062941" w:rsidRPr="00EC23FD" w:rsidRDefault="00062941" w:rsidP="00062941">
      <w:pPr>
        <w:spacing w:after="0" w:line="240" w:lineRule="auto"/>
        <w:jc w:val="both"/>
        <w:rPr>
          <w:rFonts w:eastAsia="Times New Roman"/>
          <w:sz w:val="22"/>
          <w:szCs w:val="22"/>
          <w:lang w:val="lt-LT"/>
        </w:rPr>
      </w:pPr>
    </w:p>
    <w:p w:rsidR="00062941" w:rsidRPr="00EC23FD" w:rsidRDefault="00062941" w:rsidP="00062941">
      <w:pPr>
        <w:spacing w:after="0" w:line="240" w:lineRule="auto"/>
        <w:jc w:val="both"/>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4.</w:t>
      </w:r>
      <w:r w:rsidRPr="00EC23FD">
        <w:rPr>
          <w:rFonts w:eastAsia="Times New Roman"/>
          <w:b/>
          <w:sz w:val="22"/>
          <w:szCs w:val="22"/>
          <w:lang w:val="lt-LT"/>
        </w:rPr>
        <w:tab/>
        <w:t>FARMACINĖ FORMA IR KIEKIS PAKUOTĖJE</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Akių tepalas</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3,5 g</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highlight w:val="lightGray"/>
          <w:lang w:val="lt-LT"/>
        </w:rPr>
      </w:pPr>
      <w:r w:rsidRPr="00EC23FD">
        <w:rPr>
          <w:rFonts w:eastAsia="Times New Roman"/>
          <w:b/>
          <w:sz w:val="22"/>
          <w:szCs w:val="22"/>
          <w:lang w:val="lt-LT"/>
        </w:rPr>
        <w:t>5.</w:t>
      </w:r>
      <w:r w:rsidRPr="00EC23FD">
        <w:rPr>
          <w:rFonts w:eastAsia="Times New Roman"/>
          <w:b/>
          <w:sz w:val="22"/>
          <w:szCs w:val="22"/>
          <w:lang w:val="lt-LT"/>
        </w:rPr>
        <w:tab/>
        <w:t>VARTOJIMO METODAS IR BŪDAS (-AI)</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Vartoti ant akių. Prieš vartojimą perskaitykite pakuotės lapelį.</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6.</w:t>
      </w:r>
      <w:r w:rsidRPr="00EC23FD">
        <w:rPr>
          <w:rFonts w:eastAsia="Times New Roman"/>
          <w:b/>
          <w:sz w:val="22"/>
          <w:szCs w:val="22"/>
          <w:lang w:val="lt-LT"/>
        </w:rPr>
        <w:tab/>
        <w:t>SPECIALUS ĮSPĖJIMAS, KAD VAISTINĮ PREPARATĄ BŪTINA LAIKYTI</w:t>
      </w: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eastAsia="Times New Roman"/>
          <w:b/>
          <w:sz w:val="22"/>
          <w:szCs w:val="22"/>
          <w:lang w:val="lt-LT"/>
        </w:rPr>
      </w:pPr>
      <w:r w:rsidRPr="00EC23FD">
        <w:rPr>
          <w:rFonts w:eastAsia="Times New Roman"/>
          <w:b/>
          <w:sz w:val="22"/>
          <w:szCs w:val="22"/>
          <w:lang w:val="lt-LT"/>
        </w:rPr>
        <w:t>VAIKAMS NEPASTEBIMOJE IR NEPASIEKIAMOJE VIETOJE</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Laikyti vaikams nepastebimoje ir nepasiekiamoje vietoje.</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highlight w:val="lightGray"/>
          <w:lang w:val="lt-LT"/>
        </w:rPr>
      </w:pPr>
      <w:r w:rsidRPr="00EC23FD">
        <w:rPr>
          <w:rFonts w:eastAsia="Times New Roman"/>
          <w:b/>
          <w:sz w:val="22"/>
          <w:szCs w:val="22"/>
          <w:lang w:val="lt-LT"/>
        </w:rPr>
        <w:t>7.</w:t>
      </w:r>
      <w:r w:rsidRPr="00EC23FD">
        <w:rPr>
          <w:rFonts w:eastAsia="Times New Roman"/>
          <w:b/>
          <w:sz w:val="22"/>
          <w:szCs w:val="22"/>
          <w:lang w:val="lt-LT"/>
        </w:rPr>
        <w:tab/>
        <w:t>KITAS (-I) SPECIALUS (-ŪS) ĮSPĖJIMAS (-AI) (JEI REIKIA)</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highlight w:val="lightGray"/>
          <w:lang w:val="lt-LT"/>
        </w:rPr>
      </w:pPr>
      <w:r w:rsidRPr="00EC23FD">
        <w:rPr>
          <w:rFonts w:eastAsia="Times New Roman"/>
          <w:b/>
          <w:sz w:val="22"/>
          <w:szCs w:val="22"/>
          <w:lang w:val="lt-LT"/>
        </w:rPr>
        <w:t>8.</w:t>
      </w:r>
      <w:r w:rsidRPr="00EC23FD">
        <w:rPr>
          <w:rFonts w:eastAsia="Times New Roman"/>
          <w:b/>
          <w:sz w:val="22"/>
          <w:szCs w:val="22"/>
          <w:lang w:val="lt-LT"/>
        </w:rPr>
        <w:tab/>
        <w:t>TINKAMUMO LAIKAS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Tinka iki {MMMM/mm}</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Pirmą kartą atidarius tūbelę, vaisto tinkamumo laikas: 28 paros.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9.</w:t>
      </w:r>
      <w:r w:rsidRPr="00EC23FD">
        <w:rPr>
          <w:rFonts w:eastAsia="Times New Roman"/>
          <w:b/>
          <w:sz w:val="22"/>
          <w:szCs w:val="22"/>
          <w:lang w:val="lt-LT"/>
        </w:rPr>
        <w:tab/>
        <w:t>SPECIALIOS LAIKYMO SĄLYGOS</w:t>
      </w:r>
    </w:p>
    <w:p w:rsidR="00062941" w:rsidRPr="00EC23FD" w:rsidRDefault="00062941" w:rsidP="00062941">
      <w:pPr>
        <w:spacing w:after="0" w:line="240" w:lineRule="auto"/>
        <w:jc w:val="both"/>
        <w:rPr>
          <w:rFonts w:eastAsia="Times New Roman"/>
          <w:sz w:val="22"/>
          <w:szCs w:val="22"/>
          <w:lang w:val="lt-LT"/>
        </w:rPr>
      </w:pPr>
    </w:p>
    <w:p w:rsidR="00062941" w:rsidRPr="00EC23FD" w:rsidRDefault="00062941" w:rsidP="00062941">
      <w:pPr>
        <w:spacing w:after="0" w:line="240" w:lineRule="auto"/>
        <w:jc w:val="both"/>
        <w:rPr>
          <w:rFonts w:eastAsia="Times New Roman"/>
          <w:sz w:val="22"/>
          <w:szCs w:val="22"/>
          <w:lang w:val="lt-LT"/>
        </w:rPr>
      </w:pPr>
      <w:r w:rsidRPr="00EC23FD">
        <w:rPr>
          <w:rFonts w:eastAsia="Times New Roman"/>
          <w:sz w:val="22"/>
          <w:szCs w:val="22"/>
          <w:lang w:val="lt-LT"/>
        </w:rPr>
        <w:t>Laikyti ne aukštesnėje kaip 25 °C temperatūroje</w:t>
      </w:r>
      <w:r w:rsidR="00847C22">
        <w:rPr>
          <w:rFonts w:eastAsia="Times New Roman"/>
          <w:sz w:val="22"/>
          <w:szCs w:val="22"/>
          <w:lang w:val="lt-LT"/>
        </w:rPr>
        <w:t>, gamintojo pakuotėje</w:t>
      </w:r>
      <w:r w:rsidR="003C2C8A">
        <w:rPr>
          <w:rFonts w:eastAsia="Times New Roman"/>
          <w:sz w:val="22"/>
          <w:szCs w:val="22"/>
          <w:lang w:val="lt-LT"/>
        </w:rPr>
        <w:t>.</w:t>
      </w:r>
      <w:r w:rsidR="000F53C8">
        <w:rPr>
          <w:rFonts w:eastAsia="Times New Roman"/>
          <w:sz w:val="22"/>
          <w:szCs w:val="22"/>
          <w:lang w:val="lt-LT"/>
        </w:rPr>
        <w:t xml:space="preserve"> </w:t>
      </w:r>
      <w:r w:rsidR="003C2C8A">
        <w:rPr>
          <w:rFonts w:eastAsia="Times New Roman"/>
          <w:sz w:val="22"/>
          <w:szCs w:val="22"/>
          <w:lang w:val="lt-LT"/>
        </w:rPr>
        <w:t>Negalima šaldyti.</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Tūbelę laikyti sandariai užsuktą.</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bCs/>
          <w:sz w:val="22"/>
          <w:szCs w:val="22"/>
          <w:lang w:val="lt-LT"/>
        </w:rPr>
      </w:pPr>
      <w:r w:rsidRPr="00EC23FD">
        <w:rPr>
          <w:rFonts w:eastAsia="Times New Roman"/>
          <w:b/>
          <w:sz w:val="22"/>
          <w:szCs w:val="22"/>
          <w:lang w:val="lt-LT"/>
        </w:rPr>
        <w:lastRenderedPageBreak/>
        <w:t>10.</w:t>
      </w:r>
      <w:r w:rsidRPr="00EC23FD">
        <w:rPr>
          <w:rFonts w:eastAsia="Times New Roman"/>
          <w:b/>
          <w:sz w:val="22"/>
          <w:szCs w:val="22"/>
          <w:lang w:val="lt-LT"/>
        </w:rPr>
        <w:tab/>
        <w:t xml:space="preserve">SPECIALIOS ATSARGUMO PRIEMONĖS DĖL NESUVARTOTO </w:t>
      </w:r>
      <w:r w:rsidRPr="00EC23FD">
        <w:rPr>
          <w:rFonts w:eastAsia="Times New Roman"/>
          <w:b/>
          <w:bCs/>
          <w:sz w:val="22"/>
          <w:szCs w:val="22"/>
          <w:lang w:val="lt-LT"/>
        </w:rPr>
        <w:t>VAISTINIO</w:t>
      </w: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eastAsia="Times New Roman"/>
          <w:b/>
          <w:sz w:val="22"/>
          <w:szCs w:val="22"/>
          <w:lang w:val="lt-LT"/>
        </w:rPr>
      </w:pPr>
      <w:r w:rsidRPr="00EC23FD">
        <w:rPr>
          <w:rFonts w:eastAsia="Times New Roman"/>
          <w:b/>
          <w:sz w:val="22"/>
          <w:szCs w:val="22"/>
          <w:lang w:val="lt-LT"/>
        </w:rPr>
        <w:t>PREPARATO AR JO ATLIEKŲ TVARKYMO (JEI REIKIA)</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11.</w:t>
      </w:r>
      <w:r w:rsidRPr="00EC23FD">
        <w:rPr>
          <w:rFonts w:eastAsia="Times New Roman"/>
          <w:b/>
          <w:sz w:val="22"/>
          <w:szCs w:val="22"/>
          <w:lang w:val="lt-LT"/>
        </w:rPr>
        <w:tab/>
      </w:r>
      <w:r w:rsidRPr="00062941">
        <w:rPr>
          <w:rFonts w:eastAsia="Times New Roman"/>
          <w:b/>
          <w:sz w:val="22"/>
          <w:szCs w:val="22"/>
          <w:lang w:val="lt-LT"/>
        </w:rPr>
        <w:t>LYGIAGRETUS IMPORTUOTOJAS</w:t>
      </w:r>
    </w:p>
    <w:p w:rsidR="00062941" w:rsidRPr="00EC23FD" w:rsidRDefault="00062941" w:rsidP="00062941">
      <w:pPr>
        <w:tabs>
          <w:tab w:val="left" w:pos="567"/>
        </w:tabs>
        <w:spacing w:after="0" w:line="240" w:lineRule="auto"/>
        <w:rPr>
          <w:rFonts w:eastAsia="Times New Roman"/>
          <w:sz w:val="22"/>
          <w:szCs w:val="22"/>
          <w:lang w:val="lt-LT"/>
        </w:rPr>
      </w:pPr>
    </w:p>
    <w:p w:rsidR="00062941" w:rsidRPr="002044CA" w:rsidRDefault="00062941" w:rsidP="00062941">
      <w:pPr>
        <w:tabs>
          <w:tab w:val="left" w:pos="567"/>
        </w:tabs>
        <w:rPr>
          <w:szCs w:val="22"/>
          <w:lang w:val="de-DE"/>
        </w:rPr>
      </w:pPr>
      <w:r w:rsidRPr="002044CA">
        <w:rPr>
          <w:szCs w:val="22"/>
          <w:lang w:val="de-DE"/>
        </w:rPr>
        <w:t xml:space="preserve">Lygiagretus importuotojas UAB </w:t>
      </w:r>
      <w:r>
        <w:rPr>
          <w:szCs w:val="22"/>
          <w:lang w:val="de-DE"/>
        </w:rPr>
        <w:t>„Adeofarma</w:t>
      </w:r>
      <w:r w:rsidRPr="002044CA">
        <w:rPr>
          <w:szCs w:val="22"/>
          <w:lang w:val="de-DE"/>
        </w:rPr>
        <w:t>“.</w:t>
      </w:r>
    </w:p>
    <w:p w:rsidR="00062941" w:rsidRPr="00062941" w:rsidRDefault="00062941" w:rsidP="00062941">
      <w:pPr>
        <w:spacing w:after="0" w:line="240" w:lineRule="auto"/>
        <w:ind w:firstLine="142"/>
        <w:rPr>
          <w:rFonts w:eastAsia="Times New Roman"/>
          <w:sz w:val="22"/>
          <w:szCs w:val="22"/>
          <w:lang w:val="de-DE"/>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12.</w:t>
      </w:r>
      <w:r w:rsidRPr="00EC23FD">
        <w:rPr>
          <w:rFonts w:eastAsia="Times New Roman"/>
          <w:b/>
          <w:sz w:val="22"/>
          <w:szCs w:val="22"/>
          <w:lang w:val="lt-LT"/>
        </w:rPr>
        <w:tab/>
      </w:r>
      <w:r w:rsidRPr="00062941">
        <w:rPr>
          <w:rFonts w:eastAsia="Times New Roman"/>
          <w:b/>
          <w:sz w:val="22"/>
          <w:szCs w:val="22"/>
          <w:lang w:val="lt-LT"/>
        </w:rPr>
        <w:t>LYGIAGRETAUS IMPORTO LEIDIMO NUMERIS</w:t>
      </w:r>
    </w:p>
    <w:p w:rsidR="00062941" w:rsidRPr="00062941" w:rsidRDefault="00062941" w:rsidP="00062941">
      <w:pPr>
        <w:tabs>
          <w:tab w:val="left" w:pos="567"/>
        </w:tabs>
        <w:spacing w:after="0" w:line="240" w:lineRule="auto"/>
        <w:rPr>
          <w:rFonts w:eastAsia="Times New Roman"/>
          <w:b/>
          <w:sz w:val="22"/>
          <w:szCs w:val="22"/>
          <w:lang w:val="lt-LT"/>
        </w:rPr>
      </w:pPr>
    </w:p>
    <w:p w:rsidR="00062941" w:rsidRPr="00062941" w:rsidRDefault="00062941" w:rsidP="00062941">
      <w:pPr>
        <w:rPr>
          <w:szCs w:val="22"/>
          <w:lang w:val="de-DE"/>
        </w:rPr>
      </w:pPr>
      <w:r w:rsidRPr="00062941">
        <w:rPr>
          <w:szCs w:val="22"/>
          <w:lang w:val="de-DE"/>
        </w:rPr>
        <w:t>Lygiagretaus imp</w:t>
      </w:r>
      <w:r>
        <w:rPr>
          <w:szCs w:val="22"/>
          <w:lang w:val="de-DE"/>
        </w:rPr>
        <w:t>orto numeris</w:t>
      </w:r>
      <w:r w:rsidR="008A2155">
        <w:rPr>
          <w:szCs w:val="22"/>
          <w:lang w:val="de-DE"/>
        </w:rPr>
        <w:t>: LT/L/</w:t>
      </w:r>
      <w:r w:rsidR="00AF1BE7">
        <w:rPr>
          <w:szCs w:val="22"/>
          <w:lang w:val="de-DE"/>
        </w:rPr>
        <w:t>16/0350/001</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13.</w:t>
      </w:r>
      <w:r w:rsidRPr="00EC23FD">
        <w:rPr>
          <w:rFonts w:eastAsia="Times New Roman"/>
          <w:b/>
          <w:sz w:val="22"/>
          <w:szCs w:val="22"/>
          <w:lang w:val="lt-LT"/>
        </w:rPr>
        <w:tab/>
        <w:t>SERIJOS NUMERIS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Serija {numeris}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14.</w:t>
      </w:r>
      <w:r w:rsidRPr="00EC23FD">
        <w:rPr>
          <w:rFonts w:eastAsia="Times New Roman"/>
          <w:b/>
          <w:sz w:val="22"/>
          <w:szCs w:val="22"/>
          <w:lang w:val="lt-LT"/>
        </w:rPr>
        <w:tab/>
        <w:t>PARDAVIMO (IŠDAVIMO) TVARKA</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Receptinis vaistinis preparatas.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15.</w:t>
      </w:r>
      <w:r w:rsidRPr="00EC23FD">
        <w:rPr>
          <w:rFonts w:eastAsia="Times New Roman"/>
          <w:b/>
          <w:sz w:val="22"/>
          <w:szCs w:val="22"/>
          <w:lang w:val="lt-LT"/>
        </w:rPr>
        <w:tab/>
        <w:t>VARTOJIMO INSTRUKCIJA</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pBdr>
          <w:top w:val="single" w:sz="4" w:space="1" w:color="auto"/>
          <w:left w:val="single" w:sz="4" w:space="4" w:color="auto"/>
          <w:bottom w:val="single" w:sz="4" w:space="1" w:color="auto"/>
          <w:right w:val="single" w:sz="4" w:space="4" w:color="auto"/>
        </w:pBdr>
        <w:tabs>
          <w:tab w:val="left" w:pos="540"/>
        </w:tabs>
        <w:spacing w:after="0" w:line="240" w:lineRule="auto"/>
        <w:rPr>
          <w:rFonts w:eastAsia="Times New Roman"/>
          <w:b/>
          <w:sz w:val="22"/>
          <w:szCs w:val="22"/>
          <w:lang w:val="lt-LT"/>
        </w:rPr>
      </w:pPr>
      <w:r w:rsidRPr="00EC23FD">
        <w:rPr>
          <w:rFonts w:eastAsia="Times New Roman"/>
          <w:b/>
          <w:sz w:val="22"/>
          <w:szCs w:val="22"/>
          <w:lang w:val="lt-LT"/>
        </w:rPr>
        <w:t>16.</w:t>
      </w:r>
      <w:r w:rsidRPr="00EC23FD">
        <w:rPr>
          <w:rFonts w:eastAsia="Times New Roman"/>
          <w:b/>
          <w:sz w:val="22"/>
          <w:szCs w:val="22"/>
          <w:lang w:val="lt-LT"/>
        </w:rPr>
        <w:tab/>
        <w:t>INFORMACIJA BRAILIO RAŠTU</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tobrex akių tepalas</w:t>
      </w:r>
    </w:p>
    <w:p w:rsidR="00062941" w:rsidRDefault="00062941" w:rsidP="00062941">
      <w:pPr>
        <w:tabs>
          <w:tab w:val="left" w:pos="567"/>
        </w:tabs>
        <w:spacing w:after="0" w:line="240" w:lineRule="auto"/>
        <w:rPr>
          <w:rFonts w:eastAsia="Times New Roman"/>
          <w:sz w:val="22"/>
          <w:szCs w:val="22"/>
          <w:lang w:val="lt-LT"/>
        </w:rPr>
      </w:pPr>
    </w:p>
    <w:p w:rsidR="00062941" w:rsidRDefault="00062941" w:rsidP="00062941">
      <w:pPr>
        <w:tabs>
          <w:tab w:val="left" w:pos="567"/>
        </w:tabs>
        <w:spacing w:after="0" w:line="240" w:lineRule="auto"/>
        <w:rPr>
          <w:noProof/>
          <w:szCs w:val="22"/>
        </w:rPr>
      </w:pPr>
      <w:r w:rsidRPr="002044CA">
        <w:rPr>
          <w:noProof/>
          <w:szCs w:val="22"/>
        </w:rPr>
        <w:t>Gamintojas</w:t>
      </w:r>
      <w:r>
        <w:rPr>
          <w:noProof/>
          <w:szCs w:val="22"/>
        </w:rPr>
        <w:t>:</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 xml:space="preserve">s.a. ALCON–COUVREUR n.v. </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Rijksweg 14</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B-2870 Puurs</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 xml:space="preserve">Belgija </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highlight w:val="yellow"/>
          <w:lang w:val="lt-LT"/>
        </w:rPr>
      </w:pPr>
      <w:r w:rsidRPr="00EC23FD">
        <w:rPr>
          <w:rFonts w:eastAsia="Times New Roman"/>
          <w:sz w:val="22"/>
          <w:szCs w:val="22"/>
          <w:lang w:val="lt-LT"/>
        </w:rPr>
        <w:t>arba</w:t>
      </w:r>
    </w:p>
    <w:p w:rsidR="00062941" w:rsidRPr="00EC23FD" w:rsidRDefault="00062941" w:rsidP="00062941">
      <w:pPr>
        <w:tabs>
          <w:tab w:val="left" w:pos="567"/>
        </w:tabs>
        <w:spacing w:after="0" w:line="240" w:lineRule="auto"/>
        <w:rPr>
          <w:rFonts w:eastAsia="Times New Roman"/>
          <w:sz w:val="22"/>
          <w:szCs w:val="22"/>
          <w:highlight w:val="yellow"/>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Alcon Cusi S.A.</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Camil Fabra 58, Barselona</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Ispanija</w:t>
      </w:r>
    </w:p>
    <w:p w:rsidR="00062941" w:rsidRDefault="00062941" w:rsidP="00062941">
      <w:pPr>
        <w:tabs>
          <w:tab w:val="left" w:pos="567"/>
        </w:tabs>
        <w:spacing w:after="0" w:line="240" w:lineRule="auto"/>
        <w:rPr>
          <w:noProof/>
          <w:szCs w:val="22"/>
        </w:rPr>
      </w:pPr>
    </w:p>
    <w:p w:rsidR="00062941" w:rsidRPr="002044CA" w:rsidRDefault="00062941" w:rsidP="00062941">
      <w:pPr>
        <w:tabs>
          <w:tab w:val="left" w:pos="567"/>
        </w:tabs>
        <w:spacing w:after="0" w:line="240" w:lineRule="auto"/>
        <w:rPr>
          <w:noProof/>
          <w:szCs w:val="22"/>
        </w:rPr>
      </w:pPr>
      <w:r w:rsidRPr="00062941">
        <w:rPr>
          <w:noProof/>
          <w:szCs w:val="22"/>
        </w:rPr>
        <w:t>Perpakavo UAB „Entafarma“.</w:t>
      </w:r>
    </w:p>
    <w:p w:rsidR="00062941" w:rsidRPr="002044CA" w:rsidRDefault="00062941" w:rsidP="00062941">
      <w:pPr>
        <w:tabs>
          <w:tab w:val="left" w:pos="567"/>
        </w:tabs>
        <w:spacing w:after="0" w:line="240" w:lineRule="auto"/>
        <w:rPr>
          <w:noProof/>
          <w:szCs w:val="22"/>
        </w:rPr>
      </w:pPr>
    </w:p>
    <w:p w:rsidR="00062941" w:rsidRPr="002044CA" w:rsidRDefault="00062941" w:rsidP="00062941">
      <w:pPr>
        <w:rPr>
          <w:szCs w:val="22"/>
        </w:rPr>
      </w:pPr>
      <w:r w:rsidRPr="002044CA">
        <w:rPr>
          <w:szCs w:val="22"/>
        </w:rPr>
        <w:t>Perpak.serija:</w:t>
      </w:r>
    </w:p>
    <w:p w:rsidR="00062941" w:rsidRPr="003C2C8A" w:rsidRDefault="003C2C8A" w:rsidP="00062941">
      <w:pPr>
        <w:tabs>
          <w:tab w:val="left" w:pos="567"/>
        </w:tabs>
        <w:spacing w:after="0" w:line="240" w:lineRule="auto"/>
        <w:rPr>
          <w:rFonts w:eastAsia="Times New Roman"/>
          <w:i/>
          <w:sz w:val="22"/>
          <w:szCs w:val="22"/>
        </w:rPr>
      </w:pPr>
      <w:r w:rsidRPr="003C2C8A">
        <w:rPr>
          <w:rFonts w:eastAsia="Times New Roman"/>
          <w:i/>
          <w:sz w:val="22"/>
          <w:szCs w:val="22"/>
        </w:rPr>
        <w:t xml:space="preserve">Lygiagretus vaistinis preparatas skiriasi nuo </w:t>
      </w:r>
      <w:r>
        <w:rPr>
          <w:rFonts w:eastAsia="Times New Roman"/>
          <w:i/>
          <w:sz w:val="22"/>
          <w:szCs w:val="22"/>
        </w:rPr>
        <w:t xml:space="preserve">referencinio laikymo sąlygomis: </w:t>
      </w:r>
      <w:r w:rsidR="000F53C8">
        <w:rPr>
          <w:rFonts w:eastAsia="Times New Roman"/>
          <w:i/>
          <w:sz w:val="22"/>
          <w:szCs w:val="22"/>
        </w:rPr>
        <w:t>lygia</w:t>
      </w:r>
      <w:r>
        <w:rPr>
          <w:rFonts w:eastAsia="Times New Roman"/>
          <w:i/>
          <w:sz w:val="22"/>
          <w:szCs w:val="22"/>
        </w:rPr>
        <w:t>g</w:t>
      </w:r>
      <w:r w:rsidRPr="003C2C8A">
        <w:rPr>
          <w:rFonts w:eastAsia="Times New Roman"/>
          <w:i/>
          <w:sz w:val="22"/>
          <w:szCs w:val="22"/>
        </w:rPr>
        <w:t>rečiai importuojamas vaistinis preparatas- laikyti gamintojo pak</w:t>
      </w:r>
      <w:r>
        <w:rPr>
          <w:rFonts w:eastAsia="Times New Roman"/>
          <w:i/>
          <w:sz w:val="22"/>
          <w:szCs w:val="22"/>
        </w:rPr>
        <w:t>u</w:t>
      </w:r>
      <w:r w:rsidRPr="003C2C8A">
        <w:rPr>
          <w:rFonts w:eastAsia="Times New Roman"/>
          <w:i/>
          <w:sz w:val="22"/>
          <w:szCs w:val="22"/>
        </w:rPr>
        <w:t>otėje, negalima šaldyti, refer</w:t>
      </w:r>
      <w:r>
        <w:rPr>
          <w:rFonts w:eastAsia="Times New Roman"/>
          <w:i/>
          <w:sz w:val="22"/>
          <w:szCs w:val="22"/>
        </w:rPr>
        <w:t>e</w:t>
      </w:r>
      <w:r w:rsidRPr="003C2C8A">
        <w:rPr>
          <w:rFonts w:eastAsia="Times New Roman"/>
          <w:i/>
          <w:sz w:val="22"/>
          <w:szCs w:val="22"/>
        </w:rPr>
        <w:t>ncinio vaistinio preparato –nenurodoma.</w:t>
      </w:r>
    </w:p>
    <w:p w:rsidR="00AC0C69" w:rsidRPr="003C2C8A" w:rsidRDefault="00AC0C69" w:rsidP="00AC0C69">
      <w:pPr>
        <w:tabs>
          <w:tab w:val="left" w:pos="567"/>
        </w:tabs>
        <w:spacing w:after="0" w:line="240" w:lineRule="auto"/>
        <w:rPr>
          <w:rFonts w:eastAsia="Times New Roman"/>
          <w:color w:val="0000FF"/>
          <w:sz w:val="22"/>
          <w:szCs w:val="22"/>
        </w:rPr>
      </w:pPr>
    </w:p>
    <w:p w:rsidR="00062941" w:rsidRPr="00EC23FD" w:rsidRDefault="00062941" w:rsidP="00062941">
      <w:pPr>
        <w:rPr>
          <w:rFonts w:eastAsia="Times New Roman"/>
          <w:sz w:val="22"/>
          <w:szCs w:val="22"/>
          <w:lang w:val="lt-LT"/>
        </w:rPr>
      </w:pPr>
      <w:r w:rsidRPr="00EC23FD">
        <w:rPr>
          <w:rFonts w:eastAsia="Times New Roman"/>
          <w:sz w:val="22"/>
          <w:szCs w:val="22"/>
          <w:lang w:val="lt-LT"/>
        </w:rPr>
        <w:br w:type="page"/>
      </w: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outlineLvl w:val="0"/>
        <w:rPr>
          <w:rFonts w:eastAsia="Times New Roman"/>
          <w:b/>
          <w:caps/>
          <w:sz w:val="22"/>
          <w:szCs w:val="22"/>
          <w:lang w:val="lt-LT"/>
        </w:rPr>
      </w:pPr>
    </w:p>
    <w:p w:rsidR="00062941" w:rsidRPr="00EC23FD" w:rsidRDefault="00062941" w:rsidP="00062941">
      <w:pPr>
        <w:tabs>
          <w:tab w:val="left" w:pos="567"/>
        </w:tabs>
        <w:spacing w:after="0" w:line="240" w:lineRule="auto"/>
        <w:ind w:left="567" w:hanging="567"/>
        <w:jc w:val="center"/>
        <w:outlineLvl w:val="0"/>
        <w:rPr>
          <w:rFonts w:eastAsia="Times New Roman"/>
          <w:b/>
          <w:caps/>
          <w:sz w:val="22"/>
          <w:szCs w:val="22"/>
          <w:lang w:val="lt-LT"/>
        </w:rPr>
      </w:pPr>
      <w:bookmarkStart w:id="2" w:name="_Toc129243262"/>
      <w:bookmarkStart w:id="3" w:name="_Toc129243137"/>
      <w:r w:rsidRPr="00EC23FD">
        <w:rPr>
          <w:rFonts w:eastAsia="Times New Roman"/>
          <w:b/>
          <w:caps/>
          <w:sz w:val="22"/>
          <w:szCs w:val="22"/>
          <w:lang w:val="lt-LT"/>
        </w:rPr>
        <w:t>B. PAKUOTĖS LAPELIS</w:t>
      </w:r>
      <w:bookmarkEnd w:id="2"/>
      <w:bookmarkEnd w:id="3"/>
    </w:p>
    <w:p w:rsidR="00062941" w:rsidRPr="00EC23FD" w:rsidRDefault="00062941" w:rsidP="00062941">
      <w:pPr>
        <w:rPr>
          <w:rFonts w:eastAsia="Times New Roman"/>
          <w:b/>
          <w:caps/>
          <w:sz w:val="22"/>
          <w:szCs w:val="22"/>
          <w:lang w:val="lt-LT"/>
        </w:rPr>
      </w:pPr>
      <w:r w:rsidRPr="00EC23FD">
        <w:rPr>
          <w:rFonts w:eastAsia="Times New Roman"/>
          <w:b/>
          <w:caps/>
          <w:sz w:val="22"/>
          <w:szCs w:val="22"/>
          <w:lang w:val="lt-LT"/>
        </w:rPr>
        <w:br w:type="page"/>
      </w:r>
    </w:p>
    <w:p w:rsidR="00062941" w:rsidRPr="00EC23FD" w:rsidRDefault="00062941" w:rsidP="00062941">
      <w:pPr>
        <w:tabs>
          <w:tab w:val="left" w:pos="567"/>
        </w:tabs>
        <w:spacing w:after="0" w:line="240" w:lineRule="auto"/>
        <w:ind w:left="567" w:hanging="567"/>
        <w:jc w:val="center"/>
        <w:outlineLvl w:val="0"/>
        <w:rPr>
          <w:rFonts w:eastAsia="Times New Roman"/>
          <w:b/>
          <w:caps/>
          <w:strike/>
          <w:sz w:val="22"/>
          <w:szCs w:val="22"/>
          <w:lang w:val="lt-LT"/>
        </w:rPr>
      </w:pPr>
      <w:bookmarkStart w:id="4" w:name="_Toc129243138"/>
      <w:bookmarkStart w:id="5" w:name="_Toc129243263"/>
      <w:r w:rsidRPr="00EC23FD">
        <w:rPr>
          <w:rFonts w:eastAsia="Times New Roman"/>
          <w:b/>
          <w:sz w:val="22"/>
          <w:szCs w:val="22"/>
          <w:lang w:val="lt-LT"/>
        </w:rPr>
        <w:lastRenderedPageBreak/>
        <w:t>Pakuotės lapelis: informacija vartotojui</w:t>
      </w:r>
      <w:bookmarkEnd w:id="4"/>
      <w:bookmarkEnd w:id="5"/>
    </w:p>
    <w:p w:rsidR="00062941" w:rsidRPr="00EC23FD" w:rsidRDefault="00062941" w:rsidP="00062941">
      <w:pPr>
        <w:spacing w:after="0" w:line="240" w:lineRule="auto"/>
        <w:jc w:val="center"/>
        <w:rPr>
          <w:rFonts w:eastAsia="Times New Roman"/>
          <w:sz w:val="22"/>
          <w:szCs w:val="22"/>
          <w:lang w:val="lt-LT"/>
        </w:rPr>
      </w:pPr>
    </w:p>
    <w:p w:rsidR="00062941" w:rsidRPr="00EC23FD" w:rsidRDefault="00062941" w:rsidP="00062941">
      <w:pPr>
        <w:keepNext/>
        <w:spacing w:after="0" w:line="240" w:lineRule="auto"/>
        <w:jc w:val="center"/>
        <w:outlineLvl w:val="1"/>
        <w:rPr>
          <w:rFonts w:eastAsia="Times New Roman"/>
          <w:b/>
          <w:sz w:val="22"/>
          <w:szCs w:val="22"/>
          <w:lang w:val="lt-LT"/>
        </w:rPr>
      </w:pPr>
      <w:r w:rsidRPr="00EC23FD">
        <w:rPr>
          <w:rFonts w:eastAsia="Times New Roman"/>
          <w:b/>
          <w:sz w:val="22"/>
          <w:szCs w:val="22"/>
          <w:lang w:val="lt-LT"/>
        </w:rPr>
        <w:t>TOBREX 3 mg/g akių tepalas</w:t>
      </w:r>
    </w:p>
    <w:p w:rsidR="00062941" w:rsidRPr="00EC23FD" w:rsidRDefault="00062941" w:rsidP="00062941">
      <w:pPr>
        <w:spacing w:after="0" w:line="240" w:lineRule="auto"/>
        <w:jc w:val="center"/>
        <w:rPr>
          <w:rFonts w:eastAsia="Times New Roman"/>
          <w:sz w:val="22"/>
          <w:szCs w:val="22"/>
          <w:lang w:val="lt-LT"/>
        </w:rPr>
      </w:pPr>
      <w:r w:rsidRPr="00EC23FD">
        <w:rPr>
          <w:rFonts w:eastAsia="Times New Roman"/>
          <w:sz w:val="22"/>
          <w:szCs w:val="22"/>
          <w:lang w:val="lt-LT"/>
        </w:rPr>
        <w:t>Tobramicinas</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sz w:val="22"/>
          <w:szCs w:val="22"/>
          <w:lang w:val="lt-LT"/>
        </w:rPr>
      </w:pPr>
      <w:r w:rsidRPr="00EC23FD">
        <w:rPr>
          <w:rFonts w:eastAsia="Times New Roman"/>
          <w:b/>
          <w:sz w:val="22"/>
          <w:szCs w:val="22"/>
          <w:lang w:val="lt-LT"/>
        </w:rPr>
        <w:t>Atidžiai perskaitykite visą šį lapelį, prieš pradėdami vartoti vaistą, nes jame pateikiama Jums svarbi informacija.</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Neišmeskite šio lapelio, nes vėl gali prireikti jį perskaityti.</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Jeigu kiltų daugiau klausimų, kreipkitės į gydytoją arba vaistininką.</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 xml:space="preserve">Šis vaistas skirtas Jums, todėl kitiems žmonėms jo duoti negalima. Vaistas gali jiems pakenkti </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(net tiems, kurių ligos simptomai yra tokie patys kaip Jūsų).</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Jeigu pasireiškė šalutinis poveikis (net jeigu jis šiame lapelyje nenurodytas), kreipkitės į</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gydytoją arba vaistininką.</w:t>
      </w:r>
      <w:r w:rsidRPr="00EC23FD">
        <w:rPr>
          <w:rFonts w:eastAsia="Times New Roman"/>
          <w:noProof/>
          <w:snapToGrid w:val="0"/>
          <w:sz w:val="22"/>
          <w:szCs w:val="22"/>
          <w:lang w:val="lt-LT"/>
        </w:rPr>
        <w:t xml:space="preserve"> </w:t>
      </w:r>
      <w:r w:rsidRPr="00EC23FD">
        <w:rPr>
          <w:rFonts w:eastAsia="Times New Roman"/>
          <w:sz w:val="22"/>
          <w:szCs w:val="22"/>
          <w:lang w:val="lt-LT"/>
        </w:rPr>
        <w:t>Žr. 4 skyrių.</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sz w:val="22"/>
          <w:szCs w:val="22"/>
          <w:lang w:val="lt-LT"/>
        </w:rPr>
      </w:pPr>
      <w:r w:rsidRPr="00EC23FD">
        <w:rPr>
          <w:rFonts w:eastAsia="Times New Roman"/>
          <w:b/>
          <w:sz w:val="22"/>
          <w:szCs w:val="22"/>
          <w:lang w:val="lt-LT"/>
        </w:rPr>
        <w:t>Apie ką rašoma šiame lapelyje?</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1.</w:t>
      </w:r>
      <w:r w:rsidRPr="00EC23FD">
        <w:rPr>
          <w:rFonts w:eastAsia="Times New Roman"/>
          <w:sz w:val="22"/>
          <w:szCs w:val="22"/>
          <w:lang w:val="lt-LT"/>
        </w:rPr>
        <w:tab/>
        <w:t>Kas yra TOBREX ir kam jis vartojamas</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2.</w:t>
      </w:r>
      <w:r w:rsidRPr="00EC23FD">
        <w:rPr>
          <w:rFonts w:eastAsia="Times New Roman"/>
          <w:sz w:val="22"/>
          <w:szCs w:val="22"/>
          <w:lang w:val="lt-LT"/>
        </w:rPr>
        <w:tab/>
        <w:t xml:space="preserve">Kas žinotina prieš vartojant TOBREX </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3.</w:t>
      </w:r>
      <w:r w:rsidRPr="00EC23FD">
        <w:rPr>
          <w:rFonts w:eastAsia="Times New Roman"/>
          <w:sz w:val="22"/>
          <w:szCs w:val="22"/>
          <w:lang w:val="lt-LT"/>
        </w:rPr>
        <w:tab/>
        <w:t xml:space="preserve">Kaip vartoti TOBREX </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4.</w:t>
      </w:r>
      <w:r w:rsidRPr="00EC23FD">
        <w:rPr>
          <w:rFonts w:eastAsia="Times New Roman"/>
          <w:sz w:val="22"/>
          <w:szCs w:val="22"/>
          <w:lang w:val="lt-LT"/>
        </w:rPr>
        <w:tab/>
        <w:t>Galimas šalutinis poveikis</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5.</w:t>
      </w:r>
      <w:r w:rsidRPr="00EC23FD">
        <w:rPr>
          <w:rFonts w:eastAsia="Times New Roman"/>
          <w:sz w:val="22"/>
          <w:szCs w:val="22"/>
          <w:lang w:val="lt-LT"/>
        </w:rPr>
        <w:tab/>
        <w:t xml:space="preserve">Kaip laikyti TOBREX </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6.</w:t>
      </w:r>
      <w:r w:rsidRPr="00EC23FD">
        <w:rPr>
          <w:rFonts w:eastAsia="Times New Roman"/>
          <w:sz w:val="22"/>
          <w:szCs w:val="22"/>
          <w:lang w:val="lt-LT"/>
        </w:rPr>
        <w:tab/>
        <w:t>Pakuotės turinys ir kita informacija</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keepNext/>
        <w:tabs>
          <w:tab w:val="left" w:pos="567"/>
        </w:tabs>
        <w:spacing w:after="0" w:line="240" w:lineRule="auto"/>
        <w:ind w:left="567" w:hanging="567"/>
        <w:outlineLvl w:val="1"/>
        <w:rPr>
          <w:rFonts w:eastAsia="Times New Roman"/>
          <w:b/>
          <w:sz w:val="22"/>
          <w:szCs w:val="22"/>
          <w:lang w:val="lt-LT"/>
        </w:rPr>
      </w:pPr>
      <w:bookmarkStart w:id="6" w:name="_Toc129243139"/>
      <w:bookmarkStart w:id="7" w:name="_Toc129243264"/>
    </w:p>
    <w:p w:rsidR="00062941" w:rsidRPr="00EC23FD" w:rsidRDefault="00062941" w:rsidP="00062941">
      <w:pPr>
        <w:keepNext/>
        <w:tabs>
          <w:tab w:val="left" w:pos="567"/>
        </w:tabs>
        <w:spacing w:after="0" w:line="240" w:lineRule="auto"/>
        <w:ind w:left="567" w:hanging="567"/>
        <w:outlineLvl w:val="1"/>
        <w:rPr>
          <w:rFonts w:eastAsia="Times New Roman"/>
          <w:b/>
          <w:sz w:val="22"/>
          <w:szCs w:val="22"/>
          <w:lang w:val="lt-LT"/>
        </w:rPr>
      </w:pPr>
      <w:r w:rsidRPr="00EC23FD">
        <w:rPr>
          <w:rFonts w:eastAsia="Times New Roman"/>
          <w:b/>
          <w:sz w:val="22"/>
          <w:szCs w:val="22"/>
          <w:lang w:val="lt-LT"/>
        </w:rPr>
        <w:t>1.</w:t>
      </w:r>
      <w:r w:rsidRPr="00EC23FD">
        <w:rPr>
          <w:rFonts w:eastAsia="Times New Roman"/>
          <w:b/>
          <w:sz w:val="22"/>
          <w:szCs w:val="22"/>
          <w:lang w:val="lt-LT"/>
        </w:rPr>
        <w:tab/>
        <w:t>Kas yra TOBREX ir kam jis vartojamas</w:t>
      </w:r>
      <w:bookmarkEnd w:id="6"/>
      <w:bookmarkEnd w:id="7"/>
    </w:p>
    <w:p w:rsidR="00062941" w:rsidRPr="00EC23FD" w:rsidRDefault="00062941" w:rsidP="00062941">
      <w:pPr>
        <w:spacing w:after="0" w:line="240" w:lineRule="auto"/>
        <w:rPr>
          <w:rFonts w:eastAsia="Times New Roman"/>
          <w:b/>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 xml:space="preserve">TOBREX akių tepalas vartojamas tobramicinui jautrių bakterijų sukeltų akies ir jos priedinių organų (vokų, junginės, ir ašarų aparato) paviršinių infekcinių ligų gydymui suaugusiems žmonėms ir 1 metų bei vyresniems vaikams. </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TOBREX yra vienas iš antiinfekcinių vaistų.</w:t>
      </w:r>
      <w:r w:rsidRPr="00EC23FD">
        <w:rPr>
          <w:rFonts w:eastAsia="Times New Roman"/>
          <w:b/>
          <w:sz w:val="22"/>
          <w:szCs w:val="22"/>
          <w:lang w:val="lt-LT"/>
        </w:rPr>
        <w:t xml:space="preserve"> </w:t>
      </w:r>
      <w:r w:rsidRPr="00EC23FD">
        <w:rPr>
          <w:rFonts w:eastAsia="Times New Roman"/>
          <w:sz w:val="22"/>
          <w:szCs w:val="22"/>
          <w:lang w:val="lt-LT"/>
        </w:rPr>
        <w:t>Šiai grupei priklauso antibiotikai (iš jų ir tobramicinas), veikiantys daugelį mikroorganizmų, galinčių sukelti akių ligas.</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keepNext/>
        <w:tabs>
          <w:tab w:val="left" w:pos="567"/>
        </w:tabs>
        <w:spacing w:after="0" w:line="240" w:lineRule="auto"/>
        <w:ind w:left="567" w:hanging="567"/>
        <w:outlineLvl w:val="1"/>
        <w:rPr>
          <w:rFonts w:eastAsia="Times New Roman"/>
          <w:b/>
          <w:sz w:val="22"/>
          <w:szCs w:val="22"/>
          <w:lang w:val="lt-LT"/>
        </w:rPr>
      </w:pPr>
      <w:bookmarkStart w:id="8" w:name="_Toc129243140"/>
      <w:bookmarkStart w:id="9" w:name="_Toc129243265"/>
      <w:r w:rsidRPr="00EC23FD">
        <w:rPr>
          <w:rFonts w:eastAsia="Times New Roman"/>
          <w:b/>
          <w:sz w:val="22"/>
          <w:szCs w:val="22"/>
          <w:lang w:val="lt-LT"/>
        </w:rPr>
        <w:t>2.</w:t>
      </w:r>
      <w:r w:rsidRPr="00EC23FD">
        <w:rPr>
          <w:rFonts w:eastAsia="Times New Roman"/>
          <w:b/>
          <w:sz w:val="22"/>
          <w:szCs w:val="22"/>
          <w:lang w:val="lt-LT"/>
        </w:rPr>
        <w:tab/>
        <w:t>Kas žinotina prieš vartojant TOBREX</w:t>
      </w:r>
      <w:bookmarkEnd w:id="8"/>
      <w:bookmarkEnd w:id="9"/>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bCs/>
          <w:sz w:val="22"/>
          <w:szCs w:val="22"/>
          <w:lang w:val="lt-LT"/>
        </w:rPr>
      </w:pPr>
      <w:r w:rsidRPr="00EC23FD">
        <w:rPr>
          <w:rFonts w:eastAsia="Times New Roman"/>
          <w:b/>
          <w:bCs/>
          <w:sz w:val="22"/>
          <w:szCs w:val="22"/>
          <w:lang w:val="lt-LT"/>
        </w:rPr>
        <w:t>TOBREX vartoti negalima:</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jeigu yra alergija veikliajai arba bet kuriai pagalbinei šio vaisto medžiagai (jos išvardytos 6 skyriuje);</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jeigu yra padidėjęs jautrumas kitiems aminoglikozidams (pvz., gentamicinui).</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bCs/>
          <w:sz w:val="22"/>
          <w:szCs w:val="22"/>
          <w:lang w:val="lt-LT"/>
        </w:rPr>
      </w:pPr>
      <w:r w:rsidRPr="00EC23FD">
        <w:rPr>
          <w:rFonts w:eastAsia="Times New Roman"/>
          <w:b/>
          <w:bCs/>
          <w:sz w:val="22"/>
          <w:szCs w:val="22"/>
          <w:lang w:val="lt-LT"/>
        </w:rPr>
        <w:t>Įspėjimai ir atsargumo priemonės</w:t>
      </w:r>
    </w:p>
    <w:p w:rsidR="00062941" w:rsidRPr="00EC23FD" w:rsidRDefault="00062941" w:rsidP="00062941">
      <w:pPr>
        <w:numPr>
          <w:ilvl w:val="12"/>
          <w:numId w:val="0"/>
        </w:numPr>
        <w:spacing w:after="0" w:line="240" w:lineRule="auto"/>
        <w:ind w:right="-2"/>
        <w:rPr>
          <w:sz w:val="22"/>
          <w:szCs w:val="22"/>
          <w:lang w:val="lt-LT"/>
        </w:rPr>
      </w:pPr>
      <w:r w:rsidRPr="00EC23FD">
        <w:rPr>
          <w:noProof/>
          <w:sz w:val="22"/>
          <w:szCs w:val="22"/>
          <w:lang w:val="lt-LT"/>
        </w:rPr>
        <w:t>Pasitarkite su gydytoju arba vaistininku, prieš pradėdami vartoti TOBREX.</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jeigu pradėjo niežėti ar patino vokai, paraudo akys, nustokite vartoti vaistą ir kreipkitės į gydytoją</w:t>
      </w:r>
      <w:r w:rsidRPr="00EC23FD">
        <w:rPr>
          <w:rFonts w:eastAsia="Times New Roman"/>
          <w:snapToGrid w:val="0"/>
          <w:sz w:val="22"/>
          <w:szCs w:val="22"/>
          <w:lang w:val="lt-LT"/>
        </w:rPr>
        <w:t xml:space="preserve">. Toks alerginis jautrumas gali pasireikšti vartojant ir kitokių vietinio ar sisteminio poveikio </w:t>
      </w:r>
      <w:r w:rsidRPr="00EC23FD">
        <w:rPr>
          <w:rFonts w:eastAsia="Times New Roman"/>
          <w:sz w:val="22"/>
          <w:szCs w:val="22"/>
          <w:lang w:val="lt-LT"/>
        </w:rPr>
        <w:t>aminoglikozidų grupės antibiotikų;</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jeigu kartu su TOBREX akių tepalu vartojate kitus antibiotikus, pasitarkite su gydytoju;</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jeigu Jūsų simptomai pasunkėja ar staiga atsinaujina. Jei TOBREX vartojate ilgai, gali padidėti akies infekcijos pavojus;</w:t>
      </w:r>
    </w:p>
    <w:p w:rsidR="00062941" w:rsidRPr="00EC23FD" w:rsidRDefault="00062941" w:rsidP="00062941">
      <w:pPr>
        <w:pStyle w:val="Sraopastraipa"/>
        <w:numPr>
          <w:ilvl w:val="0"/>
          <w:numId w:val="3"/>
        </w:numPr>
        <w:tabs>
          <w:tab w:val="num" w:pos="567"/>
        </w:tabs>
        <w:spacing w:after="0" w:line="240" w:lineRule="auto"/>
        <w:ind w:left="567" w:hanging="567"/>
        <w:rPr>
          <w:rFonts w:eastAsia="Times New Roman"/>
          <w:sz w:val="22"/>
          <w:szCs w:val="22"/>
          <w:lang w:val="lt-LT"/>
        </w:rPr>
      </w:pPr>
      <w:r w:rsidRPr="00EC23FD">
        <w:rPr>
          <w:rFonts w:eastAsia="Times New Roman"/>
          <w:sz w:val="22"/>
          <w:szCs w:val="22"/>
          <w:lang w:val="lt-LT"/>
        </w:rPr>
        <w:t>akių tepalai gali lėtinti akių opų gijimą.</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Esant akių infekcijai nenešiokite kontaktinių lęšių.</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b/>
          <w:sz w:val="22"/>
          <w:szCs w:val="22"/>
          <w:lang w:val="lt-LT"/>
        </w:rPr>
        <w:t>Vaikams ir paaugliams</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Nevartokite TOBREX akių tepalo vaikams iki 1 metų.</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bCs/>
          <w:sz w:val="22"/>
          <w:szCs w:val="22"/>
          <w:lang w:val="lt-LT"/>
        </w:rPr>
      </w:pPr>
      <w:r w:rsidRPr="00EC23FD">
        <w:rPr>
          <w:rFonts w:eastAsia="Times New Roman"/>
          <w:b/>
          <w:bCs/>
          <w:sz w:val="22"/>
          <w:szCs w:val="22"/>
          <w:lang w:val="lt-LT"/>
        </w:rPr>
        <w:t>Kiti vaistai ir TOBREX</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lastRenderedPageBreak/>
        <w:t>Jeigu vartojate arba neseniai vartojote kitų vaistų</w:t>
      </w:r>
      <w:r w:rsidRPr="00EC23FD">
        <w:rPr>
          <w:rFonts w:eastAsia="Times New Roman"/>
          <w:noProof/>
          <w:snapToGrid w:val="0"/>
          <w:sz w:val="22"/>
          <w:szCs w:val="22"/>
          <w:lang w:val="lt-LT"/>
        </w:rPr>
        <w:t xml:space="preserve"> </w:t>
      </w:r>
      <w:r w:rsidRPr="00EC23FD">
        <w:rPr>
          <w:rFonts w:eastAsia="Times New Roman"/>
          <w:sz w:val="22"/>
          <w:szCs w:val="22"/>
          <w:lang w:val="lt-LT"/>
        </w:rPr>
        <w:t>arba dėl to nesate tikri, apie tai pasakykite gydytojui arba vaistininkui.</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Vartojant kartu su kortikosteroidais, gali būti maskuojami infekcinio susirgimo požymiai.</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Kartu vartojant kitus akių vaistus tarp vienų ir kitų vartojimo reikia daryti 10–15 minučių pertrauką.</w:t>
      </w:r>
    </w:p>
    <w:p w:rsidR="00062941" w:rsidRPr="00EC23FD" w:rsidRDefault="00062941" w:rsidP="00062941">
      <w:pPr>
        <w:spacing w:after="0" w:line="240" w:lineRule="auto"/>
        <w:ind w:left="567" w:hanging="567"/>
        <w:rPr>
          <w:rFonts w:eastAsia="Times New Roman"/>
          <w:sz w:val="22"/>
          <w:szCs w:val="22"/>
          <w:lang w:val="lt-LT"/>
        </w:rPr>
      </w:pPr>
      <w:r w:rsidRPr="00EC23FD">
        <w:rPr>
          <w:rFonts w:eastAsia="Times New Roman"/>
          <w:sz w:val="22"/>
          <w:szCs w:val="22"/>
          <w:lang w:val="lt-LT"/>
        </w:rPr>
        <w:t>Akių tepalą vartokite paskiausiai.</w:t>
      </w:r>
    </w:p>
    <w:p w:rsidR="00062941" w:rsidRPr="00EC23FD" w:rsidRDefault="00062941" w:rsidP="00062941">
      <w:pPr>
        <w:spacing w:after="0" w:line="220" w:lineRule="exact"/>
        <w:rPr>
          <w:rFonts w:eastAsia="Times New Roman"/>
          <w:b/>
          <w:bCs/>
          <w:sz w:val="22"/>
          <w:szCs w:val="22"/>
          <w:lang w:val="lt-LT"/>
        </w:rPr>
      </w:pPr>
    </w:p>
    <w:p w:rsidR="00062941" w:rsidRPr="00EC23FD" w:rsidRDefault="00062941" w:rsidP="00062941">
      <w:pPr>
        <w:spacing w:after="0" w:line="220" w:lineRule="exact"/>
        <w:rPr>
          <w:rFonts w:eastAsia="Times New Roman"/>
          <w:b/>
          <w:bCs/>
          <w:sz w:val="22"/>
          <w:szCs w:val="22"/>
          <w:lang w:val="lt-LT"/>
        </w:rPr>
      </w:pPr>
      <w:r w:rsidRPr="00EC23FD">
        <w:rPr>
          <w:rFonts w:eastAsia="Times New Roman"/>
          <w:b/>
          <w:bCs/>
          <w:sz w:val="22"/>
          <w:szCs w:val="22"/>
          <w:lang w:val="lt-LT"/>
        </w:rPr>
        <w:t>Nėštumas ir žindymo laikotarpis</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Jeigu esate nėščia, žindote kūdikį, manote, kad galbūt esate nėščia arba planuojate pastoti, tai prieš vartodama šį vaistą pasitarkite su gydytoju arba vaistininku.</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Nėštumo arba žindymo laikotarpiu TOBREX akių tepalo nevartokite, nebent gydytojas nuspręstų, kad vaistą vartoti reikia. Prieš vartojant bet kokį vaistą, būtina pasitarti su gydytoju arba vaistininku.</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20" w:lineRule="exact"/>
        <w:rPr>
          <w:rFonts w:eastAsia="Times New Roman"/>
          <w:b/>
          <w:bCs/>
          <w:sz w:val="22"/>
          <w:szCs w:val="22"/>
          <w:lang w:val="lt-LT"/>
        </w:rPr>
      </w:pPr>
      <w:r w:rsidRPr="00EC23FD">
        <w:rPr>
          <w:rFonts w:eastAsia="Times New Roman"/>
          <w:b/>
          <w:bCs/>
          <w:sz w:val="22"/>
          <w:szCs w:val="22"/>
          <w:lang w:val="lt-LT"/>
        </w:rPr>
        <w:t>Vairavimas ir mechanizmų valdymas</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TOBREX akių tepalas neturėtų veikti gebėjimo vairuoti ir dirbti su mechanizmais. Patepus akis TOBREX trumpai gali būti neryškus matymas. Nevairuokite ir nevaldykite mechanizmų, kol matymas nepagerės.</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keepNext/>
        <w:numPr>
          <w:ilvl w:val="0"/>
          <w:numId w:val="2"/>
        </w:numPr>
        <w:tabs>
          <w:tab w:val="num" w:pos="567"/>
        </w:tabs>
        <w:spacing w:after="0" w:line="240" w:lineRule="auto"/>
        <w:ind w:hanging="720"/>
        <w:outlineLvl w:val="0"/>
        <w:rPr>
          <w:rFonts w:eastAsia="Times New Roman"/>
          <w:b/>
          <w:sz w:val="22"/>
          <w:szCs w:val="22"/>
          <w:lang w:val="lt-LT"/>
        </w:rPr>
      </w:pPr>
      <w:r w:rsidRPr="00EC23FD">
        <w:rPr>
          <w:rFonts w:eastAsia="Times New Roman"/>
          <w:b/>
          <w:sz w:val="22"/>
          <w:szCs w:val="22"/>
          <w:lang w:val="lt-LT"/>
        </w:rPr>
        <w:t>Kaip vartoti TOBREX</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 xml:space="preserve">Visada vartokite šį vaistą tiksliai kaip nurodė gydytojas. Jeigu abejojate, kreipkitės į gydytoją arba vaistininką. </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Suaugusiems (taip pat senyviems žmonėms) ir vyresniems nei 1 metų vaikams.</w:t>
      </w:r>
    </w:p>
    <w:p w:rsidR="00062941" w:rsidRPr="00EC23FD" w:rsidRDefault="00062941" w:rsidP="00062941">
      <w:pPr>
        <w:spacing w:after="0" w:line="240" w:lineRule="auto"/>
        <w:rPr>
          <w:rFonts w:eastAsia="Times New Roman"/>
          <w:b/>
          <w:sz w:val="22"/>
          <w:szCs w:val="22"/>
          <w:lang w:val="lt-LT"/>
        </w:rPr>
      </w:pPr>
      <w:r w:rsidRPr="00EC23FD">
        <w:rPr>
          <w:rFonts w:eastAsia="Times New Roman"/>
          <w:sz w:val="22"/>
          <w:szCs w:val="22"/>
          <w:lang w:val="lt-LT"/>
        </w:rPr>
        <w:t>Įprasta dozė yra:</w:t>
      </w:r>
      <w:r w:rsidRPr="00EC23FD">
        <w:rPr>
          <w:rFonts w:eastAsia="Times New Roman"/>
          <w:b/>
          <w:sz w:val="22"/>
          <w:szCs w:val="22"/>
          <w:lang w:val="lt-LT"/>
        </w:rPr>
        <w:t xml:space="preserve"> </w:t>
      </w:r>
      <w:r w:rsidRPr="00EC23FD">
        <w:rPr>
          <w:rFonts w:eastAsia="Times New Roman"/>
          <w:sz w:val="22"/>
          <w:szCs w:val="22"/>
          <w:lang w:val="lt-LT"/>
        </w:rPr>
        <w:t>nedaug TOBREX akių tepalo (apie 1,5 cm juostelę) išspausti į nesveikos akies arba abiejų akių junginės maišelį du - tris kartus per parą.</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Vartokite po tiek, jei gydytojas nenurodė kitaip. Į abi akis vartokite tik tada, jei gydytojas taip paskyrė.</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Tepalą galima vartoti kartu su TOBREX akių lašais: lašus – dieną, tepalą – vakare.</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Įprastinė gydymo trukmė – 7±1 diena. Gydytojas pasakys, kaip ilgai vartoti vaistą.</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Kartu vartojant kitokių akių lašų ar tepalo, tarp jų vartojimo reikia daryti mažiausiai 5 min. pertrauką. Akių tepalą reikia vartoti paskiausiai..</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sz w:val="22"/>
          <w:szCs w:val="22"/>
          <w:lang w:val="lt-LT"/>
        </w:rPr>
      </w:pPr>
      <w:r w:rsidRPr="00EC23FD">
        <w:rPr>
          <w:rFonts w:eastAsia="Times New Roman"/>
          <w:b/>
          <w:sz w:val="22"/>
          <w:szCs w:val="22"/>
          <w:lang w:val="lt-LT"/>
        </w:rPr>
        <w:t>Vartojimas vaikams ir paaugliams</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1 metų ir vyresniems vaikams TOBREX akių tepalą galima vartoti tokiomis pačiomis dozėmis, kaip ir suaugusiesiems. Šio vaistinio preparato veiksmingumas ir saugumas jaunesniems kaip 1 metų vaikams nenustatytas, duomenų nėra.</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sz w:val="22"/>
          <w:szCs w:val="22"/>
          <w:lang w:val="lt-LT"/>
        </w:rPr>
      </w:pPr>
      <w:r w:rsidRPr="00EC23FD">
        <w:rPr>
          <w:rFonts w:eastAsia="Times New Roman"/>
          <w:b/>
          <w:sz w:val="22"/>
          <w:szCs w:val="22"/>
          <w:lang w:val="lt-LT"/>
        </w:rPr>
        <w:t>Pacientams, kurių kepenų ir inkstų funkcija sutrikusi</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Šių pacientų gydymas TOBREX akių tepalu netirtas. Akims vartojamo tobramicino sisteminė absorbcija yra labai maža. Jei tuo pačiu metu gydoma bendrojo poveikio aminoglikozidų grupės antibiotikais, reikėtų matuoti bendrąją jų koncentraciją serume, kad būtų galima palaikyti tinkamą gydomąją koncentraciją.</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Pasitepus akis vaistu rekomenduojama užsimerkti ir užspausti nosinį ašarų kanalą. Tai gali sumažinti vaisto absorbciją ir bendrąjį šalutinį poveikį.</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TOBREX skirtas tik Jūsų akims.</w:t>
      </w:r>
    </w:p>
    <w:p w:rsidR="00062941" w:rsidRPr="00EC23FD" w:rsidRDefault="00062941" w:rsidP="00062941">
      <w:pPr>
        <w:spacing w:after="0" w:line="240" w:lineRule="auto"/>
        <w:rPr>
          <w:rFonts w:eastAsia="Times New Roman"/>
          <w:b/>
          <w:sz w:val="22"/>
          <w:szCs w:val="22"/>
          <w:lang w:val="lt-LT"/>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gridCol w:w="1170"/>
        <w:gridCol w:w="1980"/>
      </w:tblGrid>
      <w:tr w:rsidR="00062941" w:rsidRPr="00EC23FD" w:rsidTr="00386470">
        <w:trPr>
          <w:trHeight w:val="1646"/>
        </w:trPr>
        <w:tc>
          <w:tcPr>
            <w:tcW w:w="1823" w:type="dxa"/>
          </w:tcPr>
          <w:p w:rsidR="00062941" w:rsidRPr="00EC23FD" w:rsidRDefault="00062941" w:rsidP="00386470">
            <w:pPr>
              <w:numPr>
                <w:ilvl w:val="12"/>
                <w:numId w:val="0"/>
              </w:numPr>
              <w:spacing w:after="0" w:line="240" w:lineRule="auto"/>
              <w:ind w:right="-2"/>
              <w:rPr>
                <w:rFonts w:eastAsia="Times New Roman"/>
                <w:sz w:val="22"/>
                <w:szCs w:val="22"/>
                <w:lang w:val="lt-LT"/>
              </w:rPr>
            </w:pPr>
            <w:r w:rsidRPr="00EC23FD">
              <w:rPr>
                <w:rFonts w:eastAsia="Times New Roman"/>
                <w:noProof/>
                <w:sz w:val="22"/>
                <w:szCs w:val="22"/>
                <w:lang w:val="lt-LT" w:eastAsia="lt-LT"/>
              </w:rPr>
              <w:lastRenderedPageBreak/>
              <w:drawing>
                <wp:inline distT="0" distB="0" distL="0" distR="0" wp14:anchorId="6ADA78DF" wp14:editId="5A5C060F">
                  <wp:extent cx="1597025" cy="1023620"/>
                  <wp:effectExtent l="19050" t="0" r="3175" b="0"/>
                  <wp:docPr id="3" name="Picture 3" descr="geopend o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opend oog"/>
                          <pic:cNvPicPr>
                            <a:picLocks noChangeAspect="1" noChangeArrowheads="1"/>
                          </pic:cNvPicPr>
                        </pic:nvPicPr>
                        <pic:blipFill>
                          <a:blip r:embed="rId7" cstate="print"/>
                          <a:srcRect/>
                          <a:stretch>
                            <a:fillRect/>
                          </a:stretch>
                        </pic:blipFill>
                        <pic:spPr bwMode="auto">
                          <a:xfrm>
                            <a:off x="0" y="0"/>
                            <a:ext cx="1597025" cy="1023620"/>
                          </a:xfrm>
                          <a:prstGeom prst="rect">
                            <a:avLst/>
                          </a:prstGeom>
                          <a:noFill/>
                          <a:ln w="9525">
                            <a:noFill/>
                            <a:miter lim="800000"/>
                            <a:headEnd/>
                            <a:tailEnd/>
                          </a:ln>
                        </pic:spPr>
                      </pic:pic>
                    </a:graphicData>
                  </a:graphic>
                </wp:inline>
              </w:drawing>
            </w:r>
          </w:p>
        </w:tc>
        <w:tc>
          <w:tcPr>
            <w:tcW w:w="1170" w:type="dxa"/>
            <w:tcBorders>
              <w:top w:val="nil"/>
              <w:bottom w:val="nil"/>
            </w:tcBorders>
          </w:tcPr>
          <w:p w:rsidR="00062941" w:rsidRPr="00EC23FD" w:rsidRDefault="00062941" w:rsidP="00386470">
            <w:pPr>
              <w:numPr>
                <w:ilvl w:val="12"/>
                <w:numId w:val="0"/>
              </w:numPr>
              <w:spacing w:after="0" w:line="240" w:lineRule="auto"/>
              <w:ind w:right="-2"/>
              <w:rPr>
                <w:rFonts w:eastAsia="Times New Roman"/>
                <w:sz w:val="22"/>
                <w:szCs w:val="22"/>
                <w:lang w:val="lt-LT"/>
              </w:rPr>
            </w:pPr>
          </w:p>
        </w:tc>
        <w:tc>
          <w:tcPr>
            <w:tcW w:w="1980" w:type="dxa"/>
          </w:tcPr>
          <w:p w:rsidR="00062941" w:rsidRPr="00EC23FD" w:rsidRDefault="00062941" w:rsidP="00386470">
            <w:pPr>
              <w:numPr>
                <w:ilvl w:val="12"/>
                <w:numId w:val="0"/>
              </w:numPr>
              <w:spacing w:after="0" w:line="240" w:lineRule="auto"/>
              <w:ind w:right="-2"/>
              <w:rPr>
                <w:rFonts w:eastAsia="Times New Roman"/>
                <w:sz w:val="22"/>
                <w:szCs w:val="22"/>
                <w:lang w:val="lt-LT"/>
              </w:rPr>
            </w:pPr>
            <w:r w:rsidRPr="00EC23FD">
              <w:rPr>
                <w:rFonts w:eastAsia="Times New Roman"/>
                <w:noProof/>
                <w:sz w:val="22"/>
                <w:szCs w:val="22"/>
                <w:lang w:val="lt-LT" w:eastAsia="lt-LT"/>
              </w:rPr>
              <w:drawing>
                <wp:inline distT="0" distB="0" distL="0" distR="0" wp14:anchorId="226B9546" wp14:editId="144A57D4">
                  <wp:extent cx="1118870" cy="873760"/>
                  <wp:effectExtent l="19050" t="0" r="5080" b="0"/>
                  <wp:docPr id="4" name="Picture 4" descr="geopend oog met 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opend oog met tube"/>
                          <pic:cNvPicPr>
                            <a:picLocks noChangeAspect="1" noChangeArrowheads="1"/>
                          </pic:cNvPicPr>
                        </pic:nvPicPr>
                        <pic:blipFill>
                          <a:blip r:embed="rId8" cstate="print"/>
                          <a:srcRect/>
                          <a:stretch>
                            <a:fillRect/>
                          </a:stretch>
                        </pic:blipFill>
                        <pic:spPr bwMode="auto">
                          <a:xfrm>
                            <a:off x="0" y="0"/>
                            <a:ext cx="1118870" cy="873760"/>
                          </a:xfrm>
                          <a:prstGeom prst="rect">
                            <a:avLst/>
                          </a:prstGeom>
                          <a:noFill/>
                          <a:ln w="9525">
                            <a:noFill/>
                            <a:miter lim="800000"/>
                            <a:headEnd/>
                            <a:tailEnd/>
                          </a:ln>
                        </pic:spPr>
                      </pic:pic>
                    </a:graphicData>
                  </a:graphic>
                </wp:inline>
              </w:drawing>
            </w:r>
          </w:p>
        </w:tc>
      </w:tr>
    </w:tbl>
    <w:p w:rsidR="00062941" w:rsidRPr="00EC23FD" w:rsidRDefault="00062941" w:rsidP="00062941">
      <w:pPr>
        <w:spacing w:after="0" w:line="240" w:lineRule="atLeast"/>
        <w:rPr>
          <w:rFonts w:eastAsia="Times New Roman"/>
          <w:sz w:val="22"/>
          <w:szCs w:val="22"/>
          <w:lang w:val="lt-LT"/>
        </w:rPr>
      </w:pPr>
    </w:p>
    <w:p w:rsidR="00062941" w:rsidRPr="00EC23FD" w:rsidRDefault="00062941" w:rsidP="00062941">
      <w:pPr>
        <w:spacing w:after="0" w:line="240" w:lineRule="atLeast"/>
        <w:rPr>
          <w:rFonts w:eastAsia="Times New Roman"/>
          <w:b/>
          <w:sz w:val="22"/>
          <w:szCs w:val="22"/>
          <w:lang w:val="lt-LT"/>
        </w:rPr>
      </w:pPr>
      <w:r w:rsidRPr="00EC23FD">
        <w:rPr>
          <w:rFonts w:eastAsia="Times New Roman"/>
          <w:sz w:val="22"/>
          <w:szCs w:val="22"/>
          <w:lang w:val="lt-LT"/>
        </w:rPr>
        <w:tab/>
      </w:r>
      <w:r w:rsidRPr="00EC23FD">
        <w:rPr>
          <w:rFonts w:eastAsia="Times New Roman"/>
          <w:sz w:val="22"/>
          <w:szCs w:val="22"/>
          <w:lang w:val="lt-LT"/>
        </w:rPr>
        <w:tab/>
        <w:t>1</w:t>
      </w:r>
      <w:r w:rsidRPr="00EC23FD">
        <w:rPr>
          <w:rFonts w:eastAsia="Times New Roman"/>
          <w:sz w:val="22"/>
          <w:szCs w:val="22"/>
          <w:lang w:val="lt-LT"/>
        </w:rPr>
        <w:tab/>
      </w:r>
      <w:r w:rsidRPr="00EC23FD">
        <w:rPr>
          <w:rFonts w:eastAsia="Times New Roman"/>
          <w:sz w:val="22"/>
          <w:szCs w:val="22"/>
          <w:lang w:val="lt-LT"/>
        </w:rPr>
        <w:tab/>
      </w:r>
      <w:r w:rsidRPr="00EC23FD">
        <w:rPr>
          <w:rFonts w:eastAsia="Times New Roman"/>
          <w:sz w:val="22"/>
          <w:szCs w:val="22"/>
          <w:lang w:val="lt-LT"/>
        </w:rPr>
        <w:tab/>
      </w:r>
      <w:r w:rsidRPr="00EC23FD">
        <w:rPr>
          <w:rFonts w:eastAsia="Times New Roman"/>
          <w:sz w:val="22"/>
          <w:szCs w:val="22"/>
          <w:lang w:val="lt-LT"/>
        </w:rPr>
        <w:tab/>
        <w:t>2</w:t>
      </w:r>
      <w:r w:rsidRPr="00EC23FD">
        <w:rPr>
          <w:rFonts w:eastAsia="Times New Roman"/>
          <w:sz w:val="22"/>
          <w:szCs w:val="22"/>
          <w:lang w:val="lt-LT"/>
        </w:rPr>
        <w:tab/>
      </w:r>
      <w:r w:rsidRPr="00EC23FD">
        <w:rPr>
          <w:rFonts w:eastAsia="Times New Roman"/>
          <w:sz w:val="22"/>
          <w:szCs w:val="22"/>
          <w:lang w:val="lt-LT"/>
        </w:rPr>
        <w:tab/>
      </w:r>
      <w:r w:rsidRPr="00EC23FD">
        <w:rPr>
          <w:rFonts w:eastAsia="Times New Roman"/>
          <w:sz w:val="22"/>
          <w:szCs w:val="22"/>
          <w:lang w:val="lt-LT"/>
        </w:rPr>
        <w:tab/>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Paimkite TOBREX tūbelę ir veidrodėlį.</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Nusiplaukite rankas.</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Atsukite tūbelės dangtelį.</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Laikykite tūbelę nykščiu ir smiliumi.</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Atloškite galvą. Kitos rankos smiliumi atsargiai patraukite žemyn apatinį akies voką, kad tarp jo ir akies obuolio susidarytų „kišenėlė“ (1 pav.).</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Prikiškite tūbelės snapelį netoli akies. Naudokitės veidrodžiu, jei taip lengviau.</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Nelieskite tūbelės galu akies, voko ar kito paviršiaus, kad neužterštumėte tepalo.</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Lengvai paspauskite tūbelę, kad šiek tiek tepalo patektų į „kišenėlę“ tarp akies ir apatinio voko (2 pav.).</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Atleiskite apatinį voką ir keletą kartų pamirksėkite, kad tepalas pasklistų po visą akį. Kelioms sekundėms užsimerkite, kad mažiau vaisto absorbuotųsi į organizmą.</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 xml:space="preserve">Jei reikia, tokiu pačiu būdu patepkite kitą akį. </w:t>
      </w:r>
    </w:p>
    <w:p w:rsidR="00062941" w:rsidRPr="00EC23FD" w:rsidRDefault="00062941" w:rsidP="00062941">
      <w:pPr>
        <w:numPr>
          <w:ilvl w:val="0"/>
          <w:numId w:val="1"/>
        </w:numPr>
        <w:tabs>
          <w:tab w:val="clear" w:pos="360"/>
          <w:tab w:val="num" w:pos="0"/>
        </w:tabs>
        <w:spacing w:after="0" w:line="240" w:lineRule="auto"/>
        <w:ind w:left="567" w:hanging="567"/>
        <w:rPr>
          <w:rFonts w:eastAsia="Times New Roman"/>
          <w:sz w:val="22"/>
          <w:szCs w:val="22"/>
          <w:lang w:val="lt-LT"/>
        </w:rPr>
      </w:pPr>
      <w:r w:rsidRPr="00EC23FD">
        <w:rPr>
          <w:rFonts w:eastAsia="Times New Roman"/>
          <w:sz w:val="22"/>
          <w:szCs w:val="22"/>
          <w:lang w:val="lt-LT"/>
        </w:rPr>
        <w:t>Uždėkite ir sandariai užsukite tūbelės dangtelį.</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ind w:left="567" w:hanging="567"/>
        <w:rPr>
          <w:rFonts w:eastAsia="Times New Roman"/>
          <w:sz w:val="22"/>
          <w:szCs w:val="22"/>
          <w:lang w:val="lt-LT"/>
        </w:rPr>
      </w:pPr>
      <w:r w:rsidRPr="00EC23FD">
        <w:rPr>
          <w:rFonts w:eastAsia="Times New Roman"/>
          <w:sz w:val="22"/>
          <w:szCs w:val="22"/>
          <w:lang w:val="lt-LT"/>
        </w:rPr>
        <w:t>Jei nepataikėte patepti tepalo į akį, bandykite dar kartą.</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20" w:lineRule="exact"/>
        <w:rPr>
          <w:rFonts w:eastAsia="Times New Roman"/>
          <w:b/>
          <w:bCs/>
          <w:sz w:val="22"/>
          <w:szCs w:val="22"/>
          <w:lang w:val="lt-LT"/>
        </w:rPr>
      </w:pPr>
      <w:r w:rsidRPr="00EC23FD">
        <w:rPr>
          <w:rFonts w:eastAsia="Times New Roman"/>
          <w:b/>
          <w:bCs/>
          <w:sz w:val="22"/>
          <w:szCs w:val="22"/>
          <w:lang w:val="lt-LT"/>
        </w:rPr>
        <w:t>Ką daryti pavartojus per didelę TOBREX dozę?</w:t>
      </w:r>
    </w:p>
    <w:p w:rsidR="00062941" w:rsidRPr="00EC23FD" w:rsidRDefault="00062941" w:rsidP="00062941">
      <w:pPr>
        <w:spacing w:after="0" w:line="240" w:lineRule="auto"/>
        <w:jc w:val="both"/>
        <w:rPr>
          <w:rFonts w:eastAsia="Times New Roman"/>
          <w:sz w:val="22"/>
          <w:szCs w:val="22"/>
          <w:lang w:val="lt-LT"/>
        </w:rPr>
      </w:pPr>
      <w:r w:rsidRPr="00EC23FD">
        <w:rPr>
          <w:rFonts w:eastAsia="Times New Roman"/>
          <w:sz w:val="22"/>
          <w:szCs w:val="22"/>
          <w:lang w:val="lt-LT"/>
        </w:rPr>
        <w:t>TOBREX akių tepalo perteklių iš akies (akių) galima išplauti drungnu vandeniu.</w:t>
      </w:r>
    </w:p>
    <w:p w:rsidR="00062941" w:rsidRPr="00EC23FD" w:rsidRDefault="00062941" w:rsidP="00062941">
      <w:pPr>
        <w:spacing w:after="0" w:line="220" w:lineRule="exact"/>
        <w:rPr>
          <w:rFonts w:eastAsia="Times New Roman"/>
          <w:b/>
          <w:bCs/>
          <w:sz w:val="22"/>
          <w:szCs w:val="22"/>
          <w:lang w:val="lt-LT"/>
        </w:rPr>
      </w:pPr>
    </w:p>
    <w:p w:rsidR="00062941" w:rsidRPr="00EC23FD" w:rsidRDefault="00062941" w:rsidP="00062941">
      <w:pPr>
        <w:spacing w:after="0" w:line="220" w:lineRule="exact"/>
        <w:rPr>
          <w:rFonts w:eastAsia="Times New Roman"/>
          <w:b/>
          <w:bCs/>
          <w:sz w:val="22"/>
          <w:szCs w:val="22"/>
          <w:lang w:val="lt-LT"/>
        </w:rPr>
      </w:pPr>
      <w:r w:rsidRPr="00EC23FD">
        <w:rPr>
          <w:rFonts w:eastAsia="Times New Roman"/>
          <w:b/>
          <w:bCs/>
          <w:sz w:val="22"/>
          <w:szCs w:val="22"/>
          <w:lang w:val="lt-LT"/>
        </w:rPr>
        <w:t>Pamiršus pavartoti TOBREX</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Pasitepkite, kai tik prisiminsite. Jei beveik atėjęs laikas vartoti vaistą kitą kartą, praleiskite užmirštąją dozę ir toliau vartokite įprastu laiku. Negalima vartoti dvigubos dozės norint kompensuoti praleistą.</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sz w:val="22"/>
          <w:szCs w:val="22"/>
          <w:lang w:val="lt-LT"/>
        </w:rPr>
      </w:pPr>
      <w:r w:rsidRPr="00EC23FD">
        <w:rPr>
          <w:rFonts w:eastAsia="Times New Roman"/>
          <w:b/>
          <w:sz w:val="22"/>
          <w:szCs w:val="22"/>
          <w:lang w:val="lt-LT"/>
        </w:rPr>
        <w:t>Nustojus vartoti TOBREX</w:t>
      </w:r>
    </w:p>
    <w:p w:rsidR="00062941" w:rsidRPr="00EC23FD" w:rsidRDefault="00062941" w:rsidP="00062941">
      <w:pPr>
        <w:spacing w:after="0" w:line="240" w:lineRule="auto"/>
        <w:rPr>
          <w:rFonts w:eastAsia="Times New Roman"/>
          <w:b/>
          <w:sz w:val="22"/>
          <w:szCs w:val="22"/>
          <w:lang w:val="lt-LT"/>
        </w:rPr>
      </w:pPr>
      <w:r w:rsidRPr="00EC23FD">
        <w:rPr>
          <w:rFonts w:eastAsia="Times New Roman"/>
          <w:sz w:val="22"/>
          <w:szCs w:val="22"/>
          <w:lang w:val="lt-LT"/>
        </w:rPr>
        <w:t>Jeigu kiltų daugiau klausimų dėl šio vaisto vartojimo, kreipkitės į gydytoją arba vaistininką.</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keepNext/>
        <w:tabs>
          <w:tab w:val="left" w:pos="567"/>
        </w:tabs>
        <w:spacing w:after="0" w:line="240" w:lineRule="auto"/>
        <w:ind w:left="567" w:hanging="567"/>
        <w:outlineLvl w:val="1"/>
        <w:rPr>
          <w:rFonts w:eastAsia="Times New Roman"/>
          <w:b/>
          <w:sz w:val="22"/>
          <w:szCs w:val="22"/>
          <w:lang w:val="lt-LT"/>
        </w:rPr>
      </w:pPr>
      <w:bookmarkStart w:id="10" w:name="_Toc129243142"/>
      <w:bookmarkStart w:id="11" w:name="_Toc129243267"/>
      <w:r w:rsidRPr="00EC23FD">
        <w:rPr>
          <w:rFonts w:eastAsia="Times New Roman"/>
          <w:b/>
          <w:sz w:val="22"/>
          <w:szCs w:val="22"/>
          <w:lang w:val="lt-LT"/>
        </w:rPr>
        <w:t>4.</w:t>
      </w:r>
      <w:r w:rsidRPr="00EC23FD">
        <w:rPr>
          <w:rFonts w:eastAsia="Times New Roman"/>
          <w:b/>
          <w:sz w:val="22"/>
          <w:szCs w:val="22"/>
          <w:lang w:val="lt-LT"/>
        </w:rPr>
        <w:tab/>
        <w:t>Galimas šalutinis poveikis</w:t>
      </w:r>
      <w:bookmarkEnd w:id="10"/>
      <w:bookmarkEnd w:id="11"/>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Šis vaistas, kaip ir visi kiti, gali sukelti šalutinį poveikį, nors jis pasireiškia ne visiems žmonėms.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autoSpaceDE w:val="0"/>
        <w:autoSpaceDN w:val="0"/>
        <w:adjustRightInd w:val="0"/>
        <w:spacing w:after="0" w:line="240" w:lineRule="auto"/>
        <w:rPr>
          <w:rFonts w:eastAsia="Times New Roman"/>
          <w:sz w:val="22"/>
          <w:szCs w:val="22"/>
          <w:lang w:val="lt-LT"/>
        </w:rPr>
      </w:pPr>
      <w:r w:rsidRPr="00EC23FD">
        <w:rPr>
          <w:rFonts w:eastAsia="Times New Roman"/>
          <w:sz w:val="22"/>
          <w:szCs w:val="22"/>
          <w:lang w:val="lt-LT"/>
        </w:rPr>
        <w:t xml:space="preserve">Toliau išvardyti šalutiniai poveikiai pastebėti vartojant tobramicino akių tepalą: </w:t>
      </w:r>
    </w:p>
    <w:p w:rsidR="00062941" w:rsidRPr="00EC23FD" w:rsidRDefault="00062941" w:rsidP="00062941">
      <w:pPr>
        <w:tabs>
          <w:tab w:val="left" w:pos="567"/>
        </w:tabs>
        <w:spacing w:after="0" w:line="240" w:lineRule="auto"/>
        <w:rPr>
          <w:rFonts w:eastAsia="Times New Roman"/>
          <w:i/>
          <w:sz w:val="22"/>
          <w:szCs w:val="22"/>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i/>
          <w:sz w:val="22"/>
          <w:szCs w:val="22"/>
          <w:lang w:val="lt-LT"/>
        </w:rPr>
        <w:t xml:space="preserve">Dažni šalutiniai poveikiai </w:t>
      </w:r>
      <w:r w:rsidRPr="00EC23FD">
        <w:rPr>
          <w:rFonts w:eastAsia="Times New Roman"/>
          <w:sz w:val="22"/>
          <w:szCs w:val="22"/>
          <w:lang w:val="lt-LT"/>
        </w:rPr>
        <w:t>(</w:t>
      </w:r>
      <w:r w:rsidRPr="00EC23FD">
        <w:rPr>
          <w:rFonts w:eastAsia="Times New Roman"/>
          <w:i/>
          <w:sz w:val="22"/>
          <w:szCs w:val="22"/>
          <w:lang w:val="lt-LT"/>
        </w:rPr>
        <w:t>gali pasireikšti nuo 1 iki 10 vartotojų iš 100)</w:t>
      </w:r>
    </w:p>
    <w:p w:rsidR="00062941" w:rsidRPr="00EC23FD" w:rsidRDefault="00062941" w:rsidP="00062941">
      <w:pPr>
        <w:widowControl w:val="0"/>
        <w:spacing w:after="0" w:line="240" w:lineRule="auto"/>
        <w:ind w:right="-2"/>
        <w:rPr>
          <w:rFonts w:eastAsia="Times New Roman"/>
          <w:sz w:val="22"/>
          <w:szCs w:val="22"/>
          <w:lang w:val="lt-LT"/>
        </w:rPr>
      </w:pPr>
      <w:r w:rsidRPr="00EC23FD">
        <w:rPr>
          <w:rFonts w:eastAsia="Times New Roman"/>
          <w:sz w:val="22"/>
          <w:szCs w:val="22"/>
          <w:lang w:val="lt-LT"/>
        </w:rPr>
        <w:t>Akių sutrikimai: akies diskomfortas, akies paraudimas.</w:t>
      </w:r>
    </w:p>
    <w:p w:rsidR="00062941" w:rsidRPr="00EC23FD" w:rsidRDefault="00062941" w:rsidP="00062941">
      <w:pPr>
        <w:widowControl w:val="0"/>
        <w:spacing w:after="0" w:line="240" w:lineRule="auto"/>
        <w:ind w:right="-2"/>
        <w:rPr>
          <w:rFonts w:eastAsia="Times New Roman"/>
          <w:i/>
          <w:sz w:val="22"/>
          <w:szCs w:val="22"/>
          <w:lang w:val="lt-LT"/>
        </w:rPr>
      </w:pPr>
    </w:p>
    <w:p w:rsidR="00062941" w:rsidRPr="00EC23FD" w:rsidRDefault="00062941" w:rsidP="00062941">
      <w:pPr>
        <w:widowControl w:val="0"/>
        <w:spacing w:after="0" w:line="240" w:lineRule="auto"/>
        <w:ind w:right="-2"/>
        <w:rPr>
          <w:rFonts w:eastAsia="Times New Roman"/>
          <w:sz w:val="22"/>
          <w:szCs w:val="22"/>
          <w:lang w:val="lt-LT"/>
        </w:rPr>
      </w:pPr>
      <w:r w:rsidRPr="00EC23FD">
        <w:rPr>
          <w:rFonts w:eastAsia="Times New Roman"/>
          <w:i/>
          <w:sz w:val="22"/>
          <w:szCs w:val="22"/>
          <w:lang w:val="lt-LT"/>
        </w:rPr>
        <w:t>Nedažni šalutiniai poveikiai (gali pasireikšti nuo 1 iki 10 vartotojų iš 1000)</w:t>
      </w:r>
      <w:r w:rsidRPr="00EC23FD">
        <w:rPr>
          <w:rFonts w:eastAsia="Times New Roman"/>
          <w:sz w:val="22"/>
          <w:szCs w:val="22"/>
          <w:lang w:val="lt-LT"/>
        </w:rPr>
        <w:t>:</w:t>
      </w:r>
    </w:p>
    <w:p w:rsidR="00062941" w:rsidRPr="00EC23FD" w:rsidRDefault="00062941" w:rsidP="00062941">
      <w:pPr>
        <w:widowControl w:val="0"/>
        <w:spacing w:after="0" w:line="240" w:lineRule="auto"/>
        <w:ind w:right="-2"/>
        <w:rPr>
          <w:rFonts w:eastAsia="Times New Roman"/>
          <w:sz w:val="22"/>
          <w:szCs w:val="22"/>
          <w:lang w:val="lt-LT"/>
        </w:rPr>
      </w:pPr>
      <w:r w:rsidRPr="00EC23FD">
        <w:rPr>
          <w:rFonts w:eastAsia="Times New Roman"/>
          <w:sz w:val="22"/>
          <w:szCs w:val="22"/>
          <w:lang w:val="lt-LT"/>
        </w:rPr>
        <w:t>Akių sutrikimai: akies paviršiaus uždegimas, ragenos pažeidimas, regėjimo pablogėjimas, neryškus matymas, voko paraudimas, akies ir voko patinimas, akies skausmas, akies sausumas, išskyros iš akies, akies niežėjimas, neįprastas (svetimkūnio) jausmas akyje, padidėjusi ašarų gamyba.</w:t>
      </w:r>
    </w:p>
    <w:p w:rsidR="00062941" w:rsidRPr="00EC23FD" w:rsidRDefault="00062941" w:rsidP="00062941">
      <w:pPr>
        <w:widowControl w:val="0"/>
        <w:spacing w:after="0" w:line="240" w:lineRule="auto"/>
        <w:ind w:right="-2"/>
        <w:rPr>
          <w:rFonts w:eastAsia="Times New Roman"/>
          <w:sz w:val="22"/>
          <w:szCs w:val="22"/>
          <w:lang w:val="lt-LT"/>
        </w:rPr>
      </w:pPr>
      <w:r w:rsidRPr="00EC23FD">
        <w:rPr>
          <w:rFonts w:eastAsia="Times New Roman"/>
          <w:sz w:val="22"/>
          <w:szCs w:val="22"/>
          <w:lang w:val="lt-LT"/>
        </w:rPr>
        <w:t>Bendrieji sutrikimai: alergija (padidėjęs jautrumas), galvos skausmas, dilgėlinė, odos uždegimas, sumažėjęs blakstienų augimas arba jų skaičius, odos pigmentacijos išnykimas, niežėjimas ir odos sausumas.</w:t>
      </w:r>
    </w:p>
    <w:p w:rsidR="00062941" w:rsidRPr="00EC23FD" w:rsidRDefault="00062941" w:rsidP="00062941">
      <w:pPr>
        <w:widowControl w:val="0"/>
        <w:autoSpaceDE w:val="0"/>
        <w:autoSpaceDN w:val="0"/>
        <w:adjustRightInd w:val="0"/>
        <w:spacing w:after="0" w:line="240" w:lineRule="auto"/>
        <w:rPr>
          <w:rFonts w:eastAsia="Times New Roman"/>
          <w:i/>
          <w:sz w:val="22"/>
          <w:szCs w:val="22"/>
          <w:lang w:val="lt-LT"/>
        </w:rPr>
      </w:pPr>
    </w:p>
    <w:p w:rsidR="00062941" w:rsidRPr="00EC23FD" w:rsidRDefault="00062941" w:rsidP="00062941">
      <w:pPr>
        <w:widowControl w:val="0"/>
        <w:autoSpaceDE w:val="0"/>
        <w:autoSpaceDN w:val="0"/>
        <w:adjustRightInd w:val="0"/>
        <w:spacing w:after="0" w:line="240" w:lineRule="auto"/>
        <w:rPr>
          <w:rFonts w:eastAsia="Times New Roman"/>
          <w:sz w:val="22"/>
          <w:szCs w:val="22"/>
          <w:lang w:val="lt-LT"/>
        </w:rPr>
      </w:pPr>
      <w:r w:rsidRPr="00EC23FD">
        <w:rPr>
          <w:rFonts w:eastAsia="Times New Roman"/>
          <w:i/>
          <w:sz w:val="22"/>
          <w:szCs w:val="22"/>
          <w:lang w:val="lt-LT"/>
        </w:rPr>
        <w:t>Dažnis nežinomas (</w:t>
      </w:r>
      <w:r w:rsidRPr="00EC23FD">
        <w:rPr>
          <w:rFonts w:eastAsia="Times New Roman"/>
          <w:i/>
          <w:spacing w:val="-3"/>
          <w:sz w:val="22"/>
          <w:szCs w:val="22"/>
          <w:lang w:val="lt-LT"/>
        </w:rPr>
        <w:t>negali būti įvertintas pagal turimus duomenis</w:t>
      </w:r>
      <w:r w:rsidRPr="00EC23FD">
        <w:rPr>
          <w:rFonts w:eastAsia="Times New Roman"/>
          <w:i/>
          <w:sz w:val="22"/>
          <w:szCs w:val="22"/>
          <w:lang w:val="lt-LT"/>
        </w:rPr>
        <w:t>)</w:t>
      </w:r>
      <w:r w:rsidRPr="00EC23FD">
        <w:rPr>
          <w:rFonts w:eastAsia="Times New Roman"/>
          <w:sz w:val="22"/>
          <w:szCs w:val="22"/>
          <w:lang w:val="lt-LT"/>
        </w:rPr>
        <w:t>:</w:t>
      </w:r>
    </w:p>
    <w:p w:rsidR="00062941" w:rsidRPr="00EC23FD" w:rsidRDefault="00062941" w:rsidP="00062941">
      <w:pPr>
        <w:widowControl w:val="0"/>
        <w:spacing w:after="0" w:line="240" w:lineRule="auto"/>
        <w:ind w:right="-2"/>
        <w:rPr>
          <w:rFonts w:eastAsia="Times New Roman"/>
          <w:sz w:val="22"/>
          <w:szCs w:val="22"/>
          <w:lang w:val="lt-LT"/>
        </w:rPr>
      </w:pPr>
      <w:r w:rsidRPr="00EC23FD">
        <w:rPr>
          <w:rFonts w:eastAsia="Times New Roman"/>
          <w:sz w:val="22"/>
          <w:szCs w:val="22"/>
          <w:lang w:val="lt-LT"/>
        </w:rPr>
        <w:t>Akių sutrikimai: akies alergija, akies sudirginimas, voko niežėjimas.</w:t>
      </w:r>
    </w:p>
    <w:p w:rsidR="00062941" w:rsidRPr="00EC23FD" w:rsidRDefault="00062941" w:rsidP="00062941">
      <w:pPr>
        <w:widowControl w:val="0"/>
        <w:numPr>
          <w:ilvl w:val="12"/>
          <w:numId w:val="0"/>
        </w:numPr>
        <w:suppressAutoHyphens/>
        <w:spacing w:after="0" w:line="240" w:lineRule="auto"/>
        <w:ind w:right="-29"/>
        <w:rPr>
          <w:rFonts w:eastAsia="Times New Roman"/>
          <w:sz w:val="22"/>
          <w:szCs w:val="22"/>
          <w:lang w:val="lt-LT"/>
        </w:rPr>
      </w:pPr>
      <w:r w:rsidRPr="00EC23FD">
        <w:rPr>
          <w:rFonts w:eastAsia="Times New Roman"/>
          <w:sz w:val="22"/>
          <w:szCs w:val="22"/>
          <w:lang w:val="lt-LT"/>
        </w:rPr>
        <w:lastRenderedPageBreak/>
        <w:t>Bendrieji sutrikimai: bėrimas.</w:t>
      </w:r>
    </w:p>
    <w:p w:rsidR="00062941" w:rsidRPr="00EC23FD" w:rsidRDefault="00062941" w:rsidP="00062941">
      <w:pPr>
        <w:spacing w:after="0" w:line="240" w:lineRule="auto"/>
        <w:jc w:val="both"/>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b/>
          <w:snapToGrid w:val="0"/>
          <w:sz w:val="22"/>
          <w:szCs w:val="22"/>
          <w:lang w:val="lt-LT"/>
        </w:rPr>
      </w:pPr>
      <w:r w:rsidRPr="00EC23FD">
        <w:rPr>
          <w:rFonts w:eastAsia="Times New Roman"/>
          <w:b/>
          <w:noProof/>
          <w:snapToGrid w:val="0"/>
          <w:sz w:val="22"/>
          <w:szCs w:val="22"/>
          <w:lang w:val="lt-LT"/>
        </w:rPr>
        <w:t>Pranešimas apie šalutinį poveikį</w:t>
      </w:r>
    </w:p>
    <w:p w:rsidR="00062941" w:rsidRPr="00EC23FD" w:rsidRDefault="00062941" w:rsidP="00062941">
      <w:pPr>
        <w:tabs>
          <w:tab w:val="left" w:pos="567"/>
        </w:tabs>
        <w:spacing w:after="0" w:line="260" w:lineRule="exact"/>
        <w:ind w:right="-449"/>
        <w:rPr>
          <w:rFonts w:eastAsia="Times New Roman"/>
          <w:noProof/>
          <w:snapToGrid w:val="0"/>
          <w:sz w:val="22"/>
          <w:szCs w:val="22"/>
          <w:lang w:val="lt-LT"/>
        </w:rPr>
      </w:pPr>
      <w:r w:rsidRPr="00EC23FD">
        <w:rPr>
          <w:rFonts w:eastAsia="Times New Roman"/>
          <w:noProof/>
          <w:snapToGrid w:val="0"/>
          <w:sz w:val="22"/>
          <w:szCs w:val="22"/>
          <w:lang w:val="lt-LT"/>
        </w:rPr>
        <w:t>Jeigu pasireiškė šalutinis poveikis, įskaitant šiame lapelyje nenurodytą, pasakykite gydytojui arba vaistininkui</w:t>
      </w:r>
      <w:r w:rsidRPr="00EC23FD">
        <w:rPr>
          <w:rFonts w:eastAsia="Times New Roman"/>
          <w:snapToGrid w:val="0"/>
          <w:sz w:val="22"/>
          <w:szCs w:val="22"/>
          <w:lang w:val="lt-LT"/>
        </w:rPr>
        <w:t>.</w:t>
      </w:r>
      <w:r w:rsidRPr="00EC23FD">
        <w:rPr>
          <w:rFonts w:eastAsia="Times New Roman"/>
          <w:noProof/>
          <w:snapToGrid w:val="0"/>
          <w:sz w:val="22"/>
          <w:szCs w:val="22"/>
          <w:lang w:val="lt-LT"/>
        </w:rPr>
        <w:t xml:space="preserve"> Apie šalutinį poveikį taip pat galite pranešti tiesiogiai, užpildę interneto svetainėje </w:t>
      </w:r>
      <w:hyperlink r:id="rId9" w:history="1">
        <w:r w:rsidRPr="00EC23FD">
          <w:rPr>
            <w:rFonts w:eastAsia="SimSun"/>
            <w:noProof/>
            <w:snapToGrid w:val="0"/>
            <w:color w:val="0000FF"/>
            <w:sz w:val="22"/>
            <w:szCs w:val="22"/>
            <w:u w:val="single"/>
            <w:lang w:val="lt-LT"/>
          </w:rPr>
          <w:t>www.vvkt.lt</w:t>
        </w:r>
      </w:hyperlink>
      <w:r w:rsidRPr="00EC23FD">
        <w:rPr>
          <w:rFonts w:eastAsia="Times New Roman"/>
          <w:noProof/>
          <w:snapToGrid w:val="0"/>
          <w:sz w:val="22"/>
          <w:szCs w:val="22"/>
          <w:lang w:val="lt-LT"/>
        </w:rPr>
        <w:t xml:space="preserve"> esančią formą, paštu Valstybinei vaistų kontrolės tarnybai prie Lietuvos Respublikos sveikatos apsaugos ministerijos, Žirmūnų g. 139A, LT 09120 Vilnius, t</w:t>
      </w:r>
      <w:r w:rsidRPr="00EC23FD">
        <w:rPr>
          <w:rFonts w:eastAsia="Calibri"/>
          <w:noProof/>
          <w:snapToGrid w:val="0"/>
          <w:sz w:val="22"/>
          <w:szCs w:val="22"/>
          <w:lang w:val="lt-LT" w:eastAsia="zh-CN"/>
        </w:rPr>
        <w:t xml:space="preserve">el: 8 800 73568, </w:t>
      </w:r>
      <w:r w:rsidRPr="00EC23FD">
        <w:rPr>
          <w:rFonts w:eastAsia="Times New Roman"/>
          <w:noProof/>
          <w:snapToGrid w:val="0"/>
          <w:sz w:val="22"/>
          <w:szCs w:val="22"/>
          <w:lang w:val="lt-LT"/>
        </w:rPr>
        <w:t xml:space="preserve">faksu 8 800 20131 arba el. paštu </w:t>
      </w:r>
      <w:hyperlink r:id="rId10" w:history="1">
        <w:r w:rsidRPr="00EC23FD">
          <w:rPr>
            <w:rFonts w:eastAsia="SimSun"/>
            <w:noProof/>
            <w:snapToGrid w:val="0"/>
            <w:color w:val="0000FF"/>
            <w:sz w:val="22"/>
            <w:szCs w:val="22"/>
            <w:u w:val="single"/>
            <w:lang w:val="lt-LT"/>
          </w:rPr>
          <w:t>NepageidaujamaR@vvkt.lt</w:t>
        </w:r>
      </w:hyperlink>
      <w:r w:rsidRPr="00EC23FD">
        <w:rPr>
          <w:rFonts w:eastAsia="Times New Roman"/>
          <w:noProof/>
          <w:snapToGrid w:val="0"/>
          <w:sz w:val="22"/>
          <w:szCs w:val="22"/>
          <w:lang w:val="lt-LT"/>
        </w:rPr>
        <w:t>. Pranešdami apie šalutinį poveikį galite mums padėti gauti daugiau informacijos apie šio vaisto saugumą.</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tabs>
          <w:tab w:val="left" w:pos="567"/>
        </w:tabs>
        <w:spacing w:after="0" w:line="240" w:lineRule="auto"/>
        <w:rPr>
          <w:rFonts w:eastAsia="Times New Roman"/>
          <w:b/>
          <w:sz w:val="22"/>
          <w:szCs w:val="22"/>
          <w:lang w:val="lt-LT"/>
        </w:rPr>
      </w:pPr>
      <w:r w:rsidRPr="00EC23FD">
        <w:rPr>
          <w:rFonts w:eastAsia="Times New Roman"/>
          <w:b/>
          <w:sz w:val="22"/>
          <w:szCs w:val="22"/>
          <w:lang w:val="lt-LT"/>
        </w:rPr>
        <w:t xml:space="preserve">5. </w:t>
      </w:r>
      <w:r w:rsidRPr="00EC23FD">
        <w:rPr>
          <w:rFonts w:eastAsia="Times New Roman"/>
          <w:b/>
          <w:sz w:val="22"/>
          <w:szCs w:val="22"/>
          <w:lang w:val="lt-LT"/>
        </w:rPr>
        <w:tab/>
        <w:t>Kaip laikyti TOBREX</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numPr>
          <w:ilvl w:val="12"/>
          <w:numId w:val="0"/>
        </w:numPr>
        <w:spacing w:after="0" w:line="240" w:lineRule="auto"/>
        <w:ind w:right="-2"/>
        <w:rPr>
          <w:rFonts w:eastAsia="Times New Roman"/>
          <w:snapToGrid w:val="0"/>
          <w:sz w:val="22"/>
          <w:szCs w:val="22"/>
          <w:lang w:val="lt-LT"/>
        </w:rPr>
      </w:pPr>
      <w:r w:rsidRPr="00EC23FD">
        <w:rPr>
          <w:rFonts w:eastAsia="Times New Roman"/>
          <w:noProof/>
          <w:snapToGrid w:val="0"/>
          <w:sz w:val="22"/>
          <w:szCs w:val="22"/>
          <w:lang w:val="lt-LT"/>
        </w:rPr>
        <w:t>Šį vaistą laikykite vaikams nepastebimoje ir nepasiekiamoje vietoje.</w:t>
      </w:r>
    </w:p>
    <w:p w:rsidR="00062941" w:rsidRPr="00EC23FD" w:rsidRDefault="00062941" w:rsidP="00062941">
      <w:pPr>
        <w:spacing w:after="0" w:line="240" w:lineRule="auto"/>
        <w:rPr>
          <w:rFonts w:eastAsia="Times New Roman"/>
          <w:b/>
          <w:sz w:val="22"/>
          <w:szCs w:val="22"/>
          <w:lang w:val="lt-LT"/>
        </w:rPr>
      </w:pPr>
    </w:p>
    <w:p w:rsidR="00062941" w:rsidRPr="00EC23FD" w:rsidRDefault="00062941" w:rsidP="00062941">
      <w:pPr>
        <w:spacing w:after="0" w:line="240" w:lineRule="auto"/>
        <w:rPr>
          <w:rFonts w:eastAsia="Times New Roman"/>
          <w:b/>
          <w:sz w:val="22"/>
          <w:szCs w:val="22"/>
          <w:lang w:val="lt-LT"/>
        </w:rPr>
      </w:pPr>
      <w:r w:rsidRPr="00EC23FD">
        <w:rPr>
          <w:rFonts w:eastAsia="Times New Roman"/>
          <w:sz w:val="22"/>
          <w:szCs w:val="22"/>
          <w:lang w:val="lt-LT"/>
        </w:rPr>
        <w:t>Pirmą kartą atidarius tūbelę, vaisto tinkamumo laikas: 28 paros</w:t>
      </w:r>
      <w:r w:rsidRPr="00EC23FD">
        <w:rPr>
          <w:rFonts w:eastAsia="Times New Roman"/>
          <w:b/>
          <w:sz w:val="22"/>
          <w:szCs w:val="22"/>
          <w:lang w:val="lt-LT"/>
        </w:rPr>
        <w:t>.</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 xml:space="preserve">Užsirašykite datą, kada atsukote tūbelę žemiau esančiame laukelyje: </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Atidaryta:</w:t>
      </w:r>
    </w:p>
    <w:p w:rsidR="00062941" w:rsidRPr="00EC23FD" w:rsidRDefault="00062941" w:rsidP="00062941">
      <w:pPr>
        <w:spacing w:after="0" w:line="240" w:lineRule="auto"/>
        <w:rPr>
          <w:rFonts w:eastAsia="Times New Roman"/>
          <w:b/>
          <w:sz w:val="22"/>
          <w:szCs w:val="22"/>
          <w:lang w:val="lt-LT"/>
        </w:rPr>
      </w:pPr>
    </w:p>
    <w:p w:rsidR="000F53C8" w:rsidRPr="00EC23FD" w:rsidRDefault="000F53C8" w:rsidP="000F53C8">
      <w:pPr>
        <w:spacing w:after="0" w:line="240" w:lineRule="auto"/>
        <w:jc w:val="both"/>
        <w:rPr>
          <w:rFonts w:eastAsia="Times New Roman"/>
          <w:sz w:val="22"/>
          <w:szCs w:val="22"/>
          <w:lang w:val="lt-LT"/>
        </w:rPr>
      </w:pPr>
      <w:r w:rsidRPr="00EC23FD">
        <w:rPr>
          <w:rFonts w:eastAsia="Times New Roman"/>
          <w:sz w:val="22"/>
          <w:szCs w:val="22"/>
          <w:lang w:val="lt-LT"/>
        </w:rPr>
        <w:t>Laikyti ne aukštesnėje kaip 25 °C temperatūroje</w:t>
      </w:r>
      <w:r w:rsidR="00847C22">
        <w:rPr>
          <w:rFonts w:eastAsia="Times New Roman"/>
          <w:sz w:val="22"/>
          <w:szCs w:val="22"/>
          <w:lang w:val="lt-LT"/>
        </w:rPr>
        <w:t>, gamintojo pakuotėje</w:t>
      </w:r>
      <w:r>
        <w:rPr>
          <w:rFonts w:eastAsia="Times New Roman"/>
          <w:sz w:val="22"/>
          <w:szCs w:val="22"/>
          <w:lang w:val="lt-LT"/>
        </w:rPr>
        <w:t>. Negalima šaldyti.</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T</w:t>
      </w:r>
      <w:r w:rsidR="003C2C8A">
        <w:rPr>
          <w:rFonts w:eastAsia="Times New Roman"/>
          <w:sz w:val="22"/>
          <w:szCs w:val="22"/>
          <w:lang w:val="lt-LT"/>
        </w:rPr>
        <w:t>ūbelę l</w:t>
      </w:r>
      <w:r w:rsidR="000F53C8">
        <w:rPr>
          <w:rFonts w:eastAsia="Times New Roman"/>
          <w:sz w:val="22"/>
          <w:szCs w:val="22"/>
          <w:lang w:val="lt-LT"/>
        </w:rPr>
        <w:t>aikyti sandariai užsuktą.</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Ant dėžutės ir  tūbelės po „Tinka iki“ nurodytam tinkamumo laikui pasibaigus, šio vaisto vartoti negalima. Vaistas tinkamas vartoti iki paskutinės nurodyto mėnesio dienos.</w:t>
      </w:r>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sz w:val="22"/>
          <w:szCs w:val="22"/>
          <w:lang w:val="lt-LT"/>
        </w:rPr>
      </w:pPr>
      <w:r w:rsidRPr="00EC23FD">
        <w:rPr>
          <w:rFonts w:eastAsia="Times New Roman"/>
          <w:sz w:val="22"/>
          <w:szCs w:val="22"/>
          <w:lang w:val="lt-LT"/>
        </w:rPr>
        <w:t>Vaistų negalima išmesti į kanalizaciją arba su buitinėmis atliekomis. Kaip išmesti nereikalingus vaistus, klauskite vaistininko. Šios priemonės padės apsaugoti aplinką.</w:t>
      </w:r>
    </w:p>
    <w:p w:rsidR="00062941" w:rsidRPr="00EC23FD" w:rsidRDefault="00062941" w:rsidP="00062941">
      <w:pPr>
        <w:spacing w:after="0" w:line="240" w:lineRule="auto"/>
        <w:rPr>
          <w:rFonts w:eastAsia="Times New Roman"/>
          <w:b/>
          <w:sz w:val="22"/>
          <w:szCs w:val="22"/>
          <w:lang w:val="lt-LT"/>
        </w:rPr>
      </w:pPr>
    </w:p>
    <w:p w:rsidR="00062941" w:rsidRPr="00EC23FD" w:rsidRDefault="00062941" w:rsidP="00062941">
      <w:pPr>
        <w:spacing w:after="0" w:line="240" w:lineRule="auto"/>
        <w:rPr>
          <w:rFonts w:eastAsia="Times New Roman"/>
          <w:b/>
          <w:sz w:val="22"/>
          <w:szCs w:val="22"/>
          <w:lang w:val="lt-LT"/>
        </w:rPr>
      </w:pPr>
    </w:p>
    <w:p w:rsidR="00062941" w:rsidRPr="00EC23FD" w:rsidRDefault="00062941" w:rsidP="00062941">
      <w:pPr>
        <w:keepNext/>
        <w:tabs>
          <w:tab w:val="left" w:pos="567"/>
        </w:tabs>
        <w:spacing w:after="0" w:line="240" w:lineRule="auto"/>
        <w:ind w:left="567" w:hanging="567"/>
        <w:outlineLvl w:val="1"/>
        <w:rPr>
          <w:rFonts w:eastAsia="Times New Roman"/>
          <w:b/>
          <w:sz w:val="22"/>
          <w:szCs w:val="22"/>
          <w:lang w:val="lt-LT"/>
        </w:rPr>
      </w:pPr>
      <w:bookmarkStart w:id="12" w:name="_Toc129243144"/>
      <w:bookmarkStart w:id="13" w:name="_Toc129243269"/>
      <w:r w:rsidRPr="00EC23FD">
        <w:rPr>
          <w:rFonts w:eastAsia="Times New Roman"/>
          <w:b/>
          <w:sz w:val="22"/>
          <w:szCs w:val="22"/>
          <w:lang w:val="lt-LT"/>
        </w:rPr>
        <w:t>6.</w:t>
      </w:r>
      <w:r w:rsidRPr="00EC23FD">
        <w:rPr>
          <w:rFonts w:eastAsia="Times New Roman"/>
          <w:b/>
          <w:sz w:val="22"/>
          <w:szCs w:val="22"/>
          <w:lang w:val="lt-LT"/>
        </w:rPr>
        <w:tab/>
        <w:t>Pakuotės turinys ir kita informacija</w:t>
      </w:r>
      <w:bookmarkEnd w:id="12"/>
      <w:bookmarkEnd w:id="13"/>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bCs/>
          <w:sz w:val="22"/>
          <w:szCs w:val="22"/>
          <w:lang w:val="lt-LT"/>
        </w:rPr>
      </w:pPr>
      <w:r w:rsidRPr="00EC23FD">
        <w:rPr>
          <w:rFonts w:eastAsia="Times New Roman"/>
          <w:b/>
          <w:bCs/>
          <w:sz w:val="22"/>
          <w:szCs w:val="22"/>
          <w:lang w:val="lt-LT"/>
        </w:rPr>
        <w:t>TOBREX sudėtis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pStyle w:val="Sraopastraipa"/>
        <w:numPr>
          <w:ilvl w:val="0"/>
          <w:numId w:val="3"/>
        </w:numPr>
        <w:spacing w:after="0" w:line="240" w:lineRule="auto"/>
        <w:ind w:left="567" w:hanging="567"/>
        <w:rPr>
          <w:rFonts w:eastAsia="Times New Roman"/>
          <w:sz w:val="22"/>
          <w:szCs w:val="22"/>
          <w:lang w:val="lt-LT"/>
        </w:rPr>
      </w:pPr>
      <w:r w:rsidRPr="00EC23FD">
        <w:rPr>
          <w:rFonts w:eastAsia="Times New Roman"/>
          <w:sz w:val="22"/>
          <w:szCs w:val="22"/>
          <w:lang w:val="lt-LT"/>
        </w:rPr>
        <w:t>Veiklioji medžiaga yra tobramicinas. Viename grame akių tepalo yra 3 mg tobramicino.</w:t>
      </w:r>
    </w:p>
    <w:p w:rsidR="00062941" w:rsidRPr="00EC23FD" w:rsidRDefault="00062941" w:rsidP="00062941">
      <w:pPr>
        <w:pStyle w:val="Sraopastraipa"/>
        <w:numPr>
          <w:ilvl w:val="0"/>
          <w:numId w:val="3"/>
        </w:numPr>
        <w:spacing w:after="0" w:line="240" w:lineRule="auto"/>
        <w:ind w:left="567" w:hanging="567"/>
        <w:rPr>
          <w:rFonts w:eastAsia="Times New Roman"/>
          <w:sz w:val="22"/>
          <w:szCs w:val="22"/>
          <w:lang w:val="lt-LT"/>
        </w:rPr>
      </w:pPr>
      <w:r w:rsidRPr="00EC23FD">
        <w:rPr>
          <w:rFonts w:eastAsia="Times New Roman"/>
          <w:sz w:val="22"/>
          <w:szCs w:val="22"/>
          <w:lang w:val="lt-LT"/>
        </w:rPr>
        <w:t>Pagalbinės medžiagos yra bevandenis chlorobutanolis, skystasis parafinas, minkštasis baltas parafinas.</w:t>
      </w:r>
    </w:p>
    <w:p w:rsidR="00062941" w:rsidRPr="00EC23FD" w:rsidRDefault="00062941" w:rsidP="00062941">
      <w:pPr>
        <w:tabs>
          <w:tab w:val="left" w:pos="567"/>
        </w:tabs>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bCs/>
          <w:sz w:val="22"/>
          <w:szCs w:val="22"/>
          <w:lang w:val="lt-LT"/>
        </w:rPr>
      </w:pPr>
      <w:r w:rsidRPr="00EC23FD">
        <w:rPr>
          <w:rFonts w:eastAsia="Times New Roman"/>
          <w:b/>
          <w:bCs/>
          <w:sz w:val="22"/>
          <w:szCs w:val="22"/>
          <w:lang w:val="lt-LT"/>
        </w:rPr>
        <w:t>TOBREX išvaizda ir kiekis pakuotėje</w:t>
      </w:r>
    </w:p>
    <w:p w:rsidR="00062941" w:rsidRPr="00EC23FD" w:rsidRDefault="00062941" w:rsidP="00062941">
      <w:pPr>
        <w:spacing w:after="0" w:line="240" w:lineRule="auto"/>
        <w:rPr>
          <w:rFonts w:eastAsia="Times New Roman"/>
          <w:b/>
          <w:bCs/>
          <w:sz w:val="22"/>
          <w:szCs w:val="22"/>
          <w:lang w:val="lt-LT"/>
        </w:rPr>
      </w:pPr>
    </w:p>
    <w:p w:rsidR="00062941" w:rsidRPr="00EC23FD" w:rsidRDefault="00062941" w:rsidP="00062941">
      <w:pPr>
        <w:spacing w:after="0" w:line="240" w:lineRule="auto"/>
        <w:jc w:val="both"/>
        <w:rPr>
          <w:rFonts w:eastAsia="Times New Roman"/>
          <w:sz w:val="22"/>
          <w:szCs w:val="22"/>
          <w:lang w:val="lt-LT"/>
        </w:rPr>
      </w:pPr>
      <w:r w:rsidRPr="00EC23FD">
        <w:rPr>
          <w:rFonts w:eastAsia="Times New Roman"/>
          <w:sz w:val="22"/>
          <w:szCs w:val="22"/>
          <w:lang w:val="lt-LT"/>
        </w:rPr>
        <w:t>TOBREX yra baltas arba beveik baltas homogeniškas tepalas.</w:t>
      </w:r>
    </w:p>
    <w:p w:rsidR="00062941" w:rsidRPr="00EC23FD" w:rsidRDefault="00062941" w:rsidP="00062941">
      <w:pPr>
        <w:spacing w:after="0" w:line="240" w:lineRule="auto"/>
        <w:jc w:val="both"/>
        <w:rPr>
          <w:rFonts w:eastAsia="Times New Roman"/>
          <w:sz w:val="22"/>
          <w:szCs w:val="22"/>
          <w:lang w:val="lt-LT"/>
        </w:rPr>
      </w:pPr>
      <w:r w:rsidRPr="00EC23FD">
        <w:rPr>
          <w:rFonts w:eastAsia="Times New Roman"/>
          <w:sz w:val="22"/>
          <w:szCs w:val="22"/>
          <w:lang w:val="lt-LT"/>
        </w:rPr>
        <w:t>Kartono dėžutėje yra viena tūbelė su plastiko snapeliu ir plastiko dangteliu, kurioje yra 3,5 g tepalo.</w:t>
      </w:r>
    </w:p>
    <w:p w:rsidR="00062941" w:rsidRDefault="00062941" w:rsidP="00062941">
      <w:pPr>
        <w:spacing w:after="0" w:line="240" w:lineRule="auto"/>
        <w:rPr>
          <w:rFonts w:eastAsia="Times New Roman"/>
          <w:b/>
          <w:bCs/>
          <w:sz w:val="22"/>
          <w:szCs w:val="22"/>
          <w:lang w:val="lt-LT"/>
        </w:rPr>
      </w:pPr>
    </w:p>
    <w:p w:rsidR="00A6165A" w:rsidRPr="008903F7" w:rsidRDefault="00A6165A" w:rsidP="00A6165A">
      <w:pPr>
        <w:pStyle w:val="Pagrindinistekstas"/>
        <w:spacing w:after="0"/>
        <w:rPr>
          <w:position w:val="6"/>
          <w:sz w:val="22"/>
          <w:szCs w:val="22"/>
        </w:rPr>
      </w:pPr>
    </w:p>
    <w:p w:rsidR="00A6165A" w:rsidRPr="002044CA" w:rsidRDefault="00A6165A" w:rsidP="00A6165A">
      <w:pPr>
        <w:pStyle w:val="PI-3EMEASMCA"/>
        <w:rPr>
          <w:iCs/>
          <w:lang w:eastAsia="lt-LT"/>
        </w:rPr>
      </w:pPr>
      <w:r w:rsidRPr="00F92E49">
        <w:t>Lygiagretus</w:t>
      </w:r>
      <w:r w:rsidRPr="002044CA">
        <w:rPr>
          <w:iCs/>
          <w:lang w:eastAsia="lt-LT"/>
        </w:rPr>
        <w:t xml:space="preserve"> </w:t>
      </w:r>
      <w:r w:rsidRPr="00F92E49">
        <w:t>importuotojas</w:t>
      </w:r>
    </w:p>
    <w:p w:rsidR="00A6165A" w:rsidRPr="00A6165A" w:rsidRDefault="00A6165A" w:rsidP="00A6165A">
      <w:pPr>
        <w:pStyle w:val="Pagrindinistekstas"/>
        <w:spacing w:after="0"/>
        <w:rPr>
          <w:position w:val="6"/>
          <w:sz w:val="22"/>
          <w:szCs w:val="22"/>
        </w:rPr>
      </w:pPr>
      <w:r w:rsidRPr="00A6165A">
        <w:rPr>
          <w:position w:val="6"/>
          <w:sz w:val="22"/>
          <w:szCs w:val="22"/>
        </w:rPr>
        <w:t>UAB „Adeofarma“</w:t>
      </w:r>
    </w:p>
    <w:p w:rsidR="00A6165A" w:rsidRPr="00A6165A" w:rsidRDefault="00A6165A" w:rsidP="00A6165A">
      <w:pPr>
        <w:pStyle w:val="Pagrindinistekstas"/>
        <w:spacing w:after="0"/>
        <w:rPr>
          <w:position w:val="6"/>
          <w:sz w:val="22"/>
          <w:szCs w:val="22"/>
        </w:rPr>
      </w:pPr>
      <w:r w:rsidRPr="00A6165A">
        <w:rPr>
          <w:position w:val="6"/>
          <w:sz w:val="22"/>
          <w:szCs w:val="22"/>
        </w:rPr>
        <w:t>Š</w:t>
      </w:r>
      <w:r w:rsidR="001B0F25">
        <w:rPr>
          <w:position w:val="6"/>
          <w:sz w:val="22"/>
          <w:szCs w:val="22"/>
        </w:rPr>
        <w:t>vitrigai</w:t>
      </w:r>
      <w:r w:rsidRPr="00A6165A">
        <w:rPr>
          <w:position w:val="6"/>
          <w:sz w:val="22"/>
          <w:szCs w:val="22"/>
        </w:rPr>
        <w:t>los</w:t>
      </w:r>
      <w:r w:rsidR="001B0F25">
        <w:rPr>
          <w:position w:val="6"/>
          <w:sz w:val="22"/>
          <w:szCs w:val="22"/>
        </w:rPr>
        <w:t xml:space="preserve"> g.</w:t>
      </w:r>
      <w:r w:rsidRPr="00A6165A">
        <w:rPr>
          <w:position w:val="6"/>
          <w:sz w:val="22"/>
          <w:szCs w:val="22"/>
        </w:rPr>
        <w:t xml:space="preserve"> 11 A</w:t>
      </w:r>
    </w:p>
    <w:p w:rsidR="00A6165A" w:rsidRPr="00A6165A" w:rsidRDefault="00A6165A" w:rsidP="00A6165A">
      <w:pPr>
        <w:pStyle w:val="Pagrindinistekstas"/>
        <w:spacing w:after="0"/>
        <w:rPr>
          <w:position w:val="6"/>
          <w:sz w:val="22"/>
          <w:szCs w:val="22"/>
        </w:rPr>
      </w:pPr>
      <w:r w:rsidRPr="00A6165A">
        <w:rPr>
          <w:position w:val="6"/>
          <w:sz w:val="22"/>
          <w:szCs w:val="22"/>
        </w:rPr>
        <w:t>Vilnius LT-03228</w:t>
      </w:r>
    </w:p>
    <w:p w:rsidR="00A6165A" w:rsidRDefault="00A6165A" w:rsidP="00A6165A">
      <w:pPr>
        <w:pStyle w:val="Pagrindinistekstas"/>
        <w:spacing w:after="0"/>
        <w:rPr>
          <w:position w:val="6"/>
          <w:sz w:val="22"/>
          <w:szCs w:val="22"/>
        </w:rPr>
      </w:pPr>
      <w:r>
        <w:rPr>
          <w:position w:val="6"/>
          <w:sz w:val="22"/>
          <w:szCs w:val="22"/>
        </w:rPr>
        <w:t>Lietuva</w:t>
      </w:r>
    </w:p>
    <w:p w:rsidR="00A6165A" w:rsidRPr="00A6165A" w:rsidRDefault="00A6165A" w:rsidP="00A6165A">
      <w:pPr>
        <w:pStyle w:val="Pagrindinistekstas"/>
        <w:spacing w:after="0"/>
        <w:rPr>
          <w:position w:val="6"/>
          <w:sz w:val="22"/>
          <w:szCs w:val="22"/>
        </w:rPr>
      </w:pPr>
    </w:p>
    <w:p w:rsidR="00A6165A" w:rsidRPr="000F53C8" w:rsidRDefault="00A6165A" w:rsidP="000F53C8">
      <w:pPr>
        <w:pStyle w:val="PI-3EMEASMCA"/>
      </w:pPr>
      <w:r w:rsidRPr="00360ECF">
        <w:t xml:space="preserve">Perpakavo </w:t>
      </w:r>
    </w:p>
    <w:p w:rsidR="00A6165A" w:rsidRPr="00A6165A" w:rsidRDefault="00A6165A" w:rsidP="00A6165A">
      <w:pPr>
        <w:pStyle w:val="Pagrindinistekstas"/>
        <w:spacing w:after="0"/>
        <w:rPr>
          <w:position w:val="6"/>
          <w:sz w:val="22"/>
          <w:szCs w:val="22"/>
        </w:rPr>
      </w:pPr>
      <w:r w:rsidRPr="00A6165A">
        <w:rPr>
          <w:position w:val="6"/>
          <w:sz w:val="22"/>
          <w:szCs w:val="22"/>
        </w:rPr>
        <w:t>UAB „Entafarma“</w:t>
      </w:r>
    </w:p>
    <w:p w:rsidR="00A6165A" w:rsidRPr="00A6165A" w:rsidRDefault="00A6165A" w:rsidP="00A6165A">
      <w:pPr>
        <w:pStyle w:val="Pagrindinistekstas"/>
        <w:spacing w:after="0"/>
        <w:rPr>
          <w:position w:val="6"/>
          <w:sz w:val="22"/>
          <w:szCs w:val="22"/>
        </w:rPr>
      </w:pPr>
      <w:r w:rsidRPr="00A6165A">
        <w:rPr>
          <w:position w:val="6"/>
          <w:sz w:val="22"/>
          <w:szCs w:val="22"/>
        </w:rPr>
        <w:t>Klonėnų vs. 1</w:t>
      </w:r>
    </w:p>
    <w:p w:rsidR="00A6165A" w:rsidRPr="00A6165A" w:rsidRDefault="00A6165A" w:rsidP="00A6165A">
      <w:pPr>
        <w:pStyle w:val="Pagrindinistekstas"/>
        <w:spacing w:after="0"/>
        <w:rPr>
          <w:position w:val="6"/>
          <w:sz w:val="22"/>
          <w:szCs w:val="22"/>
        </w:rPr>
      </w:pPr>
      <w:r w:rsidRPr="00A6165A">
        <w:rPr>
          <w:position w:val="6"/>
          <w:sz w:val="22"/>
          <w:szCs w:val="22"/>
        </w:rPr>
        <w:t>Širvintų r. sav.</w:t>
      </w:r>
    </w:p>
    <w:p w:rsidR="00A6165A" w:rsidRPr="00A6165A" w:rsidRDefault="00A6165A" w:rsidP="00A6165A">
      <w:pPr>
        <w:pStyle w:val="Pagrindinistekstas"/>
        <w:spacing w:after="0"/>
        <w:rPr>
          <w:position w:val="6"/>
          <w:sz w:val="22"/>
          <w:szCs w:val="22"/>
        </w:rPr>
      </w:pPr>
      <w:r w:rsidRPr="00A6165A">
        <w:rPr>
          <w:position w:val="6"/>
          <w:sz w:val="22"/>
          <w:szCs w:val="22"/>
        </w:rPr>
        <w:t>Lietuva</w:t>
      </w:r>
    </w:p>
    <w:p w:rsidR="00A6165A" w:rsidRDefault="00A6165A" w:rsidP="00A6165A">
      <w:pPr>
        <w:pStyle w:val="BTEMEASMCA"/>
        <w:rPr>
          <w:sz w:val="22"/>
          <w:szCs w:val="22"/>
        </w:rPr>
      </w:pPr>
    </w:p>
    <w:p w:rsidR="00A6165A" w:rsidRPr="00EC23FD" w:rsidRDefault="00A6165A" w:rsidP="00A6165A">
      <w:pPr>
        <w:spacing w:after="0" w:line="240" w:lineRule="auto"/>
        <w:rPr>
          <w:rFonts w:eastAsia="Times New Roman"/>
          <w:sz w:val="22"/>
          <w:szCs w:val="22"/>
          <w:lang w:val="lt-LT"/>
        </w:rPr>
      </w:pPr>
      <w:r w:rsidRPr="00A6165A">
        <w:rPr>
          <w:b/>
          <w:bCs/>
          <w:szCs w:val="22"/>
          <w:lang w:val="lt-LT" w:eastAsia="lt-LT"/>
        </w:rPr>
        <w:t>Registruotojas</w:t>
      </w:r>
      <w:r w:rsidRPr="00360ECF">
        <w:rPr>
          <w:b/>
          <w:bCs/>
          <w:szCs w:val="22"/>
          <w:lang w:val="x-none" w:eastAsia="lt-LT"/>
        </w:rPr>
        <w:t xml:space="preserve"> eksportuojančioje valstybėje yra </w:t>
      </w:r>
      <w:r w:rsidRPr="00EC23FD">
        <w:rPr>
          <w:rFonts w:eastAsia="Times New Roman"/>
          <w:sz w:val="22"/>
          <w:szCs w:val="22"/>
          <w:lang w:val="lt-LT"/>
        </w:rPr>
        <w:t xml:space="preserve">s.a. ALCON–COUVREUR n.v. </w:t>
      </w:r>
    </w:p>
    <w:p w:rsidR="00A6165A" w:rsidRPr="00EC23FD" w:rsidRDefault="00A6165A" w:rsidP="00A6165A">
      <w:pPr>
        <w:spacing w:after="0" w:line="240" w:lineRule="auto"/>
        <w:rPr>
          <w:rFonts w:eastAsia="Times New Roman"/>
          <w:sz w:val="22"/>
          <w:szCs w:val="22"/>
          <w:lang w:val="lt-LT"/>
        </w:rPr>
      </w:pPr>
      <w:r w:rsidRPr="00EC23FD">
        <w:rPr>
          <w:rFonts w:eastAsia="Times New Roman"/>
          <w:sz w:val="22"/>
          <w:szCs w:val="22"/>
          <w:lang w:val="lt-LT"/>
        </w:rPr>
        <w:t>Rijksweg 14</w:t>
      </w:r>
    </w:p>
    <w:p w:rsidR="00A6165A" w:rsidRPr="00EC23FD" w:rsidRDefault="00A6165A" w:rsidP="00A6165A">
      <w:pPr>
        <w:spacing w:after="0" w:line="240" w:lineRule="auto"/>
        <w:rPr>
          <w:rFonts w:eastAsia="Times New Roman"/>
          <w:sz w:val="22"/>
          <w:szCs w:val="22"/>
          <w:lang w:val="lt-LT"/>
        </w:rPr>
      </w:pPr>
      <w:r w:rsidRPr="00EC23FD">
        <w:rPr>
          <w:rFonts w:eastAsia="Times New Roman"/>
          <w:sz w:val="22"/>
          <w:szCs w:val="22"/>
          <w:lang w:val="lt-LT"/>
        </w:rPr>
        <w:lastRenderedPageBreak/>
        <w:t>B-2870 Puurs</w:t>
      </w:r>
    </w:p>
    <w:p w:rsidR="00A6165A" w:rsidRPr="00E05572" w:rsidRDefault="00A6165A" w:rsidP="00A6165A">
      <w:pPr>
        <w:autoSpaceDE w:val="0"/>
        <w:autoSpaceDN w:val="0"/>
        <w:adjustRightInd w:val="0"/>
        <w:rPr>
          <w:b/>
          <w:bCs/>
          <w:sz w:val="22"/>
          <w:szCs w:val="22"/>
        </w:rPr>
      </w:pPr>
      <w:r w:rsidRPr="00EC23FD">
        <w:rPr>
          <w:rFonts w:eastAsia="Times New Roman"/>
          <w:sz w:val="22"/>
          <w:szCs w:val="22"/>
          <w:lang w:val="lt-LT"/>
        </w:rPr>
        <w:t>Belgija</w:t>
      </w:r>
    </w:p>
    <w:p w:rsidR="00A6165A" w:rsidRPr="00E05572" w:rsidRDefault="00A6165A" w:rsidP="00A6165A">
      <w:pPr>
        <w:pStyle w:val="Pagrindinistekstas"/>
        <w:spacing w:after="0"/>
        <w:rPr>
          <w:b/>
          <w:bCs/>
          <w:sz w:val="22"/>
          <w:szCs w:val="22"/>
        </w:rPr>
      </w:pPr>
      <w:r w:rsidRPr="00E05572">
        <w:rPr>
          <w:b/>
          <w:bCs/>
          <w:sz w:val="22"/>
          <w:szCs w:val="22"/>
        </w:rPr>
        <w:t xml:space="preserve">Šis pakuotės lapelis paskutinį kartą peržiūrėtas </w:t>
      </w:r>
      <w:r w:rsidR="00AF1BE7">
        <w:rPr>
          <w:b/>
          <w:bCs/>
          <w:sz w:val="22"/>
          <w:szCs w:val="22"/>
        </w:rPr>
        <w:t>2016-03-14.</w:t>
      </w:r>
      <w:bookmarkStart w:id="14" w:name="_GoBack"/>
      <w:bookmarkEnd w:id="14"/>
    </w:p>
    <w:p w:rsidR="00062941" w:rsidRPr="00EC23FD" w:rsidRDefault="00062941" w:rsidP="00062941">
      <w:pPr>
        <w:spacing w:after="0" w:line="240" w:lineRule="auto"/>
        <w:rPr>
          <w:rFonts w:eastAsia="Times New Roman"/>
          <w:sz w:val="22"/>
          <w:szCs w:val="22"/>
          <w:lang w:val="lt-LT"/>
        </w:rPr>
      </w:pPr>
    </w:p>
    <w:p w:rsidR="00062941" w:rsidRPr="00EC23FD" w:rsidRDefault="00062941" w:rsidP="00062941">
      <w:pPr>
        <w:spacing w:after="0" w:line="240" w:lineRule="auto"/>
        <w:rPr>
          <w:rFonts w:eastAsia="Times New Roman"/>
          <w:b/>
          <w:sz w:val="22"/>
          <w:szCs w:val="22"/>
          <w:lang w:val="lt-LT"/>
        </w:rPr>
      </w:pPr>
      <w:r w:rsidRPr="00EC23FD">
        <w:rPr>
          <w:rFonts w:eastAsia="Times New Roman"/>
          <w:b/>
          <w:sz w:val="22"/>
          <w:szCs w:val="22"/>
          <w:lang w:val="lt-LT"/>
        </w:rPr>
        <w:t>Gamintojai</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 xml:space="preserve">s.a. ALCON–COUVREUR n.v. </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Rijksweg 14</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B-2870 Puurs</w:t>
      </w:r>
    </w:p>
    <w:p w:rsidR="00062941"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 xml:space="preserve">Belgija </w:t>
      </w:r>
    </w:p>
    <w:p w:rsidR="006A5BC0" w:rsidRPr="00EC23FD" w:rsidRDefault="006A5BC0" w:rsidP="00062941">
      <w:pPr>
        <w:tabs>
          <w:tab w:val="left" w:pos="567"/>
        </w:tabs>
        <w:spacing w:after="0" w:line="240" w:lineRule="auto"/>
        <w:rPr>
          <w:rFonts w:eastAsia="Times New Roman"/>
          <w:sz w:val="22"/>
          <w:szCs w:val="22"/>
          <w:lang w:val="lt-LT"/>
        </w:rPr>
      </w:pPr>
    </w:p>
    <w:p w:rsidR="00062941" w:rsidRDefault="006A5BC0" w:rsidP="00062941">
      <w:pPr>
        <w:tabs>
          <w:tab w:val="left" w:pos="567"/>
        </w:tabs>
        <w:spacing w:after="0" w:line="240" w:lineRule="auto"/>
        <w:rPr>
          <w:rFonts w:eastAsia="Times New Roman"/>
          <w:sz w:val="22"/>
          <w:szCs w:val="22"/>
          <w:lang w:val="lt-LT"/>
        </w:rPr>
      </w:pPr>
      <w:r>
        <w:rPr>
          <w:rFonts w:eastAsia="Times New Roman"/>
          <w:sz w:val="22"/>
          <w:szCs w:val="22"/>
          <w:lang w:val="lt-LT"/>
        </w:rPr>
        <w:t>a</w:t>
      </w:r>
      <w:r w:rsidR="00062941" w:rsidRPr="00EC23FD">
        <w:rPr>
          <w:rFonts w:eastAsia="Times New Roman"/>
          <w:sz w:val="22"/>
          <w:szCs w:val="22"/>
          <w:lang w:val="lt-LT"/>
        </w:rPr>
        <w:t>rba</w:t>
      </w:r>
    </w:p>
    <w:p w:rsidR="006A5BC0" w:rsidRPr="00EC23FD" w:rsidRDefault="006A5BC0" w:rsidP="00062941">
      <w:pPr>
        <w:tabs>
          <w:tab w:val="left" w:pos="567"/>
        </w:tabs>
        <w:spacing w:after="0" w:line="240" w:lineRule="auto"/>
        <w:rPr>
          <w:rFonts w:eastAsia="Times New Roman"/>
          <w:sz w:val="22"/>
          <w:szCs w:val="22"/>
          <w:highlight w:val="yellow"/>
          <w:lang w:val="lt-LT"/>
        </w:rPr>
      </w:pP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Alcon Cusi S.A.</w:t>
      </w:r>
    </w:p>
    <w:p w:rsidR="00062941" w:rsidRPr="00EC23FD" w:rsidRDefault="00062941" w:rsidP="00062941">
      <w:pPr>
        <w:tabs>
          <w:tab w:val="left" w:pos="567"/>
        </w:tabs>
        <w:spacing w:after="0" w:line="240" w:lineRule="auto"/>
        <w:rPr>
          <w:rFonts w:eastAsia="Times New Roman"/>
          <w:sz w:val="22"/>
          <w:szCs w:val="22"/>
          <w:lang w:val="lt-LT"/>
        </w:rPr>
      </w:pPr>
      <w:r w:rsidRPr="00EC23FD">
        <w:rPr>
          <w:rFonts w:eastAsia="Times New Roman"/>
          <w:sz w:val="22"/>
          <w:szCs w:val="22"/>
          <w:lang w:val="lt-LT"/>
        </w:rPr>
        <w:t>Camil Fabra 58, Barselona</w:t>
      </w:r>
    </w:p>
    <w:p w:rsidR="00062941" w:rsidRPr="00EC23FD" w:rsidRDefault="00062941" w:rsidP="00062941">
      <w:pPr>
        <w:spacing w:after="0" w:line="240" w:lineRule="auto"/>
        <w:rPr>
          <w:rFonts w:eastAsia="Times New Roman"/>
          <w:sz w:val="22"/>
          <w:szCs w:val="22"/>
          <w:lang w:val="lt-LT"/>
        </w:rPr>
      </w:pPr>
      <w:r w:rsidRPr="00EC23FD">
        <w:rPr>
          <w:rFonts w:eastAsia="Times New Roman"/>
          <w:sz w:val="22"/>
          <w:szCs w:val="22"/>
          <w:lang w:val="lt-LT"/>
        </w:rPr>
        <w:t>Ispanija</w:t>
      </w:r>
    </w:p>
    <w:p w:rsidR="00062941" w:rsidRPr="00EC23FD" w:rsidRDefault="00062941" w:rsidP="00062941">
      <w:pPr>
        <w:spacing w:after="0" w:line="240" w:lineRule="auto"/>
        <w:rPr>
          <w:rFonts w:eastAsia="Times New Roman"/>
          <w:sz w:val="22"/>
          <w:szCs w:val="22"/>
          <w:lang w:val="lt-LT"/>
        </w:rPr>
      </w:pPr>
    </w:p>
    <w:p w:rsidR="00062941" w:rsidRDefault="00062941" w:rsidP="00062941">
      <w:pPr>
        <w:tabs>
          <w:tab w:val="left" w:pos="567"/>
        </w:tabs>
        <w:spacing w:after="0" w:line="240" w:lineRule="auto"/>
        <w:rPr>
          <w:rFonts w:eastAsia="Times New Roman"/>
          <w:color w:val="0000FF"/>
          <w:sz w:val="22"/>
          <w:szCs w:val="22"/>
          <w:lang w:val="lt-LT"/>
        </w:rPr>
      </w:pPr>
      <w:r w:rsidRPr="00EC23FD">
        <w:rPr>
          <w:rFonts w:eastAsia="Times New Roman"/>
          <w:sz w:val="22"/>
          <w:szCs w:val="22"/>
          <w:lang w:val="lt-LT"/>
        </w:rPr>
        <w:t>Išsami informacija apie šį vaistą pateikiama Valstybinės vaistų kontrolės tarnybos prie Lietuvos Respublikos sveikatos apsaugos ministerijos tinklalapyje</w:t>
      </w:r>
      <w:r w:rsidRPr="00EC23FD">
        <w:rPr>
          <w:rFonts w:eastAsia="Times New Roman"/>
          <w:i/>
          <w:sz w:val="22"/>
          <w:szCs w:val="22"/>
          <w:lang w:val="lt-LT"/>
        </w:rPr>
        <w:t xml:space="preserve"> </w:t>
      </w:r>
      <w:hyperlink r:id="rId11" w:history="1">
        <w:r w:rsidRPr="00EC23FD">
          <w:rPr>
            <w:rFonts w:eastAsia="Times New Roman"/>
            <w:color w:val="0000FF"/>
            <w:sz w:val="22"/>
            <w:szCs w:val="22"/>
            <w:u w:val="single"/>
            <w:lang w:val="lt-LT"/>
          </w:rPr>
          <w:t>http://www.vvkt.lt/</w:t>
        </w:r>
      </w:hyperlink>
      <w:r w:rsidRPr="00EC23FD">
        <w:rPr>
          <w:rFonts w:eastAsia="Times New Roman"/>
          <w:color w:val="0000FF"/>
          <w:sz w:val="22"/>
          <w:szCs w:val="22"/>
          <w:lang w:val="lt-LT"/>
        </w:rPr>
        <w:t>.</w:t>
      </w:r>
    </w:p>
    <w:p w:rsidR="006A5BC0" w:rsidRDefault="006A5BC0" w:rsidP="00062941">
      <w:pPr>
        <w:tabs>
          <w:tab w:val="left" w:pos="567"/>
        </w:tabs>
        <w:spacing w:after="0" w:line="240" w:lineRule="auto"/>
        <w:rPr>
          <w:rFonts w:eastAsia="Times New Roman"/>
          <w:color w:val="0000FF"/>
          <w:sz w:val="22"/>
          <w:szCs w:val="22"/>
          <w:lang w:val="lt-LT"/>
        </w:rPr>
      </w:pPr>
    </w:p>
    <w:p w:rsidR="00812867" w:rsidRDefault="00812867" w:rsidP="00062941">
      <w:pPr>
        <w:tabs>
          <w:tab w:val="left" w:pos="567"/>
        </w:tabs>
        <w:spacing w:after="0" w:line="240" w:lineRule="auto"/>
        <w:rPr>
          <w:rFonts w:eastAsia="Times New Roman"/>
          <w:color w:val="0000FF"/>
          <w:sz w:val="22"/>
          <w:szCs w:val="22"/>
          <w:lang w:val="lt-LT"/>
        </w:rPr>
      </w:pPr>
      <w:r w:rsidRPr="003C2C8A">
        <w:rPr>
          <w:rFonts w:eastAsia="Times New Roman"/>
          <w:i/>
          <w:sz w:val="22"/>
          <w:szCs w:val="22"/>
        </w:rPr>
        <w:t xml:space="preserve">Lygiagretus vaistinis preparatas skiriasi nuo </w:t>
      </w:r>
      <w:r>
        <w:rPr>
          <w:rFonts w:eastAsia="Times New Roman"/>
          <w:i/>
          <w:sz w:val="22"/>
          <w:szCs w:val="22"/>
        </w:rPr>
        <w:t xml:space="preserve">referencinio laikymo sąlygomis: </w:t>
      </w:r>
      <w:r w:rsidR="000F53C8">
        <w:rPr>
          <w:rFonts w:eastAsia="Times New Roman"/>
          <w:i/>
          <w:sz w:val="22"/>
          <w:szCs w:val="22"/>
        </w:rPr>
        <w:t>lygia</w:t>
      </w:r>
      <w:r>
        <w:rPr>
          <w:rFonts w:eastAsia="Times New Roman"/>
          <w:i/>
          <w:sz w:val="22"/>
          <w:szCs w:val="22"/>
        </w:rPr>
        <w:t>g</w:t>
      </w:r>
      <w:r w:rsidRPr="003C2C8A">
        <w:rPr>
          <w:rFonts w:eastAsia="Times New Roman"/>
          <w:i/>
          <w:sz w:val="22"/>
          <w:szCs w:val="22"/>
        </w:rPr>
        <w:t>rečiai importuojamas vaistinis preparatas- laikyti gamintojo pak</w:t>
      </w:r>
      <w:r>
        <w:rPr>
          <w:rFonts w:eastAsia="Times New Roman"/>
          <w:i/>
          <w:sz w:val="22"/>
          <w:szCs w:val="22"/>
        </w:rPr>
        <w:t>u</w:t>
      </w:r>
      <w:r w:rsidRPr="003C2C8A">
        <w:rPr>
          <w:rFonts w:eastAsia="Times New Roman"/>
          <w:i/>
          <w:sz w:val="22"/>
          <w:szCs w:val="22"/>
        </w:rPr>
        <w:t>otėje, negalima šaldyti, refer</w:t>
      </w:r>
      <w:r>
        <w:rPr>
          <w:rFonts w:eastAsia="Times New Roman"/>
          <w:i/>
          <w:sz w:val="22"/>
          <w:szCs w:val="22"/>
        </w:rPr>
        <w:t>e</w:t>
      </w:r>
      <w:r w:rsidRPr="003C2C8A">
        <w:rPr>
          <w:rFonts w:eastAsia="Times New Roman"/>
          <w:i/>
          <w:sz w:val="22"/>
          <w:szCs w:val="22"/>
        </w:rPr>
        <w:t>ncinio vaistinio preparato –nenurodoma.</w:t>
      </w:r>
    </w:p>
    <w:p w:rsidR="00812867" w:rsidRDefault="00812867" w:rsidP="00062941">
      <w:pPr>
        <w:tabs>
          <w:tab w:val="left" w:pos="567"/>
        </w:tabs>
        <w:spacing w:after="0" w:line="240" w:lineRule="auto"/>
        <w:rPr>
          <w:rFonts w:eastAsia="Times New Roman"/>
          <w:color w:val="0000FF"/>
          <w:sz w:val="22"/>
          <w:szCs w:val="22"/>
          <w:lang w:val="lt-LT"/>
        </w:rPr>
      </w:pPr>
    </w:p>
    <w:p w:rsidR="0073384E" w:rsidRPr="00062941" w:rsidRDefault="0073384E">
      <w:pPr>
        <w:rPr>
          <w:lang w:val="lt-LT"/>
        </w:rPr>
      </w:pPr>
    </w:p>
    <w:sectPr w:rsidR="0073384E" w:rsidRPr="00062941" w:rsidSect="00E41C5D">
      <w:footerReference w:type="even" r:id="rId12"/>
      <w:footerReference w:type="default" r:id="rId13"/>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51B" w:rsidRDefault="00BA151B">
      <w:pPr>
        <w:spacing w:after="0" w:line="240" w:lineRule="auto"/>
      </w:pPr>
      <w:r>
        <w:separator/>
      </w:r>
    </w:p>
  </w:endnote>
  <w:endnote w:type="continuationSeparator" w:id="0">
    <w:p w:rsidR="00BA151B" w:rsidRDefault="00BA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F4" w:rsidRDefault="009204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B42F4" w:rsidRDefault="00BA151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2F4" w:rsidRDefault="0092041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F1BE7">
      <w:rPr>
        <w:rStyle w:val="Puslapionumeris"/>
        <w:noProof/>
      </w:rPr>
      <w:t>9</w:t>
    </w:r>
    <w:r>
      <w:rPr>
        <w:rStyle w:val="Puslapionumeris"/>
      </w:rPr>
      <w:fldChar w:fldCharType="end"/>
    </w:r>
  </w:p>
  <w:p w:rsidR="000B42F4" w:rsidRDefault="00BA151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51B" w:rsidRDefault="00BA151B">
      <w:pPr>
        <w:spacing w:after="0" w:line="240" w:lineRule="auto"/>
      </w:pPr>
      <w:r>
        <w:separator/>
      </w:r>
    </w:p>
  </w:footnote>
  <w:footnote w:type="continuationSeparator" w:id="0">
    <w:p w:rsidR="00BA151B" w:rsidRDefault="00BA1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5BF47AA5"/>
    <w:multiLevelType w:val="hybridMultilevel"/>
    <w:tmpl w:val="540EEEC2"/>
    <w:lvl w:ilvl="0" w:tplc="51AA36B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21042"/>
    <w:multiLevelType w:val="hybridMultilevel"/>
    <w:tmpl w:val="FA58A592"/>
    <w:lvl w:ilvl="0" w:tplc="0807000F">
      <w:start w:val="3"/>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499"/>
    <w:rsid w:val="00021575"/>
    <w:rsid w:val="00041085"/>
    <w:rsid w:val="00062941"/>
    <w:rsid w:val="000F53C8"/>
    <w:rsid w:val="00103EF9"/>
    <w:rsid w:val="001B0F25"/>
    <w:rsid w:val="002E280E"/>
    <w:rsid w:val="003C2C8A"/>
    <w:rsid w:val="00694499"/>
    <w:rsid w:val="006A5BC0"/>
    <w:rsid w:val="0073384E"/>
    <w:rsid w:val="00751E6C"/>
    <w:rsid w:val="00812867"/>
    <w:rsid w:val="00847C22"/>
    <w:rsid w:val="008A2155"/>
    <w:rsid w:val="00920419"/>
    <w:rsid w:val="00970154"/>
    <w:rsid w:val="00A57C83"/>
    <w:rsid w:val="00A6165A"/>
    <w:rsid w:val="00AC0C69"/>
    <w:rsid w:val="00AF1BE7"/>
    <w:rsid w:val="00BA151B"/>
    <w:rsid w:val="00C92A00"/>
    <w:rsid w:val="00CD5C8C"/>
    <w:rsid w:val="00DA1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1E053-7EC6-4511-A516-9B18AD45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2941"/>
    <w:rPr>
      <w:rFonts w:ascii="Times New Roman" w:hAnsi="Times New Roman" w:cs="Times New Roman"/>
      <w:sz w:val="24"/>
      <w:szCs w:val="24"/>
      <w:lang w:val="pl-P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rsid w:val="00062941"/>
  </w:style>
  <w:style w:type="paragraph" w:styleId="Porat">
    <w:name w:val="footer"/>
    <w:basedOn w:val="prastasis"/>
    <w:link w:val="PoratDiagrama"/>
    <w:rsid w:val="00062941"/>
    <w:pPr>
      <w:tabs>
        <w:tab w:val="center" w:pos="4153"/>
        <w:tab w:val="right" w:pos="8306"/>
      </w:tabs>
      <w:spacing w:after="0" w:line="240" w:lineRule="auto"/>
    </w:pPr>
    <w:rPr>
      <w:rFonts w:eastAsia="Times New Roman"/>
      <w:sz w:val="20"/>
      <w:szCs w:val="20"/>
      <w:lang w:val="en-AU"/>
    </w:rPr>
  </w:style>
  <w:style w:type="character" w:customStyle="1" w:styleId="PoratDiagrama">
    <w:name w:val="Poraštė Diagrama"/>
    <w:basedOn w:val="Numatytasispastraiposriftas"/>
    <w:link w:val="Porat"/>
    <w:rsid w:val="00062941"/>
    <w:rPr>
      <w:rFonts w:ascii="Times New Roman" w:eastAsia="Times New Roman" w:hAnsi="Times New Roman" w:cs="Times New Roman"/>
      <w:sz w:val="20"/>
      <w:szCs w:val="20"/>
      <w:lang w:val="en-AU"/>
    </w:rPr>
  </w:style>
  <w:style w:type="paragraph" w:styleId="Sraopastraipa">
    <w:name w:val="List Paragraph"/>
    <w:basedOn w:val="prastasis"/>
    <w:uiPriority w:val="34"/>
    <w:qFormat/>
    <w:rsid w:val="00062941"/>
    <w:pPr>
      <w:ind w:left="720"/>
      <w:contextualSpacing/>
    </w:pPr>
  </w:style>
  <w:style w:type="paragraph" w:styleId="Debesliotekstas">
    <w:name w:val="Balloon Text"/>
    <w:basedOn w:val="prastasis"/>
    <w:link w:val="DebesliotekstasDiagrama"/>
    <w:uiPriority w:val="99"/>
    <w:semiHidden/>
    <w:unhideWhenUsed/>
    <w:rsid w:val="0006294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62941"/>
    <w:rPr>
      <w:rFonts w:ascii="Tahoma" w:hAnsi="Tahoma" w:cs="Tahoma"/>
      <w:sz w:val="16"/>
      <w:szCs w:val="16"/>
      <w:lang w:val="pl-PL"/>
    </w:rPr>
  </w:style>
  <w:style w:type="paragraph" w:styleId="Pagrindinistekstas">
    <w:name w:val="Body Text"/>
    <w:basedOn w:val="prastasis"/>
    <w:link w:val="PagrindinistekstasDiagrama"/>
    <w:rsid w:val="00A6165A"/>
    <w:pPr>
      <w:spacing w:after="120" w:line="240" w:lineRule="auto"/>
    </w:pPr>
    <w:rPr>
      <w:rFonts w:eastAsia="Times New Roman"/>
      <w:sz w:val="20"/>
      <w:szCs w:val="20"/>
      <w:lang w:val="lt-LT" w:eastAsia="lt-LT"/>
    </w:rPr>
  </w:style>
  <w:style w:type="character" w:customStyle="1" w:styleId="PagrindinistekstasDiagrama">
    <w:name w:val="Pagrindinis tekstas Diagrama"/>
    <w:basedOn w:val="Numatytasispastraiposriftas"/>
    <w:link w:val="Pagrindinistekstas"/>
    <w:rsid w:val="00A6165A"/>
    <w:rPr>
      <w:rFonts w:ascii="Times New Roman" w:eastAsia="Times New Roman" w:hAnsi="Times New Roman" w:cs="Times New Roman"/>
      <w:sz w:val="20"/>
      <w:szCs w:val="20"/>
      <w:lang w:eastAsia="lt-LT"/>
    </w:rPr>
  </w:style>
  <w:style w:type="paragraph" w:customStyle="1" w:styleId="BTEMEASMCA">
    <w:name w:val="BT EMEA_SMCA"/>
    <w:basedOn w:val="prastasis"/>
    <w:link w:val="BTEMEASMCAChar"/>
    <w:autoRedefine/>
    <w:rsid w:val="00A6165A"/>
    <w:pPr>
      <w:spacing w:after="0" w:line="240" w:lineRule="auto"/>
    </w:pPr>
    <w:rPr>
      <w:rFonts w:eastAsia="Times New Roman"/>
      <w:noProof/>
      <w:sz w:val="20"/>
      <w:szCs w:val="20"/>
      <w:lang w:val="lt-LT" w:eastAsia="x-none"/>
    </w:rPr>
  </w:style>
  <w:style w:type="character" w:styleId="Hipersaitas">
    <w:name w:val="Hyperlink"/>
    <w:semiHidden/>
    <w:rsid w:val="00A6165A"/>
    <w:rPr>
      <w:color w:val="0000FF"/>
      <w:u w:val="single"/>
    </w:rPr>
  </w:style>
  <w:style w:type="paragraph" w:customStyle="1" w:styleId="PI-3EMEASMCA">
    <w:name w:val="PI-3 EMEA_SMCA"/>
    <w:basedOn w:val="prastasis"/>
    <w:autoRedefine/>
    <w:rsid w:val="00A6165A"/>
    <w:pPr>
      <w:spacing w:after="0" w:line="220" w:lineRule="exact"/>
    </w:pPr>
    <w:rPr>
      <w:rFonts w:eastAsia="Times New Roman"/>
      <w:b/>
      <w:bCs/>
      <w:sz w:val="22"/>
      <w:szCs w:val="22"/>
      <w:lang w:val="lt-LT"/>
    </w:rPr>
  </w:style>
  <w:style w:type="character" w:customStyle="1" w:styleId="BTEMEASMCAChar">
    <w:name w:val="BT EMEA_SMCA Char"/>
    <w:link w:val="BTEMEASMCA"/>
    <w:locked/>
    <w:rsid w:val="00A6165A"/>
    <w:rPr>
      <w:rFonts w:ascii="Times New Roman" w:eastAsia="Times New Roman" w:hAnsi="Times New Roman" w:cs="Times New Roman"/>
      <w:noProof/>
      <w:sz w:val="20"/>
      <w:szCs w:val="20"/>
      <w:lang w:eastAsia="x-none"/>
    </w:rPr>
  </w:style>
  <w:style w:type="character" w:styleId="Komentaronuoroda">
    <w:name w:val="annotation reference"/>
    <w:basedOn w:val="Numatytasispastraiposriftas"/>
    <w:uiPriority w:val="99"/>
    <w:semiHidden/>
    <w:unhideWhenUsed/>
    <w:rsid w:val="006A5BC0"/>
    <w:rPr>
      <w:sz w:val="16"/>
      <w:szCs w:val="16"/>
    </w:rPr>
  </w:style>
  <w:style w:type="paragraph" w:styleId="Komentarotekstas">
    <w:name w:val="annotation text"/>
    <w:basedOn w:val="prastasis"/>
    <w:link w:val="KomentarotekstasDiagrama"/>
    <w:uiPriority w:val="99"/>
    <w:semiHidden/>
    <w:unhideWhenUsed/>
    <w:rsid w:val="006A5BC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A5BC0"/>
    <w:rPr>
      <w:rFonts w:ascii="Times New Roman" w:hAnsi="Times New Roman" w:cs="Times New Roman"/>
      <w:sz w:val="20"/>
      <w:szCs w:val="20"/>
      <w:lang w:val="pl-PL"/>
    </w:rPr>
  </w:style>
  <w:style w:type="paragraph" w:styleId="Komentarotema">
    <w:name w:val="annotation subject"/>
    <w:basedOn w:val="Komentarotekstas"/>
    <w:next w:val="Komentarotekstas"/>
    <w:link w:val="KomentarotemaDiagrama"/>
    <w:uiPriority w:val="99"/>
    <w:semiHidden/>
    <w:unhideWhenUsed/>
    <w:rsid w:val="006A5BC0"/>
    <w:rPr>
      <w:b/>
      <w:bCs/>
    </w:rPr>
  </w:style>
  <w:style w:type="character" w:customStyle="1" w:styleId="KomentarotemaDiagrama">
    <w:name w:val="Komentaro tema Diagrama"/>
    <w:basedOn w:val="KomentarotekstasDiagrama"/>
    <w:link w:val="Komentarotema"/>
    <w:uiPriority w:val="99"/>
    <w:semiHidden/>
    <w:rsid w:val="006A5BC0"/>
    <w:rPr>
      <w:rFonts w:ascii="Times New Roman" w:hAnsi="Times New Roman" w:cs="Times New Roman"/>
      <w:b/>
      <w:bCs/>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7654</Words>
  <Characters>4363</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Venskus</dc:creator>
  <cp:lastModifiedBy>Božena Kuntelija</cp:lastModifiedBy>
  <cp:revision>10</cp:revision>
  <cp:lastPrinted>2015-11-29T23:05:00Z</cp:lastPrinted>
  <dcterms:created xsi:type="dcterms:W3CDTF">2016-02-29T21:25:00Z</dcterms:created>
  <dcterms:modified xsi:type="dcterms:W3CDTF">2016-03-15T08:48:00Z</dcterms:modified>
</cp:coreProperties>
</file>