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DDB" w:rsidRPr="00267DDB" w:rsidRDefault="00267DDB" w:rsidP="00267DDB">
      <w:pPr>
        <w:widowControl w:val="0"/>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sz w:val="24"/>
          <w:szCs w:val="20"/>
        </w:rPr>
        <w:tab/>
      </w: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tabs>
          <w:tab w:val="left" w:pos="-1440"/>
          <w:tab w:val="left" w:pos="-720"/>
          <w:tab w:val="left" w:pos="567"/>
        </w:tabs>
        <w:spacing w:after="0" w:line="260" w:lineRule="exact"/>
        <w:rPr>
          <w:rFonts w:ascii="Times New Roman" w:eastAsia="Times New Roman" w:hAnsi="Times New Roman"/>
          <w:b/>
          <w:snapToGrid w:val="0"/>
          <w:szCs w:val="20"/>
        </w:rPr>
      </w:pPr>
    </w:p>
    <w:p w:rsidR="00267DDB" w:rsidRPr="00267DDB"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67DDB">
        <w:rPr>
          <w:rFonts w:ascii="Times New Roman" w:eastAsia="Times New Roman" w:hAnsi="Times New Roman"/>
          <w:b/>
          <w:bCs/>
          <w:iCs/>
          <w:snapToGrid w:val="0"/>
          <w:szCs w:val="28"/>
          <w:lang w:eastAsia="x-none"/>
        </w:rPr>
        <w:t>I PRIEDAS</w:t>
      </w:r>
    </w:p>
    <w:p w:rsidR="00267DDB" w:rsidRPr="00267DDB" w:rsidRDefault="00267DDB" w:rsidP="00267DDB">
      <w:pPr>
        <w:tabs>
          <w:tab w:val="left" w:pos="567"/>
        </w:tabs>
        <w:spacing w:after="0" w:line="240" w:lineRule="auto"/>
        <w:rPr>
          <w:rFonts w:ascii="Times New Roman" w:eastAsia="Times New Roman" w:hAnsi="Times New Roman"/>
          <w:snapToGrid w:val="0"/>
          <w:szCs w:val="24"/>
        </w:rPr>
      </w:pPr>
    </w:p>
    <w:p w:rsidR="00267DDB" w:rsidRPr="00267DDB" w:rsidRDefault="00267DDB" w:rsidP="00267DDB">
      <w:pPr>
        <w:tabs>
          <w:tab w:val="left" w:pos="-1440"/>
          <w:tab w:val="left" w:pos="-720"/>
          <w:tab w:val="left" w:pos="567"/>
        </w:tabs>
        <w:spacing w:after="0" w:line="260" w:lineRule="exact"/>
        <w:jc w:val="center"/>
        <w:rPr>
          <w:rFonts w:ascii="Times New Roman" w:eastAsia="Times New Roman" w:hAnsi="Times New Roman"/>
          <w:b/>
          <w:snapToGrid w:val="0"/>
          <w:szCs w:val="20"/>
        </w:rPr>
      </w:pPr>
      <w:r w:rsidRPr="00267DDB">
        <w:rPr>
          <w:rFonts w:ascii="Times New Roman" w:eastAsia="Times New Roman" w:hAnsi="Times New Roman"/>
          <w:b/>
          <w:snapToGrid w:val="0"/>
          <w:szCs w:val="20"/>
        </w:rPr>
        <w:t>PREPARATO CHARAKTERISTIKŲ SANTRAUKA</w:t>
      </w:r>
    </w:p>
    <w:p w:rsidR="00267DDB" w:rsidRPr="00267DDB" w:rsidRDefault="00267DDB" w:rsidP="00267DDB">
      <w:pPr>
        <w:tabs>
          <w:tab w:val="left" w:pos="-1440"/>
          <w:tab w:val="left" w:pos="-720"/>
          <w:tab w:val="left" w:pos="567"/>
        </w:tabs>
        <w:spacing w:after="0" w:line="260" w:lineRule="exact"/>
        <w:jc w:val="center"/>
        <w:rPr>
          <w:rFonts w:ascii="Times New Roman" w:eastAsia="Times New Roman" w:hAnsi="Times New Roman"/>
          <w:snapToGrid w:val="0"/>
          <w:szCs w:val="20"/>
        </w:rPr>
      </w:pPr>
      <w:r w:rsidRPr="00267DDB">
        <w:rPr>
          <w:rFonts w:ascii="Times New Roman" w:eastAsia="Times New Roman" w:hAnsi="Times New Roman"/>
          <w:snapToGrid w:val="0"/>
          <w:szCs w:val="20"/>
          <w:lang w:eastAsia="zh-CN"/>
        </w:rPr>
        <w:br w:type="page"/>
      </w: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267DDB">
        <w:rPr>
          <w:rFonts w:ascii="Times New Roman" w:eastAsia="Times New Roman" w:hAnsi="Times New Roman"/>
          <w:b/>
          <w:bCs/>
          <w:snapToGrid w:val="0"/>
          <w:szCs w:val="26"/>
          <w:lang w:eastAsia="x-none"/>
        </w:rPr>
        <w:lastRenderedPageBreak/>
        <w:t>1.</w:t>
      </w:r>
      <w:r w:rsidRPr="00267DDB">
        <w:rPr>
          <w:rFonts w:ascii="Times New Roman" w:eastAsia="Times New Roman" w:hAnsi="Times New Roman"/>
          <w:b/>
          <w:bCs/>
          <w:snapToGrid w:val="0"/>
          <w:szCs w:val="26"/>
          <w:lang w:eastAsia="x-none"/>
        </w:rPr>
        <w:tab/>
        <w:t>VAISTINIO PREPARATO PAVADINIMAS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Pemetrexed Teva 25 mg/ml koncentratas infuziniam tirpalui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267DDB">
        <w:rPr>
          <w:rFonts w:ascii="Times New Roman" w:eastAsia="Times New Roman" w:hAnsi="Times New Roman"/>
          <w:b/>
          <w:bCs/>
          <w:snapToGrid w:val="0"/>
          <w:szCs w:val="26"/>
          <w:lang w:eastAsia="x-none"/>
        </w:rPr>
        <w:t>2.</w:t>
      </w:r>
      <w:r w:rsidRPr="00267DDB">
        <w:rPr>
          <w:rFonts w:ascii="Times New Roman" w:eastAsia="Times New Roman" w:hAnsi="Times New Roman"/>
          <w:b/>
          <w:bCs/>
          <w:snapToGrid w:val="0"/>
          <w:szCs w:val="26"/>
          <w:lang w:eastAsia="x-none"/>
        </w:rPr>
        <w:tab/>
        <w:t>KOKYBINĖ IR KIEKYBINĖ SUDĖTIS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Viename koncentrato ml yra 25 mg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0C2A2D"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4 ml koncentrato flakone yra 100 mg pemetreksedo (pemetreksedo dirūgšties pavidalu).</w:t>
      </w:r>
    </w:p>
    <w:p w:rsidR="00267DDB" w:rsidRPr="00267DDB" w:rsidRDefault="000C2A2D"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20 ml koncentrato flakone yra 500 mg pemetreksedo (pemetreksedo dirūgšties pavidalu).</w:t>
      </w:r>
    </w:p>
    <w:p w:rsidR="00267DDB" w:rsidRPr="00267DDB" w:rsidRDefault="000C2A2D"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40 ml koncentrato flakone yra 1000 mg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Visos pagalbinės medžiagos išvardytos 6.1 skyriuje.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267DDB">
        <w:rPr>
          <w:rFonts w:ascii="Times New Roman" w:eastAsia="Times New Roman" w:hAnsi="Times New Roman"/>
          <w:b/>
          <w:bCs/>
          <w:snapToGrid w:val="0"/>
          <w:szCs w:val="26"/>
          <w:lang w:eastAsia="x-none"/>
        </w:rPr>
        <w:t>3.</w:t>
      </w:r>
      <w:r w:rsidRPr="00267DDB">
        <w:rPr>
          <w:rFonts w:ascii="Times New Roman" w:eastAsia="Times New Roman" w:hAnsi="Times New Roman"/>
          <w:b/>
          <w:bCs/>
          <w:snapToGrid w:val="0"/>
          <w:szCs w:val="26"/>
          <w:lang w:eastAsia="x-none"/>
        </w:rPr>
        <w:tab/>
        <w:t>FARMACINĖ FORMA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Koncentratas infuziniam tirpalui (sterilus koncentratas).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Bespalvis į geltonumą ar žalsvai geltoną tirpalas .</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Be matomų dalelių.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Koncentrato pH 6,6 – 7,8</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Osmoliališkumas: 260 – 320 mOsmol/kg</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267DDB">
        <w:rPr>
          <w:rFonts w:ascii="Times New Roman" w:eastAsia="Times New Roman" w:hAnsi="Times New Roman"/>
          <w:b/>
          <w:bCs/>
          <w:snapToGrid w:val="0"/>
          <w:szCs w:val="26"/>
          <w:lang w:eastAsia="x-none"/>
        </w:rPr>
        <w:t>4.</w:t>
      </w:r>
      <w:r w:rsidRPr="00267DDB">
        <w:rPr>
          <w:rFonts w:ascii="Times New Roman" w:eastAsia="Times New Roman" w:hAnsi="Times New Roman"/>
          <w:b/>
          <w:bCs/>
          <w:snapToGrid w:val="0"/>
          <w:szCs w:val="26"/>
          <w:lang w:eastAsia="x-none"/>
        </w:rPr>
        <w:tab/>
        <w:t>KLINIKINĖ INFORMACIJA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4.1</w:t>
      </w:r>
      <w:r w:rsidRPr="00267DDB">
        <w:rPr>
          <w:rFonts w:ascii="Times New Roman" w:eastAsia="Times New Roman" w:hAnsi="Times New Roman"/>
          <w:b/>
          <w:bCs/>
          <w:snapToGrid w:val="0"/>
          <w:szCs w:val="28"/>
          <w:lang w:eastAsia="x-none"/>
        </w:rPr>
        <w:tab/>
        <w:t>Terapinės indikacijos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Piktybinė pleuros mezotelioma</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Pemetrexed Teva derinyje su cisplatina skirtas gydyti neoperuojama piktybine pleuros mezotelioma sergančius pacientus, kuriems chemoterapija dar nebuvo taikyta.</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Nesmulkialąstelinis plaučių vėžys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Pemetrexed Teva derinyje su cisplatina skirtas lokaliai progresavusio arba metastazinio nesmulkialąstelinio plaučių vėžio, tačiau ne tokio, kuriame vyrauja plokščiosios ląstelės, pirmaeiliam gydymui (žr. 5.1 skyrių).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Pemetrexed Teva vienas (monoterapija) skirtas lokaliai progresavusio arba metastazinio nesmulkialąstelinio plaučių vėžio, tačiau ne tokio, kuriame vyrauja plokščiosios ląstelės, palaikomajam gydymui pacientams, kurių liga tuojau pat po chemoterapijos, kurios pagrindas yra platinos preparatas, neprogresuoja (žr. 5.1 skyrių).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Pemetrexed Teva vienas (monoterapija) skirtas lokaliai progresavusio arba metastazinio nesmulkialąstelinio plaučių vėžio, tačiau ne tokio, kuriame vyrauja plokščiosios ląstelės, antraeiliam gydymui (žr. 5.1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4.2</w:t>
      </w:r>
      <w:r w:rsidRPr="00267DDB">
        <w:rPr>
          <w:rFonts w:ascii="Times New Roman" w:eastAsia="Times New Roman" w:hAnsi="Times New Roman"/>
          <w:b/>
          <w:bCs/>
          <w:snapToGrid w:val="0"/>
          <w:szCs w:val="28"/>
          <w:lang w:eastAsia="x-none"/>
        </w:rPr>
        <w:tab/>
        <w:t>Dozavimas ir vartojimo metodas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Dozavimas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Pemetrexed Teva galima vartoti tik prižiūrint gydytojui, turinčiam priešvėžinės chemoterapijos patirties.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Pemetrexed Teva derinant su cisplatina</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Rekomenduojama Pemetrexed Teva dozė yra 500 mg/m</w:t>
      </w:r>
      <w:r w:rsidRPr="00267DDB">
        <w:rPr>
          <w:rFonts w:ascii="Times New Roman" w:eastAsia="Times New Roman" w:hAnsi="Times New Roman"/>
          <w:noProof/>
          <w:snapToGrid w:val="0"/>
          <w:szCs w:val="24"/>
          <w:vertAlign w:val="superscript"/>
        </w:rPr>
        <w:t>2</w:t>
      </w:r>
      <w:r w:rsidRPr="00267DDB">
        <w:rPr>
          <w:rFonts w:ascii="Times New Roman" w:eastAsia="Times New Roman" w:hAnsi="Times New Roman"/>
          <w:noProof/>
          <w:snapToGrid w:val="0"/>
          <w:szCs w:val="24"/>
        </w:rPr>
        <w:t xml:space="preserve"> kūno paviršiaus (KP). Ji infuzuojama į veną per 10 minučių pirmą kiekvieno 21 dienos gydymo ciklo dieną. Rekomenduojamą 75 mg/m</w:t>
      </w:r>
      <w:r w:rsidRPr="00267DDB">
        <w:rPr>
          <w:rFonts w:ascii="Times New Roman" w:eastAsia="Times New Roman" w:hAnsi="Times New Roman"/>
          <w:noProof/>
          <w:snapToGrid w:val="0"/>
          <w:szCs w:val="24"/>
          <w:vertAlign w:val="superscript"/>
        </w:rPr>
        <w:t>2</w:t>
      </w:r>
      <w:r w:rsidRPr="00267DDB">
        <w:rPr>
          <w:rFonts w:ascii="Times New Roman" w:eastAsia="Times New Roman" w:hAnsi="Times New Roman"/>
          <w:noProof/>
          <w:snapToGrid w:val="0"/>
          <w:szCs w:val="24"/>
        </w:rPr>
        <w:t xml:space="preserve"> KP cisplatinos dozę reikia pradėti infuzuoti praėjus maždaug 30 minučių nuo pemetreksedo infuzijos pabaigos ir suleisti per 2 valandas pirmą kiekvieno 21 dienos gydymo ciklo dieną. </w:t>
      </w:r>
      <w:r w:rsidRPr="00267DDB">
        <w:rPr>
          <w:rFonts w:ascii="Times New Roman" w:eastAsia="Times New Roman" w:hAnsi="Times New Roman"/>
          <w:noProof/>
          <w:snapToGrid w:val="0"/>
          <w:szCs w:val="24"/>
          <w:u w:val="single"/>
        </w:rPr>
        <w:t>Pacientas turi vartoti reikiamus vaistus nuo vėmimo ir gauti pakankamai skysčių  prieš cisplatinos infuziją ir (arba) po jos</w:t>
      </w:r>
      <w:r w:rsidRPr="00267DDB">
        <w:rPr>
          <w:rFonts w:ascii="Times New Roman" w:eastAsia="Times New Roman" w:hAnsi="Times New Roman"/>
          <w:noProof/>
          <w:snapToGrid w:val="0"/>
          <w:szCs w:val="24"/>
        </w:rPr>
        <w:t xml:space="preserve"> (taip pat žr. specialius dozavimo nurodymus cisplatinos preparato charakteristikų santraukoje).</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Pemetrexed Teva monoterapija</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Nesmulkialąsteliniam plaučių vėžiui (NPV) gydyti po anksčiau taikytos chemoterapijos rekomenduojama Pemetrexed Teva dozė yra 500 mg/m</w:t>
      </w:r>
      <w:r w:rsidRPr="00267DDB">
        <w:rPr>
          <w:rFonts w:ascii="Times New Roman" w:eastAsia="Times New Roman" w:hAnsi="Times New Roman"/>
          <w:noProof/>
          <w:snapToGrid w:val="0"/>
          <w:szCs w:val="24"/>
          <w:vertAlign w:val="superscript"/>
        </w:rPr>
        <w:t>2</w:t>
      </w:r>
      <w:r w:rsidRPr="00267DDB">
        <w:rPr>
          <w:rFonts w:ascii="Times New Roman" w:eastAsia="Times New Roman" w:hAnsi="Times New Roman"/>
          <w:noProof/>
          <w:snapToGrid w:val="0"/>
          <w:szCs w:val="24"/>
        </w:rPr>
        <w:t xml:space="preserve"> KP. Ji infuzuojama į veną per 10 minučių pirmą kiekvieno 21 dienos gydymo ciklo dieną.</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Parengiamasis gydymas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Kad rečiau pasireikštų odos reakcijos ir jos būtų lengvesnės, dieną prieš pemetreksedo infuziją, infuzijos dieną ir kitą dieną po jos reikia vartoti kortikosteroidų: jų dozė turi prilygti 4 mg deksametazono, geriamo du kartus per dieną (žr. 4.4 skyrių).</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Kad susilpnėtų toksinis poveikis, pemetreksedu gydomi pacientai turi papildomai vartoti vitaminų (žr. 4.4 skyrių), gerti folio rūgšties arba polivitaminų, kurių sudėtyje yra folio rūgšties (350 – 1000 mikrogramų per parą). Būtina išgerti ne mažiau kaip penkias folio rūgšties dozes per paskutines septynias dienas prieš pirmą pemetreksedo dozę, vartojimą reikia tęsti per visą gydymo kursą ir 21 dieną po paskutinės pemetreksedo dozės. Be to, pacientui į raumenis reikia sušvirkšti vitamino B</w:t>
      </w:r>
      <w:r w:rsidRPr="00267DDB">
        <w:rPr>
          <w:rFonts w:ascii="Times New Roman" w:eastAsia="Times New Roman" w:hAnsi="Times New Roman"/>
          <w:noProof/>
          <w:snapToGrid w:val="0"/>
          <w:szCs w:val="24"/>
          <w:vertAlign w:val="subscript"/>
        </w:rPr>
        <w:t>12</w:t>
      </w:r>
      <w:r w:rsidRPr="00267DDB">
        <w:rPr>
          <w:rFonts w:ascii="Times New Roman" w:eastAsia="Times New Roman" w:hAnsi="Times New Roman"/>
          <w:noProof/>
          <w:snapToGrid w:val="0"/>
          <w:szCs w:val="24"/>
        </w:rPr>
        <w:t xml:space="preserve"> (1000 mikrogramų) paskutinę savaitę prieš pirmą pemetreksedo dozę, po to – kartą kas tris ciklus. Kitas vitamino B</w:t>
      </w:r>
      <w:r w:rsidRPr="00267DDB">
        <w:rPr>
          <w:rFonts w:ascii="Times New Roman" w:eastAsia="Times New Roman" w:hAnsi="Times New Roman"/>
          <w:noProof/>
          <w:snapToGrid w:val="0"/>
          <w:szCs w:val="24"/>
          <w:vertAlign w:val="subscript"/>
        </w:rPr>
        <w:t>12</w:t>
      </w:r>
      <w:r w:rsidRPr="00267DDB">
        <w:rPr>
          <w:rFonts w:ascii="Times New Roman" w:eastAsia="Times New Roman" w:hAnsi="Times New Roman"/>
          <w:noProof/>
          <w:snapToGrid w:val="0"/>
          <w:szCs w:val="24"/>
        </w:rPr>
        <w:t xml:space="preserve"> dozes galima švirkšti tą dieną, kai infuzuojamas pemetreksedas.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Stebėjimas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Prieš kiekvieną pemetreksedo dozę pacientui reikia nustatyti visų kraujo ląstelių kiekį, įskaitant diferencijuotą baltųjų kraujo ląstelių kiekį ir trombocitų kiekį.  Prieš kiekvieną chemoterapinio preparato dozę inkstų ir kepenų veiklos įvertinimui reikia atlikti biocheminius kraujo tyrimus. Rodmenys, kurie būtini prieš kiekvieno chemoterapijos ciklo pradžią: absoliutus neutrofilų skaičius (ANS) ≥ 1500 ląstelių/mm</w:t>
      </w:r>
      <w:r w:rsidRPr="00267DDB">
        <w:rPr>
          <w:rFonts w:ascii="Times New Roman" w:eastAsia="Times New Roman" w:hAnsi="Times New Roman"/>
          <w:noProof/>
          <w:snapToGrid w:val="0"/>
          <w:szCs w:val="24"/>
          <w:vertAlign w:val="superscript"/>
        </w:rPr>
        <w:t>3</w:t>
      </w:r>
      <w:r w:rsidRPr="00267DDB">
        <w:rPr>
          <w:rFonts w:ascii="Times New Roman" w:eastAsia="Times New Roman" w:hAnsi="Times New Roman"/>
          <w:noProof/>
          <w:snapToGrid w:val="0"/>
          <w:szCs w:val="24"/>
        </w:rPr>
        <w:t>, trombocitų  ≥ 100000 ląstelių/mm</w:t>
      </w:r>
      <w:r w:rsidRPr="00267DDB">
        <w:rPr>
          <w:rFonts w:ascii="Times New Roman" w:eastAsia="Times New Roman" w:hAnsi="Times New Roman"/>
          <w:noProof/>
          <w:snapToGrid w:val="0"/>
          <w:szCs w:val="24"/>
          <w:vertAlign w:val="superscript"/>
        </w:rPr>
        <w:t>3</w:t>
      </w:r>
      <w:r w:rsidRPr="00267DDB">
        <w:rPr>
          <w:rFonts w:ascii="Times New Roman" w:eastAsia="Times New Roman" w:hAnsi="Times New Roman"/>
          <w:noProof/>
          <w:snapToGrid w:val="0"/>
          <w:szCs w:val="24"/>
        </w:rPr>
        <w:t xml:space="preserve">.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Kreatinino klirensas turi būti ≥ 45 ml/min.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Bendro bilirubino koncentracija turi būti ≤ 1,5 karto didesnė už viršutinę normos ribą. Šarminės fosfatazės (ŠF), aspartataminotransferazės (AST arba SGOT) ir alaninaminotransferazės (ALT arba SGPT) aktyvumas turi būti  ≤ 3 kartus didesnis už viršutinę normos ribą. Šarminės fosfatazės, AST ir ALT aktyvumas ≤ 5 kartus didesnis už viršutinę normos ribą yra priimtinas tuo atveju, jeigu kepenys pažeistos naviko.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Dozės keitimas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Prieš pradedant kitą ciklą, dozę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3-iojoje lentelėse, kurie tinka gydant vien Pemetrexed Teva arba juo kartu su cisplatina.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267DDB" w:rsidRPr="00E209CA" w:rsidTr="00755E27">
        <w:tc>
          <w:tcPr>
            <w:tcW w:w="9628" w:type="dxa"/>
            <w:gridSpan w:val="2"/>
            <w:shd w:val="clear" w:color="auto" w:fill="auto"/>
          </w:tcPr>
          <w:p w:rsidR="00267DDB" w:rsidRPr="00131C11" w:rsidRDefault="00267DDB" w:rsidP="00267DDB">
            <w:pPr>
              <w:tabs>
                <w:tab w:val="left" w:pos="567"/>
              </w:tabs>
              <w:spacing w:after="0" w:line="260" w:lineRule="exact"/>
              <w:jc w:val="center"/>
              <w:rPr>
                <w:rFonts w:ascii="Times New Roman" w:eastAsia="Times New Roman" w:hAnsi="Times New Roman"/>
                <w:b/>
                <w:snapToGrid w:val="0"/>
                <w:szCs w:val="24"/>
              </w:rPr>
            </w:pPr>
            <w:r w:rsidRPr="00131C11">
              <w:rPr>
                <w:rFonts w:ascii="Times New Roman" w:eastAsia="Times New Roman" w:hAnsi="Times New Roman"/>
                <w:b/>
                <w:snapToGrid w:val="0"/>
                <w:szCs w:val="24"/>
              </w:rPr>
              <w:t xml:space="preserve">1 lentelė. Pemetrexed Teva (gydant vien juo arba jo deriniu) ir cisplatinos dozės keitimas hematologinio toksiškumo atvejais </w:t>
            </w:r>
          </w:p>
        </w:tc>
      </w:tr>
      <w:tr w:rsidR="00267DDB" w:rsidRPr="00E209CA" w:rsidTr="00755E27">
        <w:tc>
          <w:tcPr>
            <w:tcW w:w="481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Mažiausias ANS </w:t>
            </w:r>
            <w:r w:rsidRPr="00267DDB">
              <w:rPr>
                <w:rFonts w:ascii="Times New Roman" w:eastAsia="Times New Roman" w:hAnsi="Times New Roman"/>
                <w:snapToGrid w:val="0"/>
                <w:szCs w:val="20"/>
                <w:lang w:val="en-GB"/>
              </w:rPr>
              <w:t>&lt; 500 mm</w:t>
            </w:r>
            <w:r w:rsidRPr="00267DDB">
              <w:rPr>
                <w:rFonts w:ascii="Times New Roman" w:eastAsia="Times New Roman" w:hAnsi="Times New Roman"/>
                <w:snapToGrid w:val="0"/>
                <w:szCs w:val="20"/>
                <w:vertAlign w:val="superscript"/>
                <w:lang w:val="en-GB"/>
              </w:rPr>
              <w:t>3</w:t>
            </w:r>
            <w:r w:rsidRPr="00267DDB">
              <w:rPr>
                <w:rFonts w:ascii="Times New Roman" w:eastAsia="Times New Roman" w:hAnsi="Times New Roman"/>
                <w:snapToGrid w:val="0"/>
                <w:szCs w:val="20"/>
                <w:lang w:val="en-GB"/>
              </w:rPr>
              <w:t xml:space="preserve"> ir mažiausias trombocitų skaičius </w:t>
            </w:r>
            <w:r w:rsidRPr="00267DDB">
              <w:rPr>
                <w:rFonts w:ascii="Times New Roman" w:eastAsia="MS Gothic" w:hAnsi="Times New Roman"/>
                <w:snapToGrid w:val="0"/>
                <w:color w:val="000000"/>
                <w:szCs w:val="20"/>
                <w:lang w:val="en-GB"/>
              </w:rPr>
              <w:t xml:space="preserve">≥ 50000 </w:t>
            </w:r>
            <w:r w:rsidRPr="00267DDB">
              <w:rPr>
                <w:rFonts w:ascii="Times New Roman" w:eastAsia="Times New Roman" w:hAnsi="Times New Roman"/>
                <w:snapToGrid w:val="0"/>
                <w:szCs w:val="20"/>
                <w:lang w:val="en-GB"/>
              </w:rPr>
              <w:t>mm</w:t>
            </w:r>
            <w:r w:rsidRPr="00267DDB">
              <w:rPr>
                <w:rFonts w:ascii="Times New Roman" w:eastAsia="Times New Roman" w:hAnsi="Times New Roman"/>
                <w:snapToGrid w:val="0"/>
                <w:szCs w:val="20"/>
                <w:vertAlign w:val="superscript"/>
                <w:lang w:val="en-GB"/>
              </w:rPr>
              <w:t>3</w:t>
            </w:r>
          </w:p>
        </w:tc>
        <w:tc>
          <w:tcPr>
            <w:tcW w:w="4815"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75% ankstesnės dozės (tiek pemetreksedo, tiek cisplatinos)</w:t>
            </w:r>
          </w:p>
        </w:tc>
      </w:tr>
      <w:tr w:rsidR="00267DDB" w:rsidRPr="00E209CA" w:rsidTr="00755E27">
        <w:tc>
          <w:tcPr>
            <w:tcW w:w="4813" w:type="dxa"/>
            <w:shd w:val="clear" w:color="auto" w:fill="auto"/>
          </w:tcPr>
          <w:p w:rsidR="00267DDB" w:rsidRPr="00131C11"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szCs w:val="24"/>
              </w:rPr>
              <w:t xml:space="preserve">Mažiausias trombocitų skaičius </w:t>
            </w:r>
            <w:r w:rsidRPr="00131C11">
              <w:rPr>
                <w:rFonts w:ascii="Times New Roman" w:eastAsia="Times New Roman" w:hAnsi="Times New Roman"/>
                <w:snapToGrid w:val="0"/>
                <w:szCs w:val="20"/>
              </w:rPr>
              <w:t>&lt; 50000 mm</w:t>
            </w:r>
            <w:r w:rsidRPr="00131C11">
              <w:rPr>
                <w:rFonts w:ascii="Times New Roman" w:eastAsia="Times New Roman" w:hAnsi="Times New Roman"/>
                <w:snapToGrid w:val="0"/>
                <w:szCs w:val="20"/>
                <w:vertAlign w:val="superscript"/>
              </w:rPr>
              <w:t>3</w:t>
            </w:r>
            <w:r w:rsidRPr="00131C11">
              <w:rPr>
                <w:rFonts w:ascii="Times New Roman" w:eastAsia="Times New Roman" w:hAnsi="Times New Roman"/>
                <w:snapToGrid w:val="0"/>
                <w:szCs w:val="20"/>
              </w:rPr>
              <w:t>, kad ir koks būtų mažiausias ANS</w:t>
            </w:r>
          </w:p>
        </w:tc>
        <w:tc>
          <w:tcPr>
            <w:tcW w:w="4815" w:type="dxa"/>
            <w:shd w:val="clear" w:color="auto" w:fill="auto"/>
          </w:tcPr>
          <w:p w:rsidR="00267DDB" w:rsidRPr="00131C11"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szCs w:val="24"/>
              </w:rPr>
              <w:t>75% ankstesnės dozės (tiek pemetreksedo, tiek cisplatinos)</w:t>
            </w:r>
          </w:p>
        </w:tc>
      </w:tr>
      <w:tr w:rsidR="00267DDB" w:rsidRPr="00E209CA" w:rsidTr="00755E27">
        <w:tc>
          <w:tcPr>
            <w:tcW w:w="4813" w:type="dxa"/>
            <w:shd w:val="clear" w:color="auto" w:fill="auto"/>
          </w:tcPr>
          <w:p w:rsidR="00267DDB" w:rsidRPr="009C5DAF" w:rsidRDefault="00267DDB" w:rsidP="00267DDB">
            <w:pPr>
              <w:tabs>
                <w:tab w:val="left" w:pos="567"/>
              </w:tabs>
              <w:spacing w:after="0" w:line="260" w:lineRule="exact"/>
              <w:rPr>
                <w:rFonts w:ascii="Times New Roman" w:eastAsia="Times New Roman" w:hAnsi="Times New Roman"/>
                <w:snapToGrid w:val="0"/>
                <w:szCs w:val="24"/>
              </w:rPr>
            </w:pPr>
            <w:r w:rsidRPr="009C5DAF">
              <w:rPr>
                <w:rFonts w:ascii="Times New Roman" w:eastAsia="Times New Roman" w:hAnsi="Times New Roman"/>
                <w:snapToGrid w:val="0"/>
                <w:szCs w:val="24"/>
              </w:rPr>
              <w:t xml:space="preserve">Mažiausias trombocitų skaičius </w:t>
            </w:r>
            <w:r w:rsidRPr="009C5DAF">
              <w:rPr>
                <w:rFonts w:ascii="Times New Roman" w:eastAsia="Times New Roman" w:hAnsi="Times New Roman"/>
                <w:snapToGrid w:val="0"/>
                <w:szCs w:val="20"/>
              </w:rPr>
              <w:t>&lt; 50000 mm</w:t>
            </w:r>
            <w:r w:rsidRPr="009C5DAF">
              <w:rPr>
                <w:rFonts w:ascii="Times New Roman" w:eastAsia="Times New Roman" w:hAnsi="Times New Roman"/>
                <w:snapToGrid w:val="0"/>
                <w:szCs w:val="20"/>
                <w:vertAlign w:val="superscript"/>
              </w:rPr>
              <w:t>3</w:t>
            </w:r>
            <w:r w:rsidRPr="009C5DAF">
              <w:rPr>
                <w:rFonts w:ascii="Times New Roman" w:eastAsia="Times New Roman" w:hAnsi="Times New Roman"/>
                <w:snapToGrid w:val="0"/>
                <w:szCs w:val="20"/>
              </w:rPr>
              <w:t xml:space="preserve"> ir kraujavimas</w:t>
            </w:r>
            <w:r w:rsidRPr="009C5DAF">
              <w:rPr>
                <w:rFonts w:ascii="Times New Roman" w:eastAsia="Times New Roman" w:hAnsi="Times New Roman"/>
                <w:snapToGrid w:val="0"/>
                <w:szCs w:val="20"/>
                <w:vertAlign w:val="superscript"/>
              </w:rPr>
              <w:t>a</w:t>
            </w:r>
            <w:r w:rsidRPr="009C5DAF">
              <w:rPr>
                <w:rFonts w:ascii="Times New Roman" w:eastAsia="Times New Roman" w:hAnsi="Times New Roman"/>
                <w:snapToGrid w:val="0"/>
                <w:szCs w:val="20"/>
              </w:rPr>
              <w:t>, kad ir koks būtų mažiausias ANS</w:t>
            </w:r>
          </w:p>
        </w:tc>
        <w:tc>
          <w:tcPr>
            <w:tcW w:w="4815" w:type="dxa"/>
            <w:shd w:val="clear" w:color="auto" w:fill="auto"/>
          </w:tcPr>
          <w:p w:rsidR="00267DDB" w:rsidRPr="00131C11"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szCs w:val="24"/>
              </w:rPr>
              <w:t>50% ankstesnės dozės (tiek pemetreksedo, tiek cisplatinos)</w:t>
            </w:r>
          </w:p>
        </w:tc>
      </w:tr>
    </w:tbl>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vertAlign w:val="superscript"/>
        </w:rPr>
        <w:lastRenderedPageBreak/>
        <w:t>a</w:t>
      </w:r>
      <w:r w:rsidRPr="00267DDB">
        <w:rPr>
          <w:rFonts w:ascii="Times New Roman" w:eastAsia="Times New Roman" w:hAnsi="Times New Roman"/>
          <w:noProof/>
          <w:snapToGrid w:val="0"/>
          <w:szCs w:val="24"/>
        </w:rPr>
        <w:t xml:space="preserve"> šis kriterijus atitinka Nacionalinio vėžio instituto (NVI) bendrųjų toksiškumo kriterijų (BTK v2.; NVI 1998) apibrėžimą ≥ BTK 2-ojo laipsnio kraujavimas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Jeigu pasireiškia ≥ kaip 3 laipsnio nehematologinis toksiškumas (išskyrus neurotoksiškumą), reikia liautis gydyti Pemetrexed Teva tol, kol jis taps silpnesnis arba toks pat, koks buvo prieš pradedant gydymą. Vartojimą reikia atnaujinti pagal nurodymus, pateiktus 2-ojoje lentelėje.</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008"/>
        <w:gridCol w:w="3000"/>
      </w:tblGrid>
      <w:tr w:rsidR="00267DDB" w:rsidRPr="00E209CA" w:rsidTr="00755E27">
        <w:tc>
          <w:tcPr>
            <w:tcW w:w="9854" w:type="dxa"/>
            <w:gridSpan w:val="3"/>
            <w:shd w:val="clear" w:color="auto" w:fill="auto"/>
          </w:tcPr>
          <w:p w:rsidR="00267DDB" w:rsidRPr="00131C11" w:rsidRDefault="00267DDB" w:rsidP="00267DDB">
            <w:pPr>
              <w:tabs>
                <w:tab w:val="left" w:pos="567"/>
              </w:tabs>
              <w:spacing w:after="0" w:line="260" w:lineRule="exact"/>
              <w:jc w:val="center"/>
              <w:rPr>
                <w:rFonts w:ascii="Times New Roman" w:eastAsia="MS Gothic" w:hAnsi="Times New Roman"/>
                <w:snapToGrid w:val="0"/>
                <w:color w:val="000000"/>
                <w:szCs w:val="20"/>
              </w:rPr>
            </w:pPr>
            <w:r w:rsidRPr="00131C11">
              <w:rPr>
                <w:rFonts w:ascii="Times New Roman" w:eastAsia="Times New Roman" w:hAnsi="Times New Roman"/>
                <w:b/>
                <w:snapToGrid w:val="0"/>
                <w:szCs w:val="24"/>
              </w:rPr>
              <w:t>2 lentelė. Pemetrexed Teva (gydant vien juo arba jo deriniu) ir cisplatinos dozės keitimas nehematologinio toksiškumo atvejais</w:t>
            </w:r>
            <w:r w:rsidRPr="00131C11">
              <w:rPr>
                <w:rFonts w:ascii="Times New Roman" w:eastAsia="Times New Roman" w:hAnsi="Times New Roman"/>
                <w:b/>
                <w:snapToGrid w:val="0"/>
                <w:szCs w:val="24"/>
                <w:vertAlign w:val="superscript"/>
              </w:rPr>
              <w:t>a, b</w:t>
            </w:r>
          </w:p>
        </w:tc>
      </w:tr>
      <w:tr w:rsidR="00267DDB" w:rsidRPr="00E209CA" w:rsidTr="00755E27">
        <w:tc>
          <w:tcPr>
            <w:tcW w:w="3284" w:type="dxa"/>
            <w:shd w:val="clear" w:color="auto" w:fill="auto"/>
          </w:tcPr>
          <w:p w:rsidR="00267DDB" w:rsidRPr="00131C11" w:rsidRDefault="00267DDB" w:rsidP="00267DDB">
            <w:pPr>
              <w:tabs>
                <w:tab w:val="left" w:pos="567"/>
              </w:tabs>
              <w:spacing w:after="0" w:line="260" w:lineRule="exact"/>
              <w:rPr>
                <w:rFonts w:ascii="Times New Roman" w:eastAsia="MS Gothic" w:hAnsi="Times New Roman"/>
                <w:snapToGrid w:val="0"/>
                <w:color w:val="000000"/>
                <w:szCs w:val="20"/>
              </w:rPr>
            </w:pP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b/>
                <w:snapToGrid w:val="0"/>
                <w:color w:val="000000"/>
                <w:szCs w:val="20"/>
                <w:lang w:val="en-GB"/>
              </w:rPr>
            </w:pPr>
            <w:r w:rsidRPr="00267DDB">
              <w:rPr>
                <w:rFonts w:ascii="Times New Roman" w:eastAsia="MS Gothic" w:hAnsi="Times New Roman"/>
                <w:b/>
                <w:snapToGrid w:val="0"/>
                <w:color w:val="000000"/>
                <w:szCs w:val="20"/>
                <w:lang w:val="en-GB"/>
              </w:rPr>
              <w:t>Pemetrexed Teva dozė (mg/m</w:t>
            </w:r>
            <w:r w:rsidRPr="00267DDB">
              <w:rPr>
                <w:rFonts w:ascii="Times New Roman" w:eastAsia="MS Gothic" w:hAnsi="Times New Roman"/>
                <w:b/>
                <w:snapToGrid w:val="0"/>
                <w:color w:val="000000"/>
                <w:szCs w:val="20"/>
                <w:vertAlign w:val="superscript"/>
                <w:lang w:val="en-GB"/>
              </w:rPr>
              <w:t>2</w:t>
            </w:r>
            <w:r w:rsidRPr="00267DDB">
              <w:rPr>
                <w:rFonts w:ascii="Times New Roman" w:eastAsia="MS Gothic" w:hAnsi="Times New Roman"/>
                <w:b/>
                <w:snapToGrid w:val="0"/>
                <w:color w:val="000000"/>
                <w:szCs w:val="20"/>
                <w:lang w:val="en-GB"/>
              </w:rPr>
              <w:t>)</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b/>
                <w:snapToGrid w:val="0"/>
                <w:color w:val="000000"/>
                <w:szCs w:val="20"/>
                <w:lang w:val="en-GB"/>
              </w:rPr>
              <w:t>Cisplatinos</w:t>
            </w:r>
            <w:r w:rsidRPr="00267DDB">
              <w:rPr>
                <w:rFonts w:ascii="Times New Roman" w:eastAsia="MS Gothic" w:hAnsi="Times New Roman"/>
                <w:snapToGrid w:val="0"/>
                <w:color w:val="000000"/>
                <w:szCs w:val="20"/>
                <w:lang w:val="en-GB"/>
              </w:rPr>
              <w:t xml:space="preserve"> </w:t>
            </w:r>
            <w:r w:rsidRPr="00267DDB">
              <w:rPr>
                <w:rFonts w:ascii="Times New Roman" w:eastAsia="MS Gothic" w:hAnsi="Times New Roman"/>
                <w:b/>
                <w:snapToGrid w:val="0"/>
                <w:color w:val="000000"/>
                <w:szCs w:val="20"/>
                <w:lang w:val="en-GB"/>
              </w:rPr>
              <w:t>dozė (mg/m</w:t>
            </w:r>
            <w:r w:rsidRPr="00267DDB">
              <w:rPr>
                <w:rFonts w:ascii="Times New Roman" w:eastAsia="MS Gothic" w:hAnsi="Times New Roman"/>
                <w:b/>
                <w:snapToGrid w:val="0"/>
                <w:color w:val="000000"/>
                <w:szCs w:val="20"/>
                <w:vertAlign w:val="superscript"/>
                <w:lang w:val="en-GB"/>
              </w:rPr>
              <w:t>2</w:t>
            </w:r>
            <w:r w:rsidRPr="00267DDB">
              <w:rPr>
                <w:rFonts w:ascii="Times New Roman" w:eastAsia="MS Gothic" w:hAnsi="Times New Roman"/>
                <w:b/>
                <w:snapToGrid w:val="0"/>
                <w:color w:val="000000"/>
                <w:szCs w:val="20"/>
                <w:lang w:val="en-GB"/>
              </w:rPr>
              <w:t>)</w:t>
            </w:r>
          </w:p>
        </w:tc>
      </w:tr>
      <w:tr w:rsidR="00267DDB" w:rsidRPr="00E209CA" w:rsidTr="00755E27">
        <w:tc>
          <w:tcPr>
            <w:tcW w:w="3284" w:type="dxa"/>
            <w:shd w:val="clear" w:color="auto" w:fill="auto"/>
          </w:tcPr>
          <w:p w:rsidR="00267DDB" w:rsidRPr="00131C11" w:rsidRDefault="00267DDB" w:rsidP="00267DDB">
            <w:pPr>
              <w:tabs>
                <w:tab w:val="left" w:pos="567"/>
              </w:tabs>
              <w:spacing w:after="0" w:line="260" w:lineRule="exact"/>
              <w:rPr>
                <w:rFonts w:ascii="Times New Roman" w:eastAsia="MS Gothic" w:hAnsi="Times New Roman"/>
                <w:snapToGrid w:val="0"/>
                <w:color w:val="000000"/>
                <w:szCs w:val="20"/>
              </w:rPr>
            </w:pPr>
            <w:r w:rsidRPr="00131C11">
              <w:rPr>
                <w:rFonts w:ascii="Times New Roman" w:eastAsia="MS Gothic" w:hAnsi="Times New Roman"/>
                <w:snapToGrid w:val="0"/>
                <w:color w:val="000000"/>
                <w:szCs w:val="20"/>
              </w:rPr>
              <w:t>Bet koks 3 arba 4 laipsnio toksiškumas, išskyrus mukozitą</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75 % ankstesnės dozės</w:t>
            </w:r>
          </w:p>
        </w:tc>
        <w:tc>
          <w:tcPr>
            <w:tcW w:w="3285" w:type="dxa"/>
            <w:shd w:val="clear" w:color="auto" w:fill="auto"/>
          </w:tcPr>
          <w:p w:rsidR="00267DDB" w:rsidRPr="00267DDB" w:rsidRDefault="00267DDB" w:rsidP="00267DDB">
            <w:pPr>
              <w:tabs>
                <w:tab w:val="left" w:pos="567"/>
              </w:tabs>
              <w:spacing w:after="0" w:line="260" w:lineRule="exact"/>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75 % ankstesnės dozės</w:t>
            </w:r>
          </w:p>
        </w:tc>
      </w:tr>
      <w:tr w:rsidR="00267DDB" w:rsidRPr="00E209CA" w:rsidTr="00755E27">
        <w:tc>
          <w:tcPr>
            <w:tcW w:w="3284" w:type="dxa"/>
            <w:shd w:val="clear" w:color="auto" w:fill="auto"/>
          </w:tcPr>
          <w:p w:rsidR="00267DDB" w:rsidRPr="009C5DAF" w:rsidRDefault="00267DDB" w:rsidP="00267DDB">
            <w:pPr>
              <w:tabs>
                <w:tab w:val="left" w:pos="567"/>
              </w:tabs>
              <w:spacing w:after="0" w:line="260" w:lineRule="exact"/>
              <w:rPr>
                <w:rFonts w:ascii="Times New Roman" w:eastAsia="MS Gothic" w:hAnsi="Times New Roman"/>
                <w:snapToGrid w:val="0"/>
                <w:color w:val="000000"/>
                <w:szCs w:val="20"/>
              </w:rPr>
            </w:pPr>
            <w:r w:rsidRPr="009C5DAF">
              <w:rPr>
                <w:rFonts w:ascii="Times New Roman" w:eastAsia="MS Gothic" w:hAnsi="Times New Roman"/>
                <w:snapToGrid w:val="0"/>
                <w:color w:val="000000"/>
                <w:szCs w:val="20"/>
              </w:rPr>
              <w:t xml:space="preserve">Bet koks viduriavimas, kurį reikia gydyti ligoninėje (nepriklausomai nuo laipsnio), arba 3 ar 4 laipsnio viduriavimas </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75 % ankstesnės dozės</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75 % ankstesnės dozės</w:t>
            </w:r>
          </w:p>
        </w:tc>
      </w:tr>
      <w:tr w:rsidR="00267DDB" w:rsidRPr="00E209CA" w:rsidTr="00755E27">
        <w:tc>
          <w:tcPr>
            <w:tcW w:w="3284" w:type="dxa"/>
            <w:shd w:val="clear" w:color="auto" w:fill="auto"/>
          </w:tcPr>
          <w:p w:rsidR="00267DDB" w:rsidRPr="00267DDB" w:rsidRDefault="00267DDB" w:rsidP="00267DDB">
            <w:pPr>
              <w:tabs>
                <w:tab w:val="left" w:pos="567"/>
              </w:tabs>
              <w:spacing w:after="0" w:line="260" w:lineRule="exact"/>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3 arba 4 laipsnio mukozitas</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50 % ankstesnės dozės</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100 % ankstesnės dozės</w:t>
            </w:r>
          </w:p>
        </w:tc>
      </w:tr>
    </w:tbl>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vertAlign w:val="superscript"/>
        </w:rPr>
        <w:t>a</w:t>
      </w:r>
      <w:r w:rsidRPr="00267DDB">
        <w:rPr>
          <w:rFonts w:ascii="Times New Roman" w:eastAsia="Times New Roman" w:hAnsi="Times New Roman"/>
          <w:noProof/>
          <w:snapToGrid w:val="0"/>
          <w:szCs w:val="24"/>
        </w:rPr>
        <w:t xml:space="preserve"> Nacionalinio vėžio instituto bendrieji toksiškumo kriterijai (BTK v2.0; NVI 1998)</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vertAlign w:val="superscript"/>
        </w:rPr>
        <w:t>b</w:t>
      </w:r>
      <w:r w:rsidRPr="00267DDB">
        <w:rPr>
          <w:rFonts w:ascii="Times New Roman" w:eastAsia="Times New Roman" w:hAnsi="Times New Roman"/>
          <w:noProof/>
          <w:snapToGrid w:val="0"/>
          <w:szCs w:val="24"/>
        </w:rPr>
        <w:t xml:space="preserve"> išskyrus neurotoksinį poveikį</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Jei yra neurotoksinių reiškinių, rekomenduojama keisti Pemetrexed Teva ir cisplatinos dozę taip, kaip nurodyta 3-ojoje lentelėje. Pasireiškus 3 arba 4 laipsnio neurotoksiniam poveikiui, gydymą minėtais vaistais reikia nutraukti.</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40"/>
        <w:gridCol w:w="3032"/>
      </w:tblGrid>
      <w:tr w:rsidR="00267DDB" w:rsidRPr="00E209CA" w:rsidTr="00755E27">
        <w:tc>
          <w:tcPr>
            <w:tcW w:w="9854" w:type="dxa"/>
            <w:gridSpan w:val="3"/>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Times New Roman" w:hAnsi="Times New Roman"/>
                <w:b/>
                <w:snapToGrid w:val="0"/>
                <w:szCs w:val="24"/>
                <w:lang w:val="en-GB"/>
              </w:rPr>
              <w:t>3 lentelė. Pemetrexed Teva (gydant vien juo arba jo deriniu) ir cisplatinos dozės keitimas neutoksiškumo atvejais</w:t>
            </w:r>
          </w:p>
        </w:tc>
      </w:tr>
      <w:tr w:rsidR="00267DDB" w:rsidRPr="00E209CA" w:rsidTr="00755E27">
        <w:tc>
          <w:tcPr>
            <w:tcW w:w="3284" w:type="dxa"/>
            <w:shd w:val="clear" w:color="auto" w:fill="auto"/>
          </w:tcPr>
          <w:p w:rsidR="00267DDB" w:rsidRPr="00267DDB" w:rsidRDefault="00267DDB" w:rsidP="00267DDB">
            <w:pPr>
              <w:tabs>
                <w:tab w:val="left" w:pos="567"/>
              </w:tabs>
              <w:spacing w:after="0" w:line="260" w:lineRule="exact"/>
              <w:rPr>
                <w:rFonts w:ascii="Times New Roman" w:eastAsia="MS Gothic" w:hAnsi="Times New Roman"/>
                <w:b/>
                <w:snapToGrid w:val="0"/>
                <w:color w:val="000000"/>
                <w:szCs w:val="20"/>
                <w:lang w:val="en-GB"/>
              </w:rPr>
            </w:pPr>
            <w:r w:rsidRPr="00267DDB">
              <w:rPr>
                <w:rFonts w:ascii="Times New Roman" w:eastAsia="MS Gothic" w:hAnsi="Times New Roman"/>
                <w:b/>
                <w:snapToGrid w:val="0"/>
                <w:color w:val="000000"/>
                <w:szCs w:val="20"/>
                <w:lang w:val="en-GB"/>
              </w:rPr>
              <w:t>BTK</w:t>
            </w:r>
            <w:r w:rsidRPr="00267DDB">
              <w:rPr>
                <w:rFonts w:ascii="Times New Roman" w:eastAsia="MS Gothic" w:hAnsi="Times New Roman"/>
                <w:b/>
                <w:snapToGrid w:val="0"/>
                <w:color w:val="000000"/>
                <w:szCs w:val="20"/>
                <w:vertAlign w:val="superscript"/>
                <w:lang w:val="en-GB"/>
              </w:rPr>
              <w:t>a</w:t>
            </w:r>
            <w:r w:rsidRPr="00267DDB">
              <w:rPr>
                <w:rFonts w:ascii="Times New Roman" w:eastAsia="MS Gothic" w:hAnsi="Times New Roman"/>
                <w:b/>
                <w:snapToGrid w:val="0"/>
                <w:color w:val="000000"/>
                <w:szCs w:val="20"/>
                <w:lang w:val="en-GB"/>
              </w:rPr>
              <w:t xml:space="preserve"> laipsnis</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b/>
                <w:snapToGrid w:val="0"/>
                <w:color w:val="000000"/>
                <w:szCs w:val="20"/>
                <w:lang w:val="en-GB"/>
              </w:rPr>
            </w:pPr>
            <w:r w:rsidRPr="00267DDB">
              <w:rPr>
                <w:rFonts w:ascii="Times New Roman" w:eastAsia="Times New Roman" w:hAnsi="Times New Roman"/>
                <w:b/>
                <w:bCs/>
                <w:snapToGrid w:val="0"/>
                <w:lang w:val="en-GB" w:eastAsia="en-GB"/>
              </w:rPr>
              <w:t>Pemetrexed Teva</w:t>
            </w:r>
            <w:r w:rsidRPr="00267DDB">
              <w:rPr>
                <w:rFonts w:ascii="Times New Roman" w:eastAsia="MS Gothic" w:hAnsi="Times New Roman"/>
                <w:b/>
                <w:snapToGrid w:val="0"/>
                <w:color w:val="000000"/>
                <w:szCs w:val="20"/>
                <w:lang w:val="en-GB"/>
              </w:rPr>
              <w:t xml:space="preserve"> dozė (mg/m</w:t>
            </w:r>
            <w:r w:rsidRPr="00267DDB">
              <w:rPr>
                <w:rFonts w:ascii="Times New Roman" w:eastAsia="MS Gothic" w:hAnsi="Times New Roman"/>
                <w:b/>
                <w:snapToGrid w:val="0"/>
                <w:color w:val="000000"/>
                <w:szCs w:val="20"/>
                <w:vertAlign w:val="superscript"/>
                <w:lang w:val="en-GB"/>
              </w:rPr>
              <w:t>2</w:t>
            </w:r>
            <w:r w:rsidRPr="00267DDB">
              <w:rPr>
                <w:rFonts w:ascii="Times New Roman" w:eastAsia="MS Gothic" w:hAnsi="Times New Roman"/>
                <w:b/>
                <w:snapToGrid w:val="0"/>
                <w:color w:val="000000"/>
                <w:szCs w:val="20"/>
                <w:lang w:val="en-GB"/>
              </w:rPr>
              <w:t>)</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b/>
                <w:snapToGrid w:val="0"/>
                <w:color w:val="000000"/>
                <w:szCs w:val="20"/>
                <w:lang w:val="en-GB"/>
              </w:rPr>
              <w:t>Cisplatinos</w:t>
            </w:r>
            <w:r w:rsidRPr="00267DDB">
              <w:rPr>
                <w:rFonts w:ascii="Times New Roman" w:eastAsia="MS Gothic" w:hAnsi="Times New Roman"/>
                <w:snapToGrid w:val="0"/>
                <w:color w:val="000000"/>
                <w:szCs w:val="20"/>
                <w:lang w:val="en-GB"/>
              </w:rPr>
              <w:t xml:space="preserve"> </w:t>
            </w:r>
            <w:r w:rsidRPr="00267DDB">
              <w:rPr>
                <w:rFonts w:ascii="Times New Roman" w:eastAsia="MS Gothic" w:hAnsi="Times New Roman"/>
                <w:b/>
                <w:snapToGrid w:val="0"/>
                <w:color w:val="000000"/>
                <w:szCs w:val="20"/>
                <w:lang w:val="en-GB"/>
              </w:rPr>
              <w:t>dozė (mg/m</w:t>
            </w:r>
            <w:r w:rsidRPr="00267DDB">
              <w:rPr>
                <w:rFonts w:ascii="Times New Roman" w:eastAsia="MS Gothic" w:hAnsi="Times New Roman"/>
                <w:b/>
                <w:snapToGrid w:val="0"/>
                <w:color w:val="000000"/>
                <w:szCs w:val="20"/>
                <w:vertAlign w:val="superscript"/>
                <w:lang w:val="en-GB"/>
              </w:rPr>
              <w:t>2</w:t>
            </w:r>
            <w:r w:rsidRPr="00267DDB">
              <w:rPr>
                <w:rFonts w:ascii="Times New Roman" w:eastAsia="MS Gothic" w:hAnsi="Times New Roman"/>
                <w:b/>
                <w:snapToGrid w:val="0"/>
                <w:color w:val="000000"/>
                <w:szCs w:val="20"/>
                <w:lang w:val="en-GB"/>
              </w:rPr>
              <w:t>)</w:t>
            </w:r>
          </w:p>
        </w:tc>
      </w:tr>
      <w:tr w:rsidR="00267DDB" w:rsidRPr="00E209CA" w:rsidTr="00755E27">
        <w:tc>
          <w:tcPr>
            <w:tcW w:w="3284" w:type="dxa"/>
            <w:shd w:val="clear" w:color="auto" w:fill="auto"/>
          </w:tcPr>
          <w:p w:rsidR="00267DDB" w:rsidRPr="00267DDB" w:rsidRDefault="00267DDB" w:rsidP="00267DDB">
            <w:pPr>
              <w:tabs>
                <w:tab w:val="left" w:pos="567"/>
              </w:tabs>
              <w:spacing w:after="0" w:line="260" w:lineRule="exact"/>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0-1</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100 % ankstesnės dozės</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100 % ankstesnės dozės</w:t>
            </w:r>
          </w:p>
        </w:tc>
      </w:tr>
      <w:tr w:rsidR="00267DDB" w:rsidRPr="00E209CA" w:rsidTr="00755E27">
        <w:tc>
          <w:tcPr>
            <w:tcW w:w="3284" w:type="dxa"/>
            <w:shd w:val="clear" w:color="auto" w:fill="auto"/>
          </w:tcPr>
          <w:p w:rsidR="00267DDB" w:rsidRPr="00267DDB" w:rsidRDefault="00267DDB" w:rsidP="00267DDB">
            <w:pPr>
              <w:tabs>
                <w:tab w:val="left" w:pos="567"/>
              </w:tabs>
              <w:spacing w:after="0" w:line="260" w:lineRule="exact"/>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 xml:space="preserve">2 </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100 % ankstesnės dozės</w:t>
            </w:r>
          </w:p>
        </w:tc>
        <w:tc>
          <w:tcPr>
            <w:tcW w:w="3285" w:type="dxa"/>
            <w:shd w:val="clear" w:color="auto" w:fill="auto"/>
          </w:tcPr>
          <w:p w:rsidR="00267DDB" w:rsidRPr="00267DDB" w:rsidRDefault="00267DDB" w:rsidP="00267DDB">
            <w:pPr>
              <w:tabs>
                <w:tab w:val="left" w:pos="567"/>
              </w:tabs>
              <w:spacing w:after="0" w:line="260" w:lineRule="exact"/>
              <w:jc w:val="center"/>
              <w:rPr>
                <w:rFonts w:ascii="Times New Roman" w:eastAsia="MS Gothic" w:hAnsi="Times New Roman"/>
                <w:snapToGrid w:val="0"/>
                <w:color w:val="000000"/>
                <w:szCs w:val="20"/>
                <w:lang w:val="en-GB"/>
              </w:rPr>
            </w:pPr>
            <w:r w:rsidRPr="00267DDB">
              <w:rPr>
                <w:rFonts w:ascii="Times New Roman" w:eastAsia="MS Gothic" w:hAnsi="Times New Roman"/>
                <w:snapToGrid w:val="0"/>
                <w:color w:val="000000"/>
                <w:szCs w:val="20"/>
                <w:lang w:val="en-GB"/>
              </w:rPr>
              <w:t>50 % ankstesnės dozės</w:t>
            </w:r>
          </w:p>
        </w:tc>
      </w:tr>
    </w:tbl>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vertAlign w:val="superscript"/>
        </w:rPr>
        <w:t>a</w:t>
      </w:r>
      <w:r w:rsidRPr="00267DDB">
        <w:rPr>
          <w:rFonts w:ascii="Times New Roman" w:eastAsia="Times New Roman" w:hAnsi="Times New Roman"/>
          <w:noProof/>
          <w:snapToGrid w:val="0"/>
          <w:szCs w:val="24"/>
        </w:rPr>
        <w:t xml:space="preserve"> Nacionalinio vėžio instituto bendrieji toksiškumo kriterijai (BTK v2.0; NVI 1998)</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Gydymą </w:t>
      </w:r>
      <w:r w:rsidRPr="00267DDB">
        <w:rPr>
          <w:rFonts w:ascii="Times New Roman" w:eastAsia="Times New Roman" w:hAnsi="Times New Roman"/>
          <w:snapToGrid w:val="0"/>
          <w:lang w:eastAsia="en-GB"/>
        </w:rPr>
        <w:t>Pemetrexed Teva</w:t>
      </w:r>
      <w:r w:rsidRPr="00267DDB">
        <w:rPr>
          <w:rFonts w:ascii="Times New Roman" w:eastAsia="Times New Roman" w:hAnsi="Times New Roman"/>
          <w:noProof/>
          <w:snapToGrid w:val="0"/>
          <w:szCs w:val="24"/>
        </w:rPr>
        <w:t xml:space="preserve"> reikia nutraukti, jeigu po dviejų dozės mažinimų pacientui pasireiškė bet koks hematologinis arba nehematologinis  3 arba 4 laipsnio toksinis poveikis, o pasireiškus 3 arba 4 laipsnio neurotoksiniam poveikiui, vaistinio preparato vartojimą būtina nutraukti nedelsiant.</w:t>
      </w:r>
    </w:p>
    <w:p w:rsidR="00267DDB" w:rsidRDefault="00267DDB" w:rsidP="00267DDB">
      <w:pPr>
        <w:tabs>
          <w:tab w:val="left" w:pos="567"/>
        </w:tabs>
        <w:spacing w:after="0" w:line="260" w:lineRule="exact"/>
        <w:rPr>
          <w:rFonts w:ascii="Times New Roman" w:eastAsia="Times New Roman" w:hAnsi="Times New Roman"/>
          <w:noProof/>
          <w:snapToGrid w:val="0"/>
          <w:szCs w:val="24"/>
        </w:rPr>
      </w:pPr>
    </w:p>
    <w:p w:rsidR="00094C9A" w:rsidRPr="00DF63FA" w:rsidRDefault="00094C9A" w:rsidP="00267DDB">
      <w:pPr>
        <w:tabs>
          <w:tab w:val="left" w:pos="567"/>
        </w:tabs>
        <w:spacing w:after="0" w:line="260" w:lineRule="exact"/>
        <w:rPr>
          <w:rFonts w:ascii="Times New Roman" w:eastAsia="Times New Roman" w:hAnsi="Times New Roman"/>
          <w:i/>
          <w:noProof/>
          <w:snapToGrid w:val="0"/>
          <w:szCs w:val="24"/>
        </w:rPr>
      </w:pPr>
      <w:r w:rsidRPr="00DF63FA">
        <w:rPr>
          <w:rFonts w:ascii="Times New Roman" w:eastAsia="Times New Roman" w:hAnsi="Times New Roman"/>
          <w:i/>
          <w:noProof/>
          <w:snapToGrid w:val="0"/>
          <w:szCs w:val="24"/>
        </w:rPr>
        <w:t xml:space="preserve">Ypatingos populiacijos </w:t>
      </w:r>
    </w:p>
    <w:p w:rsidR="00094C9A" w:rsidRPr="00267DDB" w:rsidRDefault="00094C9A"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i/>
          <w:noProof/>
          <w:snapToGrid w:val="0"/>
          <w:szCs w:val="24"/>
        </w:rPr>
        <w:t xml:space="preserve">Senyviems pacientams: </w:t>
      </w:r>
      <w:r w:rsidRPr="00267DDB">
        <w:rPr>
          <w:rFonts w:ascii="Times New Roman" w:eastAsia="Times New Roman" w:hAnsi="Times New Roman"/>
          <w:noProof/>
          <w:snapToGrid w:val="0"/>
          <w:szCs w:val="24"/>
        </w:rPr>
        <w:t xml:space="preserve">klinikinių tyrimų duomenimis, 65 metų ar vyresniems pacientams didesnis </w:t>
      </w:r>
      <w:r w:rsidR="00094C9A" w:rsidRPr="00267DDB">
        <w:rPr>
          <w:rFonts w:ascii="Times New Roman" w:eastAsia="Times New Roman" w:hAnsi="Times New Roman"/>
          <w:noProof/>
          <w:snapToGrid w:val="0"/>
          <w:szCs w:val="24"/>
        </w:rPr>
        <w:t>nepageidaujam</w:t>
      </w:r>
      <w:r w:rsidR="00094C9A">
        <w:rPr>
          <w:rFonts w:ascii="Times New Roman" w:eastAsia="Times New Roman" w:hAnsi="Times New Roman"/>
          <w:noProof/>
          <w:snapToGrid w:val="0"/>
          <w:szCs w:val="24"/>
        </w:rPr>
        <w:t>ų reakcijų</w:t>
      </w:r>
      <w:r w:rsidR="00094C9A" w:rsidRPr="00267DDB">
        <w:rPr>
          <w:rFonts w:ascii="Times New Roman" w:eastAsia="Times New Roman" w:hAnsi="Times New Roman"/>
          <w:noProof/>
          <w:snapToGrid w:val="0"/>
          <w:szCs w:val="24"/>
        </w:rPr>
        <w:t xml:space="preserve"> </w:t>
      </w:r>
      <w:r w:rsidRPr="00267DDB">
        <w:rPr>
          <w:rFonts w:ascii="Times New Roman" w:eastAsia="Times New Roman" w:hAnsi="Times New Roman"/>
          <w:noProof/>
          <w:snapToGrid w:val="0"/>
          <w:szCs w:val="24"/>
        </w:rPr>
        <w:t>pavojus negresia, lyginant su jaunesniais kaip 65 metų pacientais. Dozės mažinti daugiau, nei rekomenduojama visiems pacientams, nereikia.</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i/>
          <w:noProof/>
          <w:snapToGrid w:val="0"/>
          <w:szCs w:val="24"/>
        </w:rPr>
        <w:t>Vaikų populiacija:</w:t>
      </w:r>
      <w:r w:rsidRPr="00267DDB">
        <w:rPr>
          <w:rFonts w:ascii="Times New Roman" w:eastAsia="Times New Roman" w:hAnsi="Times New Roman"/>
          <w:noProof/>
          <w:snapToGrid w:val="0"/>
          <w:szCs w:val="24"/>
        </w:rPr>
        <w:t xml:space="preserve"> </w:t>
      </w:r>
      <w:r w:rsidRPr="00267DDB">
        <w:rPr>
          <w:rFonts w:ascii="Times New Roman" w:eastAsia="Times New Roman" w:hAnsi="Times New Roman"/>
          <w:snapToGrid w:val="0"/>
          <w:lang w:eastAsia="en-GB"/>
        </w:rPr>
        <w:t>Pemetrexed Teva</w:t>
      </w:r>
      <w:r w:rsidRPr="00267DDB">
        <w:rPr>
          <w:rFonts w:ascii="Times New Roman" w:eastAsia="Times New Roman" w:hAnsi="Times New Roman"/>
          <w:noProof/>
          <w:snapToGrid w:val="0"/>
          <w:szCs w:val="24"/>
        </w:rPr>
        <w:t xml:space="preserve"> netinka vartoti vaikų populiacijos pacientams, kuriems yra piktybinė pleuros mezotelioma ir nesmulkialąstelinis plaučių vėžys.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i/>
          <w:noProof/>
          <w:snapToGrid w:val="0"/>
          <w:szCs w:val="24"/>
        </w:rPr>
        <w:t xml:space="preserve">Inkstų funkcijos sutrikimas: </w:t>
      </w:r>
      <w:r w:rsidRPr="00267DDB">
        <w:rPr>
          <w:rFonts w:ascii="Times New Roman" w:eastAsia="Times New Roman" w:hAnsi="Times New Roman"/>
          <w:noProof/>
          <w:snapToGrid w:val="0"/>
          <w:szCs w:val="24"/>
        </w:rPr>
        <w:t>(</w:t>
      </w:r>
      <w:r w:rsidR="006D2EA1" w:rsidRPr="00DF63FA">
        <w:rPr>
          <w:rFonts w:ascii="Times New Roman" w:eastAsia="Times New Roman" w:hAnsi="Times New Roman"/>
          <w:i/>
          <w:noProof/>
          <w:snapToGrid w:val="0"/>
          <w:szCs w:val="24"/>
        </w:rPr>
        <w:t xml:space="preserve">pagal </w:t>
      </w:r>
      <w:r w:rsidRPr="009F1CBB">
        <w:rPr>
          <w:rFonts w:ascii="Times New Roman" w:eastAsia="Times New Roman" w:hAnsi="Times New Roman"/>
          <w:i/>
          <w:noProof/>
          <w:snapToGrid w:val="0"/>
          <w:szCs w:val="24"/>
        </w:rPr>
        <w:t>Cockroft ir Galt</w:t>
      </w:r>
      <w:r w:rsidRPr="00DF63FA">
        <w:rPr>
          <w:rFonts w:ascii="Times New Roman" w:eastAsia="Times New Roman" w:hAnsi="Times New Roman"/>
          <w:i/>
          <w:noProof/>
          <w:snapToGrid w:val="0"/>
          <w:szCs w:val="24"/>
        </w:rPr>
        <w:t xml:space="preserve"> formulę arba filtracijos glomeruluose greičio matavimus Tc99m-DPTA klirenso serume metodu</w:t>
      </w:r>
      <w:r w:rsidRPr="00267DDB">
        <w:rPr>
          <w:rFonts w:ascii="Times New Roman" w:eastAsia="Times New Roman" w:hAnsi="Times New Roman"/>
          <w:noProof/>
          <w:snapToGrid w:val="0"/>
          <w:szCs w:val="24"/>
        </w:rPr>
        <w:t xml:space="preserve">): pemetreksedas visų pirma eliminuojamas nepakitęs pro inkstus. Klinikinių tyrimų metu pacientams, kurių kreatinino klirensas ≥ 45 ml/min., nereikėjo dozes keisti kitaip, nei rekomenduojama visiems pacientams. Kadangi duomenų apie pacientų, kurių kreatinino klirensas mažesnis kaip 45 ml/min., gydymą pemetreksedu stinga, jiems vartoti preparato nerekomenduojama (žr. 4.4 skyrių).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i/>
          <w:noProof/>
          <w:snapToGrid w:val="0"/>
          <w:szCs w:val="24"/>
        </w:rPr>
        <w:lastRenderedPageBreak/>
        <w:t xml:space="preserve">Kepenų funkcijos sutrikimas: </w:t>
      </w:r>
      <w:r w:rsidRPr="00267DDB">
        <w:rPr>
          <w:rFonts w:ascii="Times New Roman" w:eastAsia="Times New Roman" w:hAnsi="Times New Roman"/>
          <w:noProof/>
          <w:snapToGrid w:val="0"/>
          <w:szCs w:val="24"/>
        </w:rPr>
        <w:t xml:space="preserve">ryšio tarp AST (SGOT), ALT (SGPT) ar bendro bilirubino koncentracijos ir pemetreksedo farmakokinetikos nenustatyta. Tačiau specialių tyrimų su pacientais, kurių kepenų funkcija sutrikusi (pvz., bilirubino koncentracija &gt; 1,5 karto didesnė už viršutinę normos ribą ir (arba) aminotransferazių aktyvumas &gt; 3 kartus didesnis už viršutinę normos ribą (nėra metastazių kepenyse) arba &gt; 5 kartus didesnis už viršutinę normos ribą (yra metastazių kepenyse)), neatlikta. </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u w:val="single"/>
        </w:rPr>
      </w:pPr>
      <w:r w:rsidRPr="00267DDB">
        <w:rPr>
          <w:rFonts w:ascii="Times New Roman" w:eastAsia="Times New Roman" w:hAnsi="Times New Roman"/>
          <w:noProof/>
          <w:snapToGrid w:val="0"/>
          <w:szCs w:val="24"/>
          <w:u w:val="single"/>
        </w:rPr>
        <w:t>Vartojimo metodas</w:t>
      </w:r>
    </w:p>
    <w:p w:rsidR="00267DDB" w:rsidRDefault="00267DDB" w:rsidP="00267DDB">
      <w:pPr>
        <w:tabs>
          <w:tab w:val="left" w:pos="567"/>
        </w:tabs>
        <w:spacing w:after="0" w:line="260" w:lineRule="exact"/>
        <w:rPr>
          <w:rFonts w:ascii="Times New Roman" w:eastAsia="Times New Roman" w:hAnsi="Times New Roman"/>
          <w:noProof/>
          <w:snapToGrid w:val="0"/>
          <w:szCs w:val="24"/>
        </w:rPr>
      </w:pPr>
    </w:p>
    <w:p w:rsidR="006D2EA1" w:rsidRPr="00DF63FA" w:rsidRDefault="006D2EA1" w:rsidP="00DF63FA">
      <w:pPr>
        <w:keepNext/>
        <w:tabs>
          <w:tab w:val="left" w:pos="2127"/>
        </w:tabs>
        <w:spacing w:after="0" w:line="240" w:lineRule="auto"/>
        <w:rPr>
          <w:rFonts w:ascii="Times New Roman" w:eastAsia="Times New Roman" w:hAnsi="Times New Roman"/>
        </w:rPr>
      </w:pPr>
      <w:r>
        <w:rPr>
          <w:rFonts w:ascii="Times New Roman" w:eastAsia="Times New Roman" w:hAnsi="Times New Roman"/>
        </w:rPr>
        <w:t>Pemetrexed Teva</w:t>
      </w:r>
      <w:r w:rsidRPr="006D2EA1">
        <w:rPr>
          <w:rFonts w:ascii="Times New Roman" w:eastAsia="Times New Roman" w:hAnsi="Times New Roman"/>
        </w:rPr>
        <w:t xml:space="preserve"> skirtas leisti į veną. </w:t>
      </w:r>
      <w:r>
        <w:rPr>
          <w:rFonts w:ascii="Times New Roman" w:eastAsia="Times New Roman" w:hAnsi="Times New Roman"/>
        </w:rPr>
        <w:t>Pemetrexed Teva</w:t>
      </w:r>
      <w:r w:rsidRPr="006D2EA1">
        <w:rPr>
          <w:rFonts w:ascii="Times New Roman" w:eastAsia="Times New Roman" w:hAnsi="Times New Roman"/>
        </w:rPr>
        <w:t xml:space="preserve"> reikia suleisti infuzijos į veną būdu per 10 min. pirmąją kiekvieno 21 paros gydymo ciklo dieną.</w:t>
      </w:r>
    </w:p>
    <w:p w:rsidR="006D2EA1" w:rsidRPr="00267DDB" w:rsidRDefault="006D2EA1"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Atsargumo priemonės, kurių turi būti laikomasi prieš paruošiant ar skiriant </w:t>
      </w:r>
      <w:r w:rsidR="006D2EA1">
        <w:rPr>
          <w:rFonts w:ascii="Times New Roman" w:eastAsia="Times New Roman" w:hAnsi="Times New Roman"/>
          <w:noProof/>
          <w:snapToGrid w:val="0"/>
          <w:szCs w:val="24"/>
        </w:rPr>
        <w:t>pemetreksedą</w:t>
      </w:r>
      <w:r w:rsidRPr="00267DDB">
        <w:rPr>
          <w:rFonts w:ascii="Times New Roman" w:eastAsia="Times New Roman" w:hAnsi="Times New Roman"/>
          <w:noProof/>
          <w:snapToGrid w:val="0"/>
          <w:szCs w:val="24"/>
        </w:rPr>
        <w:t xml:space="preserve"> ir </w:t>
      </w:r>
      <w:r w:rsidR="00131C11">
        <w:rPr>
          <w:rFonts w:ascii="Times New Roman" w:eastAsia="Times New Roman" w:hAnsi="Times New Roman"/>
          <w:noProof/>
          <w:snapToGrid w:val="0"/>
          <w:szCs w:val="24"/>
        </w:rPr>
        <w:t>praskiedimo instrukcija</w:t>
      </w:r>
      <w:r w:rsidRPr="00267DDB">
        <w:rPr>
          <w:rFonts w:ascii="Times New Roman" w:eastAsia="Times New Roman" w:hAnsi="Times New Roman"/>
          <w:noProof/>
          <w:snapToGrid w:val="0"/>
          <w:szCs w:val="24"/>
        </w:rPr>
        <w:t xml:space="preserve"> prieš jį skiriant, </w:t>
      </w:r>
      <w:r w:rsidR="00424CAD" w:rsidRPr="00267DDB">
        <w:rPr>
          <w:rFonts w:ascii="Times New Roman" w:eastAsia="Times New Roman" w:hAnsi="Times New Roman"/>
          <w:noProof/>
          <w:snapToGrid w:val="0"/>
          <w:szCs w:val="24"/>
        </w:rPr>
        <w:t>pateikt</w:t>
      </w:r>
      <w:r w:rsidR="00424CAD">
        <w:rPr>
          <w:rFonts w:ascii="Times New Roman" w:eastAsia="Times New Roman" w:hAnsi="Times New Roman"/>
          <w:noProof/>
          <w:snapToGrid w:val="0"/>
          <w:szCs w:val="24"/>
        </w:rPr>
        <w:t>os</w:t>
      </w:r>
      <w:r w:rsidR="00424CAD" w:rsidRPr="00267DDB">
        <w:rPr>
          <w:rFonts w:ascii="Times New Roman" w:eastAsia="Times New Roman" w:hAnsi="Times New Roman"/>
          <w:noProof/>
          <w:snapToGrid w:val="0"/>
          <w:szCs w:val="24"/>
        </w:rPr>
        <w:t xml:space="preserve"> </w:t>
      </w:r>
      <w:r w:rsidRPr="00267DDB">
        <w:rPr>
          <w:rFonts w:ascii="Times New Roman" w:eastAsia="Times New Roman" w:hAnsi="Times New Roman"/>
          <w:noProof/>
          <w:snapToGrid w:val="0"/>
          <w:szCs w:val="24"/>
        </w:rPr>
        <w:t>6.6 skyriuje.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4.3</w:t>
      </w:r>
      <w:r w:rsidRPr="00267DDB">
        <w:rPr>
          <w:rFonts w:ascii="Times New Roman" w:eastAsia="Times New Roman" w:hAnsi="Times New Roman"/>
          <w:b/>
          <w:bCs/>
          <w:snapToGrid w:val="0"/>
          <w:szCs w:val="28"/>
          <w:lang w:eastAsia="x-none"/>
        </w:rPr>
        <w:tab/>
        <w:t>Kontraindikacijos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Padidėjęs jautrumas veikliajai arba bet kuriai 6.1 skyriuje nurodytai pagalbinei medžiagai.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Žindymo laikotarpis (žr. 4.6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Gydymo </w:t>
      </w:r>
      <w:r w:rsidRPr="00267DDB">
        <w:rPr>
          <w:rFonts w:ascii="Times New Roman" w:eastAsia="Times New Roman" w:hAnsi="Times New Roman"/>
          <w:noProof/>
          <w:snapToGrid w:val="0"/>
          <w:szCs w:val="24"/>
        </w:rPr>
        <w:t>vaistu</w:t>
      </w:r>
      <w:r w:rsidRPr="00267DDB">
        <w:rPr>
          <w:rFonts w:ascii="Times New Roman" w:eastAsia="Times New Roman" w:hAnsi="Times New Roman"/>
          <w:snapToGrid w:val="0"/>
          <w:szCs w:val="24"/>
        </w:rPr>
        <w:t xml:space="preserve"> metu skiepijimas geltonosios karštligės vakcina (žr. 4.5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4.4</w:t>
      </w:r>
      <w:r w:rsidRPr="00267DDB">
        <w:rPr>
          <w:rFonts w:ascii="Times New Roman" w:eastAsia="Times New Roman" w:hAnsi="Times New Roman"/>
          <w:b/>
          <w:bCs/>
          <w:snapToGrid w:val="0"/>
          <w:szCs w:val="28"/>
          <w:lang w:eastAsia="x-none"/>
        </w:rPr>
        <w:tab/>
        <w:t>Specialūs įspėjimai ir atsargumo priemonės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Pemetreksedas gali slopinti kaulų čiulpų funkciją ir dėl to sukelti neutropeniją, trombocitopeniją ir anemiją (arba pancitopeniją) (žr. 4.8 skyrių). Kaulų čiulpų slopinimas paprastai yra dozę ribojantis toksinis poveikis. Reikia stebėti vaistiniu preparatu gydomo paciento kaulų čiulpų funkciją, pemetreksedu gydyti negalima, kol absoliutus neutrofilų skaičius (ANS) vėl netampa ≥ 1500 ląstelių/mm</w:t>
      </w:r>
      <w:r w:rsidRPr="00267DDB">
        <w:rPr>
          <w:rFonts w:ascii="Times New Roman" w:eastAsia="Times New Roman" w:hAnsi="Times New Roman"/>
          <w:snapToGrid w:val="0"/>
          <w:szCs w:val="24"/>
          <w:vertAlign w:val="superscript"/>
        </w:rPr>
        <w:t>3</w:t>
      </w:r>
      <w:r w:rsidRPr="00267DDB">
        <w:rPr>
          <w:rFonts w:ascii="Times New Roman" w:eastAsia="Times New Roman" w:hAnsi="Times New Roman"/>
          <w:snapToGrid w:val="0"/>
          <w:szCs w:val="24"/>
        </w:rPr>
        <w:t>, trombocitų ≥ 100 000 ląstelių/mm</w:t>
      </w:r>
      <w:r w:rsidRPr="00267DDB">
        <w:rPr>
          <w:rFonts w:ascii="Times New Roman" w:eastAsia="Times New Roman" w:hAnsi="Times New Roman"/>
          <w:snapToGrid w:val="0"/>
          <w:szCs w:val="24"/>
          <w:vertAlign w:val="superscript"/>
        </w:rPr>
        <w:t>3</w:t>
      </w:r>
      <w:r w:rsidRPr="00267DDB">
        <w:rPr>
          <w:rFonts w:ascii="Times New Roman" w:eastAsia="Times New Roman" w:hAnsi="Times New Roman"/>
          <w:snapToGrid w:val="0"/>
          <w:szCs w:val="24"/>
        </w:rPr>
        <w:t>. Kito ciklo dozę reikia mažinti atsižvelgiant į mažiausią ANS, trombocitų kiekį ir didžiausią nehematologinį toksiškumą, pasireiškusį ankstesnio gydymo ciklo metu (žr. 4.2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Kai prieš chemoterapiją buvo vartota folio rūgšties ir vitamino B</w:t>
      </w:r>
      <w:r w:rsidRPr="00267DDB">
        <w:rPr>
          <w:rFonts w:ascii="Times New Roman" w:eastAsia="Times New Roman" w:hAnsi="Times New Roman"/>
          <w:snapToGrid w:val="0"/>
          <w:szCs w:val="24"/>
          <w:vertAlign w:val="subscript"/>
        </w:rPr>
        <w:t>12</w:t>
      </w:r>
      <w:r w:rsidRPr="00267DDB">
        <w:rPr>
          <w:rFonts w:ascii="Times New Roman" w:eastAsia="Times New Roman" w:hAnsi="Times New Roman"/>
          <w:snapToGrid w:val="0"/>
          <w:szCs w:val="24"/>
        </w:rPr>
        <w:t>, toksinis poveikis buvo silpnesnis ir sumažėjo 3 arba 4 laipsnio hematologinio ir nehematologinio toksiškumo atvejų (pvz., neutropenijos, febrilinės neutropenijos bei infekcinės ligos, susijusios su 3 arba 4 laipsnio neutropenija). Todėl visiems pemetreksedu gydomiems ligoniams reikia skirti profilaktiškai vartoti folio rūgšties ir vitamino B</w:t>
      </w:r>
      <w:r w:rsidRPr="00267DDB">
        <w:rPr>
          <w:rFonts w:ascii="Times New Roman" w:eastAsia="Times New Roman" w:hAnsi="Times New Roman"/>
          <w:snapToGrid w:val="0"/>
          <w:szCs w:val="24"/>
          <w:vertAlign w:val="subscript"/>
        </w:rPr>
        <w:t>12</w:t>
      </w:r>
      <w:r w:rsidRPr="00267DDB">
        <w:rPr>
          <w:rFonts w:ascii="Times New Roman" w:eastAsia="Times New Roman" w:hAnsi="Times New Roman"/>
          <w:snapToGrid w:val="0"/>
          <w:szCs w:val="24"/>
        </w:rPr>
        <w:t>, kad susilpnėtų nuo gydymo priklausomas toksinis poveikis (žr. 4.2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Pacientams, kurie prieš gydymą pemetreksedu nevartojo kortikosteroidų, pasireiškė odos reakcijos. Prieš gydymą vartojamas deksametazonas (arba kitas kortikosteroidas) gali sumažinti odos reakcijų dažnį ir sunkumą (žr. 4.2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131C11"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szCs w:val="24"/>
        </w:rPr>
        <w:t>Pacientų, kurių kreatinino klirensas nesiekia 45 ml/min., ištirta per mažai. Todėl pacientų, kurių kreatinino klirensas &lt; 45 ml/min. pemetreksedu gydyti nerekomenduojama (žr. 4.2 skyrių).</w:t>
      </w:r>
    </w:p>
    <w:p w:rsidR="00267DDB" w:rsidRPr="00131C11" w:rsidRDefault="00267DDB" w:rsidP="00267DDB">
      <w:pPr>
        <w:tabs>
          <w:tab w:val="left" w:pos="567"/>
        </w:tabs>
        <w:spacing w:after="0" w:line="260" w:lineRule="exact"/>
        <w:rPr>
          <w:rFonts w:ascii="Times New Roman" w:eastAsia="Times New Roman" w:hAnsi="Times New Roman"/>
          <w:snapToGrid w:val="0"/>
          <w:szCs w:val="24"/>
        </w:rPr>
      </w:pPr>
    </w:p>
    <w:p w:rsidR="00267DDB" w:rsidRPr="00131C11"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szCs w:val="24"/>
        </w:rPr>
        <w:t>Pacientai, kuriems yra lengvas arba vidutinio sunkumo inkstų nepakankamumas (kreatinino klirensas – 45 - 79 ml/min.), turi vengti vartoti nesteroidinių vaistų nuo uždegimo (NVNU), tokių kaip ibuprofeno ir acetilsalicilo rūgšties (&gt; 1,3 g per parą) 2 dienas prieš pemetreksedo infuziją, jos dieną ir 2 dienas po jos (žr. 4.5 skyrių).</w:t>
      </w:r>
    </w:p>
    <w:p w:rsidR="00267DDB" w:rsidRPr="00131C11"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szCs w:val="24"/>
        </w:rPr>
        <w:t>Pacientams, kuriems yra lengvas arba vidutinio sunkumo inkstų nepakankamumas, numatytiems gydyti pemetreksedu, NVNU, kurių pusinės eliminacijos laikas ilgas, vartojimas turi būti nutrauktas bent 5 paras prieš pemetreksedo infuziją, jos dieną ir bent 2 paras po infuzijos (žr. 4.5 skyrių).</w:t>
      </w:r>
    </w:p>
    <w:p w:rsidR="00267DDB" w:rsidRPr="00131C11" w:rsidRDefault="00267DDB" w:rsidP="00267DDB">
      <w:pPr>
        <w:tabs>
          <w:tab w:val="left" w:pos="567"/>
        </w:tabs>
        <w:spacing w:after="0" w:line="260" w:lineRule="exact"/>
        <w:rPr>
          <w:rFonts w:ascii="Times New Roman" w:eastAsia="Times New Roman" w:hAnsi="Times New Roman"/>
          <w:snapToGrid w:val="0"/>
          <w:szCs w:val="24"/>
        </w:rPr>
      </w:pPr>
    </w:p>
    <w:p w:rsidR="00267DDB" w:rsidRPr="00E139AD"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szCs w:val="24"/>
        </w:rPr>
        <w:lastRenderedPageBreak/>
        <w:t>Sunkių inkstų funkcijos sutrikimų, įskaitant ūminį inkstų nepakankamumą, atvejų buvo gydant vien tik pemetreksedu arba jo deriniu su kitais chemoterapiniais preparatais. Daug pacientų, kuriems toks poveikis pasireiškė, turėjo inkstų funkcijos sutrikimo rizikos veiksnių, įskaitant dehidraciją ir prieš pradedant gydyti buvusią hipertenziją arba cukrinį diabetą.</w:t>
      </w:r>
      <w:r w:rsidR="00622B7A" w:rsidRPr="00131C11">
        <w:rPr>
          <w:rFonts w:ascii="Times New Roman" w:eastAsia="Times New Roman" w:hAnsi="Times New Roman"/>
          <w:snapToGrid w:val="0"/>
          <w:szCs w:val="24"/>
        </w:rPr>
        <w:t xml:space="preserve"> </w:t>
      </w:r>
      <w:r w:rsidR="00622B7A" w:rsidRPr="00131C11">
        <w:rPr>
          <w:rFonts w:ascii="Times New Roman" w:eastAsia="Times New Roman" w:hAnsi="Times New Roman"/>
          <w:snapToGrid w:val="0"/>
        </w:rPr>
        <w:t xml:space="preserve">Po vaistinio preparato pateikimo rinkai taip pat gauta pranešimų </w:t>
      </w:r>
      <w:r w:rsidR="00622B7A" w:rsidRPr="00A90F59">
        <w:rPr>
          <w:rFonts w:ascii="Times New Roman" w:hAnsi="Times New Roman"/>
        </w:rPr>
        <w:t>apie necukrinio nefrogeninio diabeto ir inkstų kanalėlių nekrozės atvejus, kurie buvo nustatyti vartojant vien pemetreksedo arba pemetreksedo ir kitų chemoterapinių vaistų derinius. Nutraukus gydymą pemetreksedu, dauguma šių reiškinių išnyko. Pacientai turi būti reguliariai tikrinami dėl ūminės kanalėlių nekrozės, inkstų veiklos susilpnėjimo ir necukrinio nefrogeninio diabeto požymių bei simptomų (pvz., hipernatremijos)</w:t>
      </w:r>
      <w:r w:rsidR="00622B7A">
        <w:rPr>
          <w:rFonts w:ascii="Times New Roman" w:hAnsi="Times New Roman"/>
        </w:rPr>
        <w:t>.</w:t>
      </w:r>
    </w:p>
    <w:p w:rsidR="00267DDB" w:rsidRPr="00E139AD" w:rsidRDefault="00267DDB" w:rsidP="00267DDB">
      <w:pPr>
        <w:tabs>
          <w:tab w:val="left" w:pos="567"/>
        </w:tabs>
        <w:spacing w:after="0" w:line="260" w:lineRule="exact"/>
        <w:rPr>
          <w:rFonts w:ascii="Times New Roman" w:eastAsia="Times New Roman" w:hAnsi="Times New Roman"/>
          <w:snapToGrid w:val="0"/>
          <w:szCs w:val="24"/>
        </w:rPr>
      </w:pPr>
    </w:p>
    <w:p w:rsidR="00267DDB" w:rsidRPr="00E139AD" w:rsidRDefault="00267DDB" w:rsidP="00267DDB">
      <w:pPr>
        <w:tabs>
          <w:tab w:val="left" w:pos="567"/>
        </w:tabs>
        <w:spacing w:after="0" w:line="260" w:lineRule="exact"/>
        <w:rPr>
          <w:rFonts w:ascii="Times New Roman" w:eastAsia="Times New Roman" w:hAnsi="Times New Roman"/>
          <w:snapToGrid w:val="0"/>
          <w:szCs w:val="24"/>
        </w:rPr>
      </w:pPr>
      <w:r w:rsidRPr="00E139AD">
        <w:rPr>
          <w:rFonts w:ascii="Times New Roman" w:eastAsia="Times New Roman" w:hAnsi="Times New Roman"/>
          <w:snapToGrid w:val="0"/>
          <w:szCs w:val="24"/>
        </w:rPr>
        <w:t>Trečios ertmės skysčio, pavyzdžiui, pleuros transudato arba ascito, poveikis pemetreksedui nevisiškai ištirtas. II fazės pemetreksedo tyrimo, kuriame dalyvavo 31 solidiniu naviku sergantis pacientas su stabiliu skysčio kiekiu trečioje ertmėje, rezultatai rodo, kad šiems pacientams pagal dozę normalizuota pemetreksedo koncentracija kraujo plazmoje ar klirensas, palyginti su pacientų, kurių trečioje ertmėje skysčio sankaupos nėra, nesiskiria. Taigi trečioje ertmėje susikaupusio skysčio drenavimas prieš pradedant gydyti pemetreksedu turėtų būti svarstomas, tačiau gali būti nebūtinas.</w:t>
      </w:r>
    </w:p>
    <w:p w:rsidR="00267DDB" w:rsidRPr="00E139AD" w:rsidRDefault="00267DDB" w:rsidP="00267DDB">
      <w:pPr>
        <w:tabs>
          <w:tab w:val="left" w:pos="567"/>
        </w:tabs>
        <w:spacing w:after="0" w:line="260" w:lineRule="exact"/>
        <w:rPr>
          <w:rFonts w:ascii="Times New Roman" w:eastAsia="Times New Roman" w:hAnsi="Times New Roman"/>
          <w:snapToGrid w:val="0"/>
          <w:szCs w:val="24"/>
        </w:rPr>
      </w:pPr>
    </w:p>
    <w:p w:rsidR="00267DDB" w:rsidRPr="00E139AD" w:rsidRDefault="00267DDB" w:rsidP="00267DDB">
      <w:pPr>
        <w:widowControl w:val="0"/>
        <w:autoSpaceDE w:val="0"/>
        <w:autoSpaceDN w:val="0"/>
        <w:adjustRightInd w:val="0"/>
        <w:spacing w:after="0" w:line="240" w:lineRule="auto"/>
        <w:rPr>
          <w:rFonts w:ascii="Times New Roman" w:hAnsi="Times New Roman"/>
          <w:color w:val="000000"/>
        </w:rPr>
      </w:pPr>
      <w:r w:rsidRPr="00E139AD">
        <w:rPr>
          <w:rFonts w:ascii="Times New Roman" w:hAnsi="Times New Roman"/>
          <w:color w:val="000000"/>
        </w:rPr>
        <w:t xml:space="preserve">Dėl toksinio pemetreksedo, vartojamo kartu su cisplatina, poveikio virškinimo traktui galima sunki dehidracija. Vadinasi, pacientus reikia tinkamai gydyti nuo vėmimo ir skirti daug skysčių prieš minėtų vaistinių preparatų vartojimą ir (ar) po jo. </w:t>
      </w:r>
    </w:p>
    <w:p w:rsidR="00267DDB" w:rsidRPr="00E139AD" w:rsidRDefault="00267DDB" w:rsidP="00267DDB">
      <w:pPr>
        <w:widowControl w:val="0"/>
        <w:autoSpaceDE w:val="0"/>
        <w:autoSpaceDN w:val="0"/>
        <w:adjustRightInd w:val="0"/>
        <w:spacing w:after="0" w:line="240" w:lineRule="auto"/>
        <w:rPr>
          <w:rFonts w:ascii="Times New Roman" w:hAnsi="Times New Roman"/>
          <w:color w:val="000000"/>
        </w:rPr>
      </w:pPr>
    </w:p>
    <w:p w:rsidR="00267DDB" w:rsidRPr="00E139AD" w:rsidRDefault="00267DDB" w:rsidP="00267DDB">
      <w:pPr>
        <w:widowControl w:val="0"/>
        <w:autoSpaceDE w:val="0"/>
        <w:autoSpaceDN w:val="0"/>
        <w:adjustRightInd w:val="0"/>
        <w:spacing w:after="0" w:line="240" w:lineRule="auto"/>
        <w:rPr>
          <w:rFonts w:ascii="Times New Roman" w:hAnsi="Times New Roman"/>
          <w:color w:val="000000"/>
        </w:rPr>
      </w:pPr>
      <w:r w:rsidRPr="00E139AD">
        <w:rPr>
          <w:rFonts w:ascii="Times New Roman" w:hAnsi="Times New Roman"/>
          <w:color w:val="000000"/>
        </w:rPr>
        <w:t xml:space="preserve">Klinikinių tyrimų metu gydant pemetreksedu, buvo nedažnų sunkių širdies ir kraujagyslių sutrikimų, įskaitant miokardo infarktą, bei smegenų kraujagyslių sutrikimų, dažniausiai pacientams, kartu gydomiems ir kitais citotoksiniais preparatais. Dauguma pacientų, kuriems šie sutrikimai pasireiškė, turėjo širdies ir kraujagyslių sutrikimų rizikos veiksnių prieš pradedant gydyti (žr. 4.8 skyrių). </w:t>
      </w:r>
    </w:p>
    <w:p w:rsidR="00267DDB" w:rsidRPr="00E139AD" w:rsidRDefault="00267DDB" w:rsidP="00267DDB">
      <w:pPr>
        <w:widowControl w:val="0"/>
        <w:autoSpaceDE w:val="0"/>
        <w:autoSpaceDN w:val="0"/>
        <w:adjustRightInd w:val="0"/>
        <w:spacing w:after="0" w:line="240" w:lineRule="auto"/>
        <w:rPr>
          <w:rFonts w:ascii="Times New Roman" w:hAnsi="Times New Roman"/>
          <w:color w:val="000000"/>
        </w:rPr>
      </w:pPr>
    </w:p>
    <w:p w:rsidR="00267DDB" w:rsidRPr="00E139AD" w:rsidRDefault="00267DDB" w:rsidP="00267DDB">
      <w:pPr>
        <w:widowControl w:val="0"/>
        <w:autoSpaceDE w:val="0"/>
        <w:autoSpaceDN w:val="0"/>
        <w:adjustRightInd w:val="0"/>
        <w:spacing w:after="0" w:line="240" w:lineRule="auto"/>
        <w:rPr>
          <w:rFonts w:ascii="Times New Roman" w:hAnsi="Times New Roman"/>
          <w:color w:val="000000"/>
        </w:rPr>
      </w:pPr>
      <w:r w:rsidRPr="00E139AD">
        <w:rPr>
          <w:rFonts w:ascii="Times New Roman" w:hAnsi="Times New Roman"/>
          <w:color w:val="000000"/>
        </w:rPr>
        <w:t xml:space="preserve">Vėžiu sergančių ligonių imuninės sistemos funkcija paprastai būna susilpnėjusi, todėl gyvosiomis susilpnintomis vakcinomis jų skiepyti nerekomenduojama (žr. 4.3 ir 4.5 skyrius). </w:t>
      </w:r>
    </w:p>
    <w:p w:rsidR="00267DDB" w:rsidRPr="00E139AD" w:rsidRDefault="00267DDB" w:rsidP="00267DDB">
      <w:pPr>
        <w:widowControl w:val="0"/>
        <w:autoSpaceDE w:val="0"/>
        <w:autoSpaceDN w:val="0"/>
        <w:adjustRightInd w:val="0"/>
        <w:spacing w:after="0" w:line="240" w:lineRule="auto"/>
        <w:rPr>
          <w:rFonts w:ascii="Times New Roman" w:hAnsi="Times New Roman"/>
          <w:color w:val="000000"/>
        </w:rPr>
      </w:pPr>
    </w:p>
    <w:p w:rsidR="00267DDB" w:rsidRPr="00131C11" w:rsidRDefault="00267DDB" w:rsidP="00267DDB">
      <w:pPr>
        <w:widowControl w:val="0"/>
        <w:autoSpaceDE w:val="0"/>
        <w:autoSpaceDN w:val="0"/>
        <w:adjustRightInd w:val="0"/>
        <w:spacing w:after="0" w:line="240" w:lineRule="auto"/>
        <w:rPr>
          <w:rFonts w:ascii="Times New Roman" w:hAnsi="Times New Roman"/>
          <w:color w:val="000000"/>
        </w:rPr>
      </w:pPr>
      <w:r w:rsidRPr="00131C11">
        <w:rPr>
          <w:rFonts w:ascii="Times New Roman" w:hAnsi="Times New Roman"/>
          <w:color w:val="000000"/>
        </w:rPr>
        <w:t xml:space="preserve">Pemetreksedas gali sukelti genetinę pažaidą. Lytiškai subrendusiems vyrams reikia patarti nepradėti vaiko gydymo metu ir bent 6 mėnesius po jo. Rekomenduojama naudotis kontracepcijos priemonėmis arba vengti lytinių santykių. Kadangi gydymas pemetreksedu gali lemti nuolatinį nevaisingumą, vyrams reikia patarti, kad prieš chemoterapiją kreiptųsi patarimo dėl spermos saugojimo spermos banke. </w:t>
      </w:r>
    </w:p>
    <w:p w:rsidR="00267DDB" w:rsidRPr="00131C11" w:rsidRDefault="00267DDB" w:rsidP="00267DDB">
      <w:pPr>
        <w:widowControl w:val="0"/>
        <w:autoSpaceDE w:val="0"/>
        <w:autoSpaceDN w:val="0"/>
        <w:adjustRightInd w:val="0"/>
        <w:spacing w:after="0" w:line="240" w:lineRule="auto"/>
        <w:rPr>
          <w:rFonts w:ascii="Times New Roman" w:hAnsi="Times New Roman"/>
          <w:color w:val="000000"/>
        </w:rPr>
      </w:pPr>
    </w:p>
    <w:p w:rsidR="00267DDB" w:rsidRPr="00131C11" w:rsidRDefault="00267DDB" w:rsidP="00267DDB">
      <w:pPr>
        <w:widowControl w:val="0"/>
        <w:autoSpaceDE w:val="0"/>
        <w:autoSpaceDN w:val="0"/>
        <w:adjustRightInd w:val="0"/>
        <w:spacing w:after="0" w:line="240" w:lineRule="auto"/>
        <w:rPr>
          <w:rFonts w:ascii="Times New Roman" w:hAnsi="Times New Roman"/>
          <w:color w:val="000000"/>
        </w:rPr>
      </w:pPr>
      <w:r w:rsidRPr="00131C11">
        <w:rPr>
          <w:rFonts w:ascii="Times New Roman" w:hAnsi="Times New Roman"/>
          <w:color w:val="000000"/>
        </w:rPr>
        <w:t xml:space="preserve">Pemetreksedu gydomoms vaisingo amžiaus moterims būtina veiksminga kontracepcija (žr. 4.6 skyrių). </w:t>
      </w:r>
    </w:p>
    <w:p w:rsidR="00267DDB" w:rsidRPr="00131C11" w:rsidRDefault="00267DDB" w:rsidP="00267DDB">
      <w:pPr>
        <w:widowControl w:val="0"/>
        <w:autoSpaceDE w:val="0"/>
        <w:autoSpaceDN w:val="0"/>
        <w:adjustRightInd w:val="0"/>
        <w:spacing w:after="0" w:line="240" w:lineRule="auto"/>
        <w:rPr>
          <w:rFonts w:ascii="Times New Roman" w:hAnsi="Times New Roman"/>
          <w:color w:val="000000"/>
        </w:rPr>
      </w:pPr>
    </w:p>
    <w:p w:rsidR="00267DDB" w:rsidRPr="00131C11" w:rsidRDefault="00267DDB" w:rsidP="00267DDB">
      <w:pPr>
        <w:widowControl w:val="0"/>
        <w:autoSpaceDE w:val="0"/>
        <w:autoSpaceDN w:val="0"/>
        <w:adjustRightInd w:val="0"/>
        <w:spacing w:after="0" w:line="240" w:lineRule="auto"/>
        <w:rPr>
          <w:rFonts w:ascii="Times New Roman" w:hAnsi="Times New Roman"/>
          <w:color w:val="000000"/>
        </w:rPr>
      </w:pPr>
      <w:r w:rsidRPr="00131C11">
        <w:rPr>
          <w:rFonts w:ascii="Times New Roman" w:hAnsi="Times New Roman"/>
          <w:color w:val="000000"/>
        </w:rPr>
        <w:t xml:space="preserve">Ligoniams, kuriems prieš gydymą pemetreksedu, jo metu arba po jo buvo taikomas spindulinis gydymas, buvo radiacijos sukelto pneumonito atvejų. Tokiems pacientams būtinas ypatingas dėmesys, o kitokiais jautrumą radioaktyviesiems spinduliams didinančiais preparatais juos reikia gydyti atsargiai. </w:t>
      </w:r>
    </w:p>
    <w:p w:rsidR="00267DDB" w:rsidRPr="00131C11" w:rsidRDefault="00267DDB" w:rsidP="00267DDB">
      <w:pPr>
        <w:widowControl w:val="0"/>
        <w:autoSpaceDE w:val="0"/>
        <w:autoSpaceDN w:val="0"/>
        <w:adjustRightInd w:val="0"/>
        <w:spacing w:after="0" w:line="240" w:lineRule="auto"/>
        <w:rPr>
          <w:rFonts w:ascii="Times New Roman" w:hAnsi="Times New Roman"/>
          <w:color w:val="000000"/>
        </w:rPr>
      </w:pPr>
    </w:p>
    <w:p w:rsidR="00267DDB" w:rsidRPr="00131C11" w:rsidRDefault="00267DDB" w:rsidP="00267DDB">
      <w:pPr>
        <w:tabs>
          <w:tab w:val="left" w:pos="567"/>
        </w:tabs>
        <w:spacing w:after="0" w:line="260" w:lineRule="exact"/>
        <w:rPr>
          <w:rFonts w:ascii="Times New Roman" w:hAnsi="Times New Roman"/>
          <w:color w:val="000000"/>
        </w:rPr>
      </w:pPr>
      <w:r w:rsidRPr="00131C11">
        <w:rPr>
          <w:rFonts w:ascii="Times New Roman" w:hAnsi="Times New Roman"/>
          <w:color w:val="000000"/>
        </w:rPr>
        <w:t>Pacientams, kuriems prieš kelias savaites ar metus buvo taikytas spindulinis gydymas, buvo radiacijos sukeltos odos reakcijos atsinaujinimo atvejų.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4.5</w:t>
      </w:r>
      <w:r w:rsidRPr="00267DDB">
        <w:rPr>
          <w:rFonts w:ascii="Times New Roman" w:eastAsia="Times New Roman" w:hAnsi="Times New Roman"/>
          <w:b/>
          <w:bCs/>
          <w:snapToGrid w:val="0"/>
          <w:szCs w:val="28"/>
          <w:lang w:eastAsia="x-none"/>
        </w:rPr>
        <w:tab/>
        <w:t>Sąveika su kitais vaistiniais preparatais ir kitokia sąveika</w:t>
      </w:r>
    </w:p>
    <w:p w:rsidR="00267DDB" w:rsidRPr="00267DDB" w:rsidRDefault="00267DDB" w:rsidP="00267DDB">
      <w:pPr>
        <w:tabs>
          <w:tab w:val="left" w:pos="567"/>
        </w:tabs>
        <w:spacing w:after="0" w:line="260" w:lineRule="exact"/>
        <w:rPr>
          <w:rFonts w:ascii="Times New Roman" w:eastAsia="Times New Roman" w:hAnsi="Times New Roman"/>
          <w:snapToGrid w:val="0"/>
          <w:szCs w:val="20"/>
          <w:lang w:eastAsia="x-none"/>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Didžioji pemetreksedo dalis eliminuojama pro inkstus kanalėlių sekrecijos būdu, mažesnė dalis – glomerulų filtracijos būdu. Kartu vartojant nefrotoksinį poveikį </w:t>
      </w:r>
      <w:r w:rsidR="009F1CBB" w:rsidRPr="00267DDB">
        <w:rPr>
          <w:rFonts w:ascii="Times New Roman" w:eastAsia="Times New Roman" w:hAnsi="Times New Roman"/>
          <w:snapToGrid w:val="0"/>
          <w:szCs w:val="24"/>
        </w:rPr>
        <w:t>daranči</w:t>
      </w:r>
      <w:r w:rsidR="009F1CBB">
        <w:rPr>
          <w:rFonts w:ascii="Times New Roman" w:eastAsia="Times New Roman" w:hAnsi="Times New Roman"/>
          <w:snapToGrid w:val="0"/>
          <w:szCs w:val="24"/>
        </w:rPr>
        <w:t>a</w:t>
      </w:r>
      <w:r w:rsidR="009F1CBB" w:rsidRPr="00267DDB">
        <w:rPr>
          <w:rFonts w:ascii="Times New Roman" w:eastAsia="Times New Roman" w:hAnsi="Times New Roman"/>
          <w:snapToGrid w:val="0"/>
          <w:szCs w:val="24"/>
        </w:rPr>
        <w:t xml:space="preserve">s </w:t>
      </w:r>
      <w:r w:rsidR="009F1CBB">
        <w:rPr>
          <w:rFonts w:ascii="Times New Roman" w:eastAsia="Times New Roman" w:hAnsi="Times New Roman"/>
          <w:snapToGrid w:val="0"/>
          <w:szCs w:val="24"/>
        </w:rPr>
        <w:t>veikliąsias medžiagas</w:t>
      </w:r>
      <w:r w:rsidRPr="00267DDB">
        <w:rPr>
          <w:rFonts w:ascii="Times New Roman" w:eastAsia="Times New Roman" w:hAnsi="Times New Roman"/>
          <w:snapToGrid w:val="0"/>
          <w:szCs w:val="24"/>
        </w:rPr>
        <w:t xml:space="preserve"> (pvz., aminoglikozidus, kilpinius diuretikus, platinos darinius, ciklosporiną), pemetreksedo klirensas gali būti uždelstas. Tokius vaistų derinius reikia vartoti atsargiai. Jeigu būtina, reikia atidžiai stebėti kreatinino klirensą.</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Kartu vartojant preparatus, kurie irgi sekretuojami į inkstų kanalėlius (pvz., probenecidą, peniciliną), pemetreksedo klirensas gali būti uždelstas. Šiuos vaistus kartu su pemetreksedu reikia vartoti atsargiai. Jeigu vartoti kartu būtina, reikia atidžiai stebėti kreatinino klirensą.</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Pacientams, kurių inkstų funkcija normali (kreatinino klirensas ≥ 80 ml/min.), didelės nesteroidinių vaistų nuo uždegimo (NVNU) dozės, pvz., ibuprofeno &gt; 1 600 mg per parą, ir didesnės acetilsalicilo rūgšties dozės (≥ 1,3 g per parą) gali sumažinti pemetreksedo eliminaciją ir dėl to gali dažniau atsirasti pemetreksedo sukeltų nepageidaujamų </w:t>
      </w:r>
      <w:r w:rsidR="009F1CBB">
        <w:rPr>
          <w:rFonts w:ascii="Times New Roman" w:eastAsia="Times New Roman" w:hAnsi="Times New Roman"/>
          <w:snapToGrid w:val="0"/>
          <w:szCs w:val="24"/>
        </w:rPr>
        <w:t>reakcijų</w:t>
      </w:r>
      <w:r w:rsidRPr="00267DDB">
        <w:rPr>
          <w:rFonts w:ascii="Times New Roman" w:eastAsia="Times New Roman" w:hAnsi="Times New Roman"/>
          <w:snapToGrid w:val="0"/>
          <w:szCs w:val="24"/>
        </w:rPr>
        <w:t>. Vadinasi, pacientams, kurių inkstų funkcija normali (kreatinino klirensas ≥ 80 ml/min.), didesnes NVNU dozes ar acetilsalicilo rūgšties kartu su pemetreksedu reikia skirti atsargiai.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Pacientai, kuriems yra lengvas arba vidutinio sunkumo inkstų nepakankamumas (kreatinino klirensas – 45 - 79 ml/min.), turi vengti kartu vartoti pemetreksedo ir NVNU (tokių kaip ibuprofenas) arba aspirino 2 dienas prieš pemetreksedo infuziją, jos dieną ir 2 dienas po jos (žr. 4.4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Kadangi nėra duomenų apie galimą sąveiką su NVNU, kurių pusinės eliminacijos laikas ilgesnis (pvz., piroksikamu ar rofekoksibu), todėl pacientams, kuriems yra lengvas ar vidutinio sunkumo inkstų nepakankamumas, jų vartojimas turi būti nutrauktas bent 5 paras prieš pemetreksedo infuziją, jos dieną ir bent 2 paras po infuzijos (žr. 4.4 skyrių). Jeigu kartu būtina skirti NVNU, pacientai turi būti atidžiai stebimi dėl toksiškumo, ypač kaulų čiulpų funkcijos slopinimo ir toksinio poveikio virškinimo traktui.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Pemetreksedas kepenyse mažai metabolizuojamas. Tiriant </w:t>
      </w:r>
      <w:r w:rsidRPr="00267DDB">
        <w:rPr>
          <w:rFonts w:ascii="Times New Roman" w:eastAsia="Times New Roman" w:hAnsi="Times New Roman"/>
          <w:i/>
          <w:snapToGrid w:val="0"/>
          <w:szCs w:val="24"/>
        </w:rPr>
        <w:t>in vitro</w:t>
      </w:r>
      <w:r w:rsidRPr="00267DDB">
        <w:rPr>
          <w:rFonts w:ascii="Times New Roman" w:eastAsia="Times New Roman" w:hAnsi="Times New Roman"/>
          <w:snapToGrid w:val="0"/>
          <w:szCs w:val="24"/>
        </w:rPr>
        <w:t xml:space="preserve"> žmogaus kepenų mikrosomas nustatyta, kad pemetreksedas tikriausiai </w:t>
      </w:r>
      <w:r w:rsidR="00633917">
        <w:rPr>
          <w:rFonts w:ascii="Times New Roman" w:eastAsia="Times New Roman" w:hAnsi="Times New Roman"/>
          <w:snapToGrid w:val="0"/>
          <w:szCs w:val="24"/>
        </w:rPr>
        <w:t>veikliųjų medžiagų</w:t>
      </w:r>
      <w:r w:rsidRPr="00267DDB">
        <w:rPr>
          <w:rFonts w:ascii="Times New Roman" w:eastAsia="Times New Roman" w:hAnsi="Times New Roman"/>
          <w:snapToGrid w:val="0"/>
          <w:szCs w:val="24"/>
        </w:rPr>
        <w:t>, metabolizuojamų CYP3A, CYP2D6, CYP2C9 ir CYP1A2, metabolinio klirenso kliniškai reikšmingai neslopina.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Sąveika būdinga visiems citotoksiniams preparatams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Vėžiu sergantiems ligoniams yra didesnė tromboembolinių komplikacijų rizika, todėl daugeliui jų tenka vartoti antikoaguliantų. Jeigu nutariama ligonį gydyti geriamaisiais antikoaguliantais, reikia dažniau tikrinti TNS (Tarptautinį normalizuotą santykį), nes minėti vaistiniai preparatai gali sąveikauti su chemoterapiniais preparatais nuo vėžio, be to, paciento kraujo krešėjimas ligos eigoje labai kinta.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Draudžiami deriniai: geltonosios karštligės vakcina: mirtinos generalizuotos vakcinos sukeltos ligos pavojus (žr. 4.3 skyrių).</w:t>
      </w:r>
    </w:p>
    <w:p w:rsidR="00267DDB" w:rsidRPr="00131C11"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Nerekomenduojami deriniai: gyvosios susilpnintos vakcinos (išskyrus vakciną nuo geltonosios karštligės, kuria skiepyti draudžiama): sisteminės, galbūt mirtinos, ligos pavojus. </w:t>
      </w:r>
      <w:r w:rsidRPr="00131C11">
        <w:rPr>
          <w:rFonts w:ascii="Times New Roman" w:eastAsia="Times New Roman" w:hAnsi="Times New Roman"/>
          <w:snapToGrid w:val="0"/>
          <w:szCs w:val="24"/>
        </w:rPr>
        <w:t>Pavojus didesnis pacientams, kurių imuninės sistemos funkcija susilpnėjusi dėl pagrindinės ligos. Reikia skiepyti inaktyvuota vakcina, jeigu tokia yra (pvz., vakcina nuo poliomielito) (žr. 4.4 skyrių).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4.6</w:t>
      </w:r>
      <w:r w:rsidRPr="00267DDB">
        <w:rPr>
          <w:rFonts w:ascii="Times New Roman" w:eastAsia="Times New Roman" w:hAnsi="Times New Roman"/>
          <w:b/>
          <w:bCs/>
          <w:snapToGrid w:val="0"/>
          <w:szCs w:val="28"/>
          <w:lang w:eastAsia="x-none"/>
        </w:rPr>
        <w:tab/>
        <w:t>Vaisingumas, nėštumo ir žindymo laikotarpis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131C11" w:rsidRDefault="00633917" w:rsidP="00267DDB">
      <w:pPr>
        <w:tabs>
          <w:tab w:val="left" w:pos="567"/>
        </w:tabs>
        <w:spacing w:after="0" w:line="260" w:lineRule="exact"/>
        <w:rPr>
          <w:rFonts w:ascii="Times New Roman" w:eastAsia="Times New Roman" w:hAnsi="Times New Roman"/>
          <w:snapToGrid w:val="0"/>
          <w:color w:val="0D0D0D"/>
          <w:szCs w:val="24"/>
          <w:u w:val="single"/>
        </w:rPr>
      </w:pPr>
      <w:r w:rsidRPr="00131C11">
        <w:rPr>
          <w:rFonts w:ascii="Times New Roman" w:eastAsia="Times New Roman" w:hAnsi="Times New Roman"/>
          <w:snapToGrid w:val="0"/>
          <w:color w:val="0D0D0D"/>
          <w:szCs w:val="24"/>
          <w:u w:val="single"/>
        </w:rPr>
        <w:t>Vaisingo</w:t>
      </w:r>
      <w:r w:rsidR="00B474F0">
        <w:rPr>
          <w:rFonts w:ascii="Times New Roman" w:eastAsia="Times New Roman" w:hAnsi="Times New Roman"/>
          <w:snapToGrid w:val="0"/>
          <w:color w:val="0D0D0D"/>
          <w:szCs w:val="24"/>
          <w:u w:val="single"/>
        </w:rPr>
        <w:t>s</w:t>
      </w:r>
      <w:r w:rsidRPr="00131C11">
        <w:rPr>
          <w:rFonts w:ascii="Times New Roman" w:eastAsia="Times New Roman" w:hAnsi="Times New Roman"/>
          <w:snapToGrid w:val="0"/>
          <w:color w:val="0D0D0D"/>
          <w:szCs w:val="24"/>
          <w:u w:val="single"/>
        </w:rPr>
        <w:t xml:space="preserve"> moterys/</w:t>
      </w:r>
      <w:r w:rsidR="00267DDB" w:rsidRPr="00131C11">
        <w:rPr>
          <w:rFonts w:ascii="Times New Roman" w:eastAsia="Times New Roman" w:hAnsi="Times New Roman"/>
          <w:snapToGrid w:val="0"/>
          <w:color w:val="0D0D0D"/>
          <w:szCs w:val="24"/>
          <w:u w:val="single"/>
        </w:rPr>
        <w:t xml:space="preserve">Vyrų ir moterų kontracepcija </w:t>
      </w: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rPr>
      </w:pPr>
      <w:r w:rsidRPr="00131C11">
        <w:rPr>
          <w:rFonts w:ascii="Times New Roman" w:eastAsia="Times New Roman" w:hAnsi="Times New Roman"/>
          <w:snapToGrid w:val="0"/>
          <w:color w:val="0D0D0D"/>
          <w:szCs w:val="24"/>
        </w:rPr>
        <w:t>Pemetreksedu gydomoms vaisingo</w:t>
      </w:r>
      <w:r w:rsidR="00C02B51">
        <w:rPr>
          <w:rFonts w:ascii="Times New Roman" w:eastAsia="Times New Roman" w:hAnsi="Times New Roman"/>
          <w:snapToGrid w:val="0"/>
          <w:color w:val="0D0D0D"/>
          <w:szCs w:val="24"/>
        </w:rPr>
        <w:t>m</w:t>
      </w:r>
      <w:r w:rsidRPr="00131C11">
        <w:rPr>
          <w:rFonts w:ascii="Times New Roman" w:eastAsia="Times New Roman" w:hAnsi="Times New Roman"/>
          <w:snapToGrid w:val="0"/>
          <w:color w:val="0D0D0D"/>
          <w:szCs w:val="24"/>
        </w:rPr>
        <w:t xml:space="preserve"> moterims būtina veiksminga kontracepcija. Pemetreksedas gali sukelti genetinę pažaidą. Lytiškai subrendusiems vyrams reikia patarti nepradėti vaiko gydymo metu ir bent 6 mėnesius po jo. Rekomenduojama naudoti kontraceptines priemones arba susilaikyti nuo lytinių santykių.</w:t>
      </w: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rPr>
      </w:pP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u w:val="single"/>
        </w:rPr>
      </w:pPr>
      <w:r w:rsidRPr="00131C11">
        <w:rPr>
          <w:rFonts w:ascii="Times New Roman" w:eastAsia="Times New Roman" w:hAnsi="Times New Roman"/>
          <w:snapToGrid w:val="0"/>
          <w:color w:val="0D0D0D"/>
          <w:szCs w:val="24"/>
          <w:u w:val="single"/>
        </w:rPr>
        <w:t>Nėštumas</w:t>
      </w: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rPr>
      </w:pPr>
      <w:r w:rsidRPr="00131C11">
        <w:rPr>
          <w:rFonts w:ascii="Times New Roman" w:eastAsia="Times New Roman" w:hAnsi="Times New Roman"/>
          <w:snapToGrid w:val="0"/>
          <w:color w:val="0D0D0D"/>
          <w:szCs w:val="24"/>
        </w:rPr>
        <w:t>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nebent tik neabejotinai būtinu atveju ir atidžiai įvertinus preparato naudos motinai ir pavojaus vaisiui santykį (žr. 4.4 skyrių).</w:t>
      </w: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rPr>
      </w:pP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u w:val="single"/>
        </w:rPr>
      </w:pPr>
      <w:r w:rsidRPr="00131C11">
        <w:rPr>
          <w:rFonts w:ascii="Times New Roman" w:eastAsia="Times New Roman" w:hAnsi="Times New Roman"/>
          <w:snapToGrid w:val="0"/>
          <w:color w:val="0D0D0D"/>
          <w:szCs w:val="24"/>
          <w:u w:val="single"/>
        </w:rPr>
        <w:t>Žindymas</w:t>
      </w: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rPr>
      </w:pPr>
      <w:r w:rsidRPr="00131C11">
        <w:rPr>
          <w:rFonts w:ascii="Times New Roman" w:eastAsia="Times New Roman" w:hAnsi="Times New Roman"/>
          <w:snapToGrid w:val="0"/>
          <w:color w:val="0D0D0D"/>
          <w:szCs w:val="24"/>
        </w:rPr>
        <w:t>Nežinoma, ar pemetreksedo išsiskiria su motinos pienu, todėl negalima atmesti nepageidaujamų reakcijų žindomam kūdikiui galimybės. Pemetreksedą vartojančios moterys turi nutraukti žindymą (žr. 4.3 skyrių).</w:t>
      </w: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rPr>
      </w:pPr>
    </w:p>
    <w:p w:rsidR="00267DDB" w:rsidRPr="00131C11" w:rsidRDefault="00267DDB" w:rsidP="00267DDB">
      <w:pPr>
        <w:tabs>
          <w:tab w:val="left" w:pos="567"/>
        </w:tabs>
        <w:spacing w:after="0" w:line="260" w:lineRule="exact"/>
        <w:rPr>
          <w:rFonts w:ascii="Times New Roman" w:eastAsia="Times New Roman" w:hAnsi="Times New Roman"/>
          <w:snapToGrid w:val="0"/>
          <w:color w:val="0D0D0D"/>
          <w:szCs w:val="24"/>
          <w:u w:val="single"/>
        </w:rPr>
      </w:pPr>
      <w:r w:rsidRPr="00131C11">
        <w:rPr>
          <w:rFonts w:ascii="Times New Roman" w:eastAsia="Times New Roman" w:hAnsi="Times New Roman"/>
          <w:snapToGrid w:val="0"/>
          <w:color w:val="0D0D0D"/>
          <w:szCs w:val="24"/>
          <w:u w:val="single"/>
        </w:rPr>
        <w:t>Vaisingumas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color w:val="0D0D0D"/>
          <w:szCs w:val="24"/>
        </w:rPr>
        <w:lastRenderedPageBreak/>
        <w:t>Dėl gydymo pemetreksedu sukelto nuolatinio nevaisingumo galimybės, vyrams reikia patarti, kad prieš gydymo pradžią jie kreiptųsi konsultacijos dėl spermos išsaugojimo.</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4.7</w:t>
      </w:r>
      <w:r w:rsidRPr="00267DDB">
        <w:rPr>
          <w:rFonts w:ascii="Times New Roman" w:eastAsia="Times New Roman" w:hAnsi="Times New Roman"/>
          <w:b/>
          <w:bCs/>
          <w:snapToGrid w:val="0"/>
          <w:szCs w:val="28"/>
          <w:lang w:eastAsia="x-none"/>
        </w:rPr>
        <w:tab/>
        <w:t>Poveikis gebėjimui vairuoti ir valdyti mechanizmus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Poveikio gebėjimui vairuoti ir valdyti mechanizmus tyrimų neatlikta. Tačiau nustatyta, kad pemetreksedas gali sukelti nuovargį. Pacientus reikia perspėti, kad atsiradus tokiam reiškiniui nevairuotų ir nevaldytų mechanizmų.</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40" w:lineRule="auto"/>
        <w:outlineLvl w:val="0"/>
        <w:rPr>
          <w:rFonts w:ascii="Times New Roman" w:eastAsia="Times New Roman" w:hAnsi="Times New Roman"/>
          <w:snapToGrid w:val="0"/>
          <w:szCs w:val="20"/>
        </w:rPr>
      </w:pPr>
      <w:r w:rsidRPr="00267DDB">
        <w:rPr>
          <w:rFonts w:ascii="Times New Roman" w:eastAsia="Times New Roman" w:hAnsi="Times New Roman"/>
          <w:b/>
          <w:snapToGrid w:val="0"/>
          <w:szCs w:val="20"/>
        </w:rPr>
        <w:t>4.8</w:t>
      </w:r>
      <w:r w:rsidRPr="00267DDB">
        <w:rPr>
          <w:rFonts w:ascii="Times New Roman" w:eastAsia="Times New Roman" w:hAnsi="Times New Roman"/>
          <w:b/>
          <w:snapToGrid w:val="0"/>
          <w:szCs w:val="20"/>
        </w:rPr>
        <w:tab/>
        <w:t>Nepageidaujamas poveikis</w:t>
      </w:r>
    </w:p>
    <w:p w:rsidR="00267DDB" w:rsidRPr="00267DDB" w:rsidRDefault="00267DDB" w:rsidP="00267DDB">
      <w:pPr>
        <w:tabs>
          <w:tab w:val="left" w:pos="567"/>
        </w:tabs>
        <w:spacing w:after="0" w:line="260" w:lineRule="exact"/>
        <w:rPr>
          <w:rFonts w:ascii="Times New Roman" w:eastAsia="Times New Roman" w:hAnsi="Times New Roman"/>
          <w:snapToGrid w:val="0"/>
          <w:szCs w:val="20"/>
          <w:u w:val="single"/>
        </w:rPr>
      </w:pPr>
    </w:p>
    <w:p w:rsidR="00A75709" w:rsidRPr="001F6D51" w:rsidRDefault="00A75709" w:rsidP="00A75709">
      <w:pPr>
        <w:tabs>
          <w:tab w:val="left" w:pos="567"/>
        </w:tabs>
        <w:autoSpaceDE w:val="0"/>
        <w:autoSpaceDN w:val="0"/>
        <w:adjustRightInd w:val="0"/>
        <w:spacing w:after="0" w:line="260" w:lineRule="exact"/>
        <w:rPr>
          <w:rFonts w:ascii="Times New Roman" w:eastAsia="Times New Roman" w:hAnsi="Times New Roman"/>
          <w:b/>
          <w:snapToGrid w:val="0"/>
        </w:rPr>
      </w:pPr>
    </w:p>
    <w:p w:rsidR="00A75709" w:rsidRPr="00131C11" w:rsidRDefault="00A75709" w:rsidP="00A75709">
      <w:pPr>
        <w:tabs>
          <w:tab w:val="left" w:pos="567"/>
        </w:tabs>
        <w:autoSpaceDE w:val="0"/>
        <w:autoSpaceDN w:val="0"/>
        <w:adjustRightInd w:val="0"/>
        <w:spacing w:after="0" w:line="260" w:lineRule="exact"/>
        <w:rPr>
          <w:rFonts w:ascii="Times New Roman" w:eastAsia="Times New Roman" w:hAnsi="Times New Roman"/>
          <w:snapToGrid w:val="0"/>
        </w:rPr>
      </w:pPr>
      <w:r w:rsidRPr="001F6D51">
        <w:rPr>
          <w:rFonts w:ascii="Times New Roman" w:eastAsia="Times New Roman" w:hAnsi="Times New Roman"/>
          <w:snapToGrid w:val="0"/>
        </w:rPr>
        <w:t xml:space="preserve">Gydymo vien pemetreksedu arba jo deriniu su kitais vaistiniais preparatais metu stebėtas dažniausias nuo pemetreksedo priklausomas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aktyvumo padidėjimas, alopecija, nuovargis, dehidracija, išbėrimas, infekcija (sepsis) ir neuropatija. </w:t>
      </w:r>
      <w:r w:rsidRPr="00131C11">
        <w:rPr>
          <w:rFonts w:ascii="Times New Roman" w:eastAsia="Times New Roman" w:hAnsi="Times New Roman"/>
          <w:snapToGrid w:val="0"/>
        </w:rPr>
        <w:t>Reti reiškiniai yra Stivenso-Džonsono (</w:t>
      </w:r>
      <w:r w:rsidRPr="00131C11">
        <w:rPr>
          <w:rFonts w:ascii="Times New Roman" w:eastAsia="Times New Roman" w:hAnsi="Times New Roman"/>
          <w:i/>
          <w:snapToGrid w:val="0"/>
        </w:rPr>
        <w:t>Stevens-Johnson</w:t>
      </w:r>
      <w:r w:rsidRPr="00131C11">
        <w:rPr>
          <w:rFonts w:ascii="Times New Roman" w:eastAsia="Times New Roman" w:hAnsi="Times New Roman"/>
          <w:snapToGrid w:val="0"/>
        </w:rPr>
        <w:t>)</w:t>
      </w:r>
      <w:r w:rsidRPr="00131C11">
        <w:rPr>
          <w:rFonts w:ascii="Times New Roman" w:eastAsia="Times New Roman" w:hAnsi="Times New Roman"/>
          <w:i/>
          <w:snapToGrid w:val="0"/>
        </w:rPr>
        <w:t xml:space="preserve"> </w:t>
      </w:r>
      <w:r w:rsidRPr="00131C11">
        <w:rPr>
          <w:rFonts w:ascii="Times New Roman" w:eastAsia="Times New Roman" w:hAnsi="Times New Roman"/>
          <w:snapToGrid w:val="0"/>
        </w:rPr>
        <w:t>sindromas bei toksinė epidermio nekrolizė [Lajelio (</w:t>
      </w:r>
      <w:r w:rsidRPr="00131C11">
        <w:rPr>
          <w:rFonts w:ascii="Times New Roman" w:eastAsia="Times New Roman" w:hAnsi="Times New Roman"/>
          <w:i/>
          <w:snapToGrid w:val="0"/>
        </w:rPr>
        <w:t>Lyell</w:t>
      </w:r>
      <w:r w:rsidRPr="00131C11">
        <w:rPr>
          <w:rFonts w:ascii="Times New Roman" w:eastAsia="Times New Roman" w:hAnsi="Times New Roman"/>
          <w:snapToGrid w:val="0"/>
        </w:rPr>
        <w:t>)].</w:t>
      </w:r>
    </w:p>
    <w:p w:rsidR="00A75709" w:rsidRDefault="00A75709" w:rsidP="00267DDB">
      <w:pPr>
        <w:tabs>
          <w:tab w:val="left" w:pos="567"/>
        </w:tabs>
        <w:autoSpaceDE w:val="0"/>
        <w:autoSpaceDN w:val="0"/>
        <w:adjustRightInd w:val="0"/>
        <w:spacing w:after="0" w:line="260" w:lineRule="exact"/>
        <w:rPr>
          <w:rFonts w:ascii="Times New Roman" w:eastAsia="Times New Roman" w:hAnsi="Times New Roman"/>
          <w:snapToGrid w:val="0"/>
          <w:u w:val="single"/>
        </w:rPr>
      </w:pPr>
    </w:p>
    <w:p w:rsidR="00A75709" w:rsidRDefault="00A75709" w:rsidP="00267DDB">
      <w:pPr>
        <w:tabs>
          <w:tab w:val="left" w:pos="567"/>
        </w:tabs>
        <w:autoSpaceDE w:val="0"/>
        <w:autoSpaceDN w:val="0"/>
        <w:adjustRightInd w:val="0"/>
        <w:spacing w:after="0" w:line="260" w:lineRule="exact"/>
        <w:rPr>
          <w:rFonts w:ascii="Times New Roman" w:eastAsia="Times New Roman" w:hAnsi="Times New Roman"/>
          <w:snapToGrid w:val="0"/>
          <w:u w:val="single"/>
        </w:rPr>
      </w:pPr>
    </w:p>
    <w:p w:rsidR="00267DDB" w:rsidRPr="00DF63FA" w:rsidRDefault="00267DDB" w:rsidP="00267DDB">
      <w:pPr>
        <w:tabs>
          <w:tab w:val="left" w:pos="567"/>
        </w:tabs>
        <w:autoSpaceDE w:val="0"/>
        <w:autoSpaceDN w:val="0"/>
        <w:adjustRightInd w:val="0"/>
        <w:spacing w:after="0" w:line="260" w:lineRule="exact"/>
        <w:rPr>
          <w:rFonts w:ascii="Times New Roman" w:eastAsia="Times New Roman" w:hAnsi="Times New Roman"/>
          <w:snapToGrid w:val="0"/>
          <w:u w:val="single"/>
        </w:rPr>
      </w:pPr>
      <w:r w:rsidRPr="00DF63FA">
        <w:rPr>
          <w:rFonts w:ascii="Times New Roman" w:eastAsia="Times New Roman" w:hAnsi="Times New Roman"/>
          <w:snapToGrid w:val="0"/>
          <w:u w:val="single"/>
        </w:rPr>
        <w:t>Saugumo duomenų santrauka</w:t>
      </w:r>
    </w:p>
    <w:p w:rsidR="00267DDB" w:rsidRPr="00267DDB" w:rsidRDefault="00267DDB" w:rsidP="00267DDB">
      <w:pPr>
        <w:tabs>
          <w:tab w:val="left" w:pos="567"/>
        </w:tabs>
        <w:autoSpaceDE w:val="0"/>
        <w:autoSpaceDN w:val="0"/>
        <w:adjustRightInd w:val="0"/>
        <w:spacing w:after="0" w:line="260" w:lineRule="exact"/>
        <w:rPr>
          <w:rFonts w:ascii="Times New Roman" w:eastAsia="Times New Roman" w:hAnsi="Times New Roman"/>
          <w:b/>
          <w:snapToGrid w:val="0"/>
        </w:rPr>
      </w:pPr>
    </w:p>
    <w:p w:rsidR="005C23E9" w:rsidRPr="00DF63FA" w:rsidRDefault="005C23E9" w:rsidP="005C23E9">
      <w:pPr>
        <w:rPr>
          <w:rFonts w:ascii="Times New Roman" w:hAnsi="Times New Roman"/>
        </w:rPr>
      </w:pPr>
      <w:r w:rsidRPr="00DF63FA">
        <w:rPr>
          <w:rFonts w:ascii="Times New Roman" w:hAnsi="Times New Roman"/>
        </w:rPr>
        <w:t>4</w:t>
      </w:r>
      <w:r w:rsidRPr="00DF63FA">
        <w:rPr>
          <w:rFonts w:ascii="Times New Roman" w:hAnsi="Times New Roman"/>
        </w:rPr>
        <w:noBreakHyphen/>
        <w:t>ojoje lentelėje išvardyti vartojant vaistinį preparatą pasireiškę nepageidaujami reiškiniai, neatsižvelgiant į priežastinį ryšį, kurie buvo susiję su pemetreksedo vartojimu monoterapijai arba kartu su cisplatina pagrindžiamuosiuose registracijos tyrimuose (</w:t>
      </w:r>
      <w:r w:rsidRPr="00DF63FA">
        <w:rPr>
          <w:rFonts w:ascii="Times New Roman" w:hAnsi="Times New Roman"/>
          <w:i/>
          <w:iCs/>
        </w:rPr>
        <w:t>JMCH</w:t>
      </w:r>
      <w:r w:rsidRPr="00DF63FA">
        <w:rPr>
          <w:rFonts w:ascii="Times New Roman" w:hAnsi="Times New Roman"/>
        </w:rPr>
        <w:t xml:space="preserve">, </w:t>
      </w:r>
      <w:r w:rsidRPr="00DF63FA">
        <w:rPr>
          <w:rFonts w:ascii="Times New Roman" w:hAnsi="Times New Roman"/>
          <w:i/>
          <w:iCs/>
        </w:rPr>
        <w:t>JMEI</w:t>
      </w:r>
      <w:r w:rsidRPr="00DF63FA">
        <w:rPr>
          <w:rFonts w:ascii="Times New Roman" w:hAnsi="Times New Roman"/>
        </w:rPr>
        <w:t xml:space="preserve">, </w:t>
      </w:r>
      <w:r w:rsidRPr="00DF63FA">
        <w:rPr>
          <w:rFonts w:ascii="Times New Roman" w:hAnsi="Times New Roman"/>
          <w:i/>
          <w:iCs/>
        </w:rPr>
        <w:t>JMBD</w:t>
      </w:r>
      <w:r w:rsidRPr="00DF63FA">
        <w:rPr>
          <w:rFonts w:ascii="Times New Roman" w:hAnsi="Times New Roman"/>
        </w:rPr>
        <w:t xml:space="preserve">, </w:t>
      </w:r>
      <w:r w:rsidRPr="00DF63FA">
        <w:rPr>
          <w:rFonts w:ascii="Times New Roman" w:hAnsi="Times New Roman"/>
          <w:i/>
          <w:iCs/>
        </w:rPr>
        <w:t>JMEN</w:t>
      </w:r>
      <w:r w:rsidRPr="00DF63FA">
        <w:rPr>
          <w:rFonts w:ascii="Times New Roman" w:hAnsi="Times New Roman"/>
        </w:rPr>
        <w:t xml:space="preserve"> ir </w:t>
      </w:r>
      <w:r w:rsidRPr="00DF63FA">
        <w:rPr>
          <w:rFonts w:ascii="Times New Roman" w:eastAsia="MS Mincho" w:hAnsi="Times New Roman"/>
          <w:i/>
          <w:iCs/>
          <w:lang w:eastAsia="ja-JP"/>
        </w:rPr>
        <w:t>PARAMOUNT</w:t>
      </w:r>
      <w:r w:rsidRPr="00DF63FA">
        <w:rPr>
          <w:rFonts w:ascii="Times New Roman" w:hAnsi="Times New Roman"/>
        </w:rPr>
        <w:t>) ir per laikotarpį po vaistinio preparato pate</w:t>
      </w:r>
      <w:r w:rsidR="009B7A3B">
        <w:rPr>
          <w:rFonts w:ascii="Times New Roman" w:hAnsi="Times New Roman"/>
        </w:rPr>
        <w:t>i</w:t>
      </w:r>
      <w:r w:rsidRPr="00DF63FA">
        <w:rPr>
          <w:rFonts w:ascii="Times New Roman" w:hAnsi="Times New Roman"/>
        </w:rPr>
        <w:t>kimo į rinkas.</w:t>
      </w:r>
    </w:p>
    <w:p w:rsidR="00267DDB" w:rsidRPr="00131C11" w:rsidRDefault="005C23E9" w:rsidP="00267DDB">
      <w:pPr>
        <w:tabs>
          <w:tab w:val="left" w:pos="567"/>
        </w:tabs>
        <w:autoSpaceDE w:val="0"/>
        <w:autoSpaceDN w:val="0"/>
        <w:adjustRightInd w:val="0"/>
        <w:spacing w:after="0" w:line="260" w:lineRule="exact"/>
        <w:jc w:val="both"/>
        <w:rPr>
          <w:rFonts w:ascii="Times New Roman" w:eastAsia="Times New Roman" w:hAnsi="Times New Roman"/>
          <w:snapToGrid w:val="0"/>
        </w:rPr>
      </w:pPr>
      <w:r w:rsidRPr="00DF63FA">
        <w:rPr>
          <w:rFonts w:ascii="Times New Roman" w:hAnsi="Times New Roman"/>
        </w:rPr>
        <w:t xml:space="preserve">NRV yra išvardytos pagal </w:t>
      </w:r>
      <w:r w:rsidRPr="00DF63FA">
        <w:rPr>
          <w:rFonts w:ascii="Times New Roman" w:hAnsi="Times New Roman"/>
          <w:i/>
          <w:iCs/>
        </w:rPr>
        <w:t>MedDRA</w:t>
      </w:r>
      <w:r w:rsidRPr="00DF63FA">
        <w:rPr>
          <w:rFonts w:ascii="Times New Roman" w:hAnsi="Times New Roman"/>
        </w:rPr>
        <w:t xml:space="preserve"> organų sistemų klases. Sutrikimų dažniui apibūdinti naudojama tokia dažnio klasifikacija: labai dažnas (</w:t>
      </w:r>
      <w:r w:rsidRPr="00DF63FA">
        <w:rPr>
          <w:rFonts w:ascii="Times New Roman" w:hAnsi="Times New Roman"/>
        </w:rPr>
        <w:sym w:font="Symbol" w:char="F0B3"/>
      </w:r>
      <w:r w:rsidRPr="00DF63FA">
        <w:rPr>
          <w:rFonts w:ascii="Times New Roman" w:hAnsi="Times New Roman"/>
        </w:rPr>
        <w:t xml:space="preserve"> 1/10), dažnas (nuo </w:t>
      </w:r>
      <w:r w:rsidRPr="00DF63FA">
        <w:rPr>
          <w:rFonts w:ascii="Times New Roman" w:hAnsi="Times New Roman"/>
        </w:rPr>
        <w:sym w:font="Symbol" w:char="F0B3"/>
      </w:r>
      <w:r w:rsidRPr="00DF63FA">
        <w:rPr>
          <w:rFonts w:ascii="Times New Roman" w:hAnsi="Times New Roman"/>
        </w:rPr>
        <w:t xml:space="preserve"> 1/100 iki </w:t>
      </w:r>
      <w:r w:rsidRPr="00DF63FA">
        <w:rPr>
          <w:rFonts w:ascii="Times New Roman" w:hAnsi="Times New Roman"/>
        </w:rPr>
        <w:sym w:font="Symbol" w:char="F03C"/>
      </w:r>
      <w:r w:rsidRPr="00DF63FA">
        <w:rPr>
          <w:rFonts w:ascii="Times New Roman" w:hAnsi="Times New Roman"/>
        </w:rPr>
        <w:t xml:space="preserve"> 1/10), nedažnas (nuo </w:t>
      </w:r>
      <w:r w:rsidRPr="00DF63FA">
        <w:rPr>
          <w:rFonts w:ascii="Times New Roman" w:hAnsi="Times New Roman"/>
        </w:rPr>
        <w:sym w:font="Symbol" w:char="F0B3"/>
      </w:r>
      <w:r w:rsidRPr="00DF63FA">
        <w:rPr>
          <w:rFonts w:ascii="Times New Roman" w:hAnsi="Times New Roman"/>
        </w:rPr>
        <w:t xml:space="preserve"> 1/1 000 iki </w:t>
      </w:r>
      <w:r w:rsidRPr="00DF63FA">
        <w:rPr>
          <w:rFonts w:ascii="Times New Roman" w:hAnsi="Times New Roman"/>
        </w:rPr>
        <w:sym w:font="Symbol" w:char="F03C"/>
      </w:r>
      <w:r w:rsidRPr="00DF63FA">
        <w:rPr>
          <w:rFonts w:ascii="Times New Roman" w:hAnsi="Times New Roman"/>
        </w:rPr>
        <w:t xml:space="preserve"> 1/100), retas (nuo </w:t>
      </w:r>
      <w:r w:rsidRPr="00DF63FA">
        <w:rPr>
          <w:rFonts w:ascii="Times New Roman" w:hAnsi="Times New Roman"/>
        </w:rPr>
        <w:sym w:font="Symbol" w:char="F0B3"/>
      </w:r>
      <w:r w:rsidRPr="00DF63FA">
        <w:rPr>
          <w:rFonts w:ascii="Times New Roman" w:hAnsi="Times New Roman"/>
        </w:rPr>
        <w:t xml:space="preserve"> 1/10 000 iki </w:t>
      </w:r>
      <w:r w:rsidRPr="00DF63FA">
        <w:rPr>
          <w:rFonts w:ascii="Times New Roman" w:hAnsi="Times New Roman"/>
        </w:rPr>
        <w:sym w:font="Symbol" w:char="F03C"/>
      </w:r>
      <w:r w:rsidRPr="00DF63FA">
        <w:rPr>
          <w:rFonts w:ascii="Times New Roman" w:hAnsi="Times New Roman"/>
        </w:rPr>
        <w:t> 1/1 000), labai retas (</w:t>
      </w:r>
      <w:r w:rsidRPr="00DF63FA">
        <w:rPr>
          <w:rFonts w:ascii="Times New Roman" w:hAnsi="Times New Roman"/>
        </w:rPr>
        <w:sym w:font="Symbol" w:char="F03C"/>
      </w:r>
      <w:r w:rsidRPr="00DF63FA">
        <w:rPr>
          <w:rFonts w:ascii="Times New Roman" w:hAnsi="Times New Roman"/>
        </w:rPr>
        <w:t> 1/10 000) ir dažnis nežinomas (negali būti apskaičiuotas pagal turimus duomenis).</w:t>
      </w:r>
    </w:p>
    <w:p w:rsidR="005C23E9" w:rsidRPr="008A3F11" w:rsidRDefault="005C23E9" w:rsidP="005C23E9">
      <w:pPr>
        <w:pStyle w:val="Normal11pt"/>
        <w:rPr>
          <w:b/>
          <w:szCs w:val="22"/>
          <w:lang w:val="lt-LT"/>
        </w:rPr>
      </w:pPr>
      <w:bookmarkStart w:id="0" w:name="_Hlk34134743"/>
      <w:r w:rsidRPr="008A3F11">
        <w:rPr>
          <w:b/>
          <w:szCs w:val="22"/>
          <w:lang w:val="lt-LT"/>
        </w:rPr>
        <w:t xml:space="preserve">4 lentelė. </w:t>
      </w:r>
      <w:bookmarkStart w:id="1" w:name="_Hlk39171499"/>
      <w:r w:rsidRPr="008A3F11">
        <w:rPr>
          <w:b/>
          <w:szCs w:val="22"/>
          <w:lang w:val="lt-LT"/>
        </w:rPr>
        <w:t xml:space="preserve">Visų sunkumo laipsnių nepageidaujami reiškiniai, pasireiškę vartojant vaistinį preparatą, neatsižvelgiant į priežastinį ryšį, remiantis pagrindžiamųjų registracijos tyrimų </w:t>
      </w:r>
      <w:r w:rsidRPr="008A3F11">
        <w:rPr>
          <w:b/>
          <w:i/>
          <w:iCs/>
          <w:szCs w:val="22"/>
          <w:lang w:val="lt-LT"/>
        </w:rPr>
        <w:t>JMEI</w:t>
      </w:r>
      <w:r w:rsidRPr="008A3F11">
        <w:rPr>
          <w:b/>
          <w:szCs w:val="22"/>
          <w:lang w:val="lt-LT"/>
        </w:rPr>
        <w:t xml:space="preserve"> (ALIMTA, palyginti su docetakseliu), </w:t>
      </w:r>
      <w:r w:rsidRPr="008A3F11">
        <w:rPr>
          <w:b/>
          <w:i/>
          <w:iCs/>
          <w:szCs w:val="22"/>
          <w:lang w:val="lt-LT"/>
        </w:rPr>
        <w:t>JMDB</w:t>
      </w:r>
      <w:r w:rsidRPr="008A3F11">
        <w:rPr>
          <w:b/>
          <w:szCs w:val="22"/>
          <w:lang w:val="lt-LT"/>
        </w:rPr>
        <w:t xml:space="preserve"> (ALIMTA ir cisplatina, palyginti su GEMZAR ir cisplatina), </w:t>
      </w:r>
      <w:r w:rsidRPr="008A3F11">
        <w:rPr>
          <w:b/>
          <w:i/>
          <w:iCs/>
          <w:szCs w:val="22"/>
          <w:lang w:val="lt-LT"/>
        </w:rPr>
        <w:t>JMCH</w:t>
      </w:r>
      <w:r w:rsidRPr="008A3F11">
        <w:rPr>
          <w:b/>
          <w:szCs w:val="22"/>
          <w:lang w:val="lt-LT"/>
        </w:rPr>
        <w:t xml:space="preserve"> (ALIMTA kartu su cisplatina, palyginti su cisplatina), </w:t>
      </w:r>
      <w:r w:rsidRPr="008A3F11">
        <w:rPr>
          <w:b/>
          <w:i/>
          <w:iCs/>
          <w:szCs w:val="22"/>
          <w:lang w:val="lt-LT"/>
        </w:rPr>
        <w:t>JMEN</w:t>
      </w:r>
      <w:r w:rsidRPr="008A3F11">
        <w:rPr>
          <w:b/>
          <w:szCs w:val="22"/>
          <w:lang w:val="lt-LT"/>
        </w:rPr>
        <w:t xml:space="preserve"> ir </w:t>
      </w:r>
      <w:r w:rsidRPr="008A3F11">
        <w:rPr>
          <w:b/>
          <w:i/>
          <w:iCs/>
          <w:szCs w:val="22"/>
          <w:lang w:val="lt-LT"/>
        </w:rPr>
        <w:t>PARAMOUNT</w:t>
      </w:r>
      <w:r w:rsidRPr="008A3F11">
        <w:rPr>
          <w:b/>
          <w:szCs w:val="22"/>
          <w:lang w:val="lt-LT"/>
        </w:rPr>
        <w:t xml:space="preserve"> (pemetreksedas kartu su geriausia palaikomąja priežiūra, palyginti su placebu kartu su geriausia palaikomąja priežiūra) ir stebėjimo po vaistinio preparato patekimo į rinkas duomenimis</w:t>
      </w:r>
    </w:p>
    <w:bookmarkEnd w:id="1"/>
    <w:p w:rsidR="005C23E9" w:rsidRPr="008A3F11" w:rsidRDefault="005C23E9" w:rsidP="005C23E9">
      <w:pPr>
        <w:pStyle w:val="Normal11pt"/>
        <w:rPr>
          <w:szCs w:val="22"/>
          <w:lang w:val="lt-LT"/>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Change w:id="2">
          <w:tblGrid>
            <w:gridCol w:w="1526"/>
            <w:gridCol w:w="1560"/>
            <w:gridCol w:w="1559"/>
            <w:gridCol w:w="1559"/>
            <w:gridCol w:w="1559"/>
            <w:gridCol w:w="1276"/>
            <w:gridCol w:w="1220"/>
          </w:tblGrid>
        </w:tblGridChange>
      </w:tblGrid>
      <w:tr w:rsidR="005C23E9" w:rsidRPr="008A3F11" w:rsidTr="00BF3B8D">
        <w:tc>
          <w:tcPr>
            <w:tcW w:w="1526" w:type="dxa"/>
            <w:shd w:val="clear" w:color="auto" w:fill="auto"/>
          </w:tcPr>
          <w:p w:rsidR="005C23E9" w:rsidRPr="008A3F11" w:rsidRDefault="005C23E9" w:rsidP="00BF3B8D">
            <w:pPr>
              <w:pStyle w:val="Normal11pt"/>
              <w:rPr>
                <w:b/>
                <w:bCs/>
                <w:szCs w:val="22"/>
                <w:lang w:val="lt-LT"/>
              </w:rPr>
            </w:pPr>
            <w:bookmarkStart w:id="3" w:name="_Hlk30072304"/>
            <w:r w:rsidRPr="008A3F11">
              <w:rPr>
                <w:b/>
                <w:bCs/>
                <w:szCs w:val="22"/>
                <w:lang w:val="lt-LT"/>
              </w:rPr>
              <w:t xml:space="preserve">Organų sistemų klasės </w:t>
            </w:r>
          </w:p>
          <w:p w:rsidR="005C23E9" w:rsidRPr="008A3F11" w:rsidRDefault="005C23E9" w:rsidP="00BF3B8D">
            <w:pPr>
              <w:pStyle w:val="Normal11pt"/>
              <w:rPr>
                <w:b/>
                <w:bCs/>
                <w:szCs w:val="22"/>
                <w:lang w:val="lt-LT"/>
              </w:rPr>
            </w:pPr>
            <w:r w:rsidRPr="008A3F11">
              <w:rPr>
                <w:b/>
                <w:bCs/>
                <w:szCs w:val="22"/>
                <w:lang w:val="lt-LT"/>
              </w:rPr>
              <w:t>(</w:t>
            </w:r>
            <w:r w:rsidRPr="008A3F11">
              <w:rPr>
                <w:b/>
                <w:bCs/>
                <w:i/>
                <w:iCs/>
                <w:szCs w:val="22"/>
                <w:lang w:val="lt-LT"/>
              </w:rPr>
              <w:t>MedDRA</w:t>
            </w:r>
            <w:r w:rsidRPr="008A3F11">
              <w:rPr>
                <w:b/>
                <w:bCs/>
                <w:szCs w:val="22"/>
                <w:lang w:val="lt-LT"/>
              </w:rPr>
              <w:t>)</w:t>
            </w:r>
          </w:p>
          <w:p w:rsidR="005C23E9" w:rsidRPr="008A3F11" w:rsidRDefault="005C23E9" w:rsidP="00BF3B8D">
            <w:pPr>
              <w:pStyle w:val="Normal11pt"/>
              <w:rPr>
                <w:szCs w:val="22"/>
                <w:lang w:val="lt-LT"/>
              </w:rPr>
            </w:pPr>
          </w:p>
        </w:tc>
        <w:tc>
          <w:tcPr>
            <w:tcW w:w="1560" w:type="dxa"/>
            <w:shd w:val="clear" w:color="auto" w:fill="auto"/>
          </w:tcPr>
          <w:p w:rsidR="005C23E9" w:rsidRPr="008A3F11" w:rsidRDefault="005C23E9" w:rsidP="00BF3B8D">
            <w:pPr>
              <w:keepNext/>
              <w:rPr>
                <w:b/>
              </w:rPr>
            </w:pPr>
            <w:r w:rsidRPr="008A3F11">
              <w:rPr>
                <w:b/>
              </w:rPr>
              <w:t>Labai dažnas</w:t>
            </w:r>
          </w:p>
        </w:tc>
        <w:tc>
          <w:tcPr>
            <w:tcW w:w="1559" w:type="dxa"/>
            <w:shd w:val="clear" w:color="auto" w:fill="auto"/>
          </w:tcPr>
          <w:p w:rsidR="005C23E9" w:rsidRPr="008A3F11" w:rsidRDefault="005C23E9" w:rsidP="00BF3B8D">
            <w:pPr>
              <w:pStyle w:val="Normal11pt"/>
              <w:rPr>
                <w:szCs w:val="22"/>
                <w:lang w:val="lt-LT"/>
              </w:rPr>
            </w:pPr>
            <w:r w:rsidRPr="008A3F11">
              <w:rPr>
                <w:b/>
                <w:szCs w:val="22"/>
                <w:lang w:val="lt-LT"/>
              </w:rPr>
              <w:t>Dažnas</w:t>
            </w:r>
          </w:p>
        </w:tc>
        <w:tc>
          <w:tcPr>
            <w:tcW w:w="1559" w:type="dxa"/>
            <w:shd w:val="clear" w:color="auto" w:fill="auto"/>
          </w:tcPr>
          <w:p w:rsidR="005C23E9" w:rsidRPr="008A3F11" w:rsidRDefault="005C23E9" w:rsidP="00BF3B8D">
            <w:pPr>
              <w:pStyle w:val="Normal11pt"/>
              <w:rPr>
                <w:szCs w:val="22"/>
                <w:lang w:val="lt-LT"/>
              </w:rPr>
            </w:pPr>
            <w:r w:rsidRPr="008A3F11">
              <w:rPr>
                <w:b/>
                <w:szCs w:val="22"/>
                <w:lang w:val="lt-LT"/>
              </w:rPr>
              <w:t>Nedažnas</w:t>
            </w:r>
          </w:p>
        </w:tc>
        <w:tc>
          <w:tcPr>
            <w:tcW w:w="1559" w:type="dxa"/>
            <w:shd w:val="clear" w:color="auto" w:fill="auto"/>
          </w:tcPr>
          <w:p w:rsidR="005C23E9" w:rsidRPr="008A3F11" w:rsidRDefault="005C23E9" w:rsidP="00BF3B8D">
            <w:pPr>
              <w:pStyle w:val="Normal11pt"/>
              <w:rPr>
                <w:szCs w:val="22"/>
                <w:lang w:val="lt-LT"/>
              </w:rPr>
            </w:pPr>
            <w:r w:rsidRPr="008A3F11">
              <w:rPr>
                <w:b/>
                <w:szCs w:val="22"/>
                <w:lang w:val="lt-LT"/>
              </w:rPr>
              <w:t>Retas</w:t>
            </w:r>
          </w:p>
        </w:tc>
        <w:tc>
          <w:tcPr>
            <w:tcW w:w="1276" w:type="dxa"/>
          </w:tcPr>
          <w:p w:rsidR="005C23E9" w:rsidRPr="008A3F11" w:rsidRDefault="005C23E9" w:rsidP="00BF3B8D">
            <w:pPr>
              <w:pStyle w:val="Normal11pt"/>
              <w:rPr>
                <w:b/>
                <w:szCs w:val="22"/>
                <w:lang w:val="lt-LT"/>
              </w:rPr>
            </w:pPr>
            <w:r w:rsidRPr="008A3F11">
              <w:rPr>
                <w:b/>
                <w:szCs w:val="22"/>
                <w:lang w:val="lt-LT"/>
              </w:rPr>
              <w:t>Labai retas</w:t>
            </w:r>
          </w:p>
        </w:tc>
        <w:tc>
          <w:tcPr>
            <w:tcW w:w="1220" w:type="dxa"/>
            <w:shd w:val="clear" w:color="auto" w:fill="auto"/>
          </w:tcPr>
          <w:p w:rsidR="005C23E9" w:rsidRPr="008A3F11" w:rsidRDefault="005C23E9" w:rsidP="00BF3B8D">
            <w:pPr>
              <w:pStyle w:val="Normal11pt"/>
              <w:rPr>
                <w:szCs w:val="22"/>
                <w:lang w:val="lt-LT"/>
              </w:rPr>
            </w:pPr>
            <w:r w:rsidRPr="008A3F11">
              <w:rPr>
                <w:b/>
                <w:szCs w:val="22"/>
                <w:lang w:val="lt-LT"/>
              </w:rPr>
              <w:t>Dažnis nežinomas</w:t>
            </w: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Infekcijos ir infestacijos</w:t>
            </w:r>
          </w:p>
        </w:tc>
        <w:tc>
          <w:tcPr>
            <w:tcW w:w="1560" w:type="dxa"/>
            <w:shd w:val="clear" w:color="auto" w:fill="auto"/>
          </w:tcPr>
          <w:p w:rsidR="005C23E9" w:rsidRPr="009F1CBB" w:rsidRDefault="005C23E9" w:rsidP="00BF3B8D">
            <w:pPr>
              <w:pStyle w:val="Normal11pt"/>
              <w:keepNext w:val="0"/>
              <w:rPr>
                <w:szCs w:val="22"/>
                <w:vertAlign w:val="superscript"/>
                <w:lang w:val="lt-LT"/>
              </w:rPr>
            </w:pPr>
            <w:r w:rsidRPr="009F1CBB">
              <w:rPr>
                <w:szCs w:val="22"/>
                <w:lang w:val="lt-LT"/>
              </w:rPr>
              <w:t xml:space="preserve">Infekcija </w:t>
            </w:r>
            <w:r w:rsidRPr="009F1CBB">
              <w:rPr>
                <w:szCs w:val="22"/>
                <w:vertAlign w:val="superscript"/>
                <w:lang w:val="lt-LT"/>
              </w:rPr>
              <w:t>a</w:t>
            </w:r>
          </w:p>
          <w:p w:rsidR="005C23E9" w:rsidRPr="00DF63FA" w:rsidRDefault="005C23E9" w:rsidP="00BF3B8D">
            <w:pPr>
              <w:rPr>
                <w:rFonts w:ascii="Times New Roman" w:hAnsi="Times New Roman"/>
              </w:rPr>
            </w:pPr>
            <w:r w:rsidRPr="00DF63FA">
              <w:rPr>
                <w:rFonts w:ascii="Times New Roman" w:hAnsi="Times New Roman"/>
              </w:rPr>
              <w:t>Faringitas</w:t>
            </w:r>
          </w:p>
          <w:p w:rsidR="005C23E9" w:rsidRPr="009F1CBB"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 xml:space="preserve">Sepsis </w:t>
            </w:r>
            <w:r w:rsidRPr="008A3F11">
              <w:rPr>
                <w:szCs w:val="22"/>
                <w:vertAlign w:val="superscript"/>
                <w:lang w:val="lt-LT"/>
              </w:rPr>
              <w:t>b</w:t>
            </w:r>
          </w:p>
        </w:tc>
        <w:tc>
          <w:tcPr>
            <w:tcW w:w="1559"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rPr>
                <w:szCs w:val="22"/>
                <w:lang w:val="lt-LT"/>
              </w:rPr>
            </w:pPr>
            <w:r w:rsidRPr="008A3F11">
              <w:rPr>
                <w:szCs w:val="22"/>
                <w:lang w:val="lt-LT"/>
              </w:rPr>
              <w:t>Dermohipodermitas</w:t>
            </w:r>
          </w:p>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Kraujo ir limfinės sistemos sutrikimai</w:t>
            </w:r>
          </w:p>
        </w:tc>
        <w:tc>
          <w:tcPr>
            <w:tcW w:w="1560" w:type="dxa"/>
            <w:shd w:val="clear" w:color="auto" w:fill="auto"/>
          </w:tcPr>
          <w:p w:rsidR="005C23E9" w:rsidRPr="00DF63FA" w:rsidRDefault="005C23E9" w:rsidP="00BF3B8D">
            <w:pPr>
              <w:rPr>
                <w:rFonts w:ascii="Times New Roman" w:hAnsi="Times New Roman"/>
              </w:rPr>
            </w:pPr>
            <w:r w:rsidRPr="00DF63FA">
              <w:rPr>
                <w:rFonts w:ascii="Times New Roman" w:hAnsi="Times New Roman"/>
              </w:rPr>
              <w:t>Neutropenija</w:t>
            </w:r>
          </w:p>
          <w:p w:rsidR="005C23E9" w:rsidRPr="00DF63FA" w:rsidRDefault="005C23E9" w:rsidP="00BF3B8D">
            <w:pPr>
              <w:rPr>
                <w:rFonts w:ascii="Times New Roman" w:hAnsi="Times New Roman"/>
              </w:rPr>
            </w:pPr>
            <w:r w:rsidRPr="00DF63FA">
              <w:rPr>
                <w:rFonts w:ascii="Times New Roman" w:hAnsi="Times New Roman"/>
              </w:rPr>
              <w:t>Leukopenija</w:t>
            </w:r>
          </w:p>
          <w:p w:rsidR="005C23E9" w:rsidRPr="00DF63FA" w:rsidRDefault="005C23E9" w:rsidP="00BF3B8D">
            <w:pPr>
              <w:rPr>
                <w:rFonts w:ascii="Times New Roman" w:hAnsi="Times New Roman"/>
              </w:rPr>
            </w:pPr>
            <w:r w:rsidRPr="00DF63FA">
              <w:rPr>
                <w:rFonts w:ascii="Times New Roman" w:hAnsi="Times New Roman"/>
              </w:rPr>
              <w:lastRenderedPageBreak/>
              <w:t>Hemoglobino koncentracijos sumažėjimas</w:t>
            </w: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lastRenderedPageBreak/>
              <w:t>Febrilioji neutropenija</w:t>
            </w:r>
          </w:p>
          <w:p w:rsidR="005C23E9" w:rsidRPr="008A3F11" w:rsidRDefault="005C23E9" w:rsidP="00BF3B8D">
            <w:pPr>
              <w:pStyle w:val="Normal11pt"/>
              <w:keepNext w:val="0"/>
              <w:rPr>
                <w:szCs w:val="22"/>
                <w:lang w:val="lt-LT"/>
              </w:rPr>
            </w:pPr>
            <w:r w:rsidRPr="008A3F11">
              <w:rPr>
                <w:szCs w:val="22"/>
                <w:lang w:val="lt-LT"/>
              </w:rPr>
              <w:t>Trombocitų kiekio sumažėjimas</w:t>
            </w: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Pancitopenija</w:t>
            </w: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Autoimuninė hemolizinė anemija</w:t>
            </w: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r w:rsidRPr="008A3F11">
              <w:rPr>
                <w:szCs w:val="22"/>
                <w:lang w:val="lt-LT"/>
              </w:rPr>
              <w:t>Imuninės sistemos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r w:rsidRPr="008A3F11">
              <w:rPr>
                <w:szCs w:val="22"/>
                <w:lang w:val="lt-LT"/>
              </w:rPr>
              <w:t>Padidėjęs jautrumas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r w:rsidRPr="008A3F11">
              <w:rPr>
                <w:szCs w:val="22"/>
                <w:lang w:val="lt-LT"/>
              </w:rPr>
              <w:t>Anafilaksinis šokas</w:t>
            </w:r>
          </w:p>
        </w:tc>
        <w:tc>
          <w:tcPr>
            <w:tcW w:w="1276" w:type="dxa"/>
            <w:tcBorders>
              <w:top w:val="single" w:sz="4" w:space="0" w:color="auto"/>
              <w:left w:val="single" w:sz="4" w:space="0" w:color="auto"/>
              <w:bottom w:val="single" w:sz="4" w:space="0" w:color="auto"/>
              <w:right w:val="single" w:sz="4" w:space="0" w:color="auto"/>
            </w:tcBorders>
          </w:tcPr>
          <w:p w:rsidR="005C23E9" w:rsidRPr="008A3F11" w:rsidRDefault="005C23E9" w:rsidP="00BF3B8D">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DF63FA" w:rsidRDefault="005C23E9" w:rsidP="00DF63FA">
            <w:pPr>
              <w:spacing w:after="0" w:line="240" w:lineRule="auto"/>
              <w:rPr>
                <w:rFonts w:ascii="Times New Roman" w:hAnsi="Times New Roman"/>
              </w:rPr>
            </w:pPr>
            <w:r w:rsidRPr="00DF63FA">
              <w:rPr>
                <w:rFonts w:ascii="Times New Roman" w:hAnsi="Times New Roman"/>
              </w:rPr>
              <w:t>Metabolizmo</w:t>
            </w:r>
          </w:p>
          <w:p w:rsidR="005C23E9" w:rsidRPr="00DF63FA" w:rsidRDefault="005C23E9" w:rsidP="00DF63FA">
            <w:pPr>
              <w:spacing w:after="0" w:line="240" w:lineRule="auto"/>
              <w:rPr>
                <w:rFonts w:ascii="Times New Roman" w:hAnsi="Times New Roman"/>
              </w:rPr>
            </w:pPr>
            <w:r w:rsidRPr="00DF63FA">
              <w:rPr>
                <w:rFonts w:ascii="Times New Roman" w:hAnsi="Times New Roman"/>
              </w:rPr>
              <w:t>ir mitybos</w:t>
            </w:r>
          </w:p>
          <w:p w:rsidR="005C23E9" w:rsidRPr="0052273C" w:rsidRDefault="005C23E9" w:rsidP="0052273C">
            <w:pPr>
              <w:pStyle w:val="Normal11pt"/>
              <w:keepNext w:val="0"/>
              <w:rPr>
                <w:bCs/>
                <w:szCs w:val="22"/>
                <w:lang w:val="lt-LT"/>
              </w:rPr>
            </w:pPr>
            <w:r w:rsidRPr="0052273C">
              <w:rPr>
                <w:szCs w:val="22"/>
                <w:lang w:val="lt-LT"/>
              </w:rPr>
              <w:t>sutrikimai</w:t>
            </w:r>
          </w:p>
        </w:tc>
        <w:tc>
          <w:tcPr>
            <w:tcW w:w="1560" w:type="dxa"/>
            <w:shd w:val="clear" w:color="auto" w:fill="auto"/>
          </w:tcPr>
          <w:p w:rsidR="005C23E9" w:rsidRPr="00DF63FA" w:rsidRDefault="005C23E9" w:rsidP="00DF63FA">
            <w:pPr>
              <w:spacing w:after="0" w:line="240" w:lineRule="auto"/>
              <w:rPr>
                <w:rFonts w:ascii="Times New Roman" w:hAnsi="Times New Roman"/>
              </w:rPr>
            </w:pPr>
          </w:p>
        </w:tc>
        <w:tc>
          <w:tcPr>
            <w:tcW w:w="1559" w:type="dxa"/>
            <w:shd w:val="clear" w:color="auto" w:fill="auto"/>
          </w:tcPr>
          <w:p w:rsidR="005C23E9" w:rsidRPr="0052273C" w:rsidRDefault="005C23E9" w:rsidP="0052273C">
            <w:pPr>
              <w:pStyle w:val="Normal11pt"/>
              <w:keepNext w:val="0"/>
              <w:rPr>
                <w:szCs w:val="22"/>
                <w:lang w:val="lt-LT"/>
              </w:rPr>
            </w:pPr>
            <w:r w:rsidRPr="0052273C">
              <w:rPr>
                <w:szCs w:val="22"/>
                <w:lang w:val="lt-LT"/>
              </w:rPr>
              <w:t>Dehidratacija</w:t>
            </w:r>
          </w:p>
        </w:tc>
        <w:tc>
          <w:tcPr>
            <w:tcW w:w="1559"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Nervų sistemos sutrikimai</w:t>
            </w:r>
          </w:p>
        </w:tc>
        <w:tc>
          <w:tcPr>
            <w:tcW w:w="1560" w:type="dxa"/>
            <w:shd w:val="clear" w:color="auto" w:fill="auto"/>
          </w:tcPr>
          <w:p w:rsidR="005C23E9" w:rsidRPr="008A3F11" w:rsidRDefault="005C23E9" w:rsidP="00BF3B8D">
            <w:pPr>
              <w:pStyle w:val="Normal11pt"/>
              <w:keepNext w:val="0"/>
              <w:rPr>
                <w:szCs w:val="22"/>
                <w:vertAlign w:val="superscript"/>
                <w:lang w:val="lt-LT"/>
              </w:rPr>
            </w:pP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Skonio pojūčio sutrikimas</w:t>
            </w:r>
          </w:p>
          <w:p w:rsidR="005C23E9" w:rsidRPr="008A3F11" w:rsidRDefault="005C23E9" w:rsidP="00BF3B8D">
            <w:pPr>
              <w:pStyle w:val="Normal11pt"/>
              <w:keepNext w:val="0"/>
              <w:rPr>
                <w:szCs w:val="22"/>
                <w:lang w:val="lt-LT"/>
              </w:rPr>
            </w:pPr>
            <w:r w:rsidRPr="008A3F11">
              <w:rPr>
                <w:szCs w:val="22"/>
                <w:lang w:val="lt-LT"/>
              </w:rPr>
              <w:t>Periferinė motorinė neuropatija</w:t>
            </w:r>
          </w:p>
          <w:p w:rsidR="005C23E9" w:rsidRPr="008A3F11" w:rsidRDefault="005C23E9" w:rsidP="00BF3B8D">
            <w:pPr>
              <w:pStyle w:val="Normal11pt"/>
              <w:keepNext w:val="0"/>
              <w:rPr>
                <w:szCs w:val="22"/>
                <w:lang w:val="lt-LT"/>
              </w:rPr>
            </w:pPr>
            <w:r w:rsidRPr="008A3F11">
              <w:rPr>
                <w:szCs w:val="22"/>
                <w:lang w:val="lt-LT"/>
              </w:rPr>
              <w:t>Periferinė sensorinė neuropatija</w:t>
            </w:r>
          </w:p>
          <w:p w:rsidR="005C23E9" w:rsidRPr="008A3F11" w:rsidRDefault="005C23E9" w:rsidP="00BF3B8D">
            <w:pPr>
              <w:pStyle w:val="Normal11pt"/>
              <w:keepNext w:val="0"/>
              <w:rPr>
                <w:szCs w:val="22"/>
                <w:lang w:val="lt-LT"/>
              </w:rPr>
            </w:pPr>
            <w:r w:rsidRPr="008A3F11">
              <w:rPr>
                <w:szCs w:val="22"/>
                <w:lang w:val="lt-LT"/>
              </w:rPr>
              <w:t>Galvos svaigimas</w:t>
            </w:r>
          </w:p>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vertAlign w:val="superscript"/>
                <w:lang w:val="lt-LT"/>
              </w:rPr>
            </w:pPr>
            <w:r w:rsidRPr="008A3F11">
              <w:rPr>
                <w:szCs w:val="22"/>
                <w:lang w:val="lt-LT"/>
              </w:rPr>
              <w:t>Smegenų kraujotakos sutrikimas</w:t>
            </w:r>
          </w:p>
          <w:p w:rsidR="005C23E9" w:rsidRPr="008A3F11" w:rsidRDefault="005C23E9" w:rsidP="00BF3B8D">
            <w:pPr>
              <w:pStyle w:val="Normal11pt"/>
              <w:keepNext w:val="0"/>
              <w:rPr>
                <w:szCs w:val="22"/>
                <w:lang w:val="lt-LT"/>
              </w:rPr>
            </w:pPr>
            <w:r w:rsidRPr="008A3F11">
              <w:rPr>
                <w:szCs w:val="22"/>
                <w:lang w:val="lt-LT"/>
              </w:rPr>
              <w:t>Išeminis insultas</w:t>
            </w:r>
          </w:p>
          <w:p w:rsidR="005C23E9" w:rsidRPr="008A3F11" w:rsidRDefault="005C23E9" w:rsidP="00BF3B8D">
            <w:pPr>
              <w:pStyle w:val="Normal11pt"/>
              <w:keepNext w:val="0"/>
              <w:rPr>
                <w:szCs w:val="22"/>
                <w:lang w:val="lt-LT"/>
              </w:rPr>
            </w:pPr>
            <w:r w:rsidRPr="008A3F11">
              <w:rPr>
                <w:szCs w:val="22"/>
                <w:lang w:val="lt-LT"/>
              </w:rPr>
              <w:t>Intrakranijinis kraujavimas</w:t>
            </w: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Akių sutrikimai</w:t>
            </w:r>
          </w:p>
        </w:tc>
        <w:tc>
          <w:tcPr>
            <w:tcW w:w="1560"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r w:rsidRPr="008A3F11">
              <w:t>Konjunktyvi-tas</w:t>
            </w:r>
          </w:p>
          <w:p w:rsidR="005C23E9" w:rsidRPr="008A3F11" w:rsidRDefault="005C23E9" w:rsidP="00BF3B8D">
            <w:r w:rsidRPr="008A3F11">
              <w:t>Akių sausmė</w:t>
            </w:r>
          </w:p>
          <w:p w:rsidR="005C23E9" w:rsidRPr="008A3F11" w:rsidRDefault="005C23E9" w:rsidP="00BF3B8D">
            <w:r w:rsidRPr="008A3F11">
              <w:t>Ašarojimo sustiprėjimas</w:t>
            </w:r>
          </w:p>
          <w:p w:rsidR="005C23E9" w:rsidRPr="008A3F11" w:rsidRDefault="005C23E9" w:rsidP="00BF3B8D">
            <w:r w:rsidRPr="008A3F11">
              <w:t>Sausasis keratokon-junktyvitas</w:t>
            </w:r>
          </w:p>
          <w:p w:rsidR="005C23E9" w:rsidRPr="008A3F11" w:rsidRDefault="005C23E9" w:rsidP="00BF3B8D">
            <w:r w:rsidRPr="008A3F11">
              <w:t>Akių vokų edema</w:t>
            </w:r>
          </w:p>
          <w:p w:rsidR="005C23E9" w:rsidRPr="008A3F11" w:rsidRDefault="005C23E9" w:rsidP="00BF3B8D">
            <w:r w:rsidRPr="008A3F11">
              <w:t>Akies paviršiaus liga</w:t>
            </w:r>
          </w:p>
        </w:tc>
        <w:tc>
          <w:tcPr>
            <w:tcW w:w="1559"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Širdies sutrikimai</w:t>
            </w:r>
          </w:p>
        </w:tc>
        <w:tc>
          <w:tcPr>
            <w:tcW w:w="1560"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Širdies nepakanka-mumas</w:t>
            </w:r>
          </w:p>
          <w:p w:rsidR="005C23E9" w:rsidRPr="008A3F11" w:rsidRDefault="005C23E9" w:rsidP="00BF3B8D">
            <w:pPr>
              <w:pStyle w:val="Normal11pt"/>
              <w:keepNext w:val="0"/>
              <w:rPr>
                <w:szCs w:val="22"/>
                <w:lang w:val="lt-LT"/>
              </w:rPr>
            </w:pPr>
            <w:r w:rsidRPr="008A3F11">
              <w:rPr>
                <w:szCs w:val="22"/>
                <w:lang w:val="lt-LT"/>
              </w:rPr>
              <w:t>Aritmija</w:t>
            </w: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Angina</w:t>
            </w:r>
          </w:p>
          <w:p w:rsidR="005C23E9" w:rsidRPr="008A3F11" w:rsidRDefault="005C23E9" w:rsidP="00BF3B8D">
            <w:pPr>
              <w:pStyle w:val="Normal11pt"/>
              <w:rPr>
                <w:szCs w:val="22"/>
                <w:lang w:val="lt-LT"/>
              </w:rPr>
            </w:pPr>
            <w:r w:rsidRPr="008A3F11">
              <w:rPr>
                <w:szCs w:val="22"/>
                <w:lang w:val="lt-LT"/>
              </w:rPr>
              <w:t>Miokardo infarktas</w:t>
            </w:r>
          </w:p>
          <w:p w:rsidR="005C23E9" w:rsidRPr="008A3F11" w:rsidRDefault="005C23E9" w:rsidP="00BF3B8D">
            <w:pPr>
              <w:pStyle w:val="Normal11pt"/>
              <w:keepNext w:val="0"/>
              <w:rPr>
                <w:lang w:val="lt-LT"/>
              </w:rPr>
            </w:pPr>
            <w:r w:rsidRPr="008A3F11">
              <w:rPr>
                <w:lang w:val="lt-LT"/>
              </w:rPr>
              <w:t>Vainikinių arterijų liga</w:t>
            </w:r>
          </w:p>
          <w:p w:rsidR="005C23E9" w:rsidRPr="008A3F11" w:rsidRDefault="005C23E9" w:rsidP="00BF3B8D">
            <w:pPr>
              <w:pStyle w:val="Normal11pt"/>
              <w:keepNext w:val="0"/>
              <w:rPr>
                <w:lang w:val="lt-LT"/>
              </w:rPr>
            </w:pPr>
            <w:r w:rsidRPr="008A3F11">
              <w:rPr>
                <w:lang w:val="lt-LT"/>
              </w:rPr>
              <w:t>Supraventriku-linė aritmija</w:t>
            </w:r>
          </w:p>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r w:rsidRPr="008A3F11">
              <w:rPr>
                <w:szCs w:val="22"/>
                <w:lang w:val="lt-LT"/>
              </w:rPr>
              <w:t>Kraujagyslių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bCs/>
                <w:szCs w:val="22"/>
                <w:vertAlign w:val="superscript"/>
                <w:lang w:val="lt-LT"/>
              </w:rPr>
            </w:pPr>
            <w:r w:rsidRPr="008A3F11">
              <w:rPr>
                <w:bCs/>
                <w:szCs w:val="22"/>
                <w:lang w:val="lt-LT"/>
              </w:rPr>
              <w:t xml:space="preserve">Periferinė išemija </w:t>
            </w:r>
            <w:r w:rsidRPr="008A3F11">
              <w:rPr>
                <w:bCs/>
                <w:szCs w:val="22"/>
                <w:vertAlign w:val="superscript"/>
                <w:lang w:val="lt-LT"/>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rsidR="005C23E9" w:rsidRPr="008A3F11" w:rsidRDefault="005C23E9" w:rsidP="00BF3B8D">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Kvėpavimo sistemos, krūtinės ląstos ir tarpuplaučio sutrikimai</w:t>
            </w:r>
          </w:p>
        </w:tc>
        <w:tc>
          <w:tcPr>
            <w:tcW w:w="1560" w:type="dxa"/>
            <w:shd w:val="clear" w:color="auto" w:fill="auto"/>
          </w:tcPr>
          <w:p w:rsidR="005C23E9" w:rsidRPr="008A3F11" w:rsidRDefault="005C23E9" w:rsidP="00BF3B8D"/>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Plaučių embolija Intersticinis pneumonitas</w:t>
            </w:r>
            <w:r w:rsidRPr="008A3F11">
              <w:rPr>
                <w:szCs w:val="22"/>
                <w:vertAlign w:val="superscript"/>
                <w:lang w:val="lt-LT"/>
              </w:rPr>
              <w:t>b,d</w:t>
            </w: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Virškinimo trakto sutrikimai</w:t>
            </w:r>
          </w:p>
        </w:tc>
        <w:tc>
          <w:tcPr>
            <w:tcW w:w="1560" w:type="dxa"/>
            <w:shd w:val="clear" w:color="auto" w:fill="auto"/>
          </w:tcPr>
          <w:p w:rsidR="005C23E9" w:rsidRPr="008A3F11" w:rsidRDefault="005C23E9" w:rsidP="00BF3B8D">
            <w:r w:rsidRPr="008A3F11">
              <w:t>Stomatitas</w:t>
            </w:r>
          </w:p>
          <w:p w:rsidR="005C23E9" w:rsidRPr="008A3F11" w:rsidRDefault="005C23E9" w:rsidP="00BF3B8D">
            <w:r w:rsidRPr="008A3F11">
              <w:lastRenderedPageBreak/>
              <w:t>Anoreksija</w:t>
            </w:r>
          </w:p>
          <w:p w:rsidR="005C23E9" w:rsidRPr="008A3F11" w:rsidRDefault="005C23E9" w:rsidP="00BF3B8D">
            <w:r w:rsidRPr="008A3F11">
              <w:t>Vėmimas</w:t>
            </w:r>
          </w:p>
          <w:p w:rsidR="005C23E9" w:rsidRPr="008A3F11" w:rsidRDefault="005C23E9" w:rsidP="00BF3B8D">
            <w:r w:rsidRPr="008A3F11">
              <w:t>Viduriavimas</w:t>
            </w:r>
          </w:p>
          <w:p w:rsidR="005C23E9" w:rsidRPr="008A3F11" w:rsidRDefault="005C23E9" w:rsidP="00BF3B8D">
            <w:r w:rsidRPr="008A3F11">
              <w:t>Pykinimas</w:t>
            </w:r>
          </w:p>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mdTblEntry"/>
              <w:keepNext w:val="0"/>
              <w:rPr>
                <w:sz w:val="22"/>
                <w:szCs w:val="22"/>
                <w:lang w:val="lt-LT"/>
              </w:rPr>
            </w:pPr>
            <w:r w:rsidRPr="008A3F11">
              <w:rPr>
                <w:sz w:val="22"/>
                <w:szCs w:val="22"/>
                <w:lang w:val="lt-LT"/>
              </w:rPr>
              <w:lastRenderedPageBreak/>
              <w:t>Dispepsija</w:t>
            </w:r>
          </w:p>
          <w:p w:rsidR="005C23E9" w:rsidRPr="008A3F11" w:rsidRDefault="005C23E9" w:rsidP="00BF3B8D">
            <w:pPr>
              <w:pStyle w:val="Normal11pt"/>
              <w:keepNext w:val="0"/>
              <w:rPr>
                <w:szCs w:val="22"/>
                <w:lang w:val="lt-LT"/>
              </w:rPr>
            </w:pPr>
            <w:r w:rsidRPr="008A3F11">
              <w:rPr>
                <w:szCs w:val="22"/>
                <w:lang w:val="lt-LT"/>
              </w:rPr>
              <w:t>Vidurių užkietėjimas</w:t>
            </w:r>
          </w:p>
          <w:p w:rsidR="005C23E9" w:rsidRPr="008A3F11" w:rsidRDefault="005C23E9" w:rsidP="00BF3B8D">
            <w:pPr>
              <w:pStyle w:val="Normal11pt"/>
              <w:keepNext w:val="0"/>
              <w:rPr>
                <w:szCs w:val="22"/>
                <w:lang w:val="lt-LT"/>
              </w:rPr>
            </w:pPr>
            <w:r w:rsidRPr="008A3F11">
              <w:rPr>
                <w:szCs w:val="22"/>
                <w:lang w:val="lt-LT"/>
              </w:rPr>
              <w:lastRenderedPageBreak/>
              <w:t>Pilvo skausmas</w:t>
            </w: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lastRenderedPageBreak/>
              <w:t>Kraujavimas iš tiesiosios žarnos</w:t>
            </w:r>
          </w:p>
          <w:p w:rsidR="005C23E9" w:rsidRPr="008A3F11" w:rsidRDefault="005C23E9" w:rsidP="00BF3B8D">
            <w:pPr>
              <w:pStyle w:val="Normal11pt"/>
              <w:keepNext w:val="0"/>
              <w:rPr>
                <w:szCs w:val="22"/>
                <w:lang w:val="lt-LT"/>
              </w:rPr>
            </w:pPr>
            <w:r w:rsidRPr="008A3F11">
              <w:rPr>
                <w:szCs w:val="22"/>
                <w:lang w:val="lt-LT"/>
              </w:rPr>
              <w:lastRenderedPageBreak/>
              <w:t>Kraujavimas iš virškinimo trakto</w:t>
            </w:r>
          </w:p>
          <w:p w:rsidR="005C23E9" w:rsidRPr="008A3F11" w:rsidRDefault="005C23E9" w:rsidP="00BF3B8D">
            <w:pPr>
              <w:pStyle w:val="Normal11pt"/>
              <w:keepNext w:val="0"/>
              <w:rPr>
                <w:szCs w:val="22"/>
                <w:lang w:val="lt-LT"/>
              </w:rPr>
            </w:pPr>
            <w:r w:rsidRPr="008A3F11">
              <w:rPr>
                <w:szCs w:val="22"/>
                <w:lang w:val="lt-LT"/>
              </w:rPr>
              <w:t>Žarnyno perforacija</w:t>
            </w:r>
          </w:p>
          <w:p w:rsidR="005C23E9" w:rsidRPr="008A3F11" w:rsidRDefault="005C23E9" w:rsidP="00BF3B8D">
            <w:pPr>
              <w:pStyle w:val="Normal11pt"/>
              <w:keepNext w:val="0"/>
              <w:rPr>
                <w:bCs/>
                <w:szCs w:val="22"/>
                <w:lang w:val="lt-LT"/>
              </w:rPr>
            </w:pPr>
            <w:r w:rsidRPr="008A3F11">
              <w:rPr>
                <w:bCs/>
                <w:szCs w:val="22"/>
                <w:lang w:val="lt-LT"/>
              </w:rPr>
              <w:t>Ezofagitas</w:t>
            </w:r>
          </w:p>
          <w:p w:rsidR="005C23E9" w:rsidRPr="008A3F11" w:rsidRDefault="005C23E9" w:rsidP="00BF3B8D">
            <w:pPr>
              <w:pStyle w:val="Normal11pt"/>
              <w:keepNext w:val="0"/>
              <w:rPr>
                <w:szCs w:val="22"/>
                <w:lang w:val="lt-LT"/>
              </w:rPr>
            </w:pPr>
            <w:r w:rsidRPr="008A3F11">
              <w:rPr>
                <w:bCs/>
                <w:szCs w:val="22"/>
                <w:lang w:val="lt-LT"/>
              </w:rPr>
              <w:t>Kolitas</w:t>
            </w:r>
            <w:r w:rsidRPr="008A3F11">
              <w:rPr>
                <w:szCs w:val="22"/>
                <w:vertAlign w:val="superscript"/>
                <w:lang w:val="lt-LT"/>
              </w:rPr>
              <w:t xml:space="preserve"> e</w:t>
            </w: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szCs w:val="22"/>
                <w:lang w:val="lt-LT"/>
              </w:rPr>
            </w:pPr>
            <w:r w:rsidRPr="008A3F11">
              <w:rPr>
                <w:szCs w:val="22"/>
                <w:lang w:val="lt-LT"/>
              </w:rPr>
              <w:t>Kepenų, tulžies pūslės ir latakų sutrikimai</w:t>
            </w:r>
          </w:p>
        </w:tc>
        <w:tc>
          <w:tcPr>
            <w:tcW w:w="1560" w:type="dxa"/>
            <w:shd w:val="clear" w:color="auto" w:fill="auto"/>
          </w:tcPr>
          <w:p w:rsidR="005C23E9" w:rsidRPr="008A3F11" w:rsidRDefault="005C23E9" w:rsidP="00BF3B8D">
            <w:pPr>
              <w:pStyle w:val="Normal11pt"/>
              <w:keepNext w:val="0"/>
              <w:rPr>
                <w:szCs w:val="22"/>
                <w:lang w:val="lt-LT"/>
              </w:rPr>
            </w:pPr>
            <w:r w:rsidRPr="008A3F11">
              <w:rPr>
                <w:szCs w:val="22"/>
                <w:lang w:val="lt-LT"/>
              </w:rPr>
              <w:t xml:space="preserve"> </w:t>
            </w:r>
          </w:p>
        </w:tc>
        <w:tc>
          <w:tcPr>
            <w:tcW w:w="1559" w:type="dxa"/>
            <w:shd w:val="clear" w:color="auto" w:fill="auto"/>
          </w:tcPr>
          <w:p w:rsidR="005C23E9" w:rsidRPr="00DF63FA" w:rsidRDefault="005C23E9" w:rsidP="00BF3B8D">
            <w:pPr>
              <w:rPr>
                <w:rFonts w:ascii="Times New Roman" w:hAnsi="Times New Roman"/>
              </w:rPr>
            </w:pPr>
            <w:r w:rsidRPr="00DF63FA">
              <w:rPr>
                <w:rFonts w:ascii="Times New Roman" w:hAnsi="Times New Roman"/>
              </w:rPr>
              <w:t xml:space="preserve">Alaninamino-transferazių </w:t>
            </w:r>
            <w:r w:rsidR="00481ED9" w:rsidRPr="00481ED9">
              <w:rPr>
                <w:rFonts w:ascii="Times New Roman" w:hAnsi="Times New Roman"/>
              </w:rPr>
              <w:t>aktyvumo padidėjimas</w:t>
            </w:r>
            <w:r w:rsidR="00481ED9" w:rsidRPr="00481ED9" w:rsidDel="00481ED9">
              <w:rPr>
                <w:rFonts w:ascii="Times New Roman" w:hAnsi="Times New Roman"/>
              </w:rPr>
              <w:t xml:space="preserve"> </w:t>
            </w:r>
            <w:r w:rsidRPr="00DF63FA">
              <w:rPr>
                <w:rFonts w:ascii="Times New Roman" w:hAnsi="Times New Roman"/>
              </w:rPr>
              <w:t xml:space="preserve">Aspartatami-notransferazių </w:t>
            </w:r>
            <w:r w:rsidR="00481ED9" w:rsidRPr="00481ED9">
              <w:rPr>
                <w:rFonts w:ascii="Times New Roman" w:hAnsi="Times New Roman"/>
              </w:rPr>
              <w:t>aktyvumo padidėjimas</w:t>
            </w:r>
          </w:p>
        </w:tc>
        <w:tc>
          <w:tcPr>
            <w:tcW w:w="1559"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Hepatitas</w:t>
            </w: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r w:rsidRPr="008A3F11">
              <w:rPr>
                <w:szCs w:val="22"/>
                <w:lang w:val="lt-LT"/>
              </w:rPr>
              <w:t>Odos ir poodinio audinio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C23E9" w:rsidRPr="00DF63FA" w:rsidRDefault="005C23E9" w:rsidP="00BF3B8D">
            <w:pPr>
              <w:rPr>
                <w:rFonts w:ascii="Times New Roman" w:hAnsi="Times New Roman"/>
              </w:rPr>
            </w:pPr>
            <w:r w:rsidRPr="00DF63FA">
              <w:rPr>
                <w:rFonts w:ascii="Times New Roman" w:hAnsi="Times New Roman"/>
              </w:rPr>
              <w:t>Bėrimas</w:t>
            </w:r>
          </w:p>
          <w:p w:rsidR="005C23E9" w:rsidRPr="00DF63FA" w:rsidRDefault="005C23E9" w:rsidP="00BF3B8D">
            <w:pPr>
              <w:rPr>
                <w:rFonts w:ascii="Times New Roman" w:hAnsi="Times New Roman"/>
              </w:rPr>
            </w:pPr>
            <w:r w:rsidRPr="00DF63FA">
              <w:rPr>
                <w:rFonts w:ascii="Times New Roman" w:hAnsi="Times New Roman"/>
              </w:rPr>
              <w:t>Odos pleiskanojimas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C41EF6" w:rsidRDefault="005C23E9" w:rsidP="00BF3B8D">
            <w:pPr>
              <w:pStyle w:val="Normal11pt"/>
              <w:keepNext w:val="0"/>
              <w:rPr>
                <w:szCs w:val="22"/>
                <w:lang w:val="lt-LT"/>
              </w:rPr>
            </w:pPr>
            <w:r w:rsidRPr="00C41EF6">
              <w:rPr>
                <w:szCs w:val="22"/>
                <w:lang w:val="lt-LT"/>
              </w:rPr>
              <w:t>Hiperpigmen-tacija</w:t>
            </w:r>
          </w:p>
          <w:p w:rsidR="005C23E9" w:rsidRPr="00DF63FA" w:rsidRDefault="005C23E9" w:rsidP="00BF3B8D">
            <w:pPr>
              <w:rPr>
                <w:rFonts w:ascii="Times New Roman" w:hAnsi="Times New Roman"/>
                <w:vertAlign w:val="superscript"/>
              </w:rPr>
            </w:pPr>
            <w:r w:rsidRPr="00DF63FA">
              <w:rPr>
                <w:rFonts w:ascii="Times New Roman" w:hAnsi="Times New Roman"/>
              </w:rPr>
              <w:t>Niežėjimas</w:t>
            </w:r>
          </w:p>
          <w:p w:rsidR="005C23E9" w:rsidRPr="009B7A3B" w:rsidRDefault="005C23E9" w:rsidP="00BF3B8D">
            <w:pPr>
              <w:pStyle w:val="Normal11pt"/>
              <w:keepNext w:val="0"/>
              <w:rPr>
                <w:szCs w:val="22"/>
                <w:lang w:val="lt-LT"/>
              </w:rPr>
            </w:pPr>
            <w:r w:rsidRPr="00C41EF6">
              <w:rPr>
                <w:szCs w:val="22"/>
                <w:lang w:val="lt-LT"/>
              </w:rPr>
              <w:t xml:space="preserve">Daugiaformė </w:t>
            </w:r>
            <w:r w:rsidRPr="00715164">
              <w:rPr>
                <w:szCs w:val="22"/>
                <w:lang w:val="lt-LT"/>
              </w:rPr>
              <w:t>e</w:t>
            </w:r>
            <w:r w:rsidRPr="009B7A3B">
              <w:rPr>
                <w:szCs w:val="22"/>
                <w:lang w:val="lt-LT"/>
              </w:rPr>
              <w:t>ritema</w:t>
            </w:r>
          </w:p>
          <w:p w:rsidR="005C23E9" w:rsidRPr="00DF63FA" w:rsidRDefault="005C23E9" w:rsidP="00BF3B8D">
            <w:pPr>
              <w:rPr>
                <w:rFonts w:ascii="Times New Roman" w:hAnsi="Times New Roman"/>
              </w:rPr>
            </w:pPr>
            <w:r w:rsidRPr="00DF63FA">
              <w:rPr>
                <w:rFonts w:ascii="Times New Roman" w:hAnsi="Times New Roman"/>
              </w:rPr>
              <w:t>Alopecija</w:t>
            </w:r>
          </w:p>
          <w:p w:rsidR="005C23E9" w:rsidRPr="00DF63FA" w:rsidRDefault="005C23E9" w:rsidP="00BF3B8D">
            <w:pPr>
              <w:rPr>
                <w:rFonts w:ascii="Times New Roman" w:hAnsi="Times New Roman"/>
              </w:rPr>
            </w:pPr>
            <w:r w:rsidRPr="00DF63FA">
              <w:rPr>
                <w:rFonts w:ascii="Times New Roman" w:hAnsi="Times New Roman"/>
              </w:rPr>
              <w:t>Dilgėlinė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C41EF6" w:rsidRDefault="005C23E9" w:rsidP="00BF3B8D">
            <w:pPr>
              <w:pStyle w:val="Normal11pt"/>
              <w:keepNext w:val="0"/>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715164" w:rsidRDefault="005C23E9" w:rsidP="00BF3B8D">
            <w:pPr>
              <w:pStyle w:val="Normal11pt"/>
              <w:keepNext w:val="0"/>
              <w:rPr>
                <w:szCs w:val="22"/>
                <w:lang w:val="lt-LT"/>
              </w:rPr>
            </w:pPr>
            <w:r w:rsidRPr="00715164">
              <w:rPr>
                <w:szCs w:val="22"/>
                <w:lang w:val="lt-LT"/>
              </w:rPr>
              <w:t>Eritema</w:t>
            </w:r>
          </w:p>
          <w:p w:rsidR="005C23E9" w:rsidRPr="009B7A3B" w:rsidRDefault="005C23E9" w:rsidP="00BF3B8D">
            <w:pPr>
              <w:pStyle w:val="Normal11pt"/>
              <w:keepNext w:val="0"/>
              <w:rPr>
                <w:szCs w:val="22"/>
                <w:lang w:val="lt-LT"/>
              </w:rPr>
            </w:pPr>
          </w:p>
          <w:p w:rsidR="005C23E9" w:rsidRPr="00660E1E" w:rsidRDefault="005C23E9" w:rsidP="00BF3B8D">
            <w:pPr>
              <w:pStyle w:val="Normal11pt"/>
              <w:keepNext w:val="0"/>
              <w:rPr>
                <w:szCs w:val="22"/>
                <w:lang w:val="lt-LT"/>
              </w:rPr>
            </w:pPr>
          </w:p>
          <w:p w:rsidR="005C23E9" w:rsidRPr="00424CAD"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p w:rsidR="005C23E9" w:rsidRPr="00DF63FA" w:rsidRDefault="005C23E9" w:rsidP="00BF3B8D">
            <w:pPr>
              <w:pStyle w:val="Normal11pt"/>
              <w:keepNext w:val="0"/>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rsidR="005C23E9" w:rsidRPr="00DF63FA" w:rsidRDefault="005C23E9" w:rsidP="00BF3B8D">
            <w:pPr>
              <w:rPr>
                <w:rFonts w:ascii="Times New Roman" w:hAnsi="Times New Roman"/>
              </w:rPr>
            </w:pPr>
            <w:r w:rsidRPr="00DF63FA">
              <w:rPr>
                <w:rFonts w:ascii="Times New Roman" w:hAnsi="Times New Roman"/>
              </w:rPr>
              <w:t>Pūslinė daugia-formė raudonė (</w:t>
            </w:r>
            <w:r w:rsidRPr="00DF63FA">
              <w:rPr>
                <w:rFonts w:ascii="Times New Roman" w:hAnsi="Times New Roman"/>
                <w:i/>
              </w:rPr>
              <w:t>Stevens-Johnson</w:t>
            </w:r>
            <w:r w:rsidRPr="00DF63FA">
              <w:rPr>
                <w:rFonts w:ascii="Times New Roman" w:hAnsi="Times New Roman"/>
              </w:rPr>
              <w:t xml:space="preserve"> sindromas)</w:t>
            </w:r>
            <w:r w:rsidRPr="00DF63FA">
              <w:rPr>
                <w:rFonts w:ascii="Times New Roman" w:hAnsi="Times New Roman"/>
                <w:vertAlign w:val="superscript"/>
              </w:rPr>
              <w:t>b</w:t>
            </w:r>
          </w:p>
          <w:p w:rsidR="005C23E9" w:rsidRPr="00DF63FA" w:rsidRDefault="005C23E9" w:rsidP="00BF3B8D">
            <w:pPr>
              <w:rPr>
                <w:rFonts w:ascii="Times New Roman" w:hAnsi="Times New Roman"/>
              </w:rPr>
            </w:pPr>
            <w:r w:rsidRPr="00DF63FA">
              <w:rPr>
                <w:rFonts w:ascii="Times New Roman" w:hAnsi="Times New Roman"/>
              </w:rPr>
              <w:t>Toksinė epidermio nekrolizė </w:t>
            </w:r>
            <w:r w:rsidRPr="00DF63FA">
              <w:rPr>
                <w:rFonts w:ascii="Times New Roman" w:hAnsi="Times New Roman"/>
                <w:vertAlign w:val="superscript"/>
              </w:rPr>
              <w:t>b</w:t>
            </w:r>
          </w:p>
          <w:p w:rsidR="005C23E9" w:rsidRPr="00DF63FA" w:rsidRDefault="005C23E9" w:rsidP="00BF3B8D">
            <w:pPr>
              <w:rPr>
                <w:rFonts w:ascii="Times New Roman" w:hAnsi="Times New Roman"/>
              </w:rPr>
            </w:pPr>
            <w:r w:rsidRPr="00DF63FA">
              <w:rPr>
                <w:rFonts w:ascii="Times New Roman" w:hAnsi="Times New Roman"/>
              </w:rPr>
              <w:t>Pemfigoi-das</w:t>
            </w:r>
          </w:p>
          <w:p w:rsidR="005C23E9" w:rsidRPr="00DF63FA" w:rsidRDefault="005C23E9" w:rsidP="00BF3B8D">
            <w:pPr>
              <w:rPr>
                <w:rFonts w:ascii="Times New Roman" w:hAnsi="Times New Roman"/>
              </w:rPr>
            </w:pPr>
            <w:r w:rsidRPr="00DF63FA">
              <w:rPr>
                <w:rFonts w:ascii="Times New Roman" w:hAnsi="Times New Roman"/>
              </w:rPr>
              <w:t>Pūslinis dermatitas</w:t>
            </w:r>
          </w:p>
          <w:p w:rsidR="005C23E9" w:rsidRPr="00C41EF6" w:rsidRDefault="005C23E9" w:rsidP="00BF3B8D">
            <w:pPr>
              <w:pStyle w:val="Normal11pt"/>
              <w:keepNext w:val="0"/>
              <w:rPr>
                <w:szCs w:val="22"/>
                <w:lang w:val="lt-LT"/>
              </w:rPr>
            </w:pPr>
            <w:r w:rsidRPr="00C41EF6">
              <w:rPr>
                <w:szCs w:val="22"/>
                <w:lang w:val="lt-LT"/>
              </w:rPr>
              <w:t>Įgyta pūslinė epidermo-lizė</w:t>
            </w:r>
          </w:p>
          <w:p w:rsidR="005C23E9" w:rsidRPr="009B7A3B" w:rsidRDefault="005C23E9" w:rsidP="00BF3B8D">
            <w:pPr>
              <w:pStyle w:val="Normal11pt"/>
              <w:keepNext w:val="0"/>
              <w:rPr>
                <w:szCs w:val="22"/>
                <w:lang w:val="lt-LT"/>
              </w:rPr>
            </w:pPr>
            <w:r w:rsidRPr="00715164">
              <w:rPr>
                <w:szCs w:val="22"/>
                <w:lang w:val="lt-LT"/>
              </w:rPr>
              <w:t xml:space="preserve">Eriteminė edema </w:t>
            </w:r>
            <w:r w:rsidRPr="009B7A3B">
              <w:rPr>
                <w:szCs w:val="22"/>
                <w:vertAlign w:val="superscript"/>
                <w:lang w:val="lt-LT"/>
              </w:rPr>
              <w:t xml:space="preserve">f </w:t>
            </w:r>
          </w:p>
          <w:p w:rsidR="005C23E9" w:rsidRPr="00DF63FA" w:rsidRDefault="005C23E9" w:rsidP="00BF3B8D">
            <w:pPr>
              <w:rPr>
                <w:rFonts w:ascii="Times New Roman" w:hAnsi="Times New Roman"/>
              </w:rPr>
            </w:pPr>
            <w:r w:rsidRPr="00DF63FA">
              <w:rPr>
                <w:rFonts w:ascii="Times New Roman" w:hAnsi="Times New Roman"/>
              </w:rPr>
              <w:t>Pseudoce-liulitas</w:t>
            </w:r>
          </w:p>
          <w:p w:rsidR="005C23E9" w:rsidRPr="00DF63FA" w:rsidRDefault="005C23E9" w:rsidP="00BF3B8D">
            <w:pPr>
              <w:rPr>
                <w:rFonts w:ascii="Times New Roman" w:hAnsi="Times New Roman"/>
              </w:rPr>
            </w:pPr>
            <w:r w:rsidRPr="00DF63FA">
              <w:rPr>
                <w:rFonts w:ascii="Times New Roman" w:hAnsi="Times New Roman"/>
              </w:rPr>
              <w:t>Dermatitas</w:t>
            </w:r>
          </w:p>
          <w:p w:rsidR="005C23E9" w:rsidRPr="00DF63FA" w:rsidRDefault="005C23E9" w:rsidP="00BF3B8D">
            <w:pPr>
              <w:rPr>
                <w:rFonts w:ascii="Times New Roman" w:hAnsi="Times New Roman"/>
              </w:rPr>
            </w:pPr>
            <w:r w:rsidRPr="00DF63FA">
              <w:rPr>
                <w:rFonts w:ascii="Times New Roman" w:hAnsi="Times New Roman"/>
              </w:rPr>
              <w:t>Egzema</w:t>
            </w:r>
          </w:p>
          <w:p w:rsidR="005C23E9" w:rsidRPr="00DF63FA" w:rsidRDefault="004F13ED" w:rsidP="00BF3B8D">
            <w:pPr>
              <w:rPr>
                <w:rFonts w:ascii="Times New Roman" w:hAnsi="Times New Roman"/>
              </w:rPr>
            </w:pPr>
            <w:r w:rsidRPr="00DF63FA">
              <w:rPr>
                <w:rFonts w:ascii="Times New Roman" w:hAnsi="Times New Roman"/>
              </w:rPr>
              <w:t>Niežėjimas</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p w:rsidR="005C23E9" w:rsidRPr="008A3F11" w:rsidRDefault="005C23E9" w:rsidP="00BF3B8D">
            <w:pPr>
              <w:pStyle w:val="Normal11pt"/>
              <w:keepNext w:val="0"/>
              <w:rPr>
                <w:szCs w:val="22"/>
                <w:lang w:val="lt-LT"/>
              </w:rPr>
            </w:pPr>
          </w:p>
          <w:p w:rsidR="005C23E9" w:rsidRPr="008A3F11" w:rsidRDefault="005C23E9" w:rsidP="00BF3B8D">
            <w:pPr>
              <w:pStyle w:val="Normal11pt"/>
              <w:keepNext w:val="0"/>
              <w:rPr>
                <w:szCs w:val="22"/>
                <w:vertAlign w:val="superscript"/>
                <w:lang w:val="lt-LT"/>
              </w:rPr>
            </w:pPr>
          </w:p>
        </w:tc>
      </w:tr>
      <w:tr w:rsidR="005C23E9" w:rsidRPr="008A3F11" w:rsidTr="00BF3B8D">
        <w:tc>
          <w:tcPr>
            <w:tcW w:w="1526"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bCs/>
                <w:szCs w:val="22"/>
                <w:lang w:val="lt-LT"/>
              </w:rPr>
            </w:pPr>
            <w:r w:rsidRPr="008A3F11">
              <w:rPr>
                <w:bCs/>
                <w:lang w:val="lt-LT"/>
              </w:rPr>
              <w:t>Inkstų ir šlapimo takų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rPr>
                <w:vertAlign w:val="superscript"/>
              </w:rPr>
            </w:pPr>
            <w:r w:rsidRPr="008A3F11">
              <w:t>Kreatinino klirenso sumažėjimas</w:t>
            </w:r>
          </w:p>
          <w:p w:rsidR="005C23E9" w:rsidRPr="008A3F11" w:rsidRDefault="005C23E9" w:rsidP="00BF3B8D">
            <w:pPr>
              <w:pStyle w:val="Normal11pt"/>
              <w:keepNext w:val="0"/>
              <w:rPr>
                <w:szCs w:val="22"/>
                <w:lang w:val="lt-LT"/>
              </w:rPr>
            </w:pPr>
            <w:r w:rsidRPr="008A3F11">
              <w:rPr>
                <w:szCs w:val="22"/>
                <w:lang w:val="lt-LT"/>
              </w:rPr>
              <w:t xml:space="preserve">Kreatinino koncentracijos padidėjimas </w:t>
            </w:r>
            <w:r w:rsidRPr="008A3F11">
              <w:rPr>
                <w:szCs w:val="22"/>
                <w:vertAlign w:val="superscript"/>
                <w:lang w:val="lt-LT"/>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r w:rsidRPr="008A3F11">
              <w:rPr>
                <w:szCs w:val="22"/>
                <w:lang w:val="lt-LT"/>
              </w:rPr>
              <w:t>Inkstų nepakanka</w:t>
            </w:r>
            <w:r>
              <w:rPr>
                <w:szCs w:val="22"/>
                <w:lang w:val="lt-LT"/>
              </w:rPr>
              <w:t>-</w:t>
            </w:r>
            <w:r w:rsidRPr="008A3F11">
              <w:rPr>
                <w:szCs w:val="22"/>
                <w:lang w:val="lt-LT"/>
              </w:rPr>
              <w:t>mumas</w:t>
            </w:r>
          </w:p>
          <w:p w:rsidR="005C23E9" w:rsidRPr="008A3F11" w:rsidRDefault="005C23E9" w:rsidP="00BF3B8D">
            <w:pPr>
              <w:pStyle w:val="Normal11pt"/>
              <w:keepNext w:val="0"/>
              <w:rPr>
                <w:szCs w:val="22"/>
                <w:lang w:val="lt-LT"/>
              </w:rPr>
            </w:pPr>
            <w:r w:rsidRPr="008A3F11">
              <w:rPr>
                <w:szCs w:val="22"/>
                <w:lang w:val="lt-LT"/>
              </w:rPr>
              <w:t>Glomerulų filtracijos greičio sumažėjimas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bCs/>
                <w:szCs w:val="22"/>
                <w:vertAlign w:val="superscript"/>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rsidR="005C23E9" w:rsidRPr="008A3F11" w:rsidRDefault="005C23E9" w:rsidP="00BF3B8D">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keepNext w:val="0"/>
              <w:rPr>
                <w:szCs w:val="22"/>
                <w:lang w:val="lt-LT"/>
              </w:rPr>
            </w:pPr>
            <w:bookmarkStart w:id="4" w:name="_Hlk29467431"/>
            <w:r w:rsidRPr="008A3F11">
              <w:rPr>
                <w:szCs w:val="22"/>
                <w:lang w:val="lt-LT"/>
              </w:rPr>
              <w:t>Nefroge-ninis necukrinis diabetas</w:t>
            </w:r>
          </w:p>
          <w:p w:rsidR="005C23E9" w:rsidRPr="008A3F11" w:rsidRDefault="005C23E9" w:rsidP="00BF3B8D">
            <w:pPr>
              <w:pStyle w:val="Normal11pt"/>
              <w:keepNext w:val="0"/>
              <w:rPr>
                <w:szCs w:val="22"/>
                <w:lang w:val="lt-LT"/>
              </w:rPr>
            </w:pPr>
            <w:r w:rsidRPr="008A3F11">
              <w:rPr>
                <w:szCs w:val="22"/>
                <w:lang w:val="lt-LT"/>
              </w:rPr>
              <w:t xml:space="preserve">Inkstų </w:t>
            </w:r>
            <w:bookmarkEnd w:id="4"/>
            <w:r w:rsidRPr="008A3F11">
              <w:rPr>
                <w:szCs w:val="22"/>
                <w:lang w:val="lt-LT"/>
              </w:rPr>
              <w:t>kanalėlių nekrozė</w:t>
            </w:r>
          </w:p>
        </w:tc>
      </w:tr>
      <w:tr w:rsidR="005C23E9" w:rsidRPr="008A3F11" w:rsidTr="00BF3B8D">
        <w:tc>
          <w:tcPr>
            <w:tcW w:w="1526"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rPr>
                <w:bCs/>
                <w:szCs w:val="22"/>
                <w:lang w:val="lt-LT"/>
              </w:rPr>
            </w:pPr>
            <w:r w:rsidRPr="008A3F11">
              <w:rPr>
                <w:bCs/>
                <w:lang w:val="lt-LT"/>
              </w:rPr>
              <w:lastRenderedPageBreak/>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keepNext/>
            </w:pPr>
            <w:r w:rsidRPr="008A3F11">
              <w:t>Nuovargis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keepNext/>
            </w:pPr>
            <w:r w:rsidRPr="008A3F11">
              <w:t>Karščiavimas</w:t>
            </w:r>
          </w:p>
          <w:p w:rsidR="005C23E9" w:rsidRPr="008A3F11" w:rsidRDefault="005C23E9" w:rsidP="00BF3B8D">
            <w:pPr>
              <w:keepNext/>
            </w:pPr>
            <w:r w:rsidRPr="008A3F11">
              <w:t>Skausmas</w:t>
            </w:r>
          </w:p>
          <w:p w:rsidR="005C23E9" w:rsidRPr="008A3F11" w:rsidRDefault="005C23E9" w:rsidP="00BF3B8D">
            <w:pPr>
              <w:keepNext/>
            </w:pPr>
            <w:r w:rsidRPr="008A3F11">
              <w:t>Edema</w:t>
            </w:r>
          </w:p>
          <w:p w:rsidR="005C23E9" w:rsidRPr="008A3F11" w:rsidRDefault="005C23E9" w:rsidP="00BF3B8D">
            <w:pPr>
              <w:keepNext/>
            </w:pPr>
            <w:r w:rsidRPr="008A3F11">
              <w:t>Krūtinės skausmas</w:t>
            </w:r>
          </w:p>
          <w:p w:rsidR="005C23E9" w:rsidRPr="008A3F11" w:rsidRDefault="005C23E9" w:rsidP="00BF3B8D">
            <w:pPr>
              <w:keepNext/>
            </w:pPr>
            <w:r w:rsidRPr="008A3F11">
              <w:t>Gleivinių uždegimas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rsidR="005C23E9" w:rsidRPr="008A3F11" w:rsidRDefault="005C23E9" w:rsidP="00BF3B8D">
            <w:pPr>
              <w:pStyle w:val="Normal11pt"/>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5C23E9" w:rsidRPr="008A3F11" w:rsidRDefault="005C23E9" w:rsidP="00BF3B8D">
            <w:pPr>
              <w:pStyle w:val="Normal11pt"/>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bCs/>
                <w:szCs w:val="22"/>
                <w:lang w:val="lt-LT"/>
              </w:rPr>
            </w:pPr>
            <w:r w:rsidRPr="008A3F11">
              <w:rPr>
                <w:bCs/>
                <w:lang w:val="lt-LT"/>
              </w:rPr>
              <w:t>Tyrimai</w:t>
            </w:r>
          </w:p>
        </w:tc>
        <w:tc>
          <w:tcPr>
            <w:tcW w:w="1560"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Gama-glutamiltrans</w:t>
            </w:r>
            <w:r>
              <w:rPr>
                <w:szCs w:val="22"/>
                <w:lang w:val="lt-LT"/>
              </w:rPr>
              <w:t>-</w:t>
            </w:r>
            <w:r w:rsidRPr="008A3F11">
              <w:rPr>
                <w:szCs w:val="22"/>
                <w:lang w:val="lt-LT"/>
              </w:rPr>
              <w:t xml:space="preserve">ferazių </w:t>
            </w:r>
            <w:r w:rsidR="004F13ED" w:rsidRPr="004F13ED">
              <w:rPr>
                <w:szCs w:val="22"/>
                <w:lang w:val="lt-LT"/>
              </w:rPr>
              <w:t>aktyvumo padidėjimas</w:t>
            </w:r>
          </w:p>
        </w:tc>
        <w:tc>
          <w:tcPr>
            <w:tcW w:w="1559" w:type="dxa"/>
            <w:shd w:val="clear" w:color="auto" w:fill="auto"/>
          </w:tcPr>
          <w:p w:rsidR="005C23E9" w:rsidRPr="008A3F11" w:rsidRDefault="005C23E9" w:rsidP="00BF3B8D">
            <w:pPr>
              <w:pStyle w:val="Normal11pt"/>
              <w:keepNext w:val="0"/>
              <w:rPr>
                <w:bCs/>
                <w:szCs w:val="22"/>
                <w:lang w:val="lt-LT"/>
              </w:rPr>
            </w:pPr>
          </w:p>
        </w:tc>
        <w:tc>
          <w:tcPr>
            <w:tcW w:w="1559" w:type="dxa"/>
            <w:shd w:val="clear" w:color="auto" w:fill="auto"/>
          </w:tcPr>
          <w:p w:rsidR="005C23E9" w:rsidRPr="008A3F11" w:rsidRDefault="005C23E9" w:rsidP="00BF3B8D">
            <w:pPr>
              <w:pStyle w:val="Normal11pt"/>
              <w:keepNext w:val="0"/>
              <w:rPr>
                <w:szCs w:val="22"/>
                <w:lang w:val="lt-LT"/>
              </w:rPr>
            </w:pP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r w:rsidR="005C23E9" w:rsidRPr="008A3F11" w:rsidTr="00BF3B8D">
        <w:tc>
          <w:tcPr>
            <w:tcW w:w="1526" w:type="dxa"/>
            <w:shd w:val="clear" w:color="auto" w:fill="auto"/>
          </w:tcPr>
          <w:p w:rsidR="005C23E9" w:rsidRPr="008A3F11" w:rsidRDefault="005C23E9" w:rsidP="00BF3B8D">
            <w:pPr>
              <w:pStyle w:val="Normal11pt"/>
              <w:keepNext w:val="0"/>
              <w:rPr>
                <w:bCs/>
                <w:szCs w:val="22"/>
                <w:lang w:val="lt-LT"/>
              </w:rPr>
            </w:pPr>
            <w:r w:rsidRPr="008A3F11">
              <w:rPr>
                <w:bCs/>
                <w:lang w:val="lt-LT"/>
              </w:rPr>
              <w:t>Sužalojimai, apsinuodijimai ir procedūrų komplikacijos</w:t>
            </w:r>
          </w:p>
        </w:tc>
        <w:tc>
          <w:tcPr>
            <w:tcW w:w="1560"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szCs w:val="22"/>
                <w:lang w:val="lt-LT"/>
              </w:rPr>
            </w:pPr>
          </w:p>
        </w:tc>
        <w:tc>
          <w:tcPr>
            <w:tcW w:w="1559" w:type="dxa"/>
            <w:shd w:val="clear" w:color="auto" w:fill="auto"/>
          </w:tcPr>
          <w:p w:rsidR="005C23E9" w:rsidRPr="008A3F11" w:rsidRDefault="005C23E9" w:rsidP="00BF3B8D">
            <w:pPr>
              <w:pStyle w:val="Normal11pt"/>
              <w:keepNext w:val="0"/>
              <w:rPr>
                <w:bCs/>
                <w:szCs w:val="22"/>
                <w:lang w:val="lt-LT"/>
              </w:rPr>
            </w:pPr>
            <w:r w:rsidRPr="008A3F11">
              <w:rPr>
                <w:bCs/>
                <w:szCs w:val="22"/>
                <w:lang w:val="lt-LT"/>
              </w:rPr>
              <w:t>Radiacinis ezofagitas</w:t>
            </w:r>
          </w:p>
          <w:p w:rsidR="005C23E9" w:rsidRPr="008A3F11" w:rsidRDefault="005C23E9" w:rsidP="00BF3B8D">
            <w:pPr>
              <w:pStyle w:val="Normal11pt"/>
              <w:keepNext w:val="0"/>
              <w:rPr>
                <w:szCs w:val="22"/>
                <w:vertAlign w:val="superscript"/>
                <w:lang w:val="lt-LT"/>
              </w:rPr>
            </w:pPr>
            <w:r w:rsidRPr="008A3F11">
              <w:rPr>
                <w:bCs/>
                <w:szCs w:val="22"/>
                <w:lang w:val="lt-LT"/>
              </w:rPr>
              <w:t>Radiacinis pneumonitas</w:t>
            </w:r>
          </w:p>
        </w:tc>
        <w:tc>
          <w:tcPr>
            <w:tcW w:w="1559" w:type="dxa"/>
            <w:shd w:val="clear" w:color="auto" w:fill="auto"/>
          </w:tcPr>
          <w:p w:rsidR="005C23E9" w:rsidRPr="008A3F11" w:rsidRDefault="005C23E9" w:rsidP="00BF3B8D">
            <w:pPr>
              <w:pStyle w:val="Normal11pt"/>
              <w:keepNext w:val="0"/>
              <w:rPr>
                <w:szCs w:val="22"/>
                <w:lang w:val="lt-LT"/>
              </w:rPr>
            </w:pPr>
            <w:r w:rsidRPr="008A3F11">
              <w:rPr>
                <w:szCs w:val="22"/>
                <w:lang w:val="lt-LT"/>
              </w:rPr>
              <w:t>Pasikartojimo fenomenas</w:t>
            </w:r>
          </w:p>
        </w:tc>
        <w:tc>
          <w:tcPr>
            <w:tcW w:w="1276" w:type="dxa"/>
          </w:tcPr>
          <w:p w:rsidR="005C23E9" w:rsidRPr="008A3F11" w:rsidRDefault="005C23E9" w:rsidP="00BF3B8D">
            <w:pPr>
              <w:pStyle w:val="Normal11pt"/>
              <w:keepNext w:val="0"/>
              <w:rPr>
                <w:szCs w:val="22"/>
                <w:lang w:val="lt-LT"/>
              </w:rPr>
            </w:pPr>
          </w:p>
        </w:tc>
        <w:tc>
          <w:tcPr>
            <w:tcW w:w="1220" w:type="dxa"/>
            <w:shd w:val="clear" w:color="auto" w:fill="auto"/>
          </w:tcPr>
          <w:p w:rsidR="005C23E9" w:rsidRPr="008A3F11" w:rsidRDefault="005C23E9" w:rsidP="00BF3B8D">
            <w:pPr>
              <w:pStyle w:val="Normal11pt"/>
              <w:keepNext w:val="0"/>
              <w:rPr>
                <w:szCs w:val="22"/>
                <w:lang w:val="lt-LT"/>
              </w:rPr>
            </w:pPr>
          </w:p>
        </w:tc>
      </w:tr>
    </w:tbl>
    <w:bookmarkEnd w:id="3"/>
    <w:p w:rsidR="005C23E9" w:rsidRPr="008A3F11" w:rsidRDefault="005C23E9" w:rsidP="005C23E9">
      <w:pPr>
        <w:pStyle w:val="xnormal11pt"/>
        <w:rPr>
          <w:lang w:val="lt-LT"/>
        </w:rPr>
      </w:pPr>
      <w:r w:rsidRPr="008A3F11">
        <w:rPr>
          <w:vertAlign w:val="superscript"/>
          <w:lang w:val="lt-LT"/>
        </w:rPr>
        <w:t>a</w:t>
      </w:r>
      <w:r w:rsidRPr="008A3F11">
        <w:rPr>
          <w:lang w:val="lt-LT"/>
        </w:rPr>
        <w:t xml:space="preserve"> </w:t>
      </w:r>
      <w:r w:rsidR="009F1CBB">
        <w:rPr>
          <w:lang w:val="lt-LT"/>
        </w:rPr>
        <w:t>k</w:t>
      </w:r>
      <w:r w:rsidRPr="008A3F11">
        <w:rPr>
          <w:lang w:val="lt-LT"/>
        </w:rPr>
        <w:t>artu su neutropenij</w:t>
      </w:r>
      <w:r>
        <w:rPr>
          <w:lang w:val="lt-LT"/>
        </w:rPr>
        <w:t>a</w:t>
      </w:r>
      <w:r w:rsidRPr="008A3F11">
        <w:rPr>
          <w:lang w:val="lt-LT"/>
        </w:rPr>
        <w:t xml:space="preserve"> ir be </w:t>
      </w:r>
      <w:r>
        <w:rPr>
          <w:lang w:val="lt-LT"/>
        </w:rPr>
        <w:t>jos</w:t>
      </w:r>
    </w:p>
    <w:p w:rsidR="005C23E9" w:rsidRPr="008A3F11" w:rsidRDefault="005C23E9" w:rsidP="005C23E9">
      <w:pPr>
        <w:pStyle w:val="xnormal11pt"/>
        <w:rPr>
          <w:lang w:val="lt-LT"/>
        </w:rPr>
      </w:pPr>
      <w:r w:rsidRPr="008A3F11">
        <w:rPr>
          <w:vertAlign w:val="superscript"/>
          <w:lang w:val="lt-LT"/>
        </w:rPr>
        <w:t>b</w:t>
      </w:r>
      <w:r w:rsidRPr="008A3F11">
        <w:rPr>
          <w:color w:val="000000"/>
          <w:lang w:val="lt-LT"/>
        </w:rPr>
        <w:t xml:space="preserve"> </w:t>
      </w:r>
      <w:r w:rsidR="009F1CBB">
        <w:rPr>
          <w:color w:val="000000"/>
          <w:lang w:val="lt-LT"/>
        </w:rPr>
        <w:t>k</w:t>
      </w:r>
      <w:r w:rsidRPr="008A3F11">
        <w:rPr>
          <w:color w:val="000000"/>
          <w:lang w:val="lt-LT"/>
        </w:rPr>
        <w:t>ai kurie atvejai mi</w:t>
      </w:r>
      <w:r w:rsidR="009F1CBB">
        <w:rPr>
          <w:color w:val="000000"/>
          <w:lang w:val="lt-LT"/>
        </w:rPr>
        <w:t>rtini</w:t>
      </w:r>
    </w:p>
    <w:p w:rsidR="005C23E9" w:rsidRPr="008A3F11" w:rsidRDefault="005C23E9" w:rsidP="005C23E9">
      <w:pPr>
        <w:pStyle w:val="xnormal11pt"/>
        <w:rPr>
          <w:lang w:val="lt-LT"/>
        </w:rPr>
      </w:pPr>
      <w:r w:rsidRPr="008A3F11">
        <w:rPr>
          <w:vertAlign w:val="superscript"/>
          <w:lang w:val="lt-LT"/>
        </w:rPr>
        <w:t>c</w:t>
      </w:r>
      <w:r w:rsidRPr="008A3F11">
        <w:rPr>
          <w:lang w:val="lt-LT"/>
        </w:rPr>
        <w:t xml:space="preserve"> </w:t>
      </w:r>
      <w:r w:rsidR="009F1CBB">
        <w:rPr>
          <w:lang w:val="lt-LT"/>
        </w:rPr>
        <w:t>kartais sukėlusi galūnės nekrozę</w:t>
      </w:r>
    </w:p>
    <w:p w:rsidR="005C23E9" w:rsidRPr="008A3F11" w:rsidRDefault="005C23E9" w:rsidP="005C23E9">
      <w:pPr>
        <w:pStyle w:val="xnormal11pt"/>
        <w:rPr>
          <w:lang w:val="lt-LT"/>
        </w:rPr>
      </w:pPr>
      <w:r w:rsidRPr="008A3F11">
        <w:rPr>
          <w:vertAlign w:val="superscript"/>
          <w:lang w:val="lt-LT"/>
        </w:rPr>
        <w:t>d</w:t>
      </w:r>
      <w:r w:rsidRPr="008A3F11">
        <w:rPr>
          <w:lang w:val="lt-LT"/>
        </w:rPr>
        <w:t xml:space="preserve"> </w:t>
      </w:r>
      <w:r w:rsidR="009F1CBB">
        <w:rPr>
          <w:lang w:val="lt-LT"/>
        </w:rPr>
        <w:t>su kvėpavimo nepakankamumu</w:t>
      </w:r>
    </w:p>
    <w:p w:rsidR="005C23E9" w:rsidRPr="008A3F11" w:rsidRDefault="005C23E9" w:rsidP="005C23E9">
      <w:pPr>
        <w:pStyle w:val="xnormal11pt"/>
        <w:rPr>
          <w:lang w:val="lt-LT"/>
        </w:rPr>
      </w:pPr>
      <w:r w:rsidRPr="008A3F11">
        <w:rPr>
          <w:vertAlign w:val="superscript"/>
          <w:lang w:val="lt-LT"/>
        </w:rPr>
        <w:t xml:space="preserve">e </w:t>
      </w:r>
      <w:r w:rsidR="009F1CBB">
        <w:rPr>
          <w:lang w:val="lt-LT"/>
        </w:rPr>
        <w:t>s</w:t>
      </w:r>
      <w:r w:rsidRPr="008A3F11">
        <w:rPr>
          <w:lang w:val="lt-LT"/>
        </w:rPr>
        <w:t>tebėta ti</w:t>
      </w:r>
      <w:r w:rsidR="009F1CBB">
        <w:rPr>
          <w:lang w:val="lt-LT"/>
        </w:rPr>
        <w:t>k vartojant kartu su cisplatina</w:t>
      </w:r>
    </w:p>
    <w:p w:rsidR="005C23E9" w:rsidRPr="008A3F11" w:rsidRDefault="005C23E9" w:rsidP="005C23E9">
      <w:pPr>
        <w:pStyle w:val="xnormal11pt"/>
        <w:rPr>
          <w:lang w:val="lt-LT"/>
        </w:rPr>
      </w:pPr>
      <w:r w:rsidRPr="008A3F11">
        <w:rPr>
          <w:vertAlign w:val="superscript"/>
          <w:lang w:val="lt-LT"/>
        </w:rPr>
        <w:t>f</w:t>
      </w:r>
      <w:r w:rsidRPr="008A3F11">
        <w:rPr>
          <w:color w:val="000000"/>
          <w:lang w:val="lt-LT"/>
        </w:rPr>
        <w:t xml:space="preserve"> </w:t>
      </w:r>
      <w:r w:rsidR="009F1CBB">
        <w:rPr>
          <w:lang w:val="lt-LT"/>
        </w:rPr>
        <w:t>daugiausia apatinių galūnių</w:t>
      </w:r>
    </w:p>
    <w:bookmarkEnd w:id="0"/>
    <w:p w:rsidR="00267DDB" w:rsidRPr="00267DDB" w:rsidRDefault="00267DDB" w:rsidP="00267DDB">
      <w:pPr>
        <w:tabs>
          <w:tab w:val="left" w:pos="567"/>
        </w:tabs>
        <w:autoSpaceDE w:val="0"/>
        <w:autoSpaceDN w:val="0"/>
        <w:adjustRightInd w:val="0"/>
        <w:spacing w:after="0" w:line="260" w:lineRule="exact"/>
        <w:rPr>
          <w:rFonts w:ascii="Times New Roman" w:eastAsia="Times New Roman" w:hAnsi="Times New Roman"/>
          <w:snapToGrid w:val="0"/>
          <w:szCs w:val="20"/>
          <w:u w:val="single"/>
        </w:rPr>
      </w:pPr>
    </w:p>
    <w:p w:rsidR="00267DDB" w:rsidRPr="00267DDB" w:rsidRDefault="00267DDB" w:rsidP="00267DDB">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267DDB">
        <w:rPr>
          <w:rFonts w:ascii="Times New Roman" w:eastAsia="Times New Roman" w:hAnsi="Times New Roman"/>
          <w:noProof/>
          <w:snapToGrid w:val="0"/>
          <w:szCs w:val="24"/>
          <w:u w:val="single"/>
        </w:rPr>
        <w:t>Pranešimas apie įtariamas nepageidaujamas reakcijas</w:t>
      </w:r>
    </w:p>
    <w:p w:rsidR="00267DDB" w:rsidRPr="00267DDB" w:rsidRDefault="00267DDB" w:rsidP="00267DDB">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267DDB">
        <w:rPr>
          <w:rFonts w:ascii="Times New Roman" w:eastAsia="Times New Roman" w:hAnsi="Times New Roman"/>
          <w:snapToGrid w:val="0"/>
          <w:szCs w:val="24"/>
        </w:rPr>
        <w:t xml:space="preserve"> </w:t>
      </w:r>
      <w:r w:rsidRPr="00267DDB">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7" w:history="1">
        <w:r w:rsidRPr="00267DDB">
          <w:rPr>
            <w:rFonts w:ascii="Times New Roman" w:eastAsia="SimSun" w:hAnsi="Times New Roman"/>
            <w:noProof/>
            <w:snapToGrid w:val="0"/>
            <w:color w:val="0000FF"/>
            <w:szCs w:val="24"/>
            <w:u w:val="single"/>
          </w:rPr>
          <w:t>www.vvkt.lt</w:t>
        </w:r>
      </w:hyperlink>
      <w:r w:rsidRPr="00267DDB">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67DDB">
          <w:rPr>
            <w:rFonts w:ascii="Times New Roman" w:eastAsia="SimSun" w:hAnsi="Times New Roman"/>
            <w:noProof/>
            <w:snapToGrid w:val="0"/>
            <w:color w:val="0000FF"/>
            <w:szCs w:val="24"/>
            <w:u w:val="single"/>
          </w:rPr>
          <w:t>NepageidaujamaR@vvkt.lt</w:t>
        </w:r>
      </w:hyperlink>
      <w:r w:rsidRPr="00267DDB">
        <w:rPr>
          <w:rFonts w:ascii="Times New Roman" w:eastAsia="Times New Roman" w:hAnsi="Times New Roman"/>
          <w:noProof/>
          <w:snapToGrid w:val="0"/>
          <w:szCs w:val="24"/>
        </w:rPr>
        <w:t xml:space="preserve">), per interneto svetainę (adresu </w:t>
      </w:r>
      <w:hyperlink r:id="rId9" w:history="1">
        <w:r w:rsidRPr="00267DDB">
          <w:rPr>
            <w:rFonts w:ascii="Times New Roman" w:eastAsia="Times New Roman" w:hAnsi="Times New Roman"/>
            <w:noProof/>
            <w:snapToGrid w:val="0"/>
            <w:color w:val="0000FF"/>
            <w:szCs w:val="24"/>
            <w:u w:val="single"/>
          </w:rPr>
          <w:t>http://www.vvkt.lt</w:t>
        </w:r>
      </w:hyperlink>
      <w:r w:rsidRPr="00267DDB">
        <w:rPr>
          <w:rFonts w:ascii="Times New Roman" w:eastAsia="Times New Roman" w:hAnsi="Times New Roman"/>
          <w:noProof/>
          <w:snapToGrid w:val="0"/>
          <w:szCs w:val="24"/>
        </w:rPr>
        <w:t xml:space="preserve"> ).</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4.9</w:t>
      </w:r>
      <w:r w:rsidRPr="00267DDB">
        <w:rPr>
          <w:rFonts w:ascii="Times New Roman" w:eastAsia="Times New Roman" w:hAnsi="Times New Roman"/>
          <w:b/>
          <w:bCs/>
          <w:snapToGrid w:val="0"/>
          <w:szCs w:val="28"/>
          <w:lang w:eastAsia="x-none"/>
        </w:rPr>
        <w:tab/>
        <w:t>Perdozavimas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r w:rsidRPr="00267DDB">
        <w:rPr>
          <w:rFonts w:ascii="Times New Roman" w:eastAsia="Times New Roman" w:hAnsi="Times New Roman"/>
          <w:snapToGrid w:val="0"/>
          <w:szCs w:val="20"/>
        </w:rPr>
        <w:t>Pranešama apie šiuos perdozavimo simptomus: neutropeniją, anemiją, trombocitopeniją, mukozitą, sensorinę polineuropatiją ir išbėrimą. Tikėtina, kad perdozavus vaistinio preparato slopinama kaulų čiulpų funkcija, o tai lemia neutropeniją, trombocitopeniją ir anemiją. Be to, galima infekcija su karščiavimu ir be jo, viduriavimas ir (arba) mukozitas. Įtarus, kad vaistinio preparato perdozuota, pacientą reikia stebėti, t. y. nustatyti kraujo ląstelių kiekį, ir, jeigu reikia, taikyti palaikomąjį gydymą. Pemetreksedo perdozavimo atvejais reikia apsvarstyti gydymo kalcio folinatu arba folino rūgštimi galimybę.</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267DDB">
        <w:rPr>
          <w:rFonts w:ascii="Times New Roman" w:eastAsia="Times New Roman" w:hAnsi="Times New Roman"/>
          <w:b/>
          <w:bCs/>
          <w:snapToGrid w:val="0"/>
          <w:szCs w:val="26"/>
          <w:lang w:eastAsia="x-none"/>
        </w:rPr>
        <w:t>5.</w:t>
      </w:r>
      <w:r w:rsidRPr="00267DDB">
        <w:rPr>
          <w:rFonts w:ascii="Times New Roman" w:eastAsia="Times New Roman" w:hAnsi="Times New Roman"/>
          <w:b/>
          <w:bCs/>
          <w:snapToGrid w:val="0"/>
          <w:szCs w:val="26"/>
          <w:lang w:eastAsia="x-none"/>
        </w:rPr>
        <w:tab/>
        <w:t>FARMAKOLOGINĖS SAVYBĖS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5.1</w:t>
      </w:r>
      <w:r w:rsidRPr="00267DDB">
        <w:rPr>
          <w:rFonts w:ascii="Times New Roman" w:eastAsia="Times New Roman" w:hAnsi="Times New Roman"/>
          <w:b/>
          <w:snapToGrid w:val="0"/>
          <w:szCs w:val="24"/>
          <w:lang w:eastAsia="x-none"/>
        </w:rPr>
        <w:t xml:space="preserve"> </w:t>
      </w:r>
      <w:r w:rsidRPr="00267DDB">
        <w:rPr>
          <w:rFonts w:ascii="Times New Roman" w:eastAsia="Times New Roman" w:hAnsi="Times New Roman"/>
          <w:b/>
          <w:bCs/>
          <w:snapToGrid w:val="0"/>
          <w:szCs w:val="28"/>
          <w:lang w:eastAsia="x-none"/>
        </w:rPr>
        <w:tab/>
        <w:t>Farmakodinaminės savybės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Farmakoterapinė grupė – antimetabolitai, folio rūgšties analogai, ATC kodas – L01BA04.</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widowControl w:val="0"/>
        <w:autoSpaceDE w:val="0"/>
        <w:autoSpaceDN w:val="0"/>
        <w:adjustRightInd w:val="0"/>
        <w:spacing w:after="0" w:line="240" w:lineRule="auto"/>
        <w:rPr>
          <w:rFonts w:ascii="Times New Roman" w:hAnsi="Times New Roman"/>
          <w:color w:val="000000"/>
        </w:rPr>
      </w:pPr>
      <w:r w:rsidRPr="00267DDB">
        <w:rPr>
          <w:rFonts w:ascii="Times New Roman" w:hAnsi="Times New Roman"/>
          <w:color w:val="000000"/>
        </w:rPr>
        <w:t xml:space="preserve">Pemetrexed Teva (pemetreksedas) yra plataus poveikio antifolatinis preparatas nuo vėžio, kuris sutrikdo pagrindinę nuo folatų priklausomą medžiagų apykaitą, svarbią ląstelės dalijimuisi. </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rPr>
      </w:pPr>
    </w:p>
    <w:p w:rsidR="00267DDB" w:rsidRPr="00267DDB" w:rsidRDefault="00267DDB" w:rsidP="00267DDB">
      <w:pPr>
        <w:tabs>
          <w:tab w:val="left" w:pos="567"/>
        </w:tabs>
        <w:spacing w:after="0" w:line="260" w:lineRule="exact"/>
        <w:rPr>
          <w:rFonts w:ascii="Times New Roman" w:hAnsi="Times New Roman"/>
          <w:color w:val="000000"/>
          <w:lang w:val="en-GB"/>
        </w:rPr>
      </w:pPr>
      <w:r w:rsidRPr="00267DDB">
        <w:rPr>
          <w:rFonts w:ascii="Times New Roman" w:hAnsi="Times New Roman"/>
          <w:color w:val="000000"/>
        </w:rPr>
        <w:lastRenderedPageBreak/>
        <w:t xml:space="preserve">Tyrimais </w:t>
      </w:r>
      <w:r w:rsidRPr="00267DDB">
        <w:rPr>
          <w:rFonts w:ascii="Times New Roman" w:hAnsi="Times New Roman"/>
          <w:i/>
          <w:iCs/>
          <w:color w:val="000000"/>
        </w:rPr>
        <w:t xml:space="preserve">in vitro </w:t>
      </w:r>
      <w:r w:rsidRPr="00267DDB">
        <w:rPr>
          <w:rFonts w:ascii="Times New Roman" w:hAnsi="Times New Roman"/>
          <w:color w:val="000000"/>
        </w:rPr>
        <w:t xml:space="preserve">nustatyta, kad pemetreksedas – plataus poveikio antifolatas, slopinantis svarbiausius nuo folatų priklausomus fermentus: timidilato sintetazę (TS), dihidrofoliato reduktazę (DHFR) ir glicinamido ribonukleotido formiltransferazę (GARFT), kurie veikia timidino ir purino nukleotidų </w:t>
      </w:r>
      <w:r w:rsidRPr="00267DDB">
        <w:rPr>
          <w:rFonts w:ascii="Times New Roman" w:hAnsi="Times New Roman"/>
          <w:i/>
          <w:iCs/>
          <w:color w:val="000000"/>
        </w:rPr>
        <w:t xml:space="preserve">de novo </w:t>
      </w:r>
      <w:r w:rsidRPr="00267DDB">
        <w:rPr>
          <w:rFonts w:ascii="Times New Roman" w:hAnsi="Times New Roman"/>
          <w:color w:val="000000"/>
        </w:rPr>
        <w:t>biosintezę</w:t>
      </w:r>
      <w:r w:rsidRPr="00267DDB">
        <w:rPr>
          <w:rFonts w:ascii="Times New Roman" w:hAnsi="Times New Roman"/>
          <w:i/>
          <w:iCs/>
          <w:color w:val="000000"/>
        </w:rPr>
        <w:t xml:space="preserve">. </w:t>
      </w:r>
      <w:r w:rsidRPr="00267DDB">
        <w:rPr>
          <w:rFonts w:ascii="Times New Roman" w:hAnsi="Times New Roman"/>
          <w:color w:val="000000"/>
        </w:rPr>
        <w:t xml:space="preserve">Pemetreksedas patenka į ląstelę sumažėjus folatų pernašai ir membranos folatus prisijungiančių baltymų pernašos sistemos pagalba. Ląstelės viduje, veikiant fermentui folilpoligliutamato sintetazei, pemetreksedas greitai ir veiksmingai verčiamas poligliutamatu. </w:t>
      </w:r>
      <w:r w:rsidRPr="00267DDB">
        <w:rPr>
          <w:rFonts w:ascii="Times New Roman" w:hAnsi="Times New Roman"/>
          <w:color w:val="000000"/>
          <w:lang w:val="en-GB"/>
        </w:rPr>
        <w:t xml:space="preserve">Poligliutamatas lieka ląstelėje ir net smarkiau slopina TS ir GARFT. </w:t>
      </w:r>
    </w:p>
    <w:p w:rsidR="00267DDB" w:rsidRPr="00267DDB" w:rsidRDefault="00267DDB" w:rsidP="00267DDB">
      <w:pPr>
        <w:tabs>
          <w:tab w:val="left" w:pos="567"/>
        </w:tabs>
        <w:spacing w:after="0" w:line="260" w:lineRule="exact"/>
        <w:rPr>
          <w:rFonts w:ascii="Times New Roman" w:hAnsi="Times New Roman"/>
          <w:color w:val="000000"/>
          <w:lang w:val="en-GB"/>
        </w:rPr>
      </w:pPr>
      <w:r w:rsidRPr="00267DDB">
        <w:rPr>
          <w:rFonts w:ascii="Times New Roman" w:hAnsi="Times New Roman"/>
          <w:color w:val="000000"/>
          <w:lang w:val="en-GB"/>
        </w:rPr>
        <w:t xml:space="preserve">Poligliutamacija – </w:t>
      </w:r>
      <w:proofErr w:type="gramStart"/>
      <w:r w:rsidRPr="00267DDB">
        <w:rPr>
          <w:rFonts w:ascii="Times New Roman" w:hAnsi="Times New Roman"/>
          <w:color w:val="000000"/>
          <w:lang w:val="en-GB"/>
        </w:rPr>
        <w:t>tai</w:t>
      </w:r>
      <w:proofErr w:type="gramEnd"/>
      <w:r w:rsidRPr="00267DDB">
        <w:rPr>
          <w:rFonts w:ascii="Times New Roman" w:hAnsi="Times New Roman"/>
          <w:color w:val="000000"/>
          <w:lang w:val="en-GB"/>
        </w:rPr>
        <w:t xml:space="preserve"> nuo laiko ir koncentracijos priklausomas procesas, vykstantis naviko ląstelėse ir mažiau sveikuose audiniuose. Poligliutamacijos būdu susidariusių metabolitų pusinės eliminacijos laikas iš ląstelės yra ilgesnis, todėl vėžinėse ląstelėse </w:t>
      </w:r>
      <w:r w:rsidR="009F1CBB">
        <w:rPr>
          <w:rFonts w:ascii="Times New Roman" w:hAnsi="Times New Roman"/>
          <w:color w:val="000000"/>
          <w:lang w:val="en-GB"/>
        </w:rPr>
        <w:t>veiklioji medžiaga</w:t>
      </w:r>
      <w:r w:rsidR="009F1CBB" w:rsidRPr="00267DDB">
        <w:rPr>
          <w:rFonts w:ascii="Times New Roman" w:hAnsi="Times New Roman"/>
          <w:color w:val="000000"/>
          <w:lang w:val="en-GB"/>
        </w:rPr>
        <w:t xml:space="preserve"> </w:t>
      </w:r>
      <w:r w:rsidRPr="00267DDB">
        <w:rPr>
          <w:rFonts w:ascii="Times New Roman" w:hAnsi="Times New Roman"/>
          <w:color w:val="000000"/>
          <w:lang w:val="en-GB"/>
        </w:rPr>
        <w:t>veikia ilgiau.</w:t>
      </w:r>
    </w:p>
    <w:p w:rsidR="00267DDB" w:rsidRPr="00267DDB" w:rsidRDefault="00267DDB" w:rsidP="00267DDB">
      <w:pPr>
        <w:tabs>
          <w:tab w:val="left" w:pos="567"/>
        </w:tabs>
        <w:spacing w:after="0" w:line="260" w:lineRule="exact"/>
        <w:rPr>
          <w:rFonts w:ascii="Times New Roman" w:hAnsi="Times New Roman"/>
          <w:color w:val="000000"/>
          <w:lang w:val="en-GB"/>
        </w:rPr>
      </w:pPr>
    </w:p>
    <w:p w:rsidR="00267DDB" w:rsidRPr="00267DDB" w:rsidRDefault="00267DDB" w:rsidP="00267DDB">
      <w:pPr>
        <w:tabs>
          <w:tab w:val="left" w:pos="567"/>
        </w:tabs>
        <w:spacing w:after="0" w:line="260" w:lineRule="exact"/>
        <w:rPr>
          <w:rFonts w:ascii="Times New Roman" w:hAnsi="Times New Roman"/>
          <w:color w:val="000000"/>
          <w:lang w:val="en-GB"/>
        </w:rPr>
      </w:pPr>
      <w:r w:rsidRPr="00267DDB">
        <w:rPr>
          <w:rFonts w:ascii="Times New Roman" w:hAnsi="Times New Roman"/>
          <w:color w:val="000000"/>
          <w:lang w:val="en-GB"/>
        </w:rPr>
        <w:t xml:space="preserve">Europos vaistų agentūra nereikalauja įsipareigoti pateikti rezultatų tyrimų, atliktų su pemetreksedu, visuose pediatrinės populiacijos pogrupiuose nustatytomis sąlygomis pagal patvirtintas indikacijas (žr. 4.2 skyrių).  </w:t>
      </w:r>
    </w:p>
    <w:p w:rsidR="00267DDB" w:rsidRPr="00267DDB" w:rsidRDefault="00267DDB" w:rsidP="00267DDB">
      <w:pPr>
        <w:tabs>
          <w:tab w:val="left" w:pos="567"/>
        </w:tabs>
        <w:spacing w:after="0" w:line="260" w:lineRule="exact"/>
        <w:rPr>
          <w:rFonts w:ascii="Times New Roman" w:hAnsi="Times New Roman"/>
          <w:color w:val="000000"/>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u w:val="single"/>
          <w:lang w:val="en-GB"/>
        </w:rPr>
      </w:pPr>
      <w:r w:rsidRPr="00267DDB">
        <w:rPr>
          <w:rFonts w:ascii="Times New Roman" w:eastAsia="Times New Roman" w:hAnsi="Times New Roman"/>
          <w:snapToGrid w:val="0"/>
          <w:szCs w:val="24"/>
          <w:u w:val="single"/>
          <w:lang w:val="en-GB"/>
        </w:rPr>
        <w:t>Klinikinis veiksmingumas</w:t>
      </w:r>
    </w:p>
    <w:p w:rsidR="00267DDB" w:rsidRPr="00267DDB" w:rsidRDefault="00267DDB" w:rsidP="00267DDB">
      <w:pPr>
        <w:tabs>
          <w:tab w:val="left" w:pos="567"/>
        </w:tabs>
        <w:spacing w:after="0" w:line="260" w:lineRule="exact"/>
        <w:rPr>
          <w:rFonts w:ascii="Times New Roman" w:eastAsia="Times New Roman" w:hAnsi="Times New Roman"/>
          <w:snapToGrid w:val="0"/>
          <w:szCs w:val="24"/>
          <w:u w:val="single"/>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u w:val="single"/>
          <w:lang w:val="en-GB"/>
        </w:rPr>
      </w:pPr>
      <w:r w:rsidRPr="00267DDB">
        <w:rPr>
          <w:rFonts w:ascii="Times New Roman" w:eastAsia="Times New Roman" w:hAnsi="Times New Roman"/>
          <w:snapToGrid w:val="0"/>
          <w:szCs w:val="24"/>
          <w:u w:val="single"/>
          <w:lang w:val="en-GB"/>
        </w:rPr>
        <w:t>Mezotelioma:</w:t>
      </w:r>
    </w:p>
    <w:p w:rsidR="00267DDB" w:rsidRPr="00267DDB" w:rsidRDefault="00267DDB" w:rsidP="00267DDB">
      <w:pPr>
        <w:tabs>
          <w:tab w:val="left" w:pos="567"/>
        </w:tabs>
        <w:spacing w:after="0" w:line="260" w:lineRule="exact"/>
        <w:rPr>
          <w:rFonts w:ascii="Times New Roman" w:eastAsia="Times New Roman" w:hAnsi="Times New Roman"/>
          <w:snapToGrid w:val="0"/>
          <w:szCs w:val="24"/>
          <w:u w:val="single"/>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Daugiacentris atsitiktinių imčių viengubai aklu būdu atliktas 3 fazės tyrimas EMPHACIS rodo, kad pemetreksedu kartu su cisplatina gydomi piktybine pleuros mezotelioma sergantys pacientai, kuriems anksčiau chemoterapija netaikyta, išgyvena 2</w:t>
      </w:r>
      <w:proofErr w:type="gramStart"/>
      <w:r w:rsidRPr="00267DDB">
        <w:rPr>
          <w:rFonts w:ascii="Times New Roman" w:eastAsia="Times New Roman" w:hAnsi="Times New Roman"/>
          <w:snapToGrid w:val="0"/>
          <w:szCs w:val="24"/>
          <w:lang w:val="en-GB"/>
        </w:rPr>
        <w:t>,8</w:t>
      </w:r>
      <w:proofErr w:type="gramEnd"/>
      <w:r w:rsidRPr="00267DDB">
        <w:rPr>
          <w:rFonts w:ascii="Times New Roman" w:eastAsia="Times New Roman" w:hAnsi="Times New Roman"/>
          <w:snapToGrid w:val="0"/>
          <w:szCs w:val="24"/>
          <w:lang w:val="en-GB"/>
        </w:rPr>
        <w:t xml:space="preserve"> mėnesio ilgiau nei pacientai, gydomi vien cisplatina.</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Tyrimo metu, siekiant susilpninti toksinį poveikį, papildomai nedidelėmis dozėmis buvo skirta vartoti folio rūgšties ir vitamino B</w:t>
      </w:r>
      <w:r w:rsidRPr="00267DDB">
        <w:rPr>
          <w:rFonts w:ascii="Times New Roman" w:eastAsia="Times New Roman" w:hAnsi="Times New Roman"/>
          <w:snapToGrid w:val="0"/>
          <w:szCs w:val="24"/>
          <w:vertAlign w:val="subscript"/>
          <w:lang w:val="en-GB"/>
        </w:rPr>
        <w:t>12</w:t>
      </w:r>
      <w:r w:rsidRPr="00267DDB">
        <w:rPr>
          <w:rFonts w:ascii="Times New Roman" w:eastAsia="Times New Roman" w:hAnsi="Times New Roman"/>
          <w:snapToGrid w:val="0"/>
          <w:szCs w:val="24"/>
          <w:lang w:val="en-GB"/>
        </w:rPr>
        <w:t>. Pirminė šio tyrimo analizė apėmė visus atsitiktinių imčių būdu atrinktus pacientus gydyti tiriamuoju vaistiniu preparatu (atrinkti atsitiktinių imčių būdu ir gydyti). Pogrupio analizė apėmė pacientus, kurie papildomai gavo folio rūgšties ir vitamino B</w:t>
      </w:r>
      <w:r w:rsidRPr="00267DDB">
        <w:rPr>
          <w:rFonts w:ascii="Times New Roman" w:eastAsia="Times New Roman" w:hAnsi="Times New Roman"/>
          <w:snapToGrid w:val="0"/>
          <w:szCs w:val="24"/>
          <w:vertAlign w:val="subscript"/>
          <w:lang w:val="en-GB"/>
        </w:rPr>
        <w:t>12</w:t>
      </w:r>
      <w:r w:rsidRPr="00267DDB">
        <w:rPr>
          <w:rFonts w:ascii="Times New Roman" w:eastAsia="Times New Roman" w:hAnsi="Times New Roman"/>
          <w:snapToGrid w:val="0"/>
          <w:szCs w:val="24"/>
          <w:lang w:val="en-GB"/>
        </w:rPr>
        <w:t xml:space="preserve"> per visą tiriamojo preparato vartojimo laiką (ištisinis papildomas gydymas). Duomenys apie veiksmingumą pateikti žemiau esančioje lentelėje:</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5C23E9" w:rsidP="00DF63FA">
      <w:pPr>
        <w:tabs>
          <w:tab w:val="left" w:pos="567"/>
        </w:tabs>
        <w:spacing w:after="0" w:line="260" w:lineRule="exact"/>
        <w:rPr>
          <w:rFonts w:ascii="Times New Roman" w:eastAsia="Times New Roman" w:hAnsi="Times New Roman"/>
          <w:b/>
          <w:snapToGrid w:val="0"/>
          <w:szCs w:val="24"/>
          <w:lang w:val="en-GB"/>
        </w:rPr>
      </w:pPr>
      <w:proofErr w:type="gramStart"/>
      <w:r>
        <w:rPr>
          <w:rFonts w:ascii="Times New Roman" w:eastAsia="Times New Roman" w:hAnsi="Times New Roman"/>
          <w:b/>
          <w:snapToGrid w:val="0"/>
          <w:szCs w:val="24"/>
          <w:lang w:val="en-GB"/>
        </w:rPr>
        <w:t>5</w:t>
      </w:r>
      <w:proofErr w:type="gramEnd"/>
      <w:r>
        <w:rPr>
          <w:rFonts w:ascii="Times New Roman" w:eastAsia="Times New Roman" w:hAnsi="Times New Roman"/>
          <w:b/>
          <w:snapToGrid w:val="0"/>
          <w:szCs w:val="24"/>
          <w:lang w:val="en-GB"/>
        </w:rPr>
        <w:t xml:space="preserve"> lentelė </w:t>
      </w:r>
      <w:r w:rsidR="00267DDB" w:rsidRPr="00267DDB">
        <w:rPr>
          <w:rFonts w:ascii="Times New Roman" w:eastAsia="Times New Roman" w:hAnsi="Times New Roman"/>
          <w:b/>
          <w:snapToGrid w:val="0"/>
          <w:szCs w:val="24"/>
          <w:lang w:val="en-GB"/>
        </w:rPr>
        <w:t xml:space="preserve">Pemetreksedo bei cisplatinos derinio </w:t>
      </w:r>
      <w:r>
        <w:rPr>
          <w:rFonts w:ascii="Times New Roman" w:eastAsia="Times New Roman" w:hAnsi="Times New Roman"/>
          <w:b/>
          <w:snapToGrid w:val="0"/>
          <w:szCs w:val="24"/>
          <w:lang w:val="en-GB"/>
        </w:rPr>
        <w:t>palyginus su</w:t>
      </w:r>
      <w:r w:rsidR="00267DDB" w:rsidRPr="00267DDB">
        <w:rPr>
          <w:rFonts w:ascii="Times New Roman" w:eastAsia="Times New Roman" w:hAnsi="Times New Roman"/>
          <w:b/>
          <w:snapToGrid w:val="0"/>
          <w:szCs w:val="24"/>
          <w:lang w:val="en-GB"/>
        </w:rPr>
        <w:t xml:space="preserve"> cisplatin</w:t>
      </w:r>
      <w:r>
        <w:rPr>
          <w:rFonts w:ascii="Times New Roman" w:eastAsia="Times New Roman" w:hAnsi="Times New Roman"/>
          <w:b/>
          <w:snapToGrid w:val="0"/>
          <w:szCs w:val="24"/>
          <w:lang w:val="en-GB"/>
        </w:rPr>
        <w:t>a</w:t>
      </w:r>
      <w:r w:rsidR="00267DDB" w:rsidRPr="00267DDB">
        <w:rPr>
          <w:rFonts w:ascii="Times New Roman" w:eastAsia="Times New Roman" w:hAnsi="Times New Roman"/>
          <w:b/>
          <w:snapToGrid w:val="0"/>
          <w:szCs w:val="24"/>
          <w:lang w:val="en-GB"/>
        </w:rPr>
        <w:t xml:space="preserve"> veiksmingumas</w:t>
      </w:r>
    </w:p>
    <w:p w:rsidR="00267DDB" w:rsidRPr="00267DDB" w:rsidRDefault="00267DDB" w:rsidP="00DF63FA">
      <w:pPr>
        <w:tabs>
          <w:tab w:val="left" w:pos="567"/>
        </w:tabs>
        <w:spacing w:after="0" w:line="260" w:lineRule="exact"/>
        <w:rPr>
          <w:rFonts w:ascii="Times New Roman" w:eastAsia="Times New Roman" w:hAnsi="Times New Roman"/>
          <w:b/>
          <w:snapToGrid w:val="0"/>
          <w:szCs w:val="24"/>
          <w:lang w:val="en-GB"/>
        </w:rPr>
      </w:pPr>
      <w:proofErr w:type="gramStart"/>
      <w:r w:rsidRPr="00267DDB">
        <w:rPr>
          <w:rFonts w:ascii="Times New Roman" w:eastAsia="Times New Roman" w:hAnsi="Times New Roman"/>
          <w:b/>
          <w:snapToGrid w:val="0"/>
          <w:szCs w:val="24"/>
          <w:lang w:val="en-GB"/>
        </w:rPr>
        <w:t>gydant</w:t>
      </w:r>
      <w:proofErr w:type="gramEnd"/>
      <w:r w:rsidRPr="00267DDB">
        <w:rPr>
          <w:rFonts w:ascii="Times New Roman" w:eastAsia="Times New Roman" w:hAnsi="Times New Roman"/>
          <w:b/>
          <w:snapToGrid w:val="0"/>
          <w:szCs w:val="24"/>
          <w:lang w:val="en-GB"/>
        </w:rPr>
        <w:t xml:space="preserve"> piktybinę pleuros mezoteliomą</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679"/>
        <w:gridCol w:w="1617"/>
        <w:gridCol w:w="1665"/>
        <w:gridCol w:w="1526"/>
      </w:tblGrid>
      <w:tr w:rsidR="00267DDB" w:rsidRPr="00E209CA" w:rsidTr="00755E27">
        <w:tc>
          <w:tcPr>
            <w:tcW w:w="3369"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p>
        </w:tc>
        <w:tc>
          <w:tcPr>
            <w:tcW w:w="3296" w:type="dxa"/>
            <w:gridSpan w:val="2"/>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color w:val="000000"/>
                <w:lang w:val="en-GB"/>
              </w:rPr>
            </w:pPr>
            <w:r w:rsidRPr="00267DDB">
              <w:rPr>
                <w:rFonts w:ascii="Times New Roman" w:hAnsi="Times New Roman"/>
                <w:b/>
                <w:bCs/>
                <w:color w:val="000000"/>
                <w:lang w:val="en-GB"/>
              </w:rPr>
              <w:t xml:space="preserve">Atsitiktinių imčių būdu atrinkti ir gydyti pacientai </w:t>
            </w:r>
          </w:p>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p>
        </w:tc>
        <w:tc>
          <w:tcPr>
            <w:tcW w:w="3191" w:type="dxa"/>
            <w:gridSpan w:val="2"/>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color w:val="000000"/>
                <w:lang w:val="en-GB"/>
              </w:rPr>
            </w:pPr>
            <w:r w:rsidRPr="00267DDB">
              <w:rPr>
                <w:rFonts w:ascii="Times New Roman" w:hAnsi="Times New Roman"/>
                <w:b/>
                <w:bCs/>
                <w:color w:val="000000"/>
                <w:lang w:val="en-GB"/>
              </w:rPr>
              <w:t xml:space="preserve">Ištisai papildomai gydyti pacientai </w:t>
            </w:r>
          </w:p>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p>
        </w:tc>
      </w:tr>
      <w:tr w:rsidR="00267DDB" w:rsidRPr="00E209CA" w:rsidTr="00755E27">
        <w:tc>
          <w:tcPr>
            <w:tcW w:w="3369"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color w:val="000000"/>
                <w:lang w:val="en-GB"/>
              </w:rPr>
            </w:pPr>
            <w:r w:rsidRPr="00267DDB">
              <w:rPr>
                <w:rFonts w:ascii="Times New Roman" w:hAnsi="Times New Roman"/>
                <w:b/>
                <w:bCs/>
                <w:color w:val="000000"/>
                <w:lang w:val="en-GB"/>
              </w:rPr>
              <w:t>Veiksmingumo parametrai</w:t>
            </w:r>
          </w:p>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p>
        </w:tc>
        <w:tc>
          <w:tcPr>
            <w:tcW w:w="1679"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color w:val="000000"/>
                <w:lang w:val="en-GB"/>
              </w:rPr>
            </w:pPr>
            <w:r w:rsidRPr="00267DDB">
              <w:rPr>
                <w:rFonts w:ascii="Times New Roman" w:hAnsi="Times New Roman"/>
                <w:b/>
                <w:bCs/>
                <w:color w:val="000000"/>
                <w:sz w:val="23"/>
                <w:szCs w:val="23"/>
                <w:lang w:val="en-GB"/>
              </w:rPr>
              <w:t>P</w:t>
            </w:r>
            <w:r w:rsidRPr="00267DDB">
              <w:rPr>
                <w:rFonts w:ascii="Times New Roman" w:hAnsi="Times New Roman"/>
                <w:b/>
                <w:bCs/>
                <w:color w:val="000000"/>
                <w:lang w:val="en-GB"/>
              </w:rPr>
              <w:t xml:space="preserve">emetreksedas ir cisplatina </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
                <w:bCs/>
                <w:color w:val="000000"/>
                <w:lang w:val="en-GB"/>
              </w:rPr>
            </w:pPr>
            <w:r w:rsidRPr="00267DDB">
              <w:rPr>
                <w:rFonts w:ascii="Times New Roman" w:hAnsi="Times New Roman"/>
                <w:b/>
                <w:bCs/>
                <w:color w:val="000000"/>
                <w:lang w:val="en-GB"/>
              </w:rPr>
              <w:t>(N=226)</w:t>
            </w:r>
          </w:p>
        </w:tc>
        <w:tc>
          <w:tcPr>
            <w:tcW w:w="1617"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
                <w:bCs/>
                <w:color w:val="000000"/>
                <w:lang w:val="en-GB"/>
              </w:rPr>
            </w:pPr>
            <w:r w:rsidRPr="00267DDB">
              <w:rPr>
                <w:rFonts w:ascii="Times New Roman" w:hAnsi="Times New Roman"/>
                <w:b/>
                <w:bCs/>
                <w:color w:val="000000"/>
                <w:lang w:val="en-GB"/>
              </w:rPr>
              <w:t>Cisplatina</w:t>
            </w:r>
          </w:p>
          <w:p w:rsidR="00267DDB" w:rsidRPr="00267DDB" w:rsidRDefault="00267DDB" w:rsidP="00267DDB">
            <w:pPr>
              <w:widowControl w:val="0"/>
              <w:autoSpaceDE w:val="0"/>
              <w:autoSpaceDN w:val="0"/>
              <w:adjustRightInd w:val="0"/>
              <w:spacing w:after="0" w:line="240" w:lineRule="auto"/>
              <w:rPr>
                <w:rFonts w:ascii="Times New Roman" w:hAnsi="Times New Roman"/>
                <w:b/>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
                <w:bCs/>
                <w:color w:val="000000"/>
                <w:lang w:val="en-GB"/>
              </w:rPr>
            </w:pPr>
            <w:r w:rsidRPr="00267DDB">
              <w:rPr>
                <w:rFonts w:ascii="Times New Roman" w:hAnsi="Times New Roman"/>
                <w:b/>
                <w:bCs/>
                <w:color w:val="000000"/>
                <w:lang w:val="en-GB"/>
              </w:rPr>
              <w:t>(N=222)</w:t>
            </w:r>
          </w:p>
        </w:tc>
        <w:tc>
          <w:tcPr>
            <w:tcW w:w="1665"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
                <w:bCs/>
                <w:color w:val="000000"/>
                <w:lang w:val="en-GB"/>
              </w:rPr>
            </w:pPr>
            <w:r w:rsidRPr="00267DDB">
              <w:rPr>
                <w:rFonts w:ascii="Times New Roman" w:hAnsi="Times New Roman"/>
                <w:b/>
                <w:bCs/>
                <w:color w:val="000000"/>
                <w:lang w:val="en-GB"/>
              </w:rPr>
              <w:t>Pemetreksedas ir cisplatina</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
                <w:bCs/>
                <w:color w:val="000000"/>
                <w:lang w:val="en-GB"/>
              </w:rPr>
            </w:pPr>
            <w:r w:rsidRPr="00267DDB">
              <w:rPr>
                <w:rFonts w:ascii="Times New Roman" w:hAnsi="Times New Roman"/>
                <w:b/>
                <w:bCs/>
                <w:color w:val="000000"/>
                <w:lang w:val="en-GB"/>
              </w:rPr>
              <w:t>(N=168)</w:t>
            </w:r>
          </w:p>
        </w:tc>
        <w:tc>
          <w:tcPr>
            <w:tcW w:w="1526"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
                <w:bCs/>
                <w:color w:val="000000"/>
                <w:lang w:val="en-GB"/>
              </w:rPr>
            </w:pPr>
            <w:r w:rsidRPr="00267DDB">
              <w:rPr>
                <w:rFonts w:ascii="Times New Roman" w:hAnsi="Times New Roman"/>
                <w:b/>
                <w:bCs/>
                <w:color w:val="000000"/>
                <w:lang w:val="en-GB"/>
              </w:rPr>
              <w:t>Cisplatina</w:t>
            </w:r>
          </w:p>
          <w:p w:rsidR="00267DDB" w:rsidRPr="00267DDB" w:rsidRDefault="00267DDB" w:rsidP="00267DDB">
            <w:pPr>
              <w:widowControl w:val="0"/>
              <w:autoSpaceDE w:val="0"/>
              <w:autoSpaceDN w:val="0"/>
              <w:adjustRightInd w:val="0"/>
              <w:spacing w:after="0" w:line="240" w:lineRule="auto"/>
              <w:rPr>
                <w:rFonts w:ascii="Times New Roman" w:hAnsi="Times New Roman"/>
                <w:b/>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
                <w:bCs/>
                <w:color w:val="000000"/>
                <w:lang w:val="en-GB"/>
              </w:rPr>
            </w:pPr>
            <w:r w:rsidRPr="00267DDB">
              <w:rPr>
                <w:rFonts w:ascii="Times New Roman" w:hAnsi="Times New Roman"/>
                <w:b/>
                <w:bCs/>
                <w:color w:val="000000"/>
                <w:lang w:val="en-GB"/>
              </w:rPr>
              <w:t>(N=163)</w:t>
            </w:r>
          </w:p>
        </w:tc>
      </w:tr>
      <w:tr w:rsidR="00267DDB" w:rsidRPr="00E209CA" w:rsidTr="00755E27">
        <w:tc>
          <w:tcPr>
            <w:tcW w:w="3369" w:type="dxa"/>
            <w:shd w:val="clear" w:color="auto" w:fill="auto"/>
          </w:tcPr>
          <w:p w:rsidR="00267DDB" w:rsidRPr="00131C11" w:rsidRDefault="00267DDB" w:rsidP="00267DDB">
            <w:pPr>
              <w:widowControl w:val="0"/>
              <w:autoSpaceDE w:val="0"/>
              <w:autoSpaceDN w:val="0"/>
              <w:adjustRightInd w:val="0"/>
              <w:spacing w:after="0" w:line="240" w:lineRule="auto"/>
              <w:rPr>
                <w:rFonts w:ascii="Times New Roman" w:hAnsi="Times New Roman"/>
                <w:bCs/>
                <w:color w:val="000000"/>
              </w:rPr>
            </w:pPr>
            <w:r w:rsidRPr="00131C11">
              <w:rPr>
                <w:rFonts w:ascii="Times New Roman" w:hAnsi="Times New Roman"/>
                <w:bCs/>
                <w:color w:val="000000"/>
              </w:rPr>
              <w:t>Bendro išgyvenamumo trukmės mediana (mėnesiai)</w:t>
            </w:r>
          </w:p>
          <w:p w:rsidR="00267DDB" w:rsidRPr="00131C11" w:rsidRDefault="00267DDB" w:rsidP="00267DDB">
            <w:pPr>
              <w:widowControl w:val="0"/>
              <w:autoSpaceDE w:val="0"/>
              <w:autoSpaceDN w:val="0"/>
              <w:adjustRightInd w:val="0"/>
              <w:spacing w:after="0" w:line="240" w:lineRule="auto"/>
              <w:rPr>
                <w:rFonts w:ascii="Times New Roman" w:hAnsi="Times New Roman"/>
                <w:b/>
                <w:bCs/>
                <w:color w:val="000000"/>
              </w:rPr>
            </w:pPr>
            <w:r w:rsidRPr="00131C11">
              <w:rPr>
                <w:rFonts w:ascii="Times New Roman" w:hAnsi="Times New Roman"/>
                <w:bCs/>
                <w:color w:val="000000"/>
              </w:rPr>
              <w:t>(95% PI)</w:t>
            </w:r>
          </w:p>
        </w:tc>
        <w:tc>
          <w:tcPr>
            <w:tcW w:w="1679"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267DDB">
              <w:rPr>
                <w:rFonts w:ascii="Times New Roman" w:hAnsi="Times New Roman"/>
                <w:bCs/>
                <w:color w:val="000000"/>
                <w:sz w:val="23"/>
                <w:szCs w:val="23"/>
                <w:lang w:val="en-GB"/>
              </w:rPr>
              <w:t>12,1</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267DDB">
              <w:rPr>
                <w:rFonts w:ascii="Times New Roman" w:hAnsi="Times New Roman"/>
                <w:bCs/>
                <w:color w:val="000000"/>
                <w:sz w:val="23"/>
                <w:szCs w:val="23"/>
                <w:lang w:val="en-GB"/>
              </w:rPr>
              <w:t>(10,0 – 14,4)</w:t>
            </w:r>
          </w:p>
        </w:tc>
        <w:tc>
          <w:tcPr>
            <w:tcW w:w="1617"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9,3</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sz w:val="23"/>
                <w:szCs w:val="23"/>
                <w:lang w:val="en-GB"/>
              </w:rPr>
              <w:t>(7,8 – 10,7)</w:t>
            </w:r>
          </w:p>
        </w:tc>
        <w:tc>
          <w:tcPr>
            <w:tcW w:w="1665"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13,3</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sz w:val="23"/>
                <w:szCs w:val="23"/>
                <w:lang w:val="en-GB"/>
              </w:rPr>
              <w:t>(11,4 – 14,9)</w:t>
            </w:r>
          </w:p>
        </w:tc>
        <w:tc>
          <w:tcPr>
            <w:tcW w:w="1526"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10,0</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sz w:val="23"/>
                <w:szCs w:val="23"/>
                <w:lang w:val="en-GB"/>
              </w:rPr>
              <w:t>(8,4 – 11,9)</w:t>
            </w:r>
          </w:p>
        </w:tc>
      </w:tr>
      <w:tr w:rsidR="00267DDB" w:rsidRPr="00E209CA" w:rsidTr="00755E27">
        <w:tc>
          <w:tcPr>
            <w:tcW w:w="3369" w:type="dxa"/>
            <w:shd w:val="clear" w:color="auto" w:fill="auto"/>
          </w:tcPr>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Logaritminio rango p reikšmė*</w:t>
            </w:r>
          </w:p>
        </w:tc>
        <w:tc>
          <w:tcPr>
            <w:tcW w:w="3296" w:type="dxa"/>
            <w:gridSpan w:val="2"/>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0,020</w:t>
            </w:r>
          </w:p>
        </w:tc>
        <w:tc>
          <w:tcPr>
            <w:tcW w:w="3191" w:type="dxa"/>
            <w:gridSpan w:val="2"/>
            <w:shd w:val="clear" w:color="auto" w:fill="auto"/>
          </w:tcPr>
          <w:p w:rsidR="00267DDB" w:rsidRPr="00267DDB" w:rsidRDefault="00267DDB" w:rsidP="00267DDB">
            <w:pPr>
              <w:widowControl w:val="0"/>
              <w:tabs>
                <w:tab w:val="left" w:pos="1265"/>
              </w:tabs>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ab/>
              <w:t>0,051</w:t>
            </w:r>
          </w:p>
        </w:tc>
      </w:tr>
      <w:tr w:rsidR="00267DDB" w:rsidRPr="00E209CA" w:rsidTr="00755E27">
        <w:tc>
          <w:tcPr>
            <w:tcW w:w="3369" w:type="dxa"/>
            <w:shd w:val="clear" w:color="auto" w:fill="auto"/>
          </w:tcPr>
          <w:p w:rsidR="00267DDB" w:rsidRPr="00131C11" w:rsidRDefault="00267DDB" w:rsidP="00267DDB">
            <w:pPr>
              <w:widowControl w:val="0"/>
              <w:autoSpaceDE w:val="0"/>
              <w:autoSpaceDN w:val="0"/>
              <w:adjustRightInd w:val="0"/>
              <w:spacing w:after="0" w:line="240" w:lineRule="auto"/>
              <w:rPr>
                <w:rFonts w:ascii="Times New Roman" w:hAnsi="Times New Roman"/>
                <w:bCs/>
                <w:color w:val="000000"/>
                <w:lang w:val="pl-PL"/>
              </w:rPr>
            </w:pPr>
            <w:r w:rsidRPr="00131C11">
              <w:rPr>
                <w:rFonts w:ascii="Times New Roman" w:hAnsi="Times New Roman"/>
                <w:bCs/>
                <w:color w:val="000000"/>
                <w:lang w:val="pl-PL"/>
              </w:rPr>
              <w:t>Laiko iki naviko progresavimo mediana (mėnesiai)</w:t>
            </w:r>
          </w:p>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(95% PI)</w:t>
            </w:r>
          </w:p>
        </w:tc>
        <w:tc>
          <w:tcPr>
            <w:tcW w:w="1679"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267DDB">
              <w:rPr>
                <w:rFonts w:ascii="Times New Roman" w:hAnsi="Times New Roman"/>
                <w:bCs/>
                <w:color w:val="000000"/>
                <w:sz w:val="23"/>
                <w:szCs w:val="23"/>
                <w:lang w:val="en-GB"/>
              </w:rPr>
              <w:t>5,7</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267DDB">
              <w:rPr>
                <w:rFonts w:ascii="Times New Roman" w:hAnsi="Times New Roman"/>
                <w:bCs/>
                <w:color w:val="000000"/>
                <w:sz w:val="23"/>
                <w:szCs w:val="23"/>
                <w:lang w:val="en-GB"/>
              </w:rPr>
              <w:t>(4,9 – 6,5)</w:t>
            </w:r>
          </w:p>
        </w:tc>
        <w:tc>
          <w:tcPr>
            <w:tcW w:w="1617"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3,9</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sz w:val="23"/>
                <w:szCs w:val="23"/>
                <w:lang w:val="en-GB"/>
              </w:rPr>
              <w:t>(2,8 – 4,4)</w:t>
            </w:r>
          </w:p>
        </w:tc>
        <w:tc>
          <w:tcPr>
            <w:tcW w:w="1665"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6,1</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sz w:val="23"/>
                <w:szCs w:val="23"/>
                <w:lang w:val="en-GB"/>
              </w:rPr>
              <w:t>(5,3 – 7,0)</w:t>
            </w:r>
          </w:p>
        </w:tc>
        <w:tc>
          <w:tcPr>
            <w:tcW w:w="1526"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3,9</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sz w:val="23"/>
                <w:szCs w:val="23"/>
                <w:lang w:val="en-GB"/>
              </w:rPr>
              <w:t>(2,8 – 4,5)</w:t>
            </w:r>
          </w:p>
        </w:tc>
      </w:tr>
      <w:tr w:rsidR="00267DDB" w:rsidRPr="00E209CA" w:rsidTr="00755E27">
        <w:tc>
          <w:tcPr>
            <w:tcW w:w="3369" w:type="dxa"/>
            <w:shd w:val="clear" w:color="auto" w:fill="auto"/>
          </w:tcPr>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Logaritminio rango p reikšmė*</w:t>
            </w:r>
          </w:p>
        </w:tc>
        <w:tc>
          <w:tcPr>
            <w:tcW w:w="3296" w:type="dxa"/>
            <w:gridSpan w:val="2"/>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0,001</w:t>
            </w:r>
          </w:p>
        </w:tc>
        <w:tc>
          <w:tcPr>
            <w:tcW w:w="3191" w:type="dxa"/>
            <w:gridSpan w:val="2"/>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0,008</w:t>
            </w:r>
          </w:p>
        </w:tc>
      </w:tr>
      <w:tr w:rsidR="00267DDB" w:rsidRPr="00E209CA" w:rsidTr="00755E27">
        <w:tc>
          <w:tcPr>
            <w:tcW w:w="3369" w:type="dxa"/>
            <w:shd w:val="clear" w:color="auto" w:fill="auto"/>
          </w:tcPr>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Laikas, per kurį gydymas tapo neveiksmingas (mėnesiais)</w:t>
            </w:r>
          </w:p>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(95% PI)</w:t>
            </w:r>
          </w:p>
        </w:tc>
        <w:tc>
          <w:tcPr>
            <w:tcW w:w="1679"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267DDB">
              <w:rPr>
                <w:rFonts w:ascii="Times New Roman" w:hAnsi="Times New Roman"/>
                <w:bCs/>
                <w:color w:val="000000"/>
                <w:sz w:val="23"/>
                <w:szCs w:val="23"/>
                <w:lang w:val="en-GB"/>
              </w:rPr>
              <w:t>4,5</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267DDB">
              <w:rPr>
                <w:rFonts w:ascii="Times New Roman" w:hAnsi="Times New Roman"/>
                <w:bCs/>
                <w:color w:val="000000"/>
                <w:sz w:val="23"/>
                <w:szCs w:val="23"/>
                <w:lang w:val="en-GB"/>
              </w:rPr>
              <w:t>(3,9 – 4,9)</w:t>
            </w:r>
          </w:p>
        </w:tc>
        <w:tc>
          <w:tcPr>
            <w:tcW w:w="1617"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2,7</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(2,1 – 2,9)</w:t>
            </w:r>
          </w:p>
        </w:tc>
        <w:tc>
          <w:tcPr>
            <w:tcW w:w="1665"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4,7</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(4,3 – 5,6)</w:t>
            </w:r>
          </w:p>
        </w:tc>
        <w:tc>
          <w:tcPr>
            <w:tcW w:w="1526"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2,7</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(2,2 – 3,1)</w:t>
            </w:r>
          </w:p>
        </w:tc>
      </w:tr>
      <w:tr w:rsidR="00267DDB" w:rsidRPr="00E209CA" w:rsidTr="00755E27">
        <w:tc>
          <w:tcPr>
            <w:tcW w:w="3369" w:type="dxa"/>
            <w:shd w:val="clear" w:color="auto" w:fill="auto"/>
          </w:tcPr>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Logaritminio rango p reikšmė*</w:t>
            </w:r>
          </w:p>
        </w:tc>
        <w:tc>
          <w:tcPr>
            <w:tcW w:w="3296" w:type="dxa"/>
            <w:gridSpan w:val="2"/>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0,001</w:t>
            </w:r>
          </w:p>
        </w:tc>
        <w:tc>
          <w:tcPr>
            <w:tcW w:w="3191" w:type="dxa"/>
            <w:gridSpan w:val="2"/>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0,001</w:t>
            </w:r>
          </w:p>
        </w:tc>
      </w:tr>
      <w:tr w:rsidR="00267DDB" w:rsidRPr="00E209CA" w:rsidTr="00755E27">
        <w:tc>
          <w:tcPr>
            <w:tcW w:w="3369" w:type="dxa"/>
            <w:shd w:val="clear" w:color="auto" w:fill="auto"/>
          </w:tcPr>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Bendras atsako dažnis**</w:t>
            </w:r>
          </w:p>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(95% PI)</w:t>
            </w:r>
          </w:p>
        </w:tc>
        <w:tc>
          <w:tcPr>
            <w:tcW w:w="1679"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sz w:val="23"/>
                <w:szCs w:val="23"/>
                <w:lang w:val="en-GB"/>
              </w:rPr>
              <w:t>41,3</w:t>
            </w:r>
            <w:r w:rsidRPr="00267DDB">
              <w:rPr>
                <w:rFonts w:ascii="Times New Roman" w:hAnsi="Times New Roman"/>
                <w:bCs/>
                <w:color w:val="000000"/>
                <w:lang w:val="en-GB"/>
              </w:rPr>
              <w:t>%</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sz w:val="23"/>
                <w:szCs w:val="23"/>
                <w:lang w:val="en-GB"/>
              </w:rPr>
            </w:pPr>
            <w:r w:rsidRPr="00267DDB">
              <w:rPr>
                <w:rFonts w:ascii="Times New Roman" w:hAnsi="Times New Roman"/>
                <w:bCs/>
                <w:color w:val="000000"/>
                <w:lang w:val="en-GB"/>
              </w:rPr>
              <w:t>(34,8 – 48,1)</w:t>
            </w:r>
          </w:p>
        </w:tc>
        <w:tc>
          <w:tcPr>
            <w:tcW w:w="1617"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16,7%</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(12,2 – 22,2)</w:t>
            </w:r>
          </w:p>
        </w:tc>
        <w:tc>
          <w:tcPr>
            <w:tcW w:w="1665"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45,5%</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(37,8 – 53,4)</w:t>
            </w:r>
          </w:p>
        </w:tc>
        <w:tc>
          <w:tcPr>
            <w:tcW w:w="1526" w:type="dxa"/>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19,6%</w:t>
            </w:r>
          </w:p>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(13,8 – 26,6)</w:t>
            </w:r>
          </w:p>
        </w:tc>
      </w:tr>
      <w:tr w:rsidR="00267DDB" w:rsidRPr="00E209CA" w:rsidTr="00755E27">
        <w:tc>
          <w:tcPr>
            <w:tcW w:w="3369" w:type="dxa"/>
            <w:tcBorders>
              <w:bottom w:val="single" w:sz="4" w:space="0" w:color="auto"/>
            </w:tcBorders>
            <w:shd w:val="clear" w:color="auto" w:fill="auto"/>
          </w:tcPr>
          <w:p w:rsidR="00267DDB" w:rsidRPr="00267DDB" w:rsidRDefault="00267DDB" w:rsidP="00267DDB">
            <w:pPr>
              <w:widowControl w:val="0"/>
              <w:autoSpaceDE w:val="0"/>
              <w:autoSpaceDN w:val="0"/>
              <w:adjustRightInd w:val="0"/>
              <w:spacing w:after="0" w:line="240" w:lineRule="auto"/>
              <w:rPr>
                <w:rFonts w:ascii="Times New Roman" w:hAnsi="Times New Roman"/>
                <w:bCs/>
                <w:color w:val="000000"/>
                <w:lang w:val="en-GB"/>
              </w:rPr>
            </w:pPr>
            <w:r w:rsidRPr="00267DDB">
              <w:rPr>
                <w:rFonts w:ascii="Times New Roman" w:hAnsi="Times New Roman"/>
                <w:bCs/>
                <w:color w:val="000000"/>
                <w:lang w:val="en-GB"/>
              </w:rPr>
              <w:t>Fišerio tikslioji p reikšmė*</w:t>
            </w:r>
          </w:p>
        </w:tc>
        <w:tc>
          <w:tcPr>
            <w:tcW w:w="3296" w:type="dxa"/>
            <w:gridSpan w:val="2"/>
            <w:tcBorders>
              <w:bottom w:val="single" w:sz="4" w:space="0" w:color="auto"/>
            </w:tcBorders>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&lt; 0,001</w:t>
            </w:r>
          </w:p>
        </w:tc>
        <w:tc>
          <w:tcPr>
            <w:tcW w:w="3191" w:type="dxa"/>
            <w:gridSpan w:val="2"/>
            <w:tcBorders>
              <w:bottom w:val="single" w:sz="4" w:space="0" w:color="auto"/>
            </w:tcBorders>
            <w:shd w:val="clear" w:color="auto" w:fill="auto"/>
          </w:tcPr>
          <w:p w:rsidR="00267DDB" w:rsidRPr="00267DDB" w:rsidRDefault="00267DDB" w:rsidP="00267DDB">
            <w:pPr>
              <w:widowControl w:val="0"/>
              <w:autoSpaceDE w:val="0"/>
              <w:autoSpaceDN w:val="0"/>
              <w:adjustRightInd w:val="0"/>
              <w:spacing w:after="0" w:line="240" w:lineRule="auto"/>
              <w:jc w:val="center"/>
              <w:rPr>
                <w:rFonts w:ascii="Times New Roman" w:hAnsi="Times New Roman"/>
                <w:bCs/>
                <w:color w:val="000000"/>
                <w:lang w:val="en-GB"/>
              </w:rPr>
            </w:pPr>
            <w:r w:rsidRPr="00267DDB">
              <w:rPr>
                <w:rFonts w:ascii="Times New Roman" w:hAnsi="Times New Roman"/>
                <w:bCs/>
                <w:color w:val="000000"/>
                <w:lang w:val="en-GB"/>
              </w:rPr>
              <w:t>&lt; 0,001</w:t>
            </w:r>
          </w:p>
        </w:tc>
      </w:tr>
    </w:tbl>
    <w:p w:rsidR="00267DDB" w:rsidRPr="00267DDB" w:rsidRDefault="00267DDB" w:rsidP="00267DDB">
      <w:pPr>
        <w:tabs>
          <w:tab w:val="left" w:pos="567"/>
        </w:tabs>
        <w:spacing w:after="0" w:line="260" w:lineRule="exact"/>
        <w:rPr>
          <w:rFonts w:ascii="Times New Roman" w:eastAsia="Times New Roman" w:hAnsi="Times New Roman"/>
          <w:snapToGrid w:val="0"/>
          <w:sz w:val="18"/>
          <w:szCs w:val="18"/>
          <w:lang w:val="en-GB"/>
        </w:rPr>
      </w:pPr>
      <w:r w:rsidRPr="00267DDB">
        <w:rPr>
          <w:rFonts w:ascii="Times New Roman" w:eastAsia="Times New Roman" w:hAnsi="Times New Roman"/>
          <w:snapToGrid w:val="0"/>
          <w:sz w:val="18"/>
          <w:szCs w:val="18"/>
          <w:lang w:val="en-GB"/>
        </w:rPr>
        <w:t>Santrumpos: PI – pasikliautinasis intervalas.</w:t>
      </w:r>
    </w:p>
    <w:p w:rsidR="00267DDB" w:rsidRPr="00267DDB" w:rsidRDefault="00267DDB" w:rsidP="00267DDB">
      <w:pPr>
        <w:tabs>
          <w:tab w:val="left" w:pos="567"/>
        </w:tabs>
        <w:spacing w:after="0" w:line="260" w:lineRule="exact"/>
        <w:rPr>
          <w:rFonts w:ascii="Times New Roman" w:eastAsia="Times New Roman" w:hAnsi="Times New Roman"/>
          <w:snapToGrid w:val="0"/>
          <w:sz w:val="18"/>
          <w:szCs w:val="18"/>
          <w:lang w:val="en-GB"/>
        </w:rPr>
      </w:pPr>
      <w:r w:rsidRPr="00267DDB">
        <w:rPr>
          <w:rFonts w:ascii="Times New Roman" w:eastAsia="Times New Roman" w:hAnsi="Times New Roman"/>
          <w:snapToGrid w:val="0"/>
          <w:sz w:val="18"/>
          <w:szCs w:val="18"/>
          <w:lang w:val="en-GB"/>
        </w:rPr>
        <w:t xml:space="preserve">* </w:t>
      </w:r>
      <w:proofErr w:type="gramStart"/>
      <w:r w:rsidRPr="00267DDB">
        <w:rPr>
          <w:rFonts w:ascii="Times New Roman" w:eastAsia="Times New Roman" w:hAnsi="Times New Roman"/>
          <w:snapToGrid w:val="0"/>
          <w:sz w:val="18"/>
          <w:szCs w:val="18"/>
          <w:lang w:val="en-GB"/>
        </w:rPr>
        <w:t>p</w:t>
      </w:r>
      <w:proofErr w:type="gramEnd"/>
      <w:r w:rsidRPr="00267DDB">
        <w:rPr>
          <w:rFonts w:ascii="Times New Roman" w:eastAsia="Times New Roman" w:hAnsi="Times New Roman"/>
          <w:snapToGrid w:val="0"/>
          <w:sz w:val="18"/>
          <w:szCs w:val="18"/>
          <w:lang w:val="en-GB"/>
        </w:rPr>
        <w:t xml:space="preserve"> reikšmė nurodo skirtumą tarp grupių.</w:t>
      </w:r>
    </w:p>
    <w:p w:rsidR="00267DDB" w:rsidRPr="00267DDB" w:rsidRDefault="00267DDB" w:rsidP="00267DDB">
      <w:pPr>
        <w:tabs>
          <w:tab w:val="left" w:pos="567"/>
        </w:tabs>
        <w:spacing w:after="0" w:line="260" w:lineRule="exact"/>
        <w:rPr>
          <w:rFonts w:ascii="Times New Roman" w:eastAsia="Times New Roman" w:hAnsi="Times New Roman"/>
          <w:snapToGrid w:val="0"/>
          <w:sz w:val="18"/>
          <w:szCs w:val="18"/>
          <w:lang w:val="en-GB"/>
        </w:rPr>
      </w:pPr>
      <w:r w:rsidRPr="00267DDB">
        <w:rPr>
          <w:rFonts w:ascii="Times New Roman" w:eastAsia="Times New Roman" w:hAnsi="Times New Roman"/>
          <w:snapToGrid w:val="0"/>
          <w:sz w:val="18"/>
          <w:szCs w:val="18"/>
          <w:lang w:val="en-GB"/>
        </w:rPr>
        <w:lastRenderedPageBreak/>
        <w:t>** Pemetreksedo ir cisplatinos derinį vartojusių atsitiktinai atrinktų pacientų (n = 225) ir ištisai papildomai gydytų pacientų (n = 167) grupė.</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lang w:val="en-GB"/>
        </w:rPr>
      </w:pPr>
      <w:r w:rsidRPr="00267DDB">
        <w:rPr>
          <w:rFonts w:ascii="Times New Roman" w:eastAsia="Times New Roman" w:hAnsi="Times New Roman"/>
          <w:snapToGrid w:val="0"/>
          <w:lang w:val="en-GB"/>
        </w:rPr>
        <w:t>Naudojant plaučių vėžio simptomų skalę nustatyta, kad piktybinės pleuros mezoteliomos sukeliami simptomai – skausmas ir dispnėja gydant pemetreksedo ir cisplatinos deriniu (212 pacientai) palengvėja labiau, nei gydant viena cisplatina (218 pacientai); skirtumas statistiškai reikšmingas. Skyrėsi ir plaučių funkcijos tyrimų rodmenys: pemetreksedo ir cisplatinos derinio grupėje plaučių funkcija pagerėjo, kontrolinėje – su laiku pablogėjo.</w:t>
      </w:r>
    </w:p>
    <w:p w:rsidR="00267DDB" w:rsidRPr="00267DDB" w:rsidRDefault="00267DDB" w:rsidP="00267DDB">
      <w:pPr>
        <w:tabs>
          <w:tab w:val="left" w:pos="567"/>
        </w:tabs>
        <w:spacing w:after="0" w:line="260" w:lineRule="exact"/>
        <w:rPr>
          <w:rFonts w:ascii="Times New Roman" w:eastAsia="Times New Roman" w:hAnsi="Times New Roman"/>
          <w:snapToGrid w:val="0"/>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Duomenų apie piktybinės pleuros mezoteliomos gydymą vien pemetreksedu stinga. Tirtas tik pemetreksedo 500 mg/m</w:t>
      </w:r>
      <w:r w:rsidRPr="00267DDB">
        <w:rPr>
          <w:rFonts w:ascii="Times New Roman" w:eastAsia="Times New Roman" w:hAnsi="Times New Roman"/>
          <w:snapToGrid w:val="0"/>
          <w:szCs w:val="24"/>
          <w:vertAlign w:val="superscript"/>
          <w:lang w:val="en-GB"/>
        </w:rPr>
        <w:t>2</w:t>
      </w:r>
      <w:r w:rsidRPr="00267DDB">
        <w:rPr>
          <w:rFonts w:ascii="Times New Roman" w:eastAsia="Times New Roman" w:hAnsi="Times New Roman"/>
          <w:snapToGrid w:val="0"/>
          <w:szCs w:val="24"/>
          <w:lang w:val="en-GB"/>
        </w:rPr>
        <w:t xml:space="preserve"> dozės poveikis 64 piktybine pleuros mezotelioma sergantiems pacientams, iki tol nevartojusiems chemoterapinių preparatų. Bendras atsako dažnis – 14</w:t>
      </w:r>
      <w:proofErr w:type="gramStart"/>
      <w:r w:rsidRPr="00267DDB">
        <w:rPr>
          <w:rFonts w:ascii="Times New Roman" w:eastAsia="Times New Roman" w:hAnsi="Times New Roman"/>
          <w:snapToGrid w:val="0"/>
          <w:szCs w:val="24"/>
          <w:lang w:val="en-GB"/>
        </w:rPr>
        <w:t>,1</w:t>
      </w:r>
      <w:proofErr w:type="gramEnd"/>
      <w:r w:rsidRPr="00267DDB">
        <w:rPr>
          <w:rFonts w:ascii="Times New Roman" w:eastAsia="Times New Roman" w:hAnsi="Times New Roman"/>
          <w:snapToGrid w:val="0"/>
          <w:szCs w:val="24"/>
          <w:lang w:val="en-GB"/>
        </w:rPr>
        <w:t xml:space="preserve"> %.</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u w:val="single"/>
          <w:lang w:val="en-GB"/>
        </w:rPr>
      </w:pPr>
      <w:r w:rsidRPr="00267DDB">
        <w:rPr>
          <w:rFonts w:ascii="Times New Roman" w:eastAsia="Times New Roman" w:hAnsi="Times New Roman"/>
          <w:snapToGrid w:val="0"/>
          <w:szCs w:val="24"/>
          <w:u w:val="single"/>
          <w:lang w:val="en-GB"/>
        </w:rPr>
        <w:t>Antraeilė NSLPV terapija:</w:t>
      </w:r>
    </w:p>
    <w:p w:rsidR="00267DDB" w:rsidRPr="00267DDB" w:rsidRDefault="00267DDB" w:rsidP="00267DDB">
      <w:pPr>
        <w:tabs>
          <w:tab w:val="left" w:pos="567"/>
        </w:tabs>
        <w:spacing w:after="0" w:line="260" w:lineRule="exact"/>
        <w:rPr>
          <w:rFonts w:ascii="Times New Roman" w:eastAsia="Times New Roman" w:hAnsi="Times New Roman"/>
          <w:snapToGrid w:val="0"/>
          <w:szCs w:val="24"/>
          <w:u w:val="single"/>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Daugiacentriu atsitiktinių imčių atviru 3 fazės tyrimu, kuriuo lygintas pemetreksedo ir docetakselio veiksmingumas, nustatyta, kad pemetreksedo vartojusių ligonių, sergančių lokaliai išplitusiu arba metastazavusiu nesmulkialąsteliniu plaučių vėžiu (NSLPV), kurie jau anksčiau buvo gydyti chemoterapiniais preparatais, gyvenimo trukmės mediana buvo 8,3 mėnesio (ketinti gydyti pacientai [KGP], n = 283), o vartojusių docetakselį – 7,9 mėnesio (ketinti gydyti pacientai [KGP], n = 288). Į ankstesnę chemoterapiją pemetreksedu įjungta nebuvo. </w:t>
      </w:r>
      <w:proofErr w:type="gramStart"/>
      <w:r w:rsidRPr="00267DDB">
        <w:rPr>
          <w:rFonts w:ascii="Times New Roman" w:eastAsia="Times New Roman" w:hAnsi="Times New Roman"/>
          <w:snapToGrid w:val="0"/>
          <w:szCs w:val="24"/>
          <w:lang w:val="en-GB"/>
        </w:rPr>
        <w:t>NSLPV struktūros įtakos bendram išgyvenamumui analizės duomenys rodo, kad kitokį, negu vyraujančios plokščiosios struktūros, vėžį naudingiau gydyti pemetreksedu negu docetakseliu (n = 399; 9,3 mėn., palyginti su 8 mėn., pritaikytas RS = 0,78; 95% PI = 0,61 – 1,00, p = 0,047), ir kad plokščiųjų ląstelių karcinomą naudingiau gydyti docetakseliu (n = 172; 6,2 mėn., palyginti su 7,4 mėn.; pritaikytas RS = 1,56; 95% PI = 1,08 – 2,26, p = 0,018).</w:t>
      </w:r>
      <w:proofErr w:type="gramEnd"/>
      <w:r w:rsidRPr="00267DDB">
        <w:rPr>
          <w:rFonts w:ascii="Times New Roman" w:eastAsia="Times New Roman" w:hAnsi="Times New Roman"/>
          <w:snapToGrid w:val="0"/>
          <w:szCs w:val="24"/>
          <w:lang w:val="en-GB"/>
        </w:rPr>
        <w:t xml:space="preserve"> Gydant skirtingos struktūros vėžį, klinikai reikšmingo pemetreksedo saugumo skirtumo nepastebėta.</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Nedaug klinikinių duomenų, gautų atskiro atsitiktinių imčių III fazės kontrolinio tyrimo metu, rodo, kad pacientams, kurie anksčiau buvo gydyti docetakseliu (n = 41) ar kurie juo gydyti nebuvo (n = 540), pemetreksedo veiksmingumas (atsižvelgiant į bendrą išgyvenamumą ir laiką be ligos progresavimo) yra panašus.</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p>
    <w:p w:rsidR="00267DDB" w:rsidRPr="00267DDB" w:rsidRDefault="00882C7A" w:rsidP="00267DDB">
      <w:pPr>
        <w:tabs>
          <w:tab w:val="left" w:pos="567"/>
        </w:tabs>
        <w:spacing w:after="0" w:line="260" w:lineRule="exact"/>
        <w:rPr>
          <w:rFonts w:ascii="Times New Roman" w:eastAsia="Times New Roman" w:hAnsi="Times New Roman"/>
          <w:b/>
          <w:snapToGrid w:val="0"/>
          <w:szCs w:val="24"/>
          <w:lang w:val="en-GB"/>
        </w:rPr>
      </w:pPr>
      <w:proofErr w:type="gramStart"/>
      <w:r>
        <w:rPr>
          <w:rFonts w:ascii="Times New Roman" w:eastAsia="Times New Roman" w:hAnsi="Times New Roman"/>
          <w:b/>
          <w:snapToGrid w:val="0"/>
          <w:szCs w:val="24"/>
          <w:lang w:val="en-GB"/>
        </w:rPr>
        <w:t>6 lentelė</w:t>
      </w:r>
      <w:proofErr w:type="gramEnd"/>
      <w:r>
        <w:rPr>
          <w:rFonts w:ascii="Times New Roman" w:eastAsia="Times New Roman" w:hAnsi="Times New Roman"/>
          <w:b/>
          <w:snapToGrid w:val="0"/>
          <w:szCs w:val="24"/>
          <w:lang w:val="en-GB"/>
        </w:rPr>
        <w:t xml:space="preserve"> </w:t>
      </w:r>
      <w:r w:rsidR="00267DDB" w:rsidRPr="00267DDB">
        <w:rPr>
          <w:rFonts w:ascii="Times New Roman" w:eastAsia="Times New Roman" w:hAnsi="Times New Roman"/>
          <w:b/>
          <w:snapToGrid w:val="0"/>
          <w:szCs w:val="24"/>
          <w:lang w:val="en-GB"/>
        </w:rPr>
        <w:t>Pemetreksedo ir docetakselio veiksmingumas gydant NSLPV – KGP grupėje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746"/>
        <w:gridCol w:w="2558"/>
      </w:tblGrid>
      <w:tr w:rsidR="00267DDB" w:rsidRPr="00E209CA" w:rsidTr="00755E27">
        <w:tc>
          <w:tcPr>
            <w:tcW w:w="4077"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p>
        </w:tc>
        <w:tc>
          <w:tcPr>
            <w:tcW w:w="2977"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Pemetreksedas</w:t>
            </w:r>
          </w:p>
        </w:tc>
        <w:tc>
          <w:tcPr>
            <w:tcW w:w="2800"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Docetakselis</w:t>
            </w:r>
          </w:p>
        </w:tc>
      </w:tr>
      <w:tr w:rsidR="00267DDB" w:rsidRPr="00E209CA" w:rsidTr="00755E27">
        <w:tc>
          <w:tcPr>
            <w:tcW w:w="4077"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Išgyvenamumo trukmė (mėnesiai)</w:t>
            </w:r>
          </w:p>
          <w:p w:rsidR="00267DDB" w:rsidRPr="00267DDB" w:rsidRDefault="00267DDB" w:rsidP="00267DDB">
            <w:pPr>
              <w:numPr>
                <w:ilvl w:val="0"/>
                <w:numId w:val="6"/>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Mediana (m)</w:t>
            </w:r>
          </w:p>
          <w:p w:rsidR="00267DDB" w:rsidRPr="00267DDB" w:rsidRDefault="00267DDB" w:rsidP="00267DDB">
            <w:pPr>
              <w:numPr>
                <w:ilvl w:val="0"/>
                <w:numId w:val="6"/>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95% medianos PI</w:t>
            </w:r>
          </w:p>
          <w:p w:rsidR="00267DDB" w:rsidRPr="00267DDB" w:rsidRDefault="00267DDB" w:rsidP="00267DDB">
            <w:pPr>
              <w:numPr>
                <w:ilvl w:val="0"/>
                <w:numId w:val="6"/>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RS</w:t>
            </w:r>
          </w:p>
          <w:p w:rsidR="00267DDB" w:rsidRPr="00267DDB" w:rsidRDefault="00267DDB" w:rsidP="00267DDB">
            <w:pPr>
              <w:numPr>
                <w:ilvl w:val="0"/>
                <w:numId w:val="6"/>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RS 95% PI</w:t>
            </w:r>
          </w:p>
          <w:p w:rsidR="00267DDB" w:rsidRPr="00267DDB" w:rsidRDefault="00267DDB" w:rsidP="00267DDB">
            <w:pPr>
              <w:numPr>
                <w:ilvl w:val="0"/>
                <w:numId w:val="6"/>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Ne žemesnioji p reikšmė (RS)</w:t>
            </w:r>
          </w:p>
        </w:tc>
        <w:tc>
          <w:tcPr>
            <w:tcW w:w="5777" w:type="dxa"/>
            <w:gridSpan w:val="2"/>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(n=283)                                         (n=288)</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8,3                                                 7,9</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(7 – 9,4)                                       (6,3 – 9,2)</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0,99</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(0,82 – 1,2)</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0,226</w:t>
            </w:r>
          </w:p>
        </w:tc>
      </w:tr>
      <w:tr w:rsidR="00267DDB" w:rsidRPr="00E209CA" w:rsidTr="00755E27">
        <w:tc>
          <w:tcPr>
            <w:tcW w:w="4077"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Laikas be ligos progresavimo (mėnesiai)</w:t>
            </w:r>
          </w:p>
          <w:p w:rsidR="00267DDB" w:rsidRPr="00267DDB" w:rsidRDefault="00267DDB" w:rsidP="00267DDB">
            <w:pPr>
              <w:numPr>
                <w:ilvl w:val="0"/>
                <w:numId w:val="7"/>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Mediana</w:t>
            </w:r>
          </w:p>
          <w:p w:rsidR="00267DDB" w:rsidRPr="00267DDB" w:rsidRDefault="00267DDB" w:rsidP="00267DDB">
            <w:pPr>
              <w:numPr>
                <w:ilvl w:val="0"/>
                <w:numId w:val="7"/>
              </w:num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snapToGrid w:val="0"/>
                <w:szCs w:val="24"/>
                <w:lang w:val="en-GB"/>
              </w:rPr>
              <w:t>RS</w:t>
            </w:r>
            <w:r w:rsidRPr="00267DDB">
              <w:rPr>
                <w:rFonts w:ascii="Times New Roman" w:eastAsia="Times New Roman" w:hAnsi="Times New Roman"/>
                <w:b/>
                <w:snapToGrid w:val="0"/>
                <w:szCs w:val="24"/>
                <w:lang w:val="en-GB"/>
              </w:rPr>
              <w:t xml:space="preserve"> (</w:t>
            </w:r>
            <w:r w:rsidRPr="00267DDB">
              <w:rPr>
                <w:rFonts w:ascii="Times New Roman" w:eastAsia="Times New Roman" w:hAnsi="Times New Roman"/>
                <w:snapToGrid w:val="0"/>
                <w:szCs w:val="24"/>
                <w:lang w:val="en-GB"/>
              </w:rPr>
              <w:t>95% PI)</w:t>
            </w:r>
          </w:p>
        </w:tc>
        <w:tc>
          <w:tcPr>
            <w:tcW w:w="5777" w:type="dxa"/>
            <w:gridSpan w:val="2"/>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(n=283)                                         (n=288)</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2,9                                                 2,9</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0,97 (0,82 – 1,16)</w:t>
            </w:r>
          </w:p>
        </w:tc>
      </w:tr>
      <w:tr w:rsidR="00267DDB" w:rsidRPr="00E209CA" w:rsidTr="00755E27">
        <w:tc>
          <w:tcPr>
            <w:tcW w:w="4077"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Laikas, per kurį gydymas tapo neveiksmingas (mėnesiai)</w:t>
            </w:r>
          </w:p>
          <w:p w:rsidR="00267DDB" w:rsidRPr="00267DDB" w:rsidRDefault="00267DDB" w:rsidP="00267DDB">
            <w:pPr>
              <w:numPr>
                <w:ilvl w:val="0"/>
                <w:numId w:val="8"/>
              </w:num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snapToGrid w:val="0"/>
                <w:szCs w:val="24"/>
                <w:lang w:val="en-GB"/>
              </w:rPr>
              <w:t>Mediana</w:t>
            </w:r>
          </w:p>
          <w:p w:rsidR="00267DDB" w:rsidRPr="00267DDB" w:rsidRDefault="00267DDB" w:rsidP="00267DDB">
            <w:pPr>
              <w:numPr>
                <w:ilvl w:val="0"/>
                <w:numId w:val="8"/>
              </w:num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snapToGrid w:val="0"/>
                <w:szCs w:val="24"/>
                <w:lang w:val="en-GB"/>
              </w:rPr>
              <w:t xml:space="preserve">RS </w:t>
            </w:r>
            <w:r w:rsidRPr="00267DDB">
              <w:rPr>
                <w:rFonts w:ascii="Times New Roman" w:eastAsia="Times New Roman" w:hAnsi="Times New Roman"/>
                <w:b/>
                <w:snapToGrid w:val="0"/>
                <w:szCs w:val="24"/>
                <w:lang w:val="en-GB"/>
              </w:rPr>
              <w:t>(</w:t>
            </w:r>
            <w:r w:rsidRPr="00267DDB">
              <w:rPr>
                <w:rFonts w:ascii="Times New Roman" w:eastAsia="Times New Roman" w:hAnsi="Times New Roman"/>
                <w:snapToGrid w:val="0"/>
                <w:szCs w:val="24"/>
                <w:lang w:val="en-GB"/>
              </w:rPr>
              <w:t>95% PI)</w:t>
            </w:r>
          </w:p>
        </w:tc>
        <w:tc>
          <w:tcPr>
            <w:tcW w:w="5777" w:type="dxa"/>
            <w:gridSpan w:val="2"/>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(n=283)                                         (n=288)</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2,3                                                 2,1</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0,84 (0,1 – 0,997)</w:t>
            </w:r>
          </w:p>
        </w:tc>
      </w:tr>
      <w:tr w:rsidR="00267DDB" w:rsidRPr="00E209CA" w:rsidTr="00755E27">
        <w:tc>
          <w:tcPr>
            <w:tcW w:w="4077"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b/>
                <w:snapToGrid w:val="0"/>
                <w:szCs w:val="24"/>
                <w:lang w:val="en-GB"/>
              </w:rPr>
              <w:t xml:space="preserve">Atsakas </w:t>
            </w:r>
            <w:r w:rsidRPr="00267DDB">
              <w:rPr>
                <w:rFonts w:ascii="Times New Roman" w:eastAsia="Times New Roman" w:hAnsi="Times New Roman"/>
                <w:snapToGrid w:val="0"/>
                <w:szCs w:val="24"/>
                <w:lang w:val="en-GB"/>
              </w:rPr>
              <w:t>(n – buvo atsakas)</w:t>
            </w:r>
          </w:p>
          <w:p w:rsidR="00267DDB" w:rsidRPr="00267DDB" w:rsidRDefault="00267DDB" w:rsidP="00267DDB">
            <w:pPr>
              <w:numPr>
                <w:ilvl w:val="0"/>
                <w:numId w:val="9"/>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Atsako dažnis (</w:t>
            </w:r>
            <w:proofErr w:type="gramStart"/>
            <w:r w:rsidRPr="00267DDB">
              <w:rPr>
                <w:rFonts w:ascii="Times New Roman" w:eastAsia="Times New Roman" w:hAnsi="Times New Roman"/>
                <w:snapToGrid w:val="0"/>
                <w:szCs w:val="24"/>
                <w:lang w:val="en-GB"/>
              </w:rPr>
              <w:t>%</w:t>
            </w:r>
            <w:proofErr w:type="gramEnd"/>
            <w:r w:rsidRPr="00267DDB">
              <w:rPr>
                <w:rFonts w:ascii="Times New Roman" w:eastAsia="Times New Roman" w:hAnsi="Times New Roman"/>
                <w:snapToGrid w:val="0"/>
                <w:szCs w:val="24"/>
                <w:lang w:val="en-GB"/>
              </w:rPr>
              <w:t>) (95 % PI)</w:t>
            </w:r>
          </w:p>
          <w:p w:rsidR="00267DDB" w:rsidRPr="00267DDB" w:rsidRDefault="00267DDB" w:rsidP="00267DDB">
            <w:pPr>
              <w:numPr>
                <w:ilvl w:val="0"/>
                <w:numId w:val="9"/>
              </w:num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Ligos stabilizavimas (</w:t>
            </w:r>
            <w:proofErr w:type="gramStart"/>
            <w:r w:rsidRPr="00267DDB">
              <w:rPr>
                <w:rFonts w:ascii="Times New Roman" w:eastAsia="Times New Roman" w:hAnsi="Times New Roman"/>
                <w:snapToGrid w:val="0"/>
                <w:szCs w:val="24"/>
                <w:lang w:val="en-GB"/>
              </w:rPr>
              <w:t>%</w:t>
            </w:r>
            <w:proofErr w:type="gramEnd"/>
            <w:r w:rsidRPr="00267DDB">
              <w:rPr>
                <w:rFonts w:ascii="Times New Roman" w:eastAsia="Times New Roman" w:hAnsi="Times New Roman"/>
                <w:snapToGrid w:val="0"/>
                <w:szCs w:val="24"/>
                <w:lang w:val="en-GB"/>
              </w:rPr>
              <w:t>)</w:t>
            </w:r>
          </w:p>
        </w:tc>
        <w:tc>
          <w:tcPr>
            <w:tcW w:w="5777" w:type="dxa"/>
            <w:gridSpan w:val="2"/>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(n=264)                                         (n=274)</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9,1 (5,9 – 13,2)                             8,8 (5,7-12,8) </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 xml:space="preserve">                          45,8                                              46,4  </w:t>
            </w:r>
          </w:p>
        </w:tc>
      </w:tr>
    </w:tbl>
    <w:p w:rsidR="00267DDB" w:rsidRPr="00267DDB" w:rsidRDefault="00267DDB" w:rsidP="00267DDB">
      <w:pPr>
        <w:tabs>
          <w:tab w:val="left" w:pos="567"/>
        </w:tabs>
        <w:spacing w:after="0" w:line="260" w:lineRule="exact"/>
        <w:rPr>
          <w:rFonts w:ascii="Times New Roman" w:eastAsia="Times New Roman" w:hAnsi="Times New Roman"/>
          <w:snapToGrid w:val="0"/>
          <w:sz w:val="18"/>
          <w:szCs w:val="18"/>
          <w:lang w:val="en-GB"/>
        </w:rPr>
      </w:pPr>
      <w:r w:rsidRPr="00267DDB">
        <w:rPr>
          <w:rFonts w:ascii="Times New Roman" w:eastAsia="Times New Roman" w:hAnsi="Times New Roman"/>
          <w:snapToGrid w:val="0"/>
          <w:sz w:val="18"/>
          <w:szCs w:val="18"/>
          <w:lang w:val="en-GB"/>
        </w:rPr>
        <w:t>Santrumpos: PI – pasikliautinasis intervalas; RS – rizikos santykis; KGP – ketinti gydyti pacientai; n – visa imtis.</w:t>
      </w:r>
    </w:p>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p>
    <w:p w:rsidR="00267DDB" w:rsidRPr="00267DDB" w:rsidRDefault="00267DDB" w:rsidP="00267DDB">
      <w:pPr>
        <w:widowControl w:val="0"/>
        <w:autoSpaceDE w:val="0"/>
        <w:autoSpaceDN w:val="0"/>
        <w:adjustRightInd w:val="0"/>
        <w:spacing w:after="0" w:line="240" w:lineRule="auto"/>
        <w:rPr>
          <w:rFonts w:ascii="Times New Roman" w:hAnsi="Times New Roman"/>
          <w:iCs/>
          <w:color w:val="000000"/>
          <w:u w:val="single"/>
          <w:lang w:val="en-GB"/>
        </w:rPr>
      </w:pPr>
      <w:r w:rsidRPr="00267DDB">
        <w:rPr>
          <w:rFonts w:ascii="Times New Roman" w:hAnsi="Times New Roman"/>
          <w:iCs/>
          <w:color w:val="000000"/>
          <w:u w:val="single"/>
          <w:lang w:val="en-GB"/>
        </w:rPr>
        <w:lastRenderedPageBreak/>
        <w:t>Pirmaeilė NSLPV terapija:</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u w:val="single"/>
          <w:lang w:val="en-GB"/>
        </w:rPr>
      </w:pPr>
    </w:p>
    <w:p w:rsidR="00267DDB" w:rsidRPr="00267DDB" w:rsidRDefault="00267DDB" w:rsidP="00267DDB">
      <w:pPr>
        <w:tabs>
          <w:tab w:val="left" w:pos="567"/>
        </w:tabs>
        <w:spacing w:after="0" w:line="260" w:lineRule="exact"/>
        <w:rPr>
          <w:rFonts w:ascii="Times New Roman" w:hAnsi="Times New Roman"/>
          <w:color w:val="000000"/>
          <w:lang w:val="en-GB"/>
        </w:rPr>
      </w:pPr>
      <w:proofErr w:type="gramStart"/>
      <w:r w:rsidRPr="00267DDB">
        <w:rPr>
          <w:rFonts w:ascii="Times New Roman" w:hAnsi="Times New Roman"/>
          <w:color w:val="000000"/>
          <w:lang w:val="en-GB"/>
        </w:rPr>
        <w:t>Daugiacentriu atsitiktinių imčių atviru 3 fazės tyrimu, kuriuo buvo vertinamas pemetreksedo ir cisplatinos derinio, palyginti su gemcitabino ir cisplatinos deriniu, veiksmingumas chemoterapiniais preparatais negydytiems pacientams, sergantiems lokaliai išplitusiu arba metastazavusiu (IIIb arba IV stadijos) nesmulkialąsteliniu plaučių vėžiu (NSLPV), nustatyta, kad pemetreksedo ir cisplatinos deriniu gydyti pacientai (KGP n = 862) išgyveno iki pirmaeilės vertinamosios baigties nustatymo ir kad gydymo veiksmingumas, atsižvelgiant į bendrą išgyvenamumą (pritaikytas RS: 0,94; 95% PI = 0,84 – 1,05), buvo toks pat, kaip gydant gemcitabino ir cisplatinos deriniu (KGP n = 863).</w:t>
      </w:r>
      <w:proofErr w:type="gramEnd"/>
      <w:r w:rsidRPr="00267DDB">
        <w:rPr>
          <w:rFonts w:ascii="Times New Roman" w:hAnsi="Times New Roman"/>
          <w:color w:val="000000"/>
          <w:lang w:val="en-GB"/>
        </w:rPr>
        <w:t xml:space="preserve"> Visų į šį tyrimą įtrauktų pacientų pajėgumas pagal </w:t>
      </w:r>
      <w:r w:rsidRPr="00267DDB">
        <w:rPr>
          <w:rFonts w:ascii="Times New Roman" w:hAnsi="Times New Roman"/>
          <w:i/>
          <w:iCs/>
          <w:color w:val="000000"/>
          <w:lang w:val="en-GB"/>
        </w:rPr>
        <w:t xml:space="preserve">EKOG </w:t>
      </w:r>
      <w:r w:rsidRPr="00267DDB">
        <w:rPr>
          <w:rFonts w:ascii="Times New Roman" w:hAnsi="Times New Roman"/>
          <w:color w:val="000000"/>
          <w:lang w:val="en-GB"/>
        </w:rPr>
        <w:t>buvo 0 arba 1.</w:t>
      </w:r>
    </w:p>
    <w:p w:rsidR="00267DDB" w:rsidRPr="00131C11" w:rsidRDefault="00267DDB" w:rsidP="00267DDB">
      <w:pPr>
        <w:tabs>
          <w:tab w:val="left" w:pos="567"/>
        </w:tabs>
        <w:spacing w:after="0" w:line="260" w:lineRule="exact"/>
        <w:rPr>
          <w:rFonts w:ascii="Times New Roman" w:eastAsia="Times New Roman" w:hAnsi="Times New Roman"/>
          <w:snapToGrid w:val="0"/>
          <w:szCs w:val="24"/>
          <w:lang w:val="pl-PL"/>
        </w:rPr>
      </w:pPr>
      <w:r w:rsidRPr="00131C11">
        <w:rPr>
          <w:rFonts w:ascii="Times New Roman" w:eastAsia="Times New Roman" w:hAnsi="Times New Roman"/>
          <w:snapToGrid w:val="0"/>
          <w:szCs w:val="24"/>
          <w:lang w:val="pl-PL"/>
        </w:rPr>
        <w:t>Pirminio veiksmingumo analizė yra paremta KGP tyrimu. Pagrindinių veiksmingumo vertinamųjų baigčių jautrumo analizė buvo nustatyta ir į protokolą įtrauktiems pacientams (ĮPĮP</w:t>
      </w:r>
      <w:proofErr w:type="gramStart"/>
      <w:r w:rsidRPr="00131C11">
        <w:rPr>
          <w:rFonts w:ascii="Times New Roman" w:eastAsia="Times New Roman" w:hAnsi="Times New Roman"/>
          <w:snapToGrid w:val="0"/>
          <w:szCs w:val="24"/>
          <w:lang w:val="pl-PL"/>
        </w:rPr>
        <w:t>). Veiksmingumo</w:t>
      </w:r>
      <w:proofErr w:type="gramEnd"/>
      <w:r w:rsidRPr="00131C11">
        <w:rPr>
          <w:rFonts w:ascii="Times New Roman" w:eastAsia="Times New Roman" w:hAnsi="Times New Roman"/>
          <w:snapToGrid w:val="0"/>
          <w:szCs w:val="24"/>
          <w:lang w:val="pl-PL"/>
        </w:rPr>
        <w:t xml:space="preserve"> ĮPĮP analizės duomenys derinasi su KGP analizės duomenimis ir patvirtina, kad gydymo AC, palyginti su gydymu GC, kokybė nėra blogesnė.</w:t>
      </w:r>
    </w:p>
    <w:p w:rsidR="00267DDB" w:rsidRPr="00131C11" w:rsidRDefault="00267DDB" w:rsidP="00267DDB">
      <w:pPr>
        <w:tabs>
          <w:tab w:val="left" w:pos="567"/>
        </w:tabs>
        <w:spacing w:after="0" w:line="260" w:lineRule="exact"/>
        <w:rPr>
          <w:rFonts w:ascii="Times New Roman" w:eastAsia="Times New Roman" w:hAnsi="Times New Roman"/>
          <w:snapToGrid w:val="0"/>
          <w:szCs w:val="24"/>
          <w:lang w:val="pl-PL"/>
        </w:rPr>
      </w:pPr>
      <w:r w:rsidRPr="00131C11">
        <w:rPr>
          <w:rFonts w:ascii="Times New Roman" w:eastAsia="Times New Roman" w:hAnsi="Times New Roman"/>
          <w:snapToGrid w:val="0"/>
          <w:szCs w:val="24"/>
          <w:lang w:val="pl-PL"/>
        </w:rPr>
        <w:t>Gydomų grupių ligonių išgyvenimo laikas be ligos progresavimo (LBLP) ir bendras atsako dažnis buvo panašūs: pemetreksedo ir cisplatinos deriniu gydytų ligonių LBLP mediana buvo 4,8 mėn., gydytų gemcitabino ir cisplatinos deriniu − 5,1 mėn. (pritaikytas rizikos santykis: 1,04; 95% PI = 0,94 – 1,15), bendras atsako dažnis − atitinkamai 30,6% (95% PI = 27,3 – 33,9) ir 28,2% (95% PI = 25 – 31,4). LBLP duomenys iš dalies buvo patvirtinti nepriklausoma peržiūra (peržiūrai atsitiktinių imčių būdu buvo atrinkta 400 pacientų iš 1725).</w:t>
      </w:r>
    </w:p>
    <w:p w:rsidR="00267DDB" w:rsidRPr="00131C11" w:rsidRDefault="00267DDB" w:rsidP="00267DDB">
      <w:pPr>
        <w:tabs>
          <w:tab w:val="left" w:pos="567"/>
        </w:tabs>
        <w:spacing w:after="0" w:line="260" w:lineRule="exact"/>
        <w:rPr>
          <w:rFonts w:ascii="Times New Roman" w:eastAsia="Times New Roman" w:hAnsi="Times New Roman"/>
          <w:snapToGrid w:val="0"/>
          <w:szCs w:val="24"/>
          <w:lang w:val="pl-PL"/>
        </w:rPr>
      </w:pPr>
      <w:r w:rsidRPr="00131C11">
        <w:rPr>
          <w:rFonts w:ascii="Times New Roman" w:eastAsia="Times New Roman" w:hAnsi="Times New Roman"/>
          <w:snapToGrid w:val="0"/>
          <w:szCs w:val="24"/>
          <w:lang w:val="pl-PL"/>
        </w:rPr>
        <w:t>NSLPV struktūros įtakos bendram išgyvenamumui analizės duomenys rodo klinikai reikšmingą išgyvenamumo skirtumą priklausomai nuo vėžio struktūros (žr. žemiau esančią lentelę).</w:t>
      </w:r>
    </w:p>
    <w:p w:rsidR="00267DDB" w:rsidRPr="00131C11" w:rsidRDefault="00267DDB" w:rsidP="00267DDB">
      <w:pPr>
        <w:tabs>
          <w:tab w:val="left" w:pos="567"/>
        </w:tabs>
        <w:spacing w:after="0" w:line="260" w:lineRule="exact"/>
        <w:rPr>
          <w:rFonts w:ascii="Times New Roman" w:eastAsia="Times New Roman" w:hAnsi="Times New Roman"/>
          <w:snapToGrid w:val="0"/>
          <w:szCs w:val="24"/>
          <w:lang w:val="pl-PL"/>
        </w:rPr>
      </w:pPr>
    </w:p>
    <w:p w:rsidR="00267DDB" w:rsidRPr="00131C11" w:rsidRDefault="00882C7A" w:rsidP="00267DDB">
      <w:pPr>
        <w:tabs>
          <w:tab w:val="left" w:pos="567"/>
        </w:tabs>
        <w:spacing w:after="0" w:line="260" w:lineRule="exact"/>
        <w:rPr>
          <w:rFonts w:ascii="Times New Roman" w:eastAsia="Times New Roman" w:hAnsi="Times New Roman"/>
          <w:b/>
          <w:snapToGrid w:val="0"/>
          <w:szCs w:val="24"/>
          <w:lang w:val="pl-PL"/>
        </w:rPr>
      </w:pPr>
      <w:r w:rsidRPr="00131C11">
        <w:rPr>
          <w:rFonts w:ascii="Times New Roman" w:eastAsia="Times New Roman" w:hAnsi="Times New Roman"/>
          <w:b/>
          <w:snapToGrid w:val="0"/>
          <w:szCs w:val="24"/>
          <w:lang w:val="pl-PL"/>
        </w:rPr>
        <w:t xml:space="preserve">7 lentelė </w:t>
      </w:r>
      <w:r w:rsidR="00267DDB" w:rsidRPr="00131C11">
        <w:rPr>
          <w:rFonts w:ascii="Times New Roman" w:eastAsia="Times New Roman" w:hAnsi="Times New Roman"/>
          <w:b/>
          <w:snapToGrid w:val="0"/>
          <w:szCs w:val="24"/>
          <w:lang w:val="pl-PL"/>
        </w:rPr>
        <w:t>Pemetreksedo ir cisplatinos derinio, palyginti su gemcitabino ir cisplatinos deriniu, veiksmingumas pirmaeilės NSLPV terapijos metu (KGP ir pogrupiai pagal vėžio audinio struktūrą)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203"/>
        <w:gridCol w:w="850"/>
        <w:gridCol w:w="1261"/>
        <w:gridCol w:w="939"/>
        <w:gridCol w:w="1533"/>
        <w:gridCol w:w="1398"/>
      </w:tblGrid>
      <w:tr w:rsidR="00267DDB" w:rsidRPr="00E209CA" w:rsidTr="00755E27">
        <w:tc>
          <w:tcPr>
            <w:tcW w:w="1951" w:type="dxa"/>
            <w:shd w:val="clear" w:color="auto" w:fill="auto"/>
          </w:tcPr>
          <w:p w:rsidR="00267DDB" w:rsidRPr="00131C11" w:rsidRDefault="00267DDB" w:rsidP="00267DDB">
            <w:pPr>
              <w:tabs>
                <w:tab w:val="left" w:pos="567"/>
              </w:tabs>
              <w:spacing w:after="0" w:line="260" w:lineRule="exact"/>
              <w:rPr>
                <w:rFonts w:ascii="Times New Roman" w:eastAsia="Times New Roman" w:hAnsi="Times New Roman"/>
                <w:b/>
                <w:snapToGrid w:val="0"/>
                <w:szCs w:val="24"/>
                <w:lang w:val="pl-PL"/>
              </w:rPr>
            </w:pPr>
          </w:p>
        </w:tc>
        <w:tc>
          <w:tcPr>
            <w:tcW w:w="4820" w:type="dxa"/>
            <w:gridSpan w:val="4"/>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Vidutinis bendras išgyvenamumas mėnesiais</w:t>
            </w:r>
          </w:p>
          <w:p w:rsidR="00267DDB" w:rsidRPr="00267DDB" w:rsidRDefault="00267DDB" w:rsidP="00267DDB">
            <w:pPr>
              <w:tabs>
                <w:tab w:val="left" w:pos="567"/>
              </w:tabs>
              <w:spacing w:after="0" w:line="260" w:lineRule="exact"/>
              <w:jc w:val="center"/>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(95% PI)</w:t>
            </w:r>
          </w:p>
        </w:tc>
        <w:tc>
          <w:tcPr>
            <w:tcW w:w="1675"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p>
        </w:tc>
        <w:tc>
          <w:tcPr>
            <w:tcW w:w="1408"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p>
        </w:tc>
      </w:tr>
      <w:tr w:rsidR="00267DDB" w:rsidRPr="00E209CA" w:rsidTr="00755E27">
        <w:tc>
          <w:tcPr>
            <w:tcW w:w="1951" w:type="dxa"/>
            <w:shd w:val="clear" w:color="auto" w:fill="auto"/>
          </w:tcPr>
          <w:p w:rsidR="00267DDB" w:rsidRPr="00131C11" w:rsidRDefault="00267DDB" w:rsidP="00267DDB">
            <w:pPr>
              <w:tabs>
                <w:tab w:val="left" w:pos="567"/>
              </w:tabs>
              <w:spacing w:after="0" w:line="260" w:lineRule="exact"/>
              <w:rPr>
                <w:rFonts w:ascii="Times New Roman" w:eastAsia="Times New Roman" w:hAnsi="Times New Roman"/>
                <w:b/>
                <w:snapToGrid w:val="0"/>
                <w:szCs w:val="24"/>
                <w:lang w:val="pl-PL"/>
              </w:rPr>
            </w:pPr>
            <w:r w:rsidRPr="00131C11">
              <w:rPr>
                <w:rFonts w:ascii="Times New Roman" w:eastAsia="Times New Roman" w:hAnsi="Times New Roman"/>
                <w:b/>
                <w:snapToGrid w:val="0"/>
                <w:szCs w:val="24"/>
                <w:lang w:val="pl-PL"/>
              </w:rPr>
              <w:t>KGP ir pogrupiai pagal vėžio struktūrą</w:t>
            </w:r>
          </w:p>
        </w:tc>
        <w:tc>
          <w:tcPr>
            <w:tcW w:w="2271" w:type="dxa"/>
            <w:gridSpan w:val="2"/>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Pemetreksedas + cisplatina</w:t>
            </w:r>
          </w:p>
        </w:tc>
        <w:tc>
          <w:tcPr>
            <w:tcW w:w="2549" w:type="dxa"/>
            <w:gridSpan w:val="2"/>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Gemcitabinas + cisplatina</w:t>
            </w:r>
          </w:p>
        </w:tc>
        <w:tc>
          <w:tcPr>
            <w:tcW w:w="1675"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Pritaikytas RS</w:t>
            </w:r>
          </w:p>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(95% PI)</w:t>
            </w:r>
          </w:p>
        </w:tc>
        <w:tc>
          <w:tcPr>
            <w:tcW w:w="1408"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b/>
                <w:snapToGrid w:val="0"/>
                <w:szCs w:val="24"/>
                <w:lang w:val="en-GB"/>
              </w:rPr>
            </w:pPr>
            <w:r w:rsidRPr="00267DDB">
              <w:rPr>
                <w:rFonts w:ascii="Times New Roman" w:eastAsia="Times New Roman" w:hAnsi="Times New Roman"/>
                <w:b/>
                <w:snapToGrid w:val="0"/>
                <w:szCs w:val="24"/>
                <w:lang w:val="en-GB"/>
              </w:rPr>
              <w:t>Pranašumas p reikšmė</w:t>
            </w:r>
          </w:p>
        </w:tc>
      </w:tr>
      <w:tr w:rsidR="00267DDB" w:rsidRPr="00E209CA" w:rsidTr="00755E27">
        <w:tc>
          <w:tcPr>
            <w:tcW w:w="1951"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KGP</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(N=1725)</w:t>
            </w:r>
          </w:p>
        </w:tc>
        <w:tc>
          <w:tcPr>
            <w:tcW w:w="141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10,3</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(9,8 – 11,2)</w:t>
            </w:r>
          </w:p>
        </w:tc>
        <w:tc>
          <w:tcPr>
            <w:tcW w:w="85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N=862</w:t>
            </w:r>
          </w:p>
        </w:tc>
        <w:tc>
          <w:tcPr>
            <w:tcW w:w="1556"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10,3</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(9,6 – 10,9)</w:t>
            </w:r>
          </w:p>
        </w:tc>
        <w:tc>
          <w:tcPr>
            <w:tcW w:w="99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N=863</w:t>
            </w:r>
          </w:p>
        </w:tc>
        <w:tc>
          <w:tcPr>
            <w:tcW w:w="1675"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0,94</w:t>
            </w:r>
            <w:r w:rsidRPr="00267DDB">
              <w:rPr>
                <w:rFonts w:ascii="Times New Roman" w:eastAsia="Times New Roman" w:hAnsi="Times New Roman"/>
                <w:snapToGrid w:val="0"/>
                <w:szCs w:val="24"/>
                <w:vertAlign w:val="superscript"/>
                <w:lang w:val="en-GB"/>
              </w:rPr>
              <w:t>a</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(0,84 – 1,05)</w:t>
            </w:r>
          </w:p>
        </w:tc>
        <w:tc>
          <w:tcPr>
            <w:tcW w:w="140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0,259</w:t>
            </w:r>
          </w:p>
        </w:tc>
      </w:tr>
      <w:tr w:rsidR="00267DDB" w:rsidRPr="00E209CA" w:rsidTr="00755E27">
        <w:tc>
          <w:tcPr>
            <w:tcW w:w="1951"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Adenokarcinoma</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(N=847)</w:t>
            </w:r>
          </w:p>
        </w:tc>
        <w:tc>
          <w:tcPr>
            <w:tcW w:w="141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12,6</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(10,7 – 13,6)</w:t>
            </w:r>
          </w:p>
        </w:tc>
        <w:tc>
          <w:tcPr>
            <w:tcW w:w="85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N=436</w:t>
            </w:r>
          </w:p>
        </w:tc>
        <w:tc>
          <w:tcPr>
            <w:tcW w:w="1556"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10,9</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(10,2 – 11,9)</w:t>
            </w:r>
          </w:p>
        </w:tc>
        <w:tc>
          <w:tcPr>
            <w:tcW w:w="99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N=411</w:t>
            </w:r>
          </w:p>
        </w:tc>
        <w:tc>
          <w:tcPr>
            <w:tcW w:w="1675"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0,84</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(0,71 – 0,99)</w:t>
            </w:r>
          </w:p>
        </w:tc>
        <w:tc>
          <w:tcPr>
            <w:tcW w:w="140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0,033</w:t>
            </w:r>
          </w:p>
        </w:tc>
      </w:tr>
      <w:tr w:rsidR="00267DDB" w:rsidRPr="00E209CA" w:rsidTr="00755E27">
        <w:tc>
          <w:tcPr>
            <w:tcW w:w="1951"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Stambiųjų ląstelių</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(N=153)</w:t>
            </w:r>
          </w:p>
        </w:tc>
        <w:tc>
          <w:tcPr>
            <w:tcW w:w="141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10,4</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(8,6 – 14,1)</w:t>
            </w:r>
          </w:p>
        </w:tc>
        <w:tc>
          <w:tcPr>
            <w:tcW w:w="85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N=76</w:t>
            </w:r>
          </w:p>
        </w:tc>
        <w:tc>
          <w:tcPr>
            <w:tcW w:w="1556"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6,7</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(5,5 – 9)</w:t>
            </w:r>
          </w:p>
        </w:tc>
        <w:tc>
          <w:tcPr>
            <w:tcW w:w="99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N=77</w:t>
            </w:r>
          </w:p>
        </w:tc>
        <w:tc>
          <w:tcPr>
            <w:tcW w:w="1675"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0,67</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(0,48 – 0,96)</w:t>
            </w:r>
          </w:p>
        </w:tc>
        <w:tc>
          <w:tcPr>
            <w:tcW w:w="140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0,027</w:t>
            </w:r>
          </w:p>
        </w:tc>
      </w:tr>
      <w:tr w:rsidR="00267DDB" w:rsidRPr="00E209CA" w:rsidTr="00755E27">
        <w:tc>
          <w:tcPr>
            <w:tcW w:w="1951"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Kitoks</w:t>
            </w:r>
          </w:p>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(N=252)</w:t>
            </w:r>
          </w:p>
        </w:tc>
        <w:tc>
          <w:tcPr>
            <w:tcW w:w="141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8,6</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(6,8 – 10,2)</w:t>
            </w:r>
          </w:p>
        </w:tc>
        <w:tc>
          <w:tcPr>
            <w:tcW w:w="85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N=106</w:t>
            </w:r>
          </w:p>
        </w:tc>
        <w:tc>
          <w:tcPr>
            <w:tcW w:w="1556"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9,2</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(8,1 – 10,6)</w:t>
            </w:r>
          </w:p>
        </w:tc>
        <w:tc>
          <w:tcPr>
            <w:tcW w:w="99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N=146</w:t>
            </w:r>
          </w:p>
        </w:tc>
        <w:tc>
          <w:tcPr>
            <w:tcW w:w="1675"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1,08</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(0,81 – 1,45)</w:t>
            </w:r>
          </w:p>
        </w:tc>
        <w:tc>
          <w:tcPr>
            <w:tcW w:w="140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0,586</w:t>
            </w:r>
          </w:p>
        </w:tc>
      </w:tr>
      <w:tr w:rsidR="00267DDB" w:rsidRPr="00E209CA" w:rsidTr="00755E27">
        <w:tc>
          <w:tcPr>
            <w:tcW w:w="1951"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Plokščiųjų ląstelių (N=473)</w:t>
            </w:r>
          </w:p>
        </w:tc>
        <w:tc>
          <w:tcPr>
            <w:tcW w:w="141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9,4</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(8,4 – 10,2)</w:t>
            </w:r>
          </w:p>
        </w:tc>
        <w:tc>
          <w:tcPr>
            <w:tcW w:w="85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N=244</w:t>
            </w:r>
          </w:p>
        </w:tc>
        <w:tc>
          <w:tcPr>
            <w:tcW w:w="1556"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10,8</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(9,5 – 12,1)</w:t>
            </w:r>
          </w:p>
        </w:tc>
        <w:tc>
          <w:tcPr>
            <w:tcW w:w="993" w:type="dxa"/>
            <w:shd w:val="clear" w:color="auto" w:fill="auto"/>
          </w:tcPr>
          <w:p w:rsidR="00267DDB" w:rsidRPr="00267DDB" w:rsidRDefault="00267DDB" w:rsidP="00267DDB">
            <w:pPr>
              <w:tabs>
                <w:tab w:val="left" w:pos="567"/>
              </w:tabs>
              <w:spacing w:after="0" w:line="260" w:lineRule="exact"/>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N=229</w:t>
            </w:r>
          </w:p>
        </w:tc>
        <w:tc>
          <w:tcPr>
            <w:tcW w:w="1675"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1,23</w:t>
            </w:r>
          </w:p>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(1-1,51)</w:t>
            </w:r>
          </w:p>
        </w:tc>
        <w:tc>
          <w:tcPr>
            <w:tcW w:w="1408" w:type="dxa"/>
            <w:shd w:val="clear" w:color="auto" w:fill="auto"/>
          </w:tcPr>
          <w:p w:rsidR="00267DDB" w:rsidRPr="00267DDB" w:rsidRDefault="00267DDB" w:rsidP="00267DDB">
            <w:pPr>
              <w:tabs>
                <w:tab w:val="left" w:pos="567"/>
              </w:tabs>
              <w:spacing w:after="0" w:line="260" w:lineRule="exact"/>
              <w:jc w:val="center"/>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0,050</w:t>
            </w:r>
          </w:p>
        </w:tc>
      </w:tr>
    </w:tbl>
    <w:p w:rsidR="00267DDB" w:rsidRPr="00131C11" w:rsidRDefault="00267DDB" w:rsidP="00267DDB">
      <w:pPr>
        <w:widowControl w:val="0"/>
        <w:autoSpaceDE w:val="0"/>
        <w:autoSpaceDN w:val="0"/>
        <w:adjustRightInd w:val="0"/>
        <w:spacing w:after="0" w:line="240" w:lineRule="auto"/>
        <w:rPr>
          <w:rFonts w:ascii="Times New Roman" w:hAnsi="Times New Roman"/>
          <w:color w:val="000000"/>
          <w:sz w:val="18"/>
          <w:szCs w:val="18"/>
        </w:rPr>
      </w:pPr>
      <w:r w:rsidRPr="00131C11">
        <w:rPr>
          <w:rFonts w:ascii="Times New Roman" w:hAnsi="Times New Roman"/>
          <w:color w:val="000000"/>
          <w:sz w:val="18"/>
          <w:szCs w:val="18"/>
        </w:rPr>
        <w:t>Santrumpos: PI − pasikliautinasis intervalas, KGP − ketinti gydyti pacientai, N − bendras tiriamųjų skaičius.</w:t>
      </w:r>
    </w:p>
    <w:p w:rsidR="00267DDB" w:rsidRPr="00131C11" w:rsidRDefault="00267DDB" w:rsidP="00267DDB">
      <w:pPr>
        <w:widowControl w:val="0"/>
        <w:autoSpaceDE w:val="0"/>
        <w:autoSpaceDN w:val="0"/>
        <w:adjustRightInd w:val="0"/>
        <w:spacing w:after="0" w:line="240" w:lineRule="auto"/>
        <w:rPr>
          <w:rFonts w:ascii="Times New Roman" w:hAnsi="Times New Roman"/>
          <w:color w:val="000000"/>
          <w:sz w:val="18"/>
          <w:szCs w:val="18"/>
        </w:rPr>
      </w:pPr>
      <w:r w:rsidRPr="00131C11">
        <w:rPr>
          <w:rFonts w:ascii="Times New Roman" w:hAnsi="Times New Roman"/>
          <w:color w:val="000000"/>
          <w:sz w:val="18"/>
          <w:szCs w:val="18"/>
          <w:vertAlign w:val="superscript"/>
        </w:rPr>
        <w:t>a</w:t>
      </w:r>
      <w:r w:rsidRPr="00131C11">
        <w:rPr>
          <w:rFonts w:ascii="Times New Roman" w:hAnsi="Times New Roman"/>
          <w:color w:val="000000"/>
          <w:sz w:val="18"/>
          <w:szCs w:val="18"/>
        </w:rPr>
        <w:t xml:space="preserve"> Statistikai reikšmingas neblogesnei kokybei, kai visiškas pasikliautinasis RS intervalas gerokai mažesnis už neblogesnės kokybės ribą 1,17645 (p &lt; 0,001)</w:t>
      </w:r>
    </w:p>
    <w:p w:rsidR="00267DDB" w:rsidRPr="00131C11" w:rsidRDefault="00267DDB" w:rsidP="00267DDB">
      <w:pPr>
        <w:widowControl w:val="0"/>
        <w:autoSpaceDE w:val="0"/>
        <w:autoSpaceDN w:val="0"/>
        <w:adjustRightInd w:val="0"/>
        <w:spacing w:after="0" w:line="240" w:lineRule="auto"/>
        <w:rPr>
          <w:rFonts w:ascii="Times New Roman" w:hAnsi="Times New Roman"/>
          <w:color w:val="000000"/>
        </w:rPr>
      </w:pPr>
    </w:p>
    <w:p w:rsidR="00267DDB" w:rsidRPr="00131C11" w:rsidRDefault="00267DDB" w:rsidP="00267DDB">
      <w:pPr>
        <w:widowControl w:val="0"/>
        <w:autoSpaceDE w:val="0"/>
        <w:autoSpaceDN w:val="0"/>
        <w:adjustRightInd w:val="0"/>
        <w:spacing w:after="0" w:line="240" w:lineRule="auto"/>
        <w:rPr>
          <w:rFonts w:ascii="Times New Roman" w:hAnsi="Times New Roman"/>
          <w:b/>
          <w:color w:val="000000"/>
        </w:rPr>
      </w:pPr>
      <w:r w:rsidRPr="00131C11">
        <w:rPr>
          <w:rFonts w:ascii="Times New Roman" w:hAnsi="Times New Roman"/>
          <w:b/>
          <w:i/>
          <w:color w:val="000000"/>
        </w:rPr>
        <w:t>Kaplan Meier</w:t>
      </w:r>
      <w:r w:rsidRPr="00131C11">
        <w:rPr>
          <w:rFonts w:ascii="Times New Roman" w:hAnsi="Times New Roman"/>
          <w:b/>
          <w:color w:val="000000"/>
        </w:rPr>
        <w:t xml:space="preserve"> bendro išgyvenamumo priklausomai nuo vėžio audinio struktūros diagramos</w:t>
      </w:r>
    </w:p>
    <w:p w:rsidR="00267DDB" w:rsidRPr="00267DDB" w:rsidRDefault="005907E0" w:rsidP="00267DDB">
      <w:pPr>
        <w:widowControl w:val="0"/>
        <w:autoSpaceDE w:val="0"/>
        <w:autoSpaceDN w:val="0"/>
        <w:adjustRightInd w:val="0"/>
        <w:spacing w:after="0" w:line="240" w:lineRule="auto"/>
        <w:rPr>
          <w:rFonts w:ascii="Times New Roman" w:hAnsi="Times New Roman"/>
          <w:b/>
          <w:noProof/>
          <w:color w:val="000000"/>
          <w:lang w:val="en-US"/>
        </w:rPr>
      </w:pPr>
      <w:r w:rsidRPr="00E209CA">
        <w:rPr>
          <w:rFonts w:ascii="Times New Roman" w:hAnsi="Times New Roman"/>
          <w:b/>
          <w:noProof/>
          <w:color w:val="000000"/>
          <w:lang w:eastAsia="lt-LT"/>
        </w:rPr>
        <w:lastRenderedPageBreak/>
        <w:drawing>
          <wp:inline distT="0" distB="0" distL="0" distR="0">
            <wp:extent cx="6115050" cy="2781300"/>
            <wp:effectExtent l="0" t="0" r="0" b="0"/>
            <wp:docPr id="1"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rsidR="00267DDB" w:rsidRPr="00267DDB" w:rsidRDefault="00267DDB" w:rsidP="00267DDB">
      <w:pPr>
        <w:spacing w:after="0" w:line="240" w:lineRule="auto"/>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Gydant skirtingos struktūros vėžį, klinikai reikšmingo pemetreksedo ir cisplatinos derinio saugumo skirtumo nepastebėta.</w:t>
      </w:r>
    </w:p>
    <w:p w:rsidR="00267DDB" w:rsidRPr="00267DDB" w:rsidRDefault="00267DDB" w:rsidP="00267DDB">
      <w:pPr>
        <w:spacing w:after="0" w:line="240" w:lineRule="auto"/>
        <w:rPr>
          <w:rFonts w:ascii="Times New Roman" w:eastAsia="Times New Roman" w:hAnsi="Times New Roman"/>
          <w:snapToGrid w:val="0"/>
          <w:szCs w:val="24"/>
          <w:lang w:val="en-GB"/>
        </w:rPr>
      </w:pPr>
      <w:r w:rsidRPr="00267DDB">
        <w:rPr>
          <w:rFonts w:ascii="Times New Roman" w:eastAsia="Times New Roman" w:hAnsi="Times New Roman"/>
          <w:snapToGrid w:val="0"/>
          <w:szCs w:val="24"/>
          <w:lang w:val="en-GB"/>
        </w:rPr>
        <w:t>Pemetreksedo ir cisplatinos deriniu gydomiems pacientams rečiau reikėjo kraujo transfuzijos (16</w:t>
      </w:r>
      <w:proofErr w:type="gramStart"/>
      <w:r w:rsidRPr="00267DDB">
        <w:rPr>
          <w:rFonts w:ascii="Times New Roman" w:eastAsia="Times New Roman" w:hAnsi="Times New Roman"/>
          <w:snapToGrid w:val="0"/>
          <w:szCs w:val="24"/>
          <w:lang w:val="en-GB"/>
        </w:rPr>
        <w:t>,4</w:t>
      </w:r>
      <w:proofErr w:type="gramEnd"/>
      <w:r w:rsidRPr="00267DDB">
        <w:rPr>
          <w:rFonts w:ascii="Times New Roman" w:eastAsia="Times New Roman" w:hAnsi="Times New Roman"/>
          <w:snapToGrid w:val="0"/>
          <w:szCs w:val="24"/>
          <w:lang w:val="en-GB"/>
        </w:rPr>
        <w:t>%, palyginti su 28,9%; p &lt; 0,001), eritrocitų transfuzijos (16,1%, palyginti su 27,3%; p &lt; 0,001) ir trombocitų transfuzijos (1,8%, palyginti su 4,5%; p = 0,002). Be to, pacientus rečiau reikėjo gydyti eritropoetinu ar darbopoetinu (10</w:t>
      </w:r>
      <w:proofErr w:type="gramStart"/>
      <w:r w:rsidRPr="00267DDB">
        <w:rPr>
          <w:rFonts w:ascii="Times New Roman" w:eastAsia="Times New Roman" w:hAnsi="Times New Roman"/>
          <w:snapToGrid w:val="0"/>
          <w:szCs w:val="24"/>
          <w:lang w:val="en-GB"/>
        </w:rPr>
        <w:t>,4</w:t>
      </w:r>
      <w:proofErr w:type="gramEnd"/>
      <w:r w:rsidRPr="00267DDB">
        <w:rPr>
          <w:rFonts w:ascii="Times New Roman" w:eastAsia="Times New Roman" w:hAnsi="Times New Roman"/>
          <w:snapToGrid w:val="0"/>
          <w:szCs w:val="24"/>
          <w:lang w:val="en-GB"/>
        </w:rPr>
        <w:t>%, palyginti su 18,1%; p &lt; 0,001), G-CSF/GM-CSF (3,1%, palyginti su 6,1%; p = 0,004) bei geležies preparatais (4,3%, palyginti su 7%; p = 0,021).</w:t>
      </w:r>
    </w:p>
    <w:p w:rsidR="00267DDB" w:rsidRPr="00267DDB" w:rsidRDefault="00267DDB" w:rsidP="00267DDB">
      <w:pPr>
        <w:spacing w:after="0" w:line="240" w:lineRule="auto"/>
        <w:rPr>
          <w:rFonts w:ascii="Times New Roman" w:eastAsia="Times New Roman" w:hAnsi="Times New Roman"/>
          <w:snapToGrid w:val="0"/>
          <w:szCs w:val="24"/>
          <w:lang w:val="en-GB"/>
        </w:rPr>
      </w:pPr>
    </w:p>
    <w:p w:rsidR="00267DDB" w:rsidRPr="00267DDB" w:rsidRDefault="00267DDB" w:rsidP="00267DDB">
      <w:pPr>
        <w:spacing w:after="0" w:line="240" w:lineRule="auto"/>
        <w:rPr>
          <w:rFonts w:ascii="Times New Roman" w:eastAsia="Times New Roman" w:hAnsi="Times New Roman"/>
          <w:snapToGrid w:val="0"/>
          <w:szCs w:val="24"/>
          <w:u w:val="single"/>
          <w:lang w:val="en-GB"/>
        </w:rPr>
      </w:pPr>
      <w:r w:rsidRPr="00267DDB">
        <w:rPr>
          <w:rFonts w:ascii="Times New Roman" w:eastAsia="Times New Roman" w:hAnsi="Times New Roman"/>
          <w:snapToGrid w:val="0"/>
          <w:szCs w:val="24"/>
          <w:u w:val="single"/>
          <w:lang w:val="en-GB"/>
        </w:rPr>
        <w:t>Palaikomoji NSLPV terapija:</w:t>
      </w:r>
    </w:p>
    <w:p w:rsidR="00267DDB" w:rsidRPr="00267DDB" w:rsidRDefault="00267DDB" w:rsidP="00267DDB">
      <w:pPr>
        <w:spacing w:after="0" w:line="240" w:lineRule="auto"/>
        <w:rPr>
          <w:rFonts w:ascii="Times New Roman" w:eastAsia="Times New Roman" w:hAnsi="Times New Roman"/>
          <w:snapToGrid w:val="0"/>
          <w:szCs w:val="24"/>
          <w:lang w:val="en-GB"/>
        </w:rPr>
      </w:pPr>
    </w:p>
    <w:p w:rsidR="00267DDB" w:rsidRPr="00267DDB" w:rsidRDefault="00267DDB" w:rsidP="00267DDB">
      <w:pPr>
        <w:spacing w:after="0" w:line="240" w:lineRule="auto"/>
        <w:rPr>
          <w:rFonts w:ascii="Times New Roman" w:eastAsia="Times New Roman" w:hAnsi="Times New Roman"/>
          <w:snapToGrid w:val="0"/>
          <w:u w:val="single"/>
          <w:lang w:val="en-GB"/>
        </w:rPr>
      </w:pPr>
      <w:r w:rsidRPr="00267DDB">
        <w:rPr>
          <w:rFonts w:ascii="Times New Roman" w:eastAsia="Times New Roman" w:hAnsi="Times New Roman"/>
          <w:snapToGrid w:val="0"/>
          <w:u w:val="single"/>
          <w:lang w:val="en-GB"/>
        </w:rPr>
        <w:t>JMEN</w:t>
      </w:r>
    </w:p>
    <w:p w:rsidR="00267DDB" w:rsidRPr="00267DDB" w:rsidRDefault="00267DDB" w:rsidP="00267DDB">
      <w:pPr>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Daugiacentrio, atsitiktinių imčių, dvigubai aklo, placebu kontroliuojamo III fazės tyrimo (JMEN) metu buvo lyginamas palaikomojo gydymo pemetreksedu kartu su geriausia paremiamąja slauga (</w:t>
      </w:r>
      <w:proofErr w:type="gramStart"/>
      <w:r w:rsidRPr="00267DDB">
        <w:rPr>
          <w:rFonts w:ascii="Times New Roman" w:eastAsia="Times New Roman" w:hAnsi="Times New Roman"/>
          <w:snapToGrid w:val="0"/>
          <w:lang w:val="en-GB"/>
        </w:rPr>
        <w:t>angl</w:t>
      </w:r>
      <w:proofErr w:type="gramEnd"/>
      <w:r w:rsidRPr="00267DDB">
        <w:rPr>
          <w:rFonts w:ascii="Times New Roman" w:eastAsia="Times New Roman" w:hAnsi="Times New Roman"/>
          <w:snapToGrid w:val="0"/>
          <w:lang w:val="en-GB"/>
        </w:rPr>
        <w:t>. BSC) (n = 441) arba placebu kartu su BSC (n = 222) veiksmingumas ir saugumas pacientams, sergantiems lokaliu progresavusiu (III B stadijos) arba metastazavusiu (IV stadijos) nesmulkialąsteliniu plaučių vėžiu (NSLPV), kuriems liga po 4 pirmaeilės dvigubos terapijos cisplatinos arba karboplatinos deriniu su gemcitabinu, paklitakseliu arba docetakseliu neprogresavo. Pirmaeilė dviguba terapija, įjungianti pemetreksedą, netaikyta. Visų šiame tyrime dalyvavusių pacientų pajėgumas pagal ECOG buvo 0 arba 1. Palaikomasis gydymas buvo taikomas iki ligos progresavimo pradžios. Veiksmingumas ir saugumas buvo vertinti nuo atsitiktinių imčių būdu suskirstymo laiko po pirmaeilės terapijos (įvadinės) pabaigos. Pacientams buvo taikyta vidutiniškai 5 palaikomojo gydymo pemetreksedu ciklai arba 3</w:t>
      </w:r>
      <w:proofErr w:type="gramStart"/>
      <w:r w:rsidRPr="00267DDB">
        <w:rPr>
          <w:rFonts w:ascii="Times New Roman" w:eastAsia="Times New Roman" w:hAnsi="Times New Roman"/>
          <w:snapToGrid w:val="0"/>
          <w:lang w:val="en-GB"/>
        </w:rPr>
        <w:t>,5</w:t>
      </w:r>
      <w:proofErr w:type="gramEnd"/>
      <w:r w:rsidRPr="00267DDB">
        <w:rPr>
          <w:rFonts w:ascii="Times New Roman" w:eastAsia="Times New Roman" w:hAnsi="Times New Roman"/>
          <w:snapToGrid w:val="0"/>
          <w:lang w:val="en-GB"/>
        </w:rPr>
        <w:t xml:space="preserve"> palaikomojo gydymo placebu ciklai. ≥ 6 gydymo pemetreksedu ciklus baigė iš viso 213 pacientų (48</w:t>
      </w:r>
      <w:proofErr w:type="gramStart"/>
      <w:r w:rsidRPr="00267DDB">
        <w:rPr>
          <w:rFonts w:ascii="Times New Roman" w:eastAsia="Times New Roman" w:hAnsi="Times New Roman"/>
          <w:snapToGrid w:val="0"/>
          <w:lang w:val="en-GB"/>
        </w:rPr>
        <w:t>,3</w:t>
      </w:r>
      <w:proofErr w:type="gramEnd"/>
      <w:r w:rsidRPr="00267DDB">
        <w:rPr>
          <w:rFonts w:ascii="Times New Roman" w:eastAsia="Times New Roman" w:hAnsi="Times New Roman"/>
          <w:snapToGrid w:val="0"/>
          <w:lang w:val="en-GB"/>
        </w:rPr>
        <w:t>%), ≥ 10 ciklų − iš viso 103 pacientai (23,4%).</w:t>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 xml:space="preserve">Tyrimo metu pirmaeilė vertinamoji baigtis buvo nustatyta, ir </w:t>
      </w:r>
      <w:proofErr w:type="gramStart"/>
      <w:r w:rsidRPr="00267DDB">
        <w:rPr>
          <w:rFonts w:ascii="Times New Roman" w:eastAsia="Times New Roman" w:hAnsi="Times New Roman"/>
          <w:snapToGrid w:val="0"/>
          <w:lang w:val="en-GB"/>
        </w:rPr>
        <w:t>jo</w:t>
      </w:r>
      <w:proofErr w:type="gramEnd"/>
      <w:r w:rsidRPr="00267DDB">
        <w:rPr>
          <w:rFonts w:ascii="Times New Roman" w:eastAsia="Times New Roman" w:hAnsi="Times New Roman"/>
          <w:snapToGrid w:val="0"/>
          <w:lang w:val="en-GB"/>
        </w:rPr>
        <w:t xml:space="preserve"> rezultatai rodo, kad pemetreksedu gydytiems ligoniams statistiškai reikšmingai pailgėjo laikas be ligos progresavimo, palyginti su vartojusiais placebą (n = 581, nepriklausomai peržiūrėta populiacija; atitinkamai vidutiniškai 4 mėn. ir 2 mėn.) (</w:t>
      </w:r>
      <w:proofErr w:type="gramStart"/>
      <w:r w:rsidRPr="00267DDB">
        <w:rPr>
          <w:rFonts w:ascii="Times New Roman" w:eastAsia="Times New Roman" w:hAnsi="Times New Roman"/>
          <w:snapToGrid w:val="0"/>
          <w:lang w:val="en-GB"/>
        </w:rPr>
        <w:t>rizikos</w:t>
      </w:r>
      <w:proofErr w:type="gramEnd"/>
      <w:r w:rsidRPr="00267DDB">
        <w:rPr>
          <w:rFonts w:ascii="Times New Roman" w:eastAsia="Times New Roman" w:hAnsi="Times New Roman"/>
          <w:snapToGrid w:val="0"/>
          <w:lang w:val="en-GB"/>
        </w:rPr>
        <w:t xml:space="preserve"> santykis: 0,60; 95% PI: 0,49-0,73; p &lt; 0,00001). Nepriklausoma pacientų vaizdų peržiūra patvirtino tyrėjo gautus laiko be ligos progresavimo vertinimo rezultatus. Iš visos populiacijos (n = 663) vidutinė bendro išgyvenamumo trukmė pemetreksedu gydytiems pacientams buvo 13</w:t>
      </w:r>
      <w:proofErr w:type="gramStart"/>
      <w:r w:rsidRPr="00267DDB">
        <w:rPr>
          <w:rFonts w:ascii="Times New Roman" w:eastAsia="Times New Roman" w:hAnsi="Times New Roman"/>
          <w:snapToGrid w:val="0"/>
          <w:lang w:val="en-GB"/>
        </w:rPr>
        <w:t>,4</w:t>
      </w:r>
      <w:proofErr w:type="gramEnd"/>
      <w:r w:rsidRPr="00267DDB">
        <w:rPr>
          <w:rFonts w:ascii="Times New Roman" w:eastAsia="Times New Roman" w:hAnsi="Times New Roman"/>
          <w:snapToGrid w:val="0"/>
          <w:lang w:val="en-GB"/>
        </w:rPr>
        <w:t xml:space="preserve"> mėn., gydytiems placebu − 10,6 mėn. (</w:t>
      </w:r>
      <w:proofErr w:type="gramStart"/>
      <w:r w:rsidRPr="00267DDB">
        <w:rPr>
          <w:rFonts w:ascii="Times New Roman" w:eastAsia="Times New Roman" w:hAnsi="Times New Roman"/>
          <w:snapToGrid w:val="0"/>
          <w:lang w:val="en-GB"/>
        </w:rPr>
        <w:t>rizikos</w:t>
      </w:r>
      <w:proofErr w:type="gramEnd"/>
      <w:r w:rsidRPr="00267DDB">
        <w:rPr>
          <w:rFonts w:ascii="Times New Roman" w:eastAsia="Times New Roman" w:hAnsi="Times New Roman"/>
          <w:snapToGrid w:val="0"/>
          <w:lang w:val="en-GB"/>
        </w:rPr>
        <w:t xml:space="preserve"> santykis: 0,79; 95% PI: 0,65-0,95; p = 0,01192).</w:t>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autoSpaceDE w:val="0"/>
        <w:autoSpaceDN w:val="0"/>
        <w:adjustRightInd w:val="0"/>
        <w:spacing w:after="0" w:line="240" w:lineRule="auto"/>
        <w:rPr>
          <w:rFonts w:ascii="Times New Roman" w:hAnsi="Times New Roman"/>
          <w:color w:val="000000"/>
        </w:rPr>
      </w:pPr>
      <w:r w:rsidRPr="00267DDB">
        <w:rPr>
          <w:rFonts w:ascii="Times New Roman" w:eastAsia="SimSun" w:hAnsi="Times New Roman"/>
          <w:color w:val="000000"/>
          <w:lang w:eastAsia="zh-CN"/>
        </w:rPr>
        <w:t xml:space="preserve">Neprieštaraujant kitiems pemetreksedo tyrimų duomenims, JMEN tyrimo metu stebėtas veiksmingumo skirtumas, atsižvelgiant į NSLPV histologiją. NSLPV, tačiau ne tokiu, kuriame vyrauja plokščiosios ląstelės, sergantiems pacientams (n = 430, nepriklausomai peržiūrėta populiacija), gydant pemetreksedu, vidutinis laikas be ligos progresavimo buvo 4,4 mėn., gydant placebu − 1,8 mėn. (rizikos </w:t>
      </w:r>
      <w:r w:rsidRPr="00267DDB">
        <w:rPr>
          <w:rFonts w:ascii="Times New Roman" w:hAnsi="Times New Roman"/>
          <w:color w:val="000000"/>
        </w:rPr>
        <w:t xml:space="preserve">santykis: 0,47; 95% PI: 0,37-0,60; p = 0,00001). Iš visų NSLPV, tačiau ne tokiu, kuriame vyrauja plokščiosios ląstelės, sergančių pacientų (n = 481) Pemetreksedu gydytiems pacientams vidutinė bendro išgyvenamumo trukmė buvo 15,5 mėn., gydytiems placebu − 10,3 mėn. (rizikos </w:t>
      </w:r>
      <w:r w:rsidRPr="00267DDB">
        <w:rPr>
          <w:rFonts w:ascii="Times New Roman" w:hAnsi="Times New Roman"/>
          <w:color w:val="000000"/>
        </w:rPr>
        <w:lastRenderedPageBreak/>
        <w:t xml:space="preserve">santykis: 0,70; 95% PI: 0,56-0,88; p = 0,002). Įskaitant įvadinę gydymo fazę, NSLPV, tačiau ne tokiu, kuriame vyrauja plokščiosios ląstelės, sergantiems pacientams vidutinė bendro išgyvenamumo trukmė, gydant pemetreksedu, buvo 18,6 mėn., gydant placebu − 13,6 mėn. (rizikos santykis: 0,71; 95% PI: 0,56-0,88; p = 0,002). </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rPr>
      </w:pPr>
      <w:r w:rsidRPr="00267DDB">
        <w:rPr>
          <w:rFonts w:ascii="Times New Roman" w:hAnsi="Times New Roman"/>
          <w:color w:val="000000"/>
        </w:rPr>
        <w:t xml:space="preserve">Pacientų, sergančių NSLPV, kuriame vyrauja plokščiosios ląstelės, laiko be ligos progresavimo ir bendro išgyvenamumo trukmės tyrimo rezultatai nerodo, kad gydymas pemetreksedu būtų pranašesnis už gydymą placebu. </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rPr>
      </w:pPr>
      <w:r w:rsidRPr="00267DDB">
        <w:rPr>
          <w:rFonts w:ascii="Times New Roman" w:hAnsi="Times New Roman"/>
          <w:color w:val="000000"/>
        </w:rPr>
        <w:t xml:space="preserve">Pogrupių pagal histologinių tyrimų duomenis pacientams kliniškai reikšmingo pemetreksedo saugumo skirtumo nebuvo. </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rPr>
      </w:pP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hAnsi="Times New Roman"/>
          <w:b/>
          <w:bCs/>
          <w:color w:val="000000"/>
        </w:rPr>
        <w:t xml:space="preserve">JMEN. Pemetreksedo, palyginti su placebu, gydytų pacientų, sergančių NSLPV, tačiau ne tokiu, kuriame vyrauja plokščiosios ląstelės, laiko be ligos progresavimo ir bendros išgyvenamumo trukmės </w:t>
      </w:r>
      <w:r w:rsidRPr="00267DDB">
        <w:rPr>
          <w:rFonts w:ascii="Times New Roman" w:hAnsi="Times New Roman"/>
          <w:b/>
          <w:bCs/>
          <w:i/>
          <w:color w:val="000000"/>
        </w:rPr>
        <w:t>Kaplan Meier</w:t>
      </w:r>
      <w:r w:rsidRPr="00267DDB">
        <w:rPr>
          <w:rFonts w:ascii="Times New Roman" w:hAnsi="Times New Roman"/>
          <w:b/>
          <w:bCs/>
          <w:color w:val="000000"/>
        </w:rPr>
        <w:t xml:space="preserve"> diagramos.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5907E0" w:rsidP="00267DDB">
      <w:pPr>
        <w:spacing w:after="0" w:line="240" w:lineRule="auto"/>
        <w:rPr>
          <w:rFonts w:ascii="Times New Roman" w:eastAsia="Times New Roman" w:hAnsi="Times New Roman"/>
          <w:snapToGrid w:val="0"/>
          <w:szCs w:val="24"/>
          <w:lang w:val="en-GB"/>
        </w:rPr>
      </w:pPr>
      <w:r w:rsidRPr="00E209CA">
        <w:rPr>
          <w:rFonts w:ascii="Times New Roman" w:eastAsia="Times New Roman" w:hAnsi="Times New Roman"/>
          <w:noProof/>
          <w:szCs w:val="24"/>
          <w:lang w:eastAsia="lt-LT"/>
        </w:rPr>
        <w:drawing>
          <wp:inline distT="0" distB="0" distL="0" distR="0">
            <wp:extent cx="6115050" cy="2600325"/>
            <wp:effectExtent l="0" t="0" r="0" b="0"/>
            <wp:docPr id="2" name="Picture 2"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etrexed_Lilly_EMA_LT_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600325"/>
                    </a:xfrm>
                    <a:prstGeom prst="rect">
                      <a:avLst/>
                    </a:prstGeom>
                    <a:noFill/>
                    <a:ln>
                      <a:noFill/>
                    </a:ln>
                  </pic:spPr>
                </pic:pic>
              </a:graphicData>
            </a:graphic>
          </wp:inline>
        </w:drawing>
      </w:r>
    </w:p>
    <w:p w:rsidR="00267DDB" w:rsidRPr="00267DDB" w:rsidRDefault="00267DDB" w:rsidP="00267DDB">
      <w:pPr>
        <w:spacing w:after="0" w:line="240" w:lineRule="auto"/>
        <w:rPr>
          <w:rFonts w:ascii="Times New Roman" w:eastAsia="Times New Roman" w:hAnsi="Times New Roman"/>
          <w:snapToGrid w:val="0"/>
          <w:szCs w:val="24"/>
          <w:lang w:val="en-GB"/>
        </w:rPr>
      </w:pPr>
    </w:p>
    <w:p w:rsidR="00267DDB" w:rsidRPr="00267DDB" w:rsidRDefault="00267DDB" w:rsidP="00267DDB">
      <w:pPr>
        <w:widowControl w:val="0"/>
        <w:autoSpaceDE w:val="0"/>
        <w:autoSpaceDN w:val="0"/>
        <w:adjustRightInd w:val="0"/>
        <w:spacing w:after="0" w:line="240" w:lineRule="auto"/>
        <w:rPr>
          <w:rFonts w:ascii="Times New Roman" w:hAnsi="Times New Roman"/>
          <w:color w:val="000000"/>
          <w:u w:val="single"/>
          <w:lang w:val="en-GB"/>
        </w:rPr>
      </w:pPr>
      <w:r w:rsidRPr="00267DDB">
        <w:rPr>
          <w:rFonts w:ascii="Times New Roman" w:hAnsi="Times New Roman"/>
          <w:iCs/>
          <w:color w:val="000000"/>
          <w:u w:val="single"/>
          <w:lang w:val="en-GB"/>
        </w:rPr>
        <w:t xml:space="preserve">PARAMOUNT </w:t>
      </w:r>
    </w:p>
    <w:p w:rsidR="00267DDB" w:rsidRPr="00267DDB" w:rsidRDefault="00267DDB" w:rsidP="00267DDB">
      <w:pPr>
        <w:spacing w:after="0" w:line="240" w:lineRule="auto"/>
        <w:rPr>
          <w:rFonts w:ascii="Times New Roman" w:hAnsi="Times New Roman"/>
          <w:color w:val="000000"/>
          <w:highlight w:val="green"/>
          <w:lang w:val="en-GB"/>
        </w:rPr>
      </w:pPr>
      <w:proofErr w:type="gramStart"/>
      <w:r w:rsidRPr="00267DDB">
        <w:rPr>
          <w:rFonts w:ascii="Times New Roman" w:hAnsi="Times New Roman"/>
          <w:color w:val="000000"/>
          <w:lang w:val="en-GB"/>
        </w:rPr>
        <w:t>Keliuose centruose buvo atliktas atsitiktinių imčių dvigubai aklas placebu kontroliuojamasis III fazės tyrimas (PARAMOUNT), kurio metu tęstinio gydymo pemetreksedu kartu su BSC (n = 359) veiksmingumas ir saugumas buvo palygintas su gydymu placebu kartu su BSC (n = 180) pacientams, sergantiems lokaliai progresavusiu (III B stadijos) arba metastazavusiu (IV stadijos) NSLPV, kitokios nei vyraujanti plokščiųjų ląstelių histologijos, kuriems liga neprogresavo po 4 pirmaeilės dvigubos terapijos pemetreksedo kartu su cisplatina kursų.</w:t>
      </w:r>
      <w:proofErr w:type="gramEnd"/>
      <w:r w:rsidRPr="00267DDB">
        <w:rPr>
          <w:rFonts w:ascii="Times New Roman" w:hAnsi="Times New Roman"/>
          <w:color w:val="000000"/>
          <w:lang w:val="en-GB"/>
        </w:rPr>
        <w:t xml:space="preserve"> Iš 939 pacientų, kuriems taikytas indukcinis gydymas Pemetreksedo kartu su cisplatina, </w:t>
      </w:r>
      <w:proofErr w:type="gramStart"/>
      <w:r w:rsidRPr="00267DDB">
        <w:rPr>
          <w:rFonts w:ascii="Times New Roman" w:hAnsi="Times New Roman"/>
          <w:color w:val="000000"/>
          <w:lang w:val="en-GB"/>
        </w:rPr>
        <w:t>539 pacientai</w:t>
      </w:r>
      <w:proofErr w:type="gramEnd"/>
      <w:r w:rsidRPr="00267DDB">
        <w:rPr>
          <w:rFonts w:ascii="Times New Roman" w:hAnsi="Times New Roman"/>
          <w:color w:val="000000"/>
          <w:lang w:val="en-GB"/>
        </w:rPr>
        <w:t xml:space="preserve"> buvo atsitiktinių imčių būdu atrinkti palaikomajam gydymui pemetreksedu arba placebu. Iš atsitiktinių imčių būdu atrinktų pacientų, 44</w:t>
      </w:r>
      <w:proofErr w:type="gramStart"/>
      <w:r w:rsidRPr="00267DDB">
        <w:rPr>
          <w:rFonts w:ascii="Times New Roman" w:hAnsi="Times New Roman"/>
          <w:color w:val="000000"/>
          <w:lang w:val="en-GB"/>
        </w:rPr>
        <w:t>,9</w:t>
      </w:r>
      <w:proofErr w:type="gramEnd"/>
      <w:r w:rsidRPr="00267DDB">
        <w:rPr>
          <w:rFonts w:ascii="Times New Roman" w:hAnsi="Times New Roman"/>
          <w:color w:val="000000"/>
          <w:lang w:val="en-GB"/>
        </w:rPr>
        <w:t>% pasireiškė pilnas / dalinis atsakas, o 51,9% pasireiškė stabilios ligos atsakas į indukcinį gydymą pemetreksedu kartu su cisplatina. Atsitiktinių imčių būdu palaikomajam gydymui atrinktų pacientų būklė turėjo būti 0 arba 1 pagal ECOG. Laikotarpis nuo indukcinio gydymo pemetreksedu kartu su cisplatina pradžios iki palaikomojo gydymo pradžios truko vidutiniškai 2</w:t>
      </w:r>
      <w:proofErr w:type="gramStart"/>
      <w:r w:rsidRPr="00267DDB">
        <w:rPr>
          <w:rFonts w:ascii="Times New Roman" w:hAnsi="Times New Roman"/>
          <w:color w:val="000000"/>
          <w:lang w:val="en-GB"/>
        </w:rPr>
        <w:t>,96</w:t>
      </w:r>
      <w:proofErr w:type="gramEnd"/>
      <w:r w:rsidRPr="00267DDB">
        <w:rPr>
          <w:rFonts w:ascii="Times New Roman" w:hAnsi="Times New Roman"/>
          <w:color w:val="000000"/>
          <w:lang w:val="en-GB"/>
        </w:rPr>
        <w:t xml:space="preserve"> mėnesio tiek pemetreksedo grupėje, tiek placebo grupėje. Palaikomasis gydymas atsitiktinių imčių būdu atrinktiems pacientams buvo taikytas per visą laikotarpį iki ligos progresavimo. Veiksmingumas ir saugumas buvo vertinamas nuo suskirstymo atsitiktinių imčių būdu į grupes po pirmaeilio (indukcinio) gydymo užbaigimo. Pacientams buvo taikyti vidutiniškai 4 palaikomojo gydymo pemetreksedu kursai ir 4 placebo kursai. Iš viso 169 pacientai (47</w:t>
      </w:r>
      <w:proofErr w:type="gramStart"/>
      <w:r w:rsidRPr="00267DDB">
        <w:rPr>
          <w:rFonts w:ascii="Times New Roman" w:hAnsi="Times New Roman"/>
          <w:color w:val="000000"/>
          <w:lang w:val="en-GB"/>
        </w:rPr>
        <w:t>,1</w:t>
      </w:r>
      <w:proofErr w:type="gramEnd"/>
      <w:r w:rsidRPr="00267DDB">
        <w:rPr>
          <w:rFonts w:ascii="Times New Roman" w:hAnsi="Times New Roman"/>
          <w:color w:val="000000"/>
          <w:lang w:val="en-GB"/>
        </w:rPr>
        <w:t>%) baigė ≥ 6 palaikomojo gydymo pemetreksedu ciklus, bendrai tai atitinka ne mažiau kaip 10 gydymo pemetreksedu ciklų.</w:t>
      </w:r>
    </w:p>
    <w:p w:rsidR="00267DDB" w:rsidRPr="00267DDB" w:rsidRDefault="00267DDB" w:rsidP="00267DDB">
      <w:pPr>
        <w:spacing w:after="0" w:line="240" w:lineRule="auto"/>
        <w:rPr>
          <w:rFonts w:ascii="Times New Roman" w:hAnsi="Times New Roman"/>
          <w:color w:val="000000"/>
          <w:lang w:val="en-GB"/>
        </w:rPr>
      </w:pPr>
    </w:p>
    <w:p w:rsidR="00267DDB" w:rsidRPr="00267DDB" w:rsidRDefault="00267DDB" w:rsidP="00267DDB">
      <w:pPr>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Tyrimas pasiekė svarbiausią vertinamąją baigtį ir parodė statistiškai reikšmingą laikotarpio iki ligos progresavimo pagerėjimą pemetreksedo grupėje, palyginti su placebo grupe (n = 472, nepriklausomai nuo populiacijos, kurios duomenys buvo peržiūrėti; mediana – atitinkamai 3</w:t>
      </w:r>
      <w:proofErr w:type="gramStart"/>
      <w:r w:rsidRPr="00267DDB">
        <w:rPr>
          <w:rFonts w:ascii="Times New Roman" w:eastAsia="Times New Roman" w:hAnsi="Times New Roman"/>
          <w:snapToGrid w:val="0"/>
          <w:lang w:val="en-GB"/>
        </w:rPr>
        <w:t>,9</w:t>
      </w:r>
      <w:proofErr w:type="gramEnd"/>
      <w:r w:rsidRPr="00267DDB">
        <w:rPr>
          <w:rFonts w:ascii="Times New Roman" w:eastAsia="Times New Roman" w:hAnsi="Times New Roman"/>
          <w:snapToGrid w:val="0"/>
          <w:lang w:val="en-GB"/>
        </w:rPr>
        <w:t xml:space="preserve"> mėnesio ir 2,6 mėnesio) (santykinė rizika = 0,64, 95% PI = 0,51-0,81, p = 0,0002). Nepriklausoma pacientų skenavimo duomenų peržiūra patvirtino tyrėjo pateiktus laikotarpio iki ligos progresavimo duomenis. Pradedant </w:t>
      </w:r>
      <w:r w:rsidRPr="00267DDB">
        <w:rPr>
          <w:rFonts w:ascii="Times New Roman" w:eastAsia="Times New Roman" w:hAnsi="Times New Roman"/>
          <w:snapToGrid w:val="0"/>
          <w:lang w:val="en-GB"/>
        </w:rPr>
        <w:lastRenderedPageBreak/>
        <w:t>vertinimą nuo pemetreksedo vartojimo kartu su cisplatina pirmaeiliam indukciniam gydymui pradžios, atsitiktinių imčių būdu atrinktų pacientų tyrėjo įvertinto laikotarpio iki ligos progresavimo mediana buvo 6</w:t>
      </w:r>
      <w:proofErr w:type="gramStart"/>
      <w:r w:rsidRPr="00267DDB">
        <w:rPr>
          <w:rFonts w:ascii="Times New Roman" w:eastAsia="Times New Roman" w:hAnsi="Times New Roman"/>
          <w:snapToGrid w:val="0"/>
          <w:lang w:val="en-GB"/>
        </w:rPr>
        <w:t>,9</w:t>
      </w:r>
      <w:proofErr w:type="gramEnd"/>
      <w:r w:rsidRPr="00267DDB">
        <w:rPr>
          <w:rFonts w:ascii="Times New Roman" w:eastAsia="Times New Roman" w:hAnsi="Times New Roman"/>
          <w:snapToGrid w:val="0"/>
          <w:lang w:val="en-GB"/>
        </w:rPr>
        <w:t xml:space="preserve"> mėnesio pemetreksedo grupėje ir 5,6 mėnesio placebo grupėje (santykinė rizika = 0,59 95% PI = 0,47-0,74).</w:t>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Po įvadinio gydymo pemetreksedu plius cisplatina (4 gydymo ciklai), gydymas emetreksedu, atsižvelgiant į bendrą išgyvenamumo trukmę, buvo statistikai pranašesnis už gydymą placebu (vidutinė trukmė: 13</w:t>
      </w:r>
      <w:proofErr w:type="gramStart"/>
      <w:r w:rsidRPr="00267DDB">
        <w:rPr>
          <w:rFonts w:ascii="Times New Roman" w:eastAsia="Times New Roman" w:hAnsi="Times New Roman"/>
          <w:snapToGrid w:val="0"/>
          <w:lang w:val="en-GB"/>
        </w:rPr>
        <w:t>,9</w:t>
      </w:r>
      <w:proofErr w:type="gramEnd"/>
      <w:r w:rsidRPr="00267DDB">
        <w:rPr>
          <w:rFonts w:ascii="Times New Roman" w:eastAsia="Times New Roman" w:hAnsi="Times New Roman"/>
          <w:snapToGrid w:val="0"/>
          <w:lang w:val="en-GB"/>
        </w:rPr>
        <w:t xml:space="preserve"> mėn., palyginti su 11 mėn., rizikos santykis: 0,78; 95% PI: 0,64-0,96; p = 0,0195). Galutinės išgyvenamumo analizės metu iš pemetreksedu gydytos grupės buvo gyvi ar tolesniam stebėjimui prarasti 28</w:t>
      </w:r>
      <w:proofErr w:type="gramStart"/>
      <w:r w:rsidRPr="00267DDB">
        <w:rPr>
          <w:rFonts w:ascii="Times New Roman" w:eastAsia="Times New Roman" w:hAnsi="Times New Roman"/>
          <w:snapToGrid w:val="0"/>
          <w:lang w:val="en-GB"/>
        </w:rPr>
        <w:t>,7</w:t>
      </w:r>
      <w:proofErr w:type="gramEnd"/>
      <w:r w:rsidRPr="00267DDB">
        <w:rPr>
          <w:rFonts w:ascii="Times New Roman" w:eastAsia="Times New Roman" w:hAnsi="Times New Roman"/>
          <w:snapToGrid w:val="0"/>
          <w:lang w:val="en-GB"/>
        </w:rPr>
        <w:t>% pacientų, iš placebo vartojusių grupės − 21,7%. Santykinis gydymo pemetreksedu efektas iš vidaus buvo pastovus visuose pogrupiuose (įskaitant pogrupius pagal ligos stadiją, atsaką į įvadinį gydymą, EKOG pajėgumo būklę, rūkymą, lytį, histologiją ir amžių) ir panašus į nustatytą nekoreguotos bendros išgyvenamumo trukmės ir laiko be ligos progresavimo analizės metu. Pemetreksedu gydomų pacientų išgyvenamumo vienerius ir du metus dažnis buvo atitinkamai 58% ir 32%, placebo vartojusių pacientų − atitinkamai 45% ir 21%. Nuo pirmaeilio įvadinio gydymo pemetreksedu plius cisplatina pradžios pemetreksedu gydomos grupės pacientų bendros išgyvenamumo trukmės mediana buvo 16</w:t>
      </w:r>
      <w:proofErr w:type="gramStart"/>
      <w:r w:rsidRPr="00267DDB">
        <w:rPr>
          <w:rFonts w:ascii="Times New Roman" w:eastAsia="Times New Roman" w:hAnsi="Times New Roman"/>
          <w:snapToGrid w:val="0"/>
          <w:lang w:val="en-GB"/>
        </w:rPr>
        <w:t>,9</w:t>
      </w:r>
      <w:proofErr w:type="gramEnd"/>
      <w:r w:rsidRPr="00267DDB">
        <w:rPr>
          <w:rFonts w:ascii="Times New Roman" w:eastAsia="Times New Roman" w:hAnsi="Times New Roman"/>
          <w:snapToGrid w:val="0"/>
          <w:lang w:val="en-GB"/>
        </w:rPr>
        <w:t xml:space="preserve"> mėn., placebu gydomos grupės pacientų − 14 mėn. (</w:t>
      </w:r>
      <w:proofErr w:type="gramStart"/>
      <w:r w:rsidRPr="00267DDB">
        <w:rPr>
          <w:rFonts w:ascii="Times New Roman" w:eastAsia="Times New Roman" w:hAnsi="Times New Roman"/>
          <w:snapToGrid w:val="0"/>
          <w:lang w:val="en-GB"/>
        </w:rPr>
        <w:t>rizikos</w:t>
      </w:r>
      <w:proofErr w:type="gramEnd"/>
      <w:r w:rsidRPr="00267DDB">
        <w:rPr>
          <w:rFonts w:ascii="Times New Roman" w:eastAsia="Times New Roman" w:hAnsi="Times New Roman"/>
          <w:snapToGrid w:val="0"/>
          <w:lang w:val="en-GB"/>
        </w:rPr>
        <w:t xml:space="preserve"> santykis: 0,78; 95% PI: 0,64-0,96). Pacientų, kuriems gydymas buvo taikomas po tyrimo, iš pemetreksedo grupės buvo 64</w:t>
      </w:r>
      <w:proofErr w:type="gramStart"/>
      <w:r w:rsidRPr="00267DDB">
        <w:rPr>
          <w:rFonts w:ascii="Times New Roman" w:eastAsia="Times New Roman" w:hAnsi="Times New Roman"/>
          <w:snapToGrid w:val="0"/>
          <w:lang w:val="en-GB"/>
        </w:rPr>
        <w:t>,3</w:t>
      </w:r>
      <w:proofErr w:type="gramEnd"/>
      <w:r w:rsidRPr="00267DDB">
        <w:rPr>
          <w:rFonts w:ascii="Times New Roman" w:eastAsia="Times New Roman" w:hAnsi="Times New Roman"/>
          <w:snapToGrid w:val="0"/>
          <w:lang w:val="en-GB"/>
        </w:rPr>
        <w:t>%, iš placebo grupės − 71,7%.</w:t>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spacing w:after="0" w:line="240" w:lineRule="auto"/>
        <w:rPr>
          <w:rFonts w:ascii="Times New Roman" w:eastAsia="Times New Roman" w:hAnsi="Times New Roman"/>
          <w:b/>
          <w:bCs/>
          <w:snapToGrid w:val="0"/>
          <w:lang w:val="en-GB"/>
        </w:rPr>
      </w:pPr>
      <w:r w:rsidRPr="00267DDB">
        <w:rPr>
          <w:rFonts w:ascii="Times New Roman" w:eastAsia="Times New Roman" w:hAnsi="Times New Roman"/>
          <w:b/>
          <w:bCs/>
          <w:snapToGrid w:val="0"/>
          <w:lang w:val="en-GB"/>
        </w:rPr>
        <w:t xml:space="preserve">PARAMOUNT: Išgyvenimo be ligos progresavimo ir bendros išgyvenamumo trukmės, tęsiant palaikomąjį gydymą pemetreksedu, palyginti su placebu, pacientams, kuriems diagnozuotas kitoks nei vyraujančių plokščiųjų ląstelių histologijos NSLPV (vertinta nuo suskirstymo atsitiktinių imčių būdu į grupes), </w:t>
      </w:r>
      <w:r w:rsidRPr="00267DDB">
        <w:rPr>
          <w:rFonts w:ascii="Times New Roman" w:eastAsia="Times New Roman" w:hAnsi="Times New Roman"/>
          <w:b/>
          <w:bCs/>
          <w:i/>
          <w:snapToGrid w:val="0"/>
          <w:lang w:val="en-GB"/>
        </w:rPr>
        <w:t>Kaplan Meier</w:t>
      </w:r>
      <w:r w:rsidRPr="00267DDB">
        <w:rPr>
          <w:rFonts w:ascii="Times New Roman" w:eastAsia="Times New Roman" w:hAnsi="Times New Roman"/>
          <w:b/>
          <w:bCs/>
          <w:snapToGrid w:val="0"/>
          <w:lang w:val="en-GB"/>
        </w:rPr>
        <w:t xml:space="preserve"> diagramos</w:t>
      </w:r>
    </w:p>
    <w:p w:rsidR="00267DDB" w:rsidRPr="00267DDB" w:rsidRDefault="00267DDB" w:rsidP="00267DDB">
      <w:pPr>
        <w:spacing w:after="0" w:line="240" w:lineRule="auto"/>
        <w:rPr>
          <w:rFonts w:ascii="Times New Roman" w:eastAsia="Times New Roman" w:hAnsi="Times New Roman"/>
          <w:b/>
          <w:bCs/>
          <w:snapToGrid w:val="0"/>
          <w:lang w:val="en-GB"/>
        </w:rPr>
      </w:pPr>
    </w:p>
    <w:p w:rsidR="00267DDB" w:rsidRPr="00267DDB" w:rsidRDefault="005907E0" w:rsidP="00267DDB">
      <w:pPr>
        <w:spacing w:after="0" w:line="240" w:lineRule="auto"/>
        <w:rPr>
          <w:rFonts w:ascii="Times New Roman" w:eastAsia="Times New Roman" w:hAnsi="Times New Roman"/>
          <w:snapToGrid w:val="0"/>
          <w:lang w:val="en-GB"/>
        </w:rPr>
      </w:pPr>
      <w:r w:rsidRPr="00E209CA">
        <w:rPr>
          <w:rFonts w:ascii="Times New Roman" w:eastAsia="Times New Roman" w:hAnsi="Times New Roman"/>
          <w:noProof/>
          <w:lang w:eastAsia="lt-LT"/>
        </w:rPr>
        <w:drawing>
          <wp:inline distT="0" distB="0" distL="0" distR="0">
            <wp:extent cx="6115050" cy="2428875"/>
            <wp:effectExtent l="0" t="0" r="0" b="0"/>
            <wp:docPr id="3" name="Picture 1"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etrexed_Lilly_EMA_LT_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428875"/>
                    </a:xfrm>
                    <a:prstGeom prst="rect">
                      <a:avLst/>
                    </a:prstGeom>
                    <a:noFill/>
                    <a:ln>
                      <a:noFill/>
                    </a:ln>
                  </pic:spPr>
                </pic:pic>
              </a:graphicData>
            </a:graphic>
          </wp:inline>
        </w:drawing>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widowControl w:val="0"/>
        <w:autoSpaceDE w:val="0"/>
        <w:autoSpaceDN w:val="0"/>
        <w:adjustRightInd w:val="0"/>
        <w:spacing w:after="0" w:line="240" w:lineRule="auto"/>
        <w:rPr>
          <w:rFonts w:ascii="Times New Roman" w:hAnsi="Times New Roman"/>
          <w:color w:val="000000"/>
          <w:lang w:val="en-GB"/>
        </w:rPr>
      </w:pPr>
      <w:r w:rsidRPr="00267DDB">
        <w:rPr>
          <w:rFonts w:ascii="Times New Roman" w:hAnsi="Times New Roman"/>
          <w:color w:val="000000"/>
          <w:lang w:val="en-GB"/>
        </w:rPr>
        <w:t xml:space="preserve">Dviejų tyrimų (JMEN ir PARAMOUNT) palaikomojo gydymo pemetreksedu saugumo duomenys buvo panašūs. </w:t>
      </w:r>
    </w:p>
    <w:p w:rsidR="00267DDB" w:rsidRPr="00267DDB" w:rsidRDefault="005907E0" w:rsidP="00267DDB">
      <w:pPr>
        <w:tabs>
          <w:tab w:val="left" w:pos="567"/>
        </w:tabs>
        <w:spacing w:after="0" w:line="260" w:lineRule="exact"/>
        <w:rPr>
          <w:rFonts w:ascii="Times New Roman" w:eastAsia="Times New Roman" w:hAnsi="Times New Roman"/>
          <w:noProof/>
          <w:snapToGrid w:val="0"/>
          <w:szCs w:val="24"/>
        </w:rPr>
      </w:pPr>
      <w:r w:rsidRPr="00E209CA">
        <w:rPr>
          <w:rFonts w:ascii="Times New Roman" w:hAnsi="Times New Roman"/>
          <w:b/>
          <w:noProof/>
          <w:color w:val="000000"/>
          <w:lang w:eastAsia="lt-LT"/>
        </w:rPr>
        <w:drawing>
          <wp:inline distT="0" distB="0" distL="0" distR="0">
            <wp:extent cx="6115050" cy="2781300"/>
            <wp:effectExtent l="0" t="0" r="0" b="0"/>
            <wp:docPr id="4"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5.2</w:t>
      </w:r>
      <w:r w:rsidRPr="00267DDB">
        <w:rPr>
          <w:rFonts w:ascii="Times New Roman" w:eastAsia="Times New Roman" w:hAnsi="Times New Roman"/>
          <w:b/>
          <w:bCs/>
          <w:snapToGrid w:val="0"/>
          <w:szCs w:val="28"/>
          <w:lang w:eastAsia="x-none"/>
        </w:rPr>
        <w:tab/>
        <w:t>Farmakokinetinės savybės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131C11" w:rsidRDefault="00267DDB" w:rsidP="00267DDB">
      <w:pPr>
        <w:keepNext/>
        <w:tabs>
          <w:tab w:val="left" w:pos="567"/>
        </w:tabs>
        <w:spacing w:after="0" w:line="260" w:lineRule="exact"/>
        <w:outlineLvl w:val="3"/>
        <w:rPr>
          <w:rFonts w:ascii="Times New Roman" w:eastAsia="Times New Roman" w:hAnsi="Times New Roman"/>
          <w:snapToGrid w:val="0"/>
          <w:szCs w:val="20"/>
        </w:rPr>
      </w:pPr>
      <w:r w:rsidRPr="00267DDB">
        <w:rPr>
          <w:rFonts w:ascii="Times New Roman" w:eastAsia="Times New Roman" w:hAnsi="Times New Roman"/>
          <w:snapToGrid w:val="0"/>
          <w:szCs w:val="20"/>
        </w:rPr>
        <w:t xml:space="preserve">Farmakokinetinių pemetreksedo savybių tyrime dalyvavo 426 pacientai, sergantys įvairiais kietaisiais navikais. </w:t>
      </w:r>
      <w:r w:rsidRPr="00131C11">
        <w:rPr>
          <w:rFonts w:ascii="Times New Roman" w:eastAsia="Times New Roman" w:hAnsi="Times New Roman"/>
          <w:snapToGrid w:val="0"/>
          <w:szCs w:val="20"/>
        </w:rPr>
        <w:t>Jiems per 10 minučių į veną buvo infuzuojama 0,2–838 mg/m</w:t>
      </w:r>
      <w:r w:rsidRPr="00131C11">
        <w:rPr>
          <w:rFonts w:ascii="Times New Roman" w:eastAsia="Times New Roman" w:hAnsi="Times New Roman"/>
          <w:snapToGrid w:val="0"/>
          <w:szCs w:val="20"/>
          <w:vertAlign w:val="superscript"/>
        </w:rPr>
        <w:t>2</w:t>
      </w:r>
      <w:r w:rsidRPr="00131C11">
        <w:rPr>
          <w:rFonts w:ascii="Times New Roman" w:eastAsia="Times New Roman" w:hAnsi="Times New Roman"/>
          <w:snapToGrid w:val="0"/>
          <w:szCs w:val="20"/>
        </w:rPr>
        <w:t xml:space="preserve"> vieno pemetreksedo. Pemetreksedo pasiskirstymo tūris esant pusiausvyrinei koncentracijai – 9 l/m</w:t>
      </w:r>
      <w:r w:rsidRPr="00131C11">
        <w:rPr>
          <w:rFonts w:ascii="Times New Roman" w:eastAsia="Times New Roman" w:hAnsi="Times New Roman"/>
          <w:snapToGrid w:val="0"/>
          <w:szCs w:val="20"/>
          <w:vertAlign w:val="superscript"/>
        </w:rPr>
        <w:t>2</w:t>
      </w:r>
      <w:r w:rsidRPr="00131C11">
        <w:rPr>
          <w:rFonts w:ascii="Times New Roman" w:eastAsia="Times New Roman" w:hAnsi="Times New Roman"/>
          <w:snapToGrid w:val="0"/>
          <w:szCs w:val="20"/>
        </w:rPr>
        <w:t xml:space="preserve">. Tyrimais </w:t>
      </w:r>
      <w:r w:rsidRPr="00131C11">
        <w:rPr>
          <w:rFonts w:ascii="Times New Roman" w:eastAsia="Times New Roman" w:hAnsi="Times New Roman"/>
          <w:i/>
          <w:snapToGrid w:val="0"/>
          <w:szCs w:val="20"/>
        </w:rPr>
        <w:t>in vitro</w:t>
      </w:r>
      <w:r w:rsidRPr="00131C11">
        <w:rPr>
          <w:rFonts w:ascii="Times New Roman" w:eastAsia="Times New Roman" w:hAnsi="Times New Roman"/>
          <w:snapToGrid w:val="0"/>
          <w:szCs w:val="20"/>
        </w:rPr>
        <w:t xml:space="preserve"> nustatyta, kad apie 81% pemetreksedo jungiasi su plazmos baltymais. Įvairaus sunkumo inkstų pažeidimas jungimąsi prie baltymų keičia menkai. Pemetreksedas silpnai metabolizuojamas kepenyse. Jo daugiausia išsiskiria su šlapimu, 70-90 % dozės nepakitusio preparato pavidalu nustatoma šlapime per pirmąsias 24 valandas. Tyrimai </w:t>
      </w:r>
      <w:r w:rsidRPr="00131C11">
        <w:rPr>
          <w:rFonts w:ascii="Times New Roman" w:eastAsia="Times New Roman" w:hAnsi="Times New Roman"/>
          <w:i/>
          <w:snapToGrid w:val="0"/>
          <w:szCs w:val="20"/>
        </w:rPr>
        <w:t>in vitro</w:t>
      </w:r>
      <w:r w:rsidRPr="00131C11">
        <w:rPr>
          <w:rFonts w:ascii="Times New Roman" w:eastAsia="Times New Roman" w:hAnsi="Times New Roman"/>
          <w:snapToGrid w:val="0"/>
          <w:szCs w:val="20"/>
        </w:rPr>
        <w:t xml:space="preserve"> rodo, kad pemetreksedas yra aktyviai sekretuojamas 3 organinių anijonų pernašos (angl. OAT3) būdu. Bendras sisteminis pemetreksedo klirensas – 91,8 ml/min., pusinės eliminacijos laikas – 3,5 valandos, kai inkstų funkcija normali (kreatinino klirensas – apie 90 ml/min.). Įvairiems pacientams inkstų klirensas įvairuoja vidutiniškai 19,3 %. Pemetreksedo </w:t>
      </w:r>
      <w:r w:rsidRPr="00131C11">
        <w:rPr>
          <w:rFonts w:ascii="Times New Roman" w:eastAsia="Times New Roman" w:hAnsi="Times New Roman"/>
          <w:snapToGrid w:val="0"/>
          <w:szCs w:val="20"/>
        </w:rPr>
        <w:lastRenderedPageBreak/>
        <w:t>bendra sisteminė ekspozicija (AUC) ir didžiausia koncentracija plazmoje didėja proporcingai dozei. Daug kartų kartojant gydymo ciklus, pemetreksedo farmakokinetika lieka pastovi.</w:t>
      </w:r>
    </w:p>
    <w:p w:rsidR="00267DDB" w:rsidRPr="00131C11" w:rsidRDefault="00267DDB" w:rsidP="00267DDB">
      <w:pPr>
        <w:keepNext/>
        <w:tabs>
          <w:tab w:val="left" w:pos="567"/>
        </w:tabs>
        <w:spacing w:after="0" w:line="260" w:lineRule="exact"/>
        <w:outlineLvl w:val="3"/>
        <w:rPr>
          <w:rFonts w:ascii="Times New Roman" w:eastAsia="Times New Roman" w:hAnsi="Times New Roman"/>
          <w:snapToGrid w:val="0"/>
          <w:szCs w:val="20"/>
        </w:rPr>
      </w:pPr>
    </w:p>
    <w:p w:rsidR="00267DDB" w:rsidRPr="00131C11" w:rsidRDefault="00267DDB" w:rsidP="00267DDB">
      <w:pPr>
        <w:keepNext/>
        <w:tabs>
          <w:tab w:val="left" w:pos="567"/>
        </w:tabs>
        <w:spacing w:after="0" w:line="260" w:lineRule="exact"/>
        <w:outlineLvl w:val="3"/>
        <w:rPr>
          <w:rFonts w:ascii="Times New Roman" w:eastAsia="Times New Roman" w:hAnsi="Times New Roman"/>
          <w:snapToGrid w:val="0"/>
        </w:rPr>
      </w:pPr>
      <w:r w:rsidRPr="00131C11">
        <w:rPr>
          <w:rFonts w:ascii="Times New Roman" w:eastAsia="Times New Roman" w:hAnsi="Times New Roman"/>
          <w:snapToGrid w:val="0"/>
          <w:szCs w:val="20"/>
        </w:rPr>
        <w:t>Kartu su cisplatina vartojamo pemetreksedo farmakokinetinės savybės nekinta. Papildomai išgerta folio rūgštis ir į raumenis sušvirkštas vitaminas B</w:t>
      </w:r>
      <w:r w:rsidRPr="00131C11">
        <w:rPr>
          <w:rFonts w:ascii="Times New Roman" w:eastAsia="Times New Roman" w:hAnsi="Times New Roman"/>
          <w:snapToGrid w:val="0"/>
          <w:szCs w:val="20"/>
          <w:vertAlign w:val="subscript"/>
        </w:rPr>
        <w:t>12</w:t>
      </w:r>
      <w:r w:rsidRPr="00131C11">
        <w:rPr>
          <w:rFonts w:ascii="Times New Roman" w:eastAsia="Times New Roman" w:hAnsi="Times New Roman"/>
          <w:snapToGrid w:val="0"/>
          <w:szCs w:val="20"/>
        </w:rPr>
        <w:t xml:space="preserve"> nekeičia pemetreksedo farmakokinetikos.</w:t>
      </w: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snapToGrid w:val="0"/>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5.3</w:t>
      </w:r>
      <w:r w:rsidRPr="00267DDB">
        <w:rPr>
          <w:rFonts w:ascii="Times New Roman" w:eastAsia="Times New Roman" w:hAnsi="Times New Roman"/>
          <w:b/>
          <w:bCs/>
          <w:snapToGrid w:val="0"/>
          <w:szCs w:val="28"/>
          <w:lang w:eastAsia="x-none"/>
        </w:rPr>
        <w:tab/>
        <w:t>Ikiklinikinių saugumo tyrimų duomenys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Pemetreksedo gavusių vaikingų pelių vaisių gyvybingumas ir svoris sumažėjo, ne visiškai sukaulėjo kai kurios skeleto dalys, buvo nesuaugęs gomurys.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131C11"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Pemetreksedo toksinis poveikis sutrikdė pelių patinų dauginimosi funkciją: sumažėjo vislumas ir atrofavosi sėklidės. Tyrimų metu šunų (skalikų), kuriems 9 mėnesius į veną preparato buvo švirkšta iš karto, sėklidėse atsirado pokyčių: spermatogeninio epitelio degeneracija arba nekrozė. </w:t>
      </w:r>
      <w:r w:rsidRPr="00131C11">
        <w:rPr>
          <w:rFonts w:ascii="Times New Roman" w:eastAsia="Times New Roman" w:hAnsi="Times New Roman"/>
          <w:snapToGrid w:val="0"/>
          <w:szCs w:val="24"/>
        </w:rPr>
        <w:t>Tikėtina, kad pemetreksedas gali trikdyti vyrų vaisingumą. Poveikis patelių vaisingumui netirtas.</w:t>
      </w:r>
    </w:p>
    <w:p w:rsidR="00267DDB" w:rsidRPr="00131C11" w:rsidRDefault="00267DDB" w:rsidP="00267DDB">
      <w:pPr>
        <w:spacing w:after="0" w:line="240" w:lineRule="auto"/>
        <w:rPr>
          <w:rFonts w:ascii="Times New Roman" w:eastAsia="Times New Roman" w:hAnsi="Times New Roman"/>
          <w:snapToGrid w:val="0"/>
          <w:szCs w:val="24"/>
        </w:rPr>
      </w:pPr>
    </w:p>
    <w:p w:rsidR="00267DDB" w:rsidRPr="00131C11" w:rsidRDefault="00267DDB" w:rsidP="00267DDB">
      <w:pPr>
        <w:spacing w:after="0" w:line="240" w:lineRule="auto"/>
        <w:rPr>
          <w:rFonts w:ascii="Times New Roman" w:eastAsia="Times New Roman" w:hAnsi="Times New Roman"/>
          <w:snapToGrid w:val="0"/>
          <w:szCs w:val="24"/>
        </w:rPr>
      </w:pPr>
      <w:r w:rsidRPr="00131C11">
        <w:rPr>
          <w:rFonts w:ascii="Times New Roman" w:eastAsia="Times New Roman" w:hAnsi="Times New Roman"/>
          <w:snapToGrid w:val="0"/>
          <w:szCs w:val="24"/>
        </w:rPr>
        <w:t xml:space="preserve">Chromosomų pokyčių tyrimu </w:t>
      </w:r>
      <w:r w:rsidRPr="00131C11">
        <w:rPr>
          <w:rFonts w:ascii="Times New Roman" w:eastAsia="Times New Roman" w:hAnsi="Times New Roman"/>
          <w:i/>
          <w:snapToGrid w:val="0"/>
          <w:szCs w:val="24"/>
        </w:rPr>
        <w:t>in vitro</w:t>
      </w:r>
      <w:r w:rsidRPr="00131C11">
        <w:rPr>
          <w:rFonts w:ascii="Times New Roman" w:eastAsia="Times New Roman" w:hAnsi="Times New Roman"/>
          <w:snapToGrid w:val="0"/>
          <w:szCs w:val="24"/>
        </w:rPr>
        <w:t xml:space="preserve"> su kininio žiurkėno kiaušidžių ląstelėmis ir </w:t>
      </w:r>
      <w:r w:rsidRPr="00131C11">
        <w:rPr>
          <w:rFonts w:ascii="Times New Roman" w:eastAsia="Times New Roman" w:hAnsi="Times New Roman"/>
          <w:i/>
          <w:snapToGrid w:val="0"/>
          <w:szCs w:val="24"/>
        </w:rPr>
        <w:t>Ames</w:t>
      </w:r>
      <w:r w:rsidRPr="00131C11">
        <w:rPr>
          <w:rFonts w:ascii="Times New Roman" w:eastAsia="Times New Roman" w:hAnsi="Times New Roman"/>
          <w:snapToGrid w:val="0"/>
          <w:szCs w:val="24"/>
        </w:rPr>
        <w:t xml:space="preserve"> tyrimu nenustatyta, kad pemetreksedas daro mutageninį poveikį. Pelių mikrobranduolių tyrimo </w:t>
      </w:r>
      <w:r w:rsidRPr="00131C11">
        <w:rPr>
          <w:rFonts w:ascii="Times New Roman" w:eastAsia="Times New Roman" w:hAnsi="Times New Roman"/>
          <w:i/>
          <w:snapToGrid w:val="0"/>
          <w:szCs w:val="24"/>
        </w:rPr>
        <w:t>in vivo</w:t>
      </w:r>
      <w:r w:rsidRPr="00131C11">
        <w:rPr>
          <w:rFonts w:ascii="Times New Roman" w:eastAsia="Times New Roman" w:hAnsi="Times New Roman"/>
          <w:snapToGrid w:val="0"/>
          <w:szCs w:val="24"/>
        </w:rPr>
        <w:t xml:space="preserve"> duomenimis, pemetreksedas darė klastogeninį poveikį.</w:t>
      </w:r>
    </w:p>
    <w:p w:rsidR="00267DDB" w:rsidRPr="00131C11" w:rsidRDefault="00267DDB" w:rsidP="00267DDB">
      <w:pPr>
        <w:spacing w:after="0" w:line="240" w:lineRule="auto"/>
        <w:rPr>
          <w:rFonts w:ascii="Times New Roman" w:eastAsia="Times New Roman" w:hAnsi="Times New Roman"/>
          <w:snapToGrid w:val="0"/>
          <w:szCs w:val="24"/>
        </w:rPr>
      </w:pPr>
    </w:p>
    <w:p w:rsidR="00267DDB" w:rsidRPr="00131C11" w:rsidRDefault="00267DDB" w:rsidP="00267DDB">
      <w:pPr>
        <w:spacing w:after="0" w:line="240" w:lineRule="auto"/>
        <w:rPr>
          <w:rFonts w:ascii="Times New Roman" w:eastAsia="Times New Roman" w:hAnsi="Times New Roman"/>
          <w:snapToGrid w:val="0"/>
          <w:szCs w:val="24"/>
        </w:rPr>
      </w:pPr>
      <w:r w:rsidRPr="00131C11">
        <w:rPr>
          <w:rFonts w:ascii="Times New Roman" w:eastAsia="Times New Roman" w:hAnsi="Times New Roman"/>
          <w:snapToGrid w:val="0"/>
          <w:szCs w:val="24"/>
        </w:rPr>
        <w:t>Pemetreksedo gebėjimo sukelti kancerogeninį poveikį tyrimų neatlikta.</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267DDB">
        <w:rPr>
          <w:rFonts w:ascii="Times New Roman" w:eastAsia="Times New Roman" w:hAnsi="Times New Roman"/>
          <w:b/>
          <w:bCs/>
          <w:snapToGrid w:val="0"/>
          <w:szCs w:val="26"/>
          <w:lang w:eastAsia="x-none"/>
        </w:rPr>
        <w:t>6.</w:t>
      </w:r>
      <w:r w:rsidRPr="00267DDB">
        <w:rPr>
          <w:rFonts w:ascii="Times New Roman" w:eastAsia="Times New Roman" w:hAnsi="Times New Roman"/>
          <w:b/>
          <w:bCs/>
          <w:snapToGrid w:val="0"/>
          <w:szCs w:val="26"/>
          <w:lang w:eastAsia="x-none"/>
        </w:rPr>
        <w:tab/>
        <w:t>FARMACINĖ INFORMACIJA</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6.1</w:t>
      </w:r>
      <w:r w:rsidRPr="00267DDB">
        <w:rPr>
          <w:rFonts w:ascii="Times New Roman" w:eastAsia="Times New Roman" w:hAnsi="Times New Roman"/>
          <w:b/>
          <w:bCs/>
          <w:snapToGrid w:val="0"/>
          <w:szCs w:val="28"/>
          <w:lang w:eastAsia="x-none"/>
        </w:rPr>
        <w:tab/>
        <w:t>Pagalbinių medžiagų sąrašas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131C11" w:rsidRDefault="00267DDB" w:rsidP="00267DDB">
      <w:pPr>
        <w:widowControl w:val="0"/>
        <w:autoSpaceDE w:val="0"/>
        <w:autoSpaceDN w:val="0"/>
        <w:adjustRightInd w:val="0"/>
        <w:spacing w:after="0" w:line="240" w:lineRule="auto"/>
        <w:rPr>
          <w:rFonts w:ascii="Times New Roman" w:hAnsi="Times New Roman"/>
          <w:color w:val="000000"/>
          <w:lang w:val="pl-PL"/>
        </w:rPr>
      </w:pPr>
      <w:r w:rsidRPr="00131C11">
        <w:rPr>
          <w:rFonts w:ascii="Times New Roman" w:hAnsi="Times New Roman"/>
          <w:color w:val="000000"/>
          <w:lang w:val="pl-PL"/>
        </w:rPr>
        <w:t xml:space="preserve">Manitolis (E421) </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lang w:val="en-GB"/>
        </w:rPr>
      </w:pPr>
      <w:r w:rsidRPr="00267DDB">
        <w:rPr>
          <w:rFonts w:ascii="Times New Roman" w:hAnsi="Times New Roman"/>
          <w:color w:val="000000"/>
          <w:lang w:val="en-GB"/>
        </w:rPr>
        <w:t>Bevandenė citrinų rūgštis</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lang w:val="en-GB"/>
        </w:rPr>
      </w:pPr>
      <w:r w:rsidRPr="00267DDB">
        <w:rPr>
          <w:rFonts w:ascii="Times New Roman" w:hAnsi="Times New Roman"/>
          <w:color w:val="000000"/>
          <w:lang w:val="en-GB"/>
        </w:rPr>
        <w:t>Trometamolis</w:t>
      </w:r>
    </w:p>
    <w:p w:rsidR="00267DDB" w:rsidRPr="00267DDB" w:rsidRDefault="00267DDB" w:rsidP="00267DDB">
      <w:pPr>
        <w:widowControl w:val="0"/>
        <w:autoSpaceDE w:val="0"/>
        <w:autoSpaceDN w:val="0"/>
        <w:adjustRightInd w:val="0"/>
        <w:spacing w:after="0" w:line="240" w:lineRule="auto"/>
        <w:rPr>
          <w:rFonts w:ascii="Times New Roman" w:hAnsi="Times New Roman"/>
          <w:color w:val="000000"/>
          <w:lang w:val="en-GB"/>
        </w:rPr>
      </w:pPr>
      <w:r w:rsidRPr="00267DDB">
        <w:rPr>
          <w:rFonts w:ascii="Times New Roman" w:hAnsi="Times New Roman"/>
          <w:color w:val="000000"/>
          <w:lang w:val="en-GB"/>
        </w:rPr>
        <w:t xml:space="preserve">Injekcinis vanduo </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6.2</w:t>
      </w:r>
      <w:r w:rsidRPr="00267DDB">
        <w:rPr>
          <w:rFonts w:ascii="Times New Roman" w:eastAsia="Times New Roman" w:hAnsi="Times New Roman"/>
          <w:b/>
          <w:bCs/>
          <w:snapToGrid w:val="0"/>
          <w:szCs w:val="28"/>
          <w:lang w:eastAsia="x-none"/>
        </w:rPr>
        <w:tab/>
        <w:t>Nesuderinamumas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noProof/>
          <w:snapToGrid w:val="0"/>
          <w:szCs w:val="24"/>
        </w:rPr>
      </w:pPr>
      <w:r w:rsidRPr="009C5DAF">
        <w:rPr>
          <w:rFonts w:ascii="Times New Roman" w:eastAsia="Times New Roman" w:hAnsi="Times New Roman"/>
          <w:snapToGrid w:val="0"/>
        </w:rPr>
        <w:t xml:space="preserve">Pemetreksedas nedera su skiedikliais, kurių sudėtyje yra kalcio, įskaitant Ringerio laktato injekcinį tirpalą ir Ringerio injekcinį tirpalą. </w:t>
      </w:r>
      <w:r w:rsidRPr="00131C11">
        <w:rPr>
          <w:rFonts w:ascii="Times New Roman" w:eastAsia="Times New Roman" w:hAnsi="Times New Roman"/>
          <w:snapToGrid w:val="0"/>
        </w:rPr>
        <w:t>Suderinamumo tyrimų neatlikta, todėl šio vaistinio preparato maišyti su kitais negalima.</w:t>
      </w:r>
    </w:p>
    <w:p w:rsidR="00267DDB" w:rsidRPr="00267DDB" w:rsidRDefault="00267DDB" w:rsidP="00267DDB">
      <w:pPr>
        <w:spacing w:after="0" w:line="240" w:lineRule="auto"/>
        <w:rPr>
          <w:rFonts w:ascii="Times New Roman" w:eastAsia="Times New Roman" w:hAnsi="Times New Roman"/>
          <w:noProof/>
          <w:snapToGrid w:val="0"/>
          <w:szCs w:val="24"/>
        </w:rPr>
      </w:pPr>
    </w:p>
    <w:p w:rsidR="009F1CBB" w:rsidRDefault="00267DDB" w:rsidP="00267DDB">
      <w:pPr>
        <w:spacing w:after="0" w:line="240" w:lineRule="auto"/>
        <w:rPr>
          <w:rFonts w:ascii="Times New Roman" w:eastAsia="Times New Roman" w:hAnsi="Times New Roman"/>
          <w:snapToGrid w:val="0"/>
          <w:lang w:val="en-GB"/>
        </w:rPr>
      </w:pPr>
      <w:r w:rsidRPr="00131C11">
        <w:rPr>
          <w:rFonts w:ascii="Times New Roman" w:eastAsia="Times New Roman" w:hAnsi="Times New Roman"/>
          <w:snapToGrid w:val="0"/>
        </w:rPr>
        <w:t xml:space="preserve">Pemetrexed Teva sudėtyje yra pagalbinės medžiagos trometamolio. </w:t>
      </w:r>
      <w:r w:rsidRPr="00267DDB">
        <w:rPr>
          <w:rFonts w:ascii="Times New Roman" w:eastAsia="Times New Roman" w:hAnsi="Times New Roman"/>
          <w:snapToGrid w:val="0"/>
          <w:lang w:val="en-GB"/>
        </w:rPr>
        <w:t xml:space="preserve">Trometamolis nedera su cisplatina, nes sukelia cisplatinos suirimą. </w:t>
      </w:r>
    </w:p>
    <w:p w:rsidR="00267DDB" w:rsidRPr="00267DDB" w:rsidRDefault="00267DDB" w:rsidP="00267DDB">
      <w:pPr>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Pavartojus Pemetrexed Teva reikia praplauti intraveninę sistemą.</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6.3</w:t>
      </w:r>
      <w:r w:rsidRPr="00267DDB">
        <w:rPr>
          <w:rFonts w:ascii="Times New Roman" w:eastAsia="Times New Roman" w:hAnsi="Times New Roman"/>
          <w:b/>
          <w:bCs/>
          <w:snapToGrid w:val="0"/>
          <w:szCs w:val="28"/>
          <w:lang w:eastAsia="x-none"/>
        </w:rPr>
        <w:tab/>
        <w:t>Tinkamumo laikas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szCs w:val="24"/>
          <w:u w:val="single"/>
        </w:rPr>
      </w:pPr>
      <w:r w:rsidRPr="00267DDB">
        <w:rPr>
          <w:rFonts w:ascii="Times New Roman" w:eastAsia="Times New Roman" w:hAnsi="Times New Roman"/>
          <w:snapToGrid w:val="0"/>
          <w:szCs w:val="24"/>
          <w:u w:val="single"/>
        </w:rPr>
        <w:t>Neatidarytas flakonas</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100 mg: 12 mėnesių</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500 mg ir 1000 mg: 18 mėnesių</w:t>
      </w:r>
    </w:p>
    <w:p w:rsidR="00267DDB" w:rsidRPr="00267DDB" w:rsidRDefault="00267DDB" w:rsidP="00267DDB">
      <w:pPr>
        <w:spacing w:after="0" w:line="240" w:lineRule="auto"/>
        <w:rPr>
          <w:rFonts w:ascii="Times New Roman" w:eastAsia="Times New Roman" w:hAnsi="Times New Roman"/>
          <w:snapToGrid w:val="0"/>
          <w:szCs w:val="24"/>
          <w:u w:val="single"/>
        </w:rPr>
      </w:pPr>
    </w:p>
    <w:p w:rsidR="00267DDB" w:rsidRPr="00267DDB" w:rsidRDefault="00267DDB" w:rsidP="00267DDB">
      <w:pPr>
        <w:spacing w:after="0" w:line="240" w:lineRule="auto"/>
        <w:rPr>
          <w:rFonts w:ascii="Times New Roman" w:eastAsia="Times New Roman" w:hAnsi="Times New Roman"/>
          <w:snapToGrid w:val="0"/>
          <w:szCs w:val="24"/>
          <w:u w:val="single"/>
        </w:rPr>
      </w:pPr>
      <w:r w:rsidRPr="00267DDB">
        <w:rPr>
          <w:rFonts w:ascii="Times New Roman" w:eastAsia="Times New Roman" w:hAnsi="Times New Roman"/>
          <w:snapToGrid w:val="0"/>
          <w:szCs w:val="24"/>
          <w:u w:val="single"/>
        </w:rPr>
        <w:t>Infuzinis tirpalas</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Cheminis ir fizinis praskiesto Pemetrexed Teva stabilumas laikant 2 °C – 8 °C temperatūroje išlieka 24 valandas. Mikrobiologiniu požiūriu, vaistinį preparatą reikia vartoti nedelsiant. Jeigu jis tuoj pat nevartojamas, už laikymo sąlygas ir trukmę iki vartojimo yra atsakingas gydantis asmuo, tačiau ilgiau negu 24 val. 2 °C – 8 °C temperatūroje laikyti negalima.</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6.4</w:t>
      </w:r>
      <w:r w:rsidRPr="00267DDB">
        <w:rPr>
          <w:rFonts w:ascii="Times New Roman" w:eastAsia="Times New Roman" w:hAnsi="Times New Roman"/>
          <w:b/>
          <w:bCs/>
          <w:snapToGrid w:val="0"/>
          <w:szCs w:val="28"/>
          <w:lang w:eastAsia="x-none"/>
        </w:rPr>
        <w:tab/>
        <w:t>Specialios laikymo sąlygos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131C11" w:rsidRDefault="00267DDB" w:rsidP="00267DDB">
      <w:pPr>
        <w:widowControl w:val="0"/>
        <w:autoSpaceDE w:val="0"/>
        <w:autoSpaceDN w:val="0"/>
        <w:adjustRightInd w:val="0"/>
        <w:spacing w:after="0" w:line="240" w:lineRule="auto"/>
        <w:rPr>
          <w:rFonts w:ascii="Times New Roman" w:hAnsi="Times New Roman"/>
          <w:u w:val="single"/>
        </w:rPr>
      </w:pPr>
      <w:r w:rsidRPr="00131C11">
        <w:rPr>
          <w:rFonts w:ascii="Times New Roman" w:hAnsi="Times New Roman"/>
          <w:u w:val="single"/>
        </w:rPr>
        <w:lastRenderedPageBreak/>
        <w:t>Neatidarytas flakonaas</w:t>
      </w:r>
    </w:p>
    <w:p w:rsidR="00267DDB" w:rsidRPr="00131C11" w:rsidRDefault="00267DDB" w:rsidP="00267DDB">
      <w:pPr>
        <w:widowControl w:val="0"/>
        <w:autoSpaceDE w:val="0"/>
        <w:autoSpaceDN w:val="0"/>
        <w:adjustRightInd w:val="0"/>
        <w:spacing w:after="0" w:line="240" w:lineRule="auto"/>
        <w:rPr>
          <w:rFonts w:ascii="Times New Roman" w:eastAsia="Times New Roman" w:hAnsi="Times New Roman"/>
          <w:snapToGrid w:val="0"/>
        </w:rPr>
      </w:pPr>
      <w:r w:rsidRPr="00131C11">
        <w:rPr>
          <w:rFonts w:ascii="Times New Roman" w:eastAsia="Times New Roman" w:hAnsi="Times New Roman"/>
          <w:snapToGrid w:val="0"/>
        </w:rPr>
        <w:t>Laikyti šaldytuve (2 °C-8 °C).</w:t>
      </w:r>
    </w:p>
    <w:p w:rsidR="00267DDB" w:rsidRPr="00131C11" w:rsidRDefault="00267DDB" w:rsidP="00267DDB">
      <w:pPr>
        <w:widowControl w:val="0"/>
        <w:autoSpaceDE w:val="0"/>
        <w:autoSpaceDN w:val="0"/>
        <w:adjustRightInd w:val="0"/>
        <w:spacing w:after="0" w:line="240" w:lineRule="auto"/>
        <w:rPr>
          <w:rFonts w:ascii="Times New Roman" w:eastAsia="Times New Roman" w:hAnsi="Times New Roman"/>
          <w:snapToGrid w:val="0"/>
        </w:rPr>
      </w:pPr>
      <w:r w:rsidRPr="00131C11">
        <w:rPr>
          <w:rFonts w:ascii="Times New Roman" w:eastAsia="Times New Roman" w:hAnsi="Times New Roman"/>
          <w:snapToGrid w:val="0"/>
        </w:rPr>
        <w:t>Flakoną laikyti išorinėje dėžutėje, kad vaistinis preparatas būtų apsaugotas nuo šviesos.</w:t>
      </w:r>
    </w:p>
    <w:p w:rsidR="00267DDB" w:rsidRPr="00131C11" w:rsidRDefault="00267DDB" w:rsidP="00267DDB">
      <w:pPr>
        <w:widowControl w:val="0"/>
        <w:autoSpaceDE w:val="0"/>
        <w:autoSpaceDN w:val="0"/>
        <w:adjustRightInd w:val="0"/>
        <w:spacing w:after="0" w:line="240" w:lineRule="auto"/>
        <w:rPr>
          <w:rFonts w:ascii="Times New Roman" w:hAnsi="Times New Roman"/>
        </w:rPr>
      </w:pPr>
    </w:p>
    <w:p w:rsidR="00267DDB" w:rsidRPr="00131C11" w:rsidRDefault="00267DDB" w:rsidP="00267DDB">
      <w:pPr>
        <w:spacing w:after="0" w:line="240" w:lineRule="auto"/>
        <w:rPr>
          <w:rFonts w:ascii="Times New Roman" w:hAnsi="Times New Roman"/>
        </w:rPr>
      </w:pPr>
      <w:r w:rsidRPr="00131C11">
        <w:rPr>
          <w:rFonts w:ascii="Times New Roman" w:hAnsi="Times New Roman"/>
        </w:rPr>
        <w:t>Praskiesto vaistinio preparato laikymo sąlygos pateikiamos 6.3 skyriuje.</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6.5</w:t>
      </w:r>
      <w:r w:rsidRPr="00267DDB">
        <w:rPr>
          <w:rFonts w:ascii="Times New Roman" w:eastAsia="Times New Roman" w:hAnsi="Times New Roman"/>
          <w:b/>
          <w:bCs/>
          <w:snapToGrid w:val="0"/>
          <w:szCs w:val="28"/>
          <w:lang w:eastAsia="x-none"/>
        </w:rPr>
        <w:tab/>
        <w:t>Talpyklės pobūdis ir jos turinys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rPr>
        <w:t>100 mg/4 ml: I tipo skaidraus stiklo flakonas su bromobutilo kamščiu, padengtu fluoropolimero plėvele, bei aliuminio dangteliu ir plastikiniu gaubteliu, kuriame yra 4 ml tirpalo. Kiekviename ml yra 25 mg pemetreksedo.</w:t>
      </w:r>
      <w:r w:rsidRPr="00267DDB">
        <w:rPr>
          <w:rFonts w:ascii="Times New Roman" w:eastAsia="Times New Roman" w:hAnsi="Times New Roman"/>
          <w:snapToGrid w:val="0"/>
          <w:szCs w:val="20"/>
        </w:rPr>
        <w:t xml:space="preserve"> </w:t>
      </w:r>
    </w:p>
    <w:p w:rsidR="00267DDB" w:rsidRPr="00267DDB" w:rsidRDefault="00267DDB" w:rsidP="00267DDB">
      <w:pPr>
        <w:spacing w:after="0" w:line="240" w:lineRule="auto"/>
        <w:rPr>
          <w:rFonts w:ascii="Times New Roman" w:eastAsia="Times New Roman" w:hAnsi="Times New Roman"/>
          <w:snapToGrid w:val="0"/>
          <w:szCs w:val="20"/>
        </w:rPr>
      </w:pPr>
    </w:p>
    <w:p w:rsidR="00267DDB" w:rsidRPr="00267DDB" w:rsidRDefault="00267DDB" w:rsidP="00267DDB">
      <w:pPr>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rPr>
        <w:t>500 mg/20 ml: I tipo skaidraus stiklo flakonas su bromobutilo kamščiu, padengtu fluoropolimero plėvele, bei aliuminio dangteliu ir plastikiniu gaubteliu, kuriame yra 20 ml tirpalo. Kiekviename ml yra 25 mg pemetreksedo.</w:t>
      </w:r>
    </w:p>
    <w:p w:rsidR="00267DDB" w:rsidRPr="00267DDB" w:rsidRDefault="00267DDB" w:rsidP="00267DDB">
      <w:pPr>
        <w:spacing w:after="0" w:line="240" w:lineRule="auto"/>
        <w:rPr>
          <w:rFonts w:ascii="Times New Roman" w:eastAsia="Times New Roman" w:hAnsi="Times New Roman"/>
          <w:snapToGrid w:val="0"/>
          <w:szCs w:val="20"/>
        </w:rPr>
      </w:pPr>
    </w:p>
    <w:p w:rsidR="00267DDB" w:rsidRPr="00267DDB" w:rsidRDefault="00267DDB" w:rsidP="00267DDB">
      <w:pPr>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rPr>
        <w:t>1000 mg/40 ml: I tipo skaidraus stiklo flakonas su bromobutilo kamščiu, padengtu fluoropolimero plėvele, bei aliuminio dangteliu ir plastikiniu gaubteliu, kuriame yra 40 ml tirpalo. Kiekviename ml yra 25 mg pemetreksedo.</w:t>
      </w:r>
    </w:p>
    <w:p w:rsidR="00267DDB" w:rsidRPr="00267DDB" w:rsidRDefault="00267DDB" w:rsidP="00267DDB">
      <w:pPr>
        <w:spacing w:after="0" w:line="240" w:lineRule="auto"/>
        <w:rPr>
          <w:rFonts w:ascii="Times New Roman" w:eastAsia="Times New Roman" w:hAnsi="Times New Roman"/>
          <w:snapToGrid w:val="0"/>
          <w:szCs w:val="20"/>
        </w:rPr>
      </w:pP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Flakonai yra "įvilkti", tai yra pateikti su permatomu apvalkalu ir įdėti į kartono dėžutes.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9C5DAF" w:rsidRDefault="00267DDB" w:rsidP="00267DDB">
      <w:pPr>
        <w:spacing w:after="0" w:line="240" w:lineRule="auto"/>
        <w:rPr>
          <w:rFonts w:ascii="Times New Roman" w:eastAsia="Times New Roman" w:hAnsi="Times New Roman"/>
          <w:snapToGrid w:val="0"/>
          <w:szCs w:val="24"/>
        </w:rPr>
      </w:pPr>
      <w:r w:rsidRPr="009C5DAF">
        <w:rPr>
          <w:rFonts w:ascii="Times New Roman" w:eastAsia="Times New Roman" w:hAnsi="Times New Roman"/>
          <w:snapToGrid w:val="0"/>
          <w:szCs w:val="24"/>
        </w:rPr>
        <w:t>Pakuotėje yra 1 flakonas.</w:t>
      </w:r>
    </w:p>
    <w:p w:rsidR="00267DDB" w:rsidRPr="009C5DAF" w:rsidRDefault="00267DDB" w:rsidP="00267DDB">
      <w:pPr>
        <w:spacing w:after="0" w:line="240" w:lineRule="auto"/>
        <w:rPr>
          <w:rFonts w:ascii="Times New Roman" w:eastAsia="Times New Roman" w:hAnsi="Times New Roman"/>
          <w:snapToGrid w:val="0"/>
          <w:szCs w:val="24"/>
        </w:rPr>
      </w:pPr>
      <w:r w:rsidRPr="009C5DAF">
        <w:rPr>
          <w:rFonts w:ascii="Times New Roman" w:eastAsia="Times New Roman" w:hAnsi="Times New Roman"/>
          <w:snapToGrid w:val="0"/>
          <w:szCs w:val="24"/>
        </w:rPr>
        <w:t>Gali būti tiekiamos ne visų dydžių pakuotės.</w:t>
      </w:r>
    </w:p>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bookmarkStart w:id="5" w:name="OLE_LINK1"/>
      <w:r w:rsidRPr="00267DDB">
        <w:rPr>
          <w:rFonts w:ascii="Times New Roman" w:eastAsia="Times New Roman" w:hAnsi="Times New Roman"/>
          <w:b/>
          <w:bCs/>
          <w:snapToGrid w:val="0"/>
          <w:szCs w:val="28"/>
          <w:lang w:eastAsia="x-none"/>
        </w:rPr>
        <w:t>6.6</w:t>
      </w:r>
      <w:r w:rsidRPr="00267DDB">
        <w:rPr>
          <w:rFonts w:ascii="Times New Roman" w:eastAsia="Times New Roman" w:hAnsi="Times New Roman"/>
          <w:b/>
          <w:bCs/>
          <w:snapToGrid w:val="0"/>
          <w:szCs w:val="28"/>
          <w:lang w:eastAsia="x-none"/>
        </w:rPr>
        <w:tab/>
        <w:t>Specialūs reikalavimai atliekoms tvarkyti ir vaistiniam preparatui ruošti</w:t>
      </w:r>
    </w:p>
    <w:bookmarkEnd w:id="5"/>
    <w:p w:rsidR="00267DDB" w:rsidRPr="00267DDB" w:rsidRDefault="00267DDB" w:rsidP="00267DDB">
      <w:pPr>
        <w:spacing w:after="0" w:line="240" w:lineRule="auto"/>
        <w:rPr>
          <w:rFonts w:ascii="Times New Roman" w:eastAsia="Times New Roman" w:hAnsi="Times New Roman"/>
          <w:snapToGrid w:val="0"/>
          <w:szCs w:val="24"/>
        </w:rPr>
      </w:pPr>
    </w:p>
    <w:p w:rsidR="00267DDB" w:rsidRPr="00267DDB" w:rsidRDefault="00267DDB" w:rsidP="00267DDB">
      <w:pPr>
        <w:numPr>
          <w:ilvl w:val="0"/>
          <w:numId w:val="10"/>
        </w:numPr>
        <w:tabs>
          <w:tab w:val="left" w:pos="567"/>
        </w:tabs>
        <w:spacing w:after="0" w:line="240" w:lineRule="auto"/>
        <w:ind w:left="567" w:hanging="567"/>
        <w:rPr>
          <w:rFonts w:ascii="Times New Roman" w:eastAsia="Times New Roman" w:hAnsi="Times New Roman"/>
          <w:snapToGrid w:val="0"/>
        </w:rPr>
      </w:pPr>
      <w:r w:rsidRPr="00267DDB">
        <w:rPr>
          <w:rFonts w:ascii="Times New Roman" w:eastAsia="Times New Roman" w:hAnsi="Times New Roman"/>
          <w:snapToGrid w:val="0"/>
        </w:rPr>
        <w:t>Aseptinėmis sąlygomis praskiesti pemetreksedą infuzijai į veną.</w:t>
      </w:r>
    </w:p>
    <w:p w:rsidR="00267DDB" w:rsidRPr="00267DDB" w:rsidRDefault="00267DDB" w:rsidP="00267DDB">
      <w:pPr>
        <w:spacing w:after="0" w:line="240" w:lineRule="auto"/>
        <w:ind w:left="567" w:hanging="567"/>
        <w:rPr>
          <w:rFonts w:ascii="Times New Roman" w:eastAsia="Times New Roman" w:hAnsi="Times New Roman"/>
          <w:snapToGrid w:val="0"/>
        </w:rPr>
      </w:pPr>
    </w:p>
    <w:p w:rsidR="00267DDB" w:rsidRPr="00267DDB" w:rsidRDefault="00267DDB" w:rsidP="00267DDB">
      <w:pPr>
        <w:numPr>
          <w:ilvl w:val="0"/>
          <w:numId w:val="10"/>
        </w:numPr>
        <w:tabs>
          <w:tab w:val="left" w:pos="567"/>
        </w:tabs>
        <w:spacing w:after="0" w:line="240" w:lineRule="auto"/>
        <w:ind w:left="540" w:hanging="540"/>
        <w:rPr>
          <w:rFonts w:ascii="Times New Roman" w:eastAsia="Times New Roman" w:hAnsi="Times New Roman"/>
          <w:snapToGrid w:val="0"/>
        </w:rPr>
      </w:pPr>
      <w:r w:rsidRPr="00267DDB">
        <w:rPr>
          <w:rFonts w:ascii="Times New Roman" w:eastAsia="Times New Roman" w:hAnsi="Times New Roman"/>
          <w:snapToGrid w:val="0"/>
        </w:rPr>
        <w:t xml:space="preserve">Apskaičiuoti, kokios dozės Pemetrexed Teva 25 mg/ml koncentrato infuziniam tirpalui ir kiek flakonų reikia. </w:t>
      </w:r>
    </w:p>
    <w:p w:rsidR="00267DDB" w:rsidRPr="00267DDB" w:rsidRDefault="00267DDB" w:rsidP="00267DDB">
      <w:pPr>
        <w:spacing w:after="0" w:line="240" w:lineRule="auto"/>
        <w:ind w:left="567" w:hanging="567"/>
        <w:rPr>
          <w:rFonts w:ascii="Times New Roman" w:eastAsia="Times New Roman" w:hAnsi="Times New Roman"/>
          <w:snapToGrid w:val="0"/>
        </w:rPr>
      </w:pPr>
    </w:p>
    <w:p w:rsidR="00267DDB" w:rsidRPr="00131C11" w:rsidRDefault="00267DDB" w:rsidP="00267DDB">
      <w:pPr>
        <w:numPr>
          <w:ilvl w:val="0"/>
          <w:numId w:val="10"/>
        </w:numPr>
        <w:tabs>
          <w:tab w:val="left" w:pos="567"/>
        </w:tabs>
        <w:spacing w:after="0" w:line="240" w:lineRule="auto"/>
        <w:ind w:left="567" w:hanging="567"/>
        <w:rPr>
          <w:rFonts w:ascii="Times New Roman" w:eastAsia="Times New Roman" w:hAnsi="Times New Roman"/>
          <w:snapToGrid w:val="0"/>
        </w:rPr>
      </w:pPr>
      <w:r w:rsidRPr="00131C11">
        <w:rPr>
          <w:rFonts w:ascii="Times New Roman" w:eastAsia="Times New Roman" w:hAnsi="Times New Roman"/>
          <w:snapToGrid w:val="0"/>
        </w:rPr>
        <w:t>Pemetrexed Teva reikia skiesti tik 5 %</w:t>
      </w:r>
      <w:r w:rsidRPr="00267DDB">
        <w:rPr>
          <w:rFonts w:ascii="Times New Roman" w:eastAsia="Times New Roman" w:hAnsi="Times New Roman"/>
          <w:snapToGrid w:val="0"/>
        </w:rPr>
        <w:t xml:space="preserve"> gliukozės tirpalu be konservantų</w:t>
      </w:r>
      <w:r w:rsidRPr="00131C11">
        <w:rPr>
          <w:rFonts w:ascii="Times New Roman" w:eastAsia="Times New Roman" w:hAnsi="Times New Roman"/>
          <w:snapToGrid w:val="0"/>
        </w:rPr>
        <w:t>. Reikiamas pemetreksedo koncentrato tūris turi būti praskiedžiamas iki 100 ml su 5 % gliukozės tirpalu ir suleistas į veną kaip intraveninė infuzija per 10 minučių.</w:t>
      </w:r>
    </w:p>
    <w:p w:rsidR="00267DDB" w:rsidRPr="00131C11" w:rsidRDefault="00267DDB" w:rsidP="00267DDB">
      <w:pPr>
        <w:spacing w:after="0" w:line="240" w:lineRule="auto"/>
        <w:ind w:left="567"/>
        <w:rPr>
          <w:rFonts w:ascii="Times New Roman" w:eastAsia="Times New Roman" w:hAnsi="Times New Roman"/>
          <w:snapToGrid w:val="0"/>
        </w:rPr>
      </w:pPr>
    </w:p>
    <w:p w:rsidR="00267DDB" w:rsidRPr="00131C11" w:rsidRDefault="00267DDB" w:rsidP="00267DDB">
      <w:pPr>
        <w:numPr>
          <w:ilvl w:val="0"/>
          <w:numId w:val="10"/>
        </w:numPr>
        <w:tabs>
          <w:tab w:val="left" w:pos="567"/>
        </w:tabs>
        <w:spacing w:after="0" w:line="240" w:lineRule="auto"/>
        <w:ind w:left="567" w:hanging="567"/>
        <w:rPr>
          <w:rFonts w:ascii="Times New Roman" w:eastAsia="Times New Roman" w:hAnsi="Times New Roman"/>
          <w:snapToGrid w:val="0"/>
        </w:rPr>
      </w:pPr>
      <w:r w:rsidRPr="00131C11">
        <w:rPr>
          <w:rFonts w:ascii="Times New Roman" w:eastAsia="Times New Roman" w:hAnsi="Times New Roman"/>
          <w:snapToGrid w:val="0"/>
        </w:rPr>
        <w:t>Pemetreksedo infuziniam tirpalui, paruoštam taip kaip nurodyta anksčiau, infuzuoti tinka poliolefinu padengtos infuzinės sistemos ir infuziniai maišeliai.</w:t>
      </w:r>
    </w:p>
    <w:p w:rsidR="00267DDB" w:rsidRPr="00131C11" w:rsidRDefault="00267DDB" w:rsidP="00267DDB">
      <w:pPr>
        <w:spacing w:after="0" w:line="240" w:lineRule="auto"/>
        <w:ind w:left="567" w:hanging="567"/>
        <w:rPr>
          <w:rFonts w:ascii="Times New Roman" w:eastAsia="Times New Roman" w:hAnsi="Times New Roman"/>
          <w:snapToGrid w:val="0"/>
        </w:rPr>
      </w:pPr>
    </w:p>
    <w:p w:rsidR="00267DDB" w:rsidRPr="00267DDB" w:rsidRDefault="00267DDB" w:rsidP="00267DDB">
      <w:pPr>
        <w:numPr>
          <w:ilvl w:val="0"/>
          <w:numId w:val="10"/>
        </w:numPr>
        <w:tabs>
          <w:tab w:val="left" w:pos="567"/>
        </w:tabs>
        <w:spacing w:after="0" w:line="240" w:lineRule="auto"/>
        <w:ind w:left="567" w:hanging="567"/>
        <w:rPr>
          <w:rFonts w:ascii="Times New Roman" w:eastAsia="Times New Roman" w:hAnsi="Times New Roman"/>
          <w:snapToGrid w:val="0"/>
          <w:lang w:val="en-GB"/>
        </w:rPr>
      </w:pPr>
      <w:r w:rsidRPr="00131C11">
        <w:rPr>
          <w:rFonts w:ascii="Times New Roman" w:eastAsia="Times New Roman" w:hAnsi="Times New Roman"/>
          <w:snapToGrid w:val="0"/>
        </w:rPr>
        <w:t xml:space="preserve">Parenterinius vaistinius preparatus prieš vartojimą būtina apžiūrėti, ar juose nėra dalelių ir ar jų spalva nepakitusi. </w:t>
      </w:r>
      <w:r w:rsidRPr="00267DDB">
        <w:rPr>
          <w:rFonts w:ascii="Times New Roman" w:eastAsia="Times New Roman" w:hAnsi="Times New Roman"/>
          <w:snapToGrid w:val="0"/>
          <w:lang w:val="en-GB"/>
        </w:rPr>
        <w:t>Nevartoti, jei yra dalelių.</w:t>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numPr>
          <w:ilvl w:val="0"/>
          <w:numId w:val="10"/>
        </w:numPr>
        <w:tabs>
          <w:tab w:val="left" w:pos="567"/>
        </w:tabs>
        <w:spacing w:after="0" w:line="240" w:lineRule="auto"/>
        <w:ind w:left="567" w:hanging="567"/>
        <w:rPr>
          <w:rFonts w:ascii="Times New Roman" w:eastAsia="Times New Roman" w:hAnsi="Times New Roman"/>
          <w:snapToGrid w:val="0"/>
          <w:lang w:val="en-GB"/>
        </w:rPr>
      </w:pPr>
      <w:r w:rsidRPr="00267DDB">
        <w:rPr>
          <w:rFonts w:ascii="Times New Roman" w:eastAsia="Times New Roman" w:hAnsi="Times New Roman"/>
          <w:snapToGrid w:val="0"/>
          <w:lang w:val="en-GB"/>
        </w:rPr>
        <w:t>Pemetreksedo tirpalai yra skirti tik vienkartiniam vartojimui. Nesuvartotą vaistinį preparatą ar atliekas reikia tvarkyti laikantis vietinių reikalavimų, skirtų citotoksiniams vaistiniams preparatams.</w:t>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widowControl w:val="0"/>
        <w:autoSpaceDE w:val="0"/>
        <w:autoSpaceDN w:val="0"/>
        <w:adjustRightInd w:val="0"/>
        <w:spacing w:after="0" w:line="240" w:lineRule="auto"/>
        <w:rPr>
          <w:rFonts w:ascii="Times New Roman" w:eastAsia="Times New Roman" w:hAnsi="Times New Roman"/>
          <w:snapToGrid w:val="0"/>
          <w:lang w:val="en-GB"/>
        </w:rPr>
      </w:pPr>
      <w:r w:rsidRPr="00267DDB">
        <w:rPr>
          <w:rFonts w:ascii="Times New Roman" w:hAnsi="Times New Roman"/>
          <w:b/>
          <w:color w:val="000000"/>
          <w:lang w:val="en-GB"/>
        </w:rPr>
        <w:t xml:space="preserve">Atsargumo priemonės ruošiant ir infuzuojant tirpalą: </w:t>
      </w:r>
      <w:r w:rsidRPr="00267DDB">
        <w:rPr>
          <w:rFonts w:ascii="Times New Roman" w:hAnsi="Times New Roman"/>
          <w:color w:val="000000"/>
          <w:lang w:val="en-GB"/>
        </w:rPr>
        <w:t xml:space="preserve">kaip ir kitus vaistinius preparatus nuo vėžio, galinčius sukelti toksinį poveikį, pemetreksedo infuzinį tirpalą reikia infuzuoti ir ruošti atsargiai. Rekomenduojama mūvėti pirštines. Jeigu pemetreksedo tirpalo patenka ant odos, </w:t>
      </w:r>
      <w:proofErr w:type="gramStart"/>
      <w:r w:rsidRPr="00267DDB">
        <w:rPr>
          <w:rFonts w:ascii="Times New Roman" w:hAnsi="Times New Roman"/>
          <w:color w:val="000000"/>
          <w:lang w:val="en-GB"/>
        </w:rPr>
        <w:t>ją</w:t>
      </w:r>
      <w:proofErr w:type="gramEnd"/>
      <w:r w:rsidRPr="00267DDB">
        <w:rPr>
          <w:rFonts w:ascii="Times New Roman" w:hAnsi="Times New Roman"/>
          <w:color w:val="000000"/>
          <w:lang w:val="en-GB"/>
        </w:rPr>
        <w:t xml:space="preserve"> reikia nedelsiant kruopščiai nuplauti vandeniu ir muilu. Jeigu pemetreksedo tirpalo patenka ant gleivinės, </w:t>
      </w:r>
      <w:proofErr w:type="gramStart"/>
      <w:r w:rsidRPr="00267DDB">
        <w:rPr>
          <w:rFonts w:ascii="Times New Roman" w:hAnsi="Times New Roman"/>
          <w:color w:val="000000"/>
          <w:lang w:val="en-GB"/>
        </w:rPr>
        <w:t>ją</w:t>
      </w:r>
      <w:proofErr w:type="gramEnd"/>
      <w:r w:rsidRPr="00267DDB">
        <w:rPr>
          <w:rFonts w:ascii="Times New Roman" w:hAnsi="Times New Roman"/>
          <w:color w:val="000000"/>
          <w:lang w:val="en-GB"/>
        </w:rPr>
        <w:t xml:space="preserve">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rsidR="00267DDB" w:rsidRPr="00267DDB" w:rsidRDefault="00267DDB" w:rsidP="00267DDB">
      <w:pPr>
        <w:widowControl w:val="0"/>
        <w:autoSpaceDE w:val="0"/>
        <w:autoSpaceDN w:val="0"/>
        <w:adjustRightInd w:val="0"/>
        <w:spacing w:after="0" w:line="240" w:lineRule="auto"/>
        <w:rPr>
          <w:rFonts w:ascii="Times New Roman" w:eastAsia="Times New Roman" w:hAnsi="Times New Roman"/>
          <w:snapToGrid w:val="0"/>
          <w:lang w:val="en-GB"/>
        </w:rPr>
      </w:pPr>
    </w:p>
    <w:p w:rsidR="00267DDB" w:rsidRPr="00267DDB" w:rsidRDefault="00267DDB" w:rsidP="00267DDB">
      <w:pPr>
        <w:widowControl w:val="0"/>
        <w:autoSpaceDE w:val="0"/>
        <w:autoSpaceDN w:val="0"/>
        <w:adjustRightInd w:val="0"/>
        <w:spacing w:after="0" w:line="240" w:lineRule="auto"/>
        <w:rPr>
          <w:rFonts w:ascii="Times New Roman" w:eastAsia="Times New Roman" w:hAnsi="Times New Roman"/>
          <w:snapToGrid w:val="0"/>
          <w:lang w:val="en-GB"/>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267DDB">
        <w:rPr>
          <w:rFonts w:ascii="Times New Roman" w:eastAsia="Times New Roman" w:hAnsi="Times New Roman"/>
          <w:b/>
          <w:bCs/>
          <w:snapToGrid w:val="0"/>
          <w:lang w:eastAsia="x-none"/>
        </w:rPr>
        <w:lastRenderedPageBreak/>
        <w:t>7.</w:t>
      </w:r>
      <w:r w:rsidRPr="00267DDB">
        <w:rPr>
          <w:rFonts w:ascii="Times New Roman" w:eastAsia="Times New Roman" w:hAnsi="Times New Roman"/>
          <w:b/>
          <w:bCs/>
          <w:snapToGrid w:val="0"/>
          <w:lang w:eastAsia="x-none"/>
        </w:rPr>
        <w:tab/>
        <w:t>REGISTRUOTOJAS</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Teva B.V.</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Swensweg 5</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2031 GA Haarlem</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Nyderlandai</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267DDB">
        <w:rPr>
          <w:rFonts w:ascii="Times New Roman" w:eastAsia="Times New Roman" w:hAnsi="Times New Roman"/>
          <w:b/>
          <w:bCs/>
          <w:snapToGrid w:val="0"/>
          <w:lang w:eastAsia="x-none"/>
        </w:rPr>
        <w:t>8.</w:t>
      </w:r>
      <w:r w:rsidRPr="00267DDB">
        <w:rPr>
          <w:rFonts w:ascii="Times New Roman" w:eastAsia="Times New Roman" w:hAnsi="Times New Roman"/>
          <w:b/>
          <w:bCs/>
          <w:snapToGrid w:val="0"/>
          <w:lang w:eastAsia="x-none"/>
        </w:rPr>
        <w:tab/>
        <w:t xml:space="preserve">REGISTRACIJOS </w:t>
      </w:r>
      <w:r w:rsidRPr="00267DDB">
        <w:rPr>
          <w:rFonts w:ascii="Times New Roman" w:eastAsia="Times New Roman" w:hAnsi="Times New Roman"/>
          <w:b/>
          <w:bCs/>
          <w:noProof/>
          <w:snapToGrid w:val="0"/>
          <w:lang w:eastAsia="x-none"/>
        </w:rPr>
        <w:t>PAŽYMĖJIMO</w:t>
      </w:r>
      <w:r w:rsidRPr="00267DDB">
        <w:rPr>
          <w:rFonts w:ascii="Times New Roman" w:eastAsia="Times New Roman" w:hAnsi="Times New Roman"/>
          <w:b/>
          <w:bCs/>
          <w:snapToGrid w:val="0"/>
          <w:lang w:eastAsia="x-none"/>
        </w:rPr>
        <w:t xml:space="preserve"> NUMERIS (-IAI) </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4 ml – LT/1/17/4090/001</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20 ml – LT/1/17/4090/002</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40 ml – LT/1/17/4090/003</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267DDB">
        <w:rPr>
          <w:rFonts w:ascii="Times New Roman" w:eastAsia="Times New Roman" w:hAnsi="Times New Roman"/>
          <w:b/>
          <w:bCs/>
          <w:snapToGrid w:val="0"/>
          <w:lang w:eastAsia="x-none"/>
        </w:rPr>
        <w:t>9.</w:t>
      </w:r>
      <w:r w:rsidRPr="00267DDB">
        <w:rPr>
          <w:rFonts w:ascii="Times New Roman" w:eastAsia="Times New Roman" w:hAnsi="Times New Roman"/>
          <w:b/>
          <w:bCs/>
          <w:snapToGrid w:val="0"/>
          <w:lang w:eastAsia="x-none"/>
        </w:rPr>
        <w:tab/>
        <w:t>REGISTRAVIMO / PERREGISTRAVIMO DATA</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tabs>
          <w:tab w:val="left" w:pos="567"/>
        </w:tabs>
        <w:spacing w:after="0" w:line="240" w:lineRule="auto"/>
        <w:rPr>
          <w:rFonts w:ascii="Times New Roman" w:eastAsia="Times New Roman" w:hAnsi="Times New Roman"/>
          <w:szCs w:val="20"/>
        </w:rPr>
      </w:pPr>
      <w:r w:rsidRPr="00267DDB">
        <w:rPr>
          <w:rFonts w:ascii="Times New Roman" w:eastAsia="Times New Roman" w:hAnsi="Times New Roman"/>
          <w:snapToGrid w:val="0"/>
          <w:szCs w:val="20"/>
          <w:lang w:val="en-GB" w:eastAsia="sl-SI"/>
        </w:rPr>
        <w:t>Registravimo data 2017 m. birželio 13 d.</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keepNext/>
        <w:keepLines/>
        <w:tabs>
          <w:tab w:val="left" w:pos="567"/>
        </w:tabs>
        <w:spacing w:after="0" w:line="240" w:lineRule="auto"/>
        <w:outlineLvl w:val="2"/>
        <w:rPr>
          <w:rFonts w:ascii="Times New Roman" w:eastAsia="Times New Roman" w:hAnsi="Times New Roman"/>
          <w:b/>
          <w:bCs/>
          <w:snapToGrid w:val="0"/>
          <w:lang w:eastAsia="x-none"/>
        </w:rPr>
      </w:pPr>
      <w:r w:rsidRPr="00267DDB">
        <w:rPr>
          <w:rFonts w:ascii="Times New Roman" w:eastAsia="Times New Roman" w:hAnsi="Times New Roman"/>
          <w:b/>
          <w:bCs/>
          <w:snapToGrid w:val="0"/>
          <w:lang w:eastAsia="x-none"/>
        </w:rPr>
        <w:t>10.</w:t>
      </w:r>
      <w:r w:rsidRPr="00267DDB">
        <w:rPr>
          <w:rFonts w:ascii="Times New Roman" w:eastAsia="Times New Roman" w:hAnsi="Times New Roman"/>
          <w:b/>
          <w:bCs/>
          <w:snapToGrid w:val="0"/>
          <w:lang w:eastAsia="x-none"/>
        </w:rPr>
        <w:tab/>
        <w:t>TEKSTO PERŽIŪROS DATA</w:t>
      </w:r>
    </w:p>
    <w:p w:rsidR="00267DDB" w:rsidRPr="00267DDB" w:rsidRDefault="00267DDB" w:rsidP="00267DDB">
      <w:pPr>
        <w:tabs>
          <w:tab w:val="left" w:pos="567"/>
        </w:tabs>
        <w:spacing w:after="0" w:line="260" w:lineRule="exact"/>
        <w:rPr>
          <w:rFonts w:ascii="Times New Roman" w:eastAsia="Times New Roman" w:hAnsi="Times New Roman"/>
          <w:snapToGrid w:val="0"/>
        </w:rPr>
      </w:pPr>
    </w:p>
    <w:p w:rsidR="00267DDB" w:rsidRDefault="00DF63FA" w:rsidP="00267DDB">
      <w:pPr>
        <w:tabs>
          <w:tab w:val="left" w:pos="5954"/>
          <w:tab w:val="left" w:pos="6237"/>
          <w:tab w:val="left" w:pos="6663"/>
          <w:tab w:val="left" w:pos="6946"/>
        </w:tabs>
        <w:spacing w:after="0" w:line="240" w:lineRule="auto"/>
        <w:rPr>
          <w:rFonts w:ascii="Times New Roman" w:eastAsia="SimSun" w:hAnsi="Times New Roman"/>
          <w:noProof/>
          <w:lang w:eastAsia="x-none"/>
        </w:rPr>
      </w:pPr>
      <w:r>
        <w:rPr>
          <w:rFonts w:ascii="Times New Roman" w:eastAsia="SimSun" w:hAnsi="Times New Roman"/>
          <w:noProof/>
          <w:lang w:eastAsia="x-none"/>
        </w:rPr>
        <w:t>2021 m. kovo 26 d.</w:t>
      </w:r>
    </w:p>
    <w:p w:rsidR="00DF63FA" w:rsidRPr="00267DDB" w:rsidRDefault="00DF63FA" w:rsidP="00267DDB">
      <w:pPr>
        <w:tabs>
          <w:tab w:val="left" w:pos="5954"/>
          <w:tab w:val="left" w:pos="6237"/>
          <w:tab w:val="left" w:pos="6663"/>
          <w:tab w:val="left" w:pos="6946"/>
        </w:tabs>
        <w:spacing w:after="0" w:line="240" w:lineRule="auto"/>
        <w:rPr>
          <w:rFonts w:ascii="Times New Roman" w:eastAsia="SimSun" w:hAnsi="Times New Roman"/>
          <w:noProof/>
          <w:lang w:eastAsia="x-none"/>
        </w:rPr>
      </w:pPr>
    </w:p>
    <w:p w:rsidR="00267DDB" w:rsidRPr="00267DDB" w:rsidRDefault="00267DDB" w:rsidP="00267DDB">
      <w:pPr>
        <w:tabs>
          <w:tab w:val="left" w:pos="5954"/>
          <w:tab w:val="left" w:pos="6237"/>
          <w:tab w:val="left" w:pos="6663"/>
          <w:tab w:val="left" w:pos="6946"/>
        </w:tabs>
        <w:spacing w:after="0" w:line="240" w:lineRule="auto"/>
        <w:rPr>
          <w:rFonts w:ascii="Times New Roman" w:eastAsia="SimSun" w:hAnsi="Times New Roman"/>
          <w:lang w:eastAsia="x-none"/>
        </w:rPr>
      </w:pPr>
      <w:r w:rsidRPr="00267DDB">
        <w:rPr>
          <w:rFonts w:ascii="Times New Roman" w:eastAsia="SimSun" w:hAnsi="Times New Roman"/>
          <w:noProof/>
          <w:lang w:eastAsia="x-none"/>
        </w:rPr>
        <w:t>Išsami informacija apie šį vaistinį preparatą pateikiama Valstybinės vaistų kontrolės tarnybos prie Lietuvos Respublikos sveikatos apsaugos ministerijos tinklalapyje</w:t>
      </w:r>
      <w:r w:rsidRPr="00267DDB">
        <w:rPr>
          <w:rFonts w:ascii="Times New Roman" w:eastAsia="SimSun" w:hAnsi="Times New Roman"/>
          <w:i/>
          <w:noProof/>
          <w:lang w:eastAsia="x-none"/>
        </w:rPr>
        <w:t xml:space="preserve"> </w:t>
      </w:r>
      <w:hyperlink r:id="rId13" w:history="1">
        <w:r w:rsidRPr="00267DDB">
          <w:rPr>
            <w:rFonts w:ascii="Times New Roman" w:eastAsia="SimSun" w:hAnsi="Times New Roman"/>
            <w:noProof/>
            <w:color w:val="0000FF"/>
            <w:u w:val="single"/>
            <w:lang w:eastAsia="x-none"/>
          </w:rPr>
          <w:t>http://www.</w:t>
        </w:r>
        <w:r w:rsidRPr="00267DDB">
          <w:rPr>
            <w:rFonts w:ascii="Times New Roman" w:eastAsia="SimSun" w:hAnsi="Times New Roman"/>
            <w:color w:val="0000FF"/>
            <w:u w:val="single"/>
            <w:lang w:eastAsia="x-none"/>
          </w:rPr>
          <w:t>vvkt.lt</w:t>
        </w:r>
      </w:hyperlink>
    </w:p>
    <w:p w:rsidR="00267DDB" w:rsidRPr="00267DDB" w:rsidRDefault="00267DDB" w:rsidP="00622B7A">
      <w:pPr>
        <w:tabs>
          <w:tab w:val="left" w:pos="567"/>
        </w:tabs>
        <w:spacing w:after="0" w:line="260" w:lineRule="exact"/>
        <w:rPr>
          <w:rFonts w:ascii="Times New Roman" w:eastAsia="Times New Roman" w:hAnsi="Times New Roman"/>
          <w:snapToGrid w:val="0"/>
          <w:szCs w:val="20"/>
        </w:rPr>
      </w:pPr>
    </w:p>
    <w:p w:rsidR="00267DDB" w:rsidRDefault="00267DDB"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882C7A" w:rsidP="00267DDB">
      <w:pPr>
        <w:tabs>
          <w:tab w:val="left" w:pos="567"/>
        </w:tabs>
        <w:spacing w:after="0" w:line="260" w:lineRule="exact"/>
        <w:ind w:right="-1"/>
        <w:rPr>
          <w:rFonts w:ascii="Times New Roman" w:eastAsia="Times New Roman" w:hAnsi="Times New Roman"/>
          <w:snapToGrid w:val="0"/>
          <w:szCs w:val="20"/>
        </w:rPr>
      </w:pPr>
      <w:r>
        <w:rPr>
          <w:rFonts w:ascii="Times New Roman" w:eastAsia="Times New Roman" w:hAnsi="Times New Roman"/>
          <w:snapToGrid w:val="0"/>
          <w:szCs w:val="20"/>
        </w:rPr>
        <w:br w:type="page"/>
      </w:r>
    </w:p>
    <w:p w:rsidR="00882C7A" w:rsidRDefault="00882C7A" w:rsidP="00267DDB">
      <w:pPr>
        <w:tabs>
          <w:tab w:val="left" w:pos="567"/>
        </w:tabs>
        <w:spacing w:after="0" w:line="260" w:lineRule="exact"/>
        <w:ind w:right="-1"/>
        <w:rPr>
          <w:rFonts w:ascii="Times New Roman" w:eastAsia="Times New Roman" w:hAnsi="Times New Roman"/>
          <w:snapToGrid w:val="0"/>
          <w:szCs w:val="20"/>
        </w:rPr>
      </w:pPr>
    </w:p>
    <w:p w:rsidR="00882C7A" w:rsidRDefault="00882C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Pr="00267DDB" w:rsidRDefault="00622B7A" w:rsidP="00622B7A">
      <w:pPr>
        <w:tabs>
          <w:tab w:val="left" w:pos="567"/>
        </w:tabs>
        <w:spacing w:after="0" w:line="260" w:lineRule="exact"/>
        <w:jc w:val="center"/>
        <w:rPr>
          <w:rFonts w:ascii="Times New Roman" w:eastAsia="Times New Roman" w:hAnsi="Times New Roman"/>
          <w:b/>
          <w:snapToGrid w:val="0"/>
          <w:szCs w:val="20"/>
        </w:rPr>
      </w:pPr>
      <w:r w:rsidRPr="00267DDB">
        <w:rPr>
          <w:rFonts w:ascii="Times New Roman" w:eastAsia="Times New Roman" w:hAnsi="Times New Roman"/>
          <w:b/>
          <w:snapToGrid w:val="0"/>
          <w:szCs w:val="20"/>
        </w:rPr>
        <w:t>II PRIEDAS</w:t>
      </w:r>
    </w:p>
    <w:p w:rsidR="00622B7A" w:rsidRPr="00267DDB" w:rsidRDefault="00622B7A" w:rsidP="00622B7A">
      <w:pPr>
        <w:tabs>
          <w:tab w:val="left" w:pos="567"/>
        </w:tabs>
        <w:spacing w:after="0" w:line="260" w:lineRule="exact"/>
        <w:ind w:left="1701" w:right="1416" w:hanging="567"/>
        <w:rPr>
          <w:rFonts w:ascii="Times New Roman" w:eastAsia="Times New Roman" w:hAnsi="Times New Roman"/>
          <w:snapToGrid w:val="0"/>
          <w:szCs w:val="20"/>
        </w:rPr>
      </w:pPr>
    </w:p>
    <w:p w:rsidR="00622B7A" w:rsidRPr="00267DDB" w:rsidRDefault="00622B7A" w:rsidP="00622B7A">
      <w:pPr>
        <w:tabs>
          <w:tab w:val="left" w:pos="567"/>
        </w:tabs>
        <w:spacing w:after="0" w:line="260" w:lineRule="exact"/>
        <w:jc w:val="center"/>
        <w:rPr>
          <w:rFonts w:ascii="Times New Roman" w:eastAsia="Times New Roman" w:hAnsi="Times New Roman"/>
          <w:i/>
          <w:snapToGrid w:val="0"/>
          <w:szCs w:val="20"/>
        </w:rPr>
      </w:pPr>
      <w:r w:rsidRPr="00267DDB">
        <w:rPr>
          <w:rFonts w:ascii="Times New Roman" w:eastAsia="Times New Roman" w:hAnsi="Times New Roman"/>
          <w:b/>
          <w:snapToGrid w:val="0"/>
          <w:szCs w:val="20"/>
        </w:rPr>
        <w:t>REGISTRACIJOS SĄLYGOS</w:t>
      </w:r>
    </w:p>
    <w:p w:rsidR="00622B7A" w:rsidRPr="00267DDB" w:rsidRDefault="00622B7A" w:rsidP="00622B7A">
      <w:pPr>
        <w:tabs>
          <w:tab w:val="left" w:pos="567"/>
        </w:tabs>
        <w:spacing w:after="0" w:line="260" w:lineRule="exact"/>
        <w:rPr>
          <w:rFonts w:ascii="Times New Roman" w:eastAsia="Times New Roman" w:hAnsi="Times New Roman"/>
          <w:snapToGrid w:val="0"/>
          <w:szCs w:val="20"/>
        </w:rPr>
      </w:pPr>
    </w:p>
    <w:p w:rsidR="00622B7A" w:rsidRPr="00267DDB" w:rsidRDefault="00622B7A" w:rsidP="00622B7A">
      <w:pPr>
        <w:tabs>
          <w:tab w:val="left" w:pos="1701"/>
        </w:tabs>
        <w:spacing w:after="0" w:line="260" w:lineRule="exact"/>
        <w:ind w:left="1701" w:right="567" w:hanging="567"/>
        <w:rPr>
          <w:rFonts w:ascii="Times New Roman" w:eastAsia="Times New Roman" w:hAnsi="Times New Roman"/>
          <w:b/>
          <w:noProof/>
          <w:snapToGrid w:val="0"/>
          <w:szCs w:val="24"/>
        </w:rPr>
      </w:pPr>
      <w:r w:rsidRPr="00267DDB">
        <w:rPr>
          <w:rFonts w:ascii="Times New Roman" w:eastAsia="Times New Roman" w:hAnsi="Times New Roman"/>
          <w:b/>
          <w:noProof/>
          <w:snapToGrid w:val="0"/>
          <w:szCs w:val="24"/>
        </w:rPr>
        <w:t>A.</w:t>
      </w:r>
      <w:r w:rsidRPr="00267DDB">
        <w:rPr>
          <w:rFonts w:ascii="Times New Roman" w:eastAsia="Times New Roman" w:hAnsi="Times New Roman"/>
          <w:b/>
          <w:noProof/>
          <w:snapToGrid w:val="0"/>
          <w:szCs w:val="24"/>
        </w:rPr>
        <w:tab/>
        <w:t>GAMINTOJAS (-AI), ATSAKINGAS (-I) UŽ SERIJŲ IŠLEIDIMĄ</w:t>
      </w:r>
    </w:p>
    <w:p w:rsidR="00622B7A" w:rsidRPr="00267DDB" w:rsidRDefault="00622B7A" w:rsidP="00622B7A">
      <w:pPr>
        <w:tabs>
          <w:tab w:val="left" w:pos="1701"/>
        </w:tabs>
        <w:spacing w:after="0" w:line="260" w:lineRule="exact"/>
        <w:ind w:left="567" w:right="567" w:hanging="567"/>
        <w:rPr>
          <w:rFonts w:ascii="Times New Roman" w:eastAsia="Times New Roman" w:hAnsi="Times New Roman"/>
          <w:noProof/>
          <w:snapToGrid w:val="0"/>
          <w:szCs w:val="24"/>
        </w:rPr>
      </w:pPr>
    </w:p>
    <w:p w:rsidR="00622B7A" w:rsidRPr="00267DDB" w:rsidRDefault="00622B7A" w:rsidP="00622B7A">
      <w:pPr>
        <w:tabs>
          <w:tab w:val="left" w:pos="1701"/>
        </w:tabs>
        <w:spacing w:after="0" w:line="260" w:lineRule="exact"/>
        <w:ind w:left="1701" w:right="567" w:hanging="567"/>
        <w:rPr>
          <w:rFonts w:ascii="Times New Roman" w:eastAsia="Times New Roman" w:hAnsi="Times New Roman"/>
          <w:b/>
          <w:snapToGrid w:val="0"/>
          <w:szCs w:val="20"/>
        </w:rPr>
      </w:pPr>
      <w:r w:rsidRPr="00267DDB">
        <w:rPr>
          <w:rFonts w:ascii="Times New Roman" w:eastAsia="Times New Roman" w:hAnsi="Times New Roman"/>
          <w:b/>
          <w:snapToGrid w:val="0"/>
          <w:szCs w:val="20"/>
        </w:rPr>
        <w:t>B.</w:t>
      </w:r>
      <w:r w:rsidRPr="00267DDB">
        <w:rPr>
          <w:rFonts w:ascii="Times New Roman" w:eastAsia="Times New Roman" w:hAnsi="Times New Roman"/>
          <w:b/>
          <w:snapToGrid w:val="0"/>
          <w:szCs w:val="20"/>
        </w:rPr>
        <w:tab/>
        <w:t>TIEKIMO IR VARTOJIMO SĄLYGOS AR APRIBOJIMAI</w:t>
      </w: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Pr="00267DDB" w:rsidRDefault="00622B7A" w:rsidP="00267DDB">
      <w:pPr>
        <w:tabs>
          <w:tab w:val="left" w:pos="567"/>
        </w:tabs>
        <w:spacing w:after="0" w:line="260" w:lineRule="exact"/>
        <w:ind w:right="-1"/>
        <w:rPr>
          <w:rFonts w:ascii="Times New Roman" w:eastAsia="Times New Roman" w:hAnsi="Times New Roman"/>
          <w:snapToGrid w:val="0"/>
          <w:szCs w:val="20"/>
        </w:rPr>
      </w:pPr>
    </w:p>
    <w:p w:rsidR="00622B7A" w:rsidRDefault="00622B7A" w:rsidP="00267DDB">
      <w:pPr>
        <w:tabs>
          <w:tab w:val="left" w:pos="567"/>
        </w:tabs>
        <w:spacing w:after="0" w:line="260" w:lineRule="exact"/>
        <w:ind w:left="567" w:hanging="567"/>
        <w:rPr>
          <w:rFonts w:ascii="Times New Roman" w:eastAsia="Times New Roman" w:hAnsi="Times New Roman"/>
          <w:b/>
          <w:snapToGrid w:val="0"/>
          <w:szCs w:val="20"/>
        </w:rPr>
      </w:pPr>
    </w:p>
    <w:p w:rsidR="00622B7A" w:rsidRDefault="00622B7A" w:rsidP="00267DDB">
      <w:pPr>
        <w:tabs>
          <w:tab w:val="left" w:pos="567"/>
        </w:tabs>
        <w:spacing w:after="0" w:line="260" w:lineRule="exact"/>
        <w:ind w:left="567" w:hanging="567"/>
        <w:rPr>
          <w:rFonts w:ascii="Times New Roman" w:eastAsia="Times New Roman" w:hAnsi="Times New Roman"/>
          <w:b/>
          <w:snapToGrid w:val="0"/>
          <w:szCs w:val="20"/>
        </w:rPr>
      </w:pPr>
    </w:p>
    <w:p w:rsidR="00622B7A" w:rsidRDefault="00622B7A" w:rsidP="00267DDB">
      <w:pPr>
        <w:tabs>
          <w:tab w:val="left" w:pos="567"/>
        </w:tabs>
        <w:spacing w:after="0" w:line="260" w:lineRule="exact"/>
        <w:ind w:left="567" w:hanging="567"/>
        <w:rPr>
          <w:rFonts w:ascii="Times New Roman" w:eastAsia="Times New Roman" w:hAnsi="Times New Roman"/>
          <w:b/>
          <w:snapToGrid w:val="0"/>
          <w:szCs w:val="20"/>
        </w:rPr>
      </w:pPr>
    </w:p>
    <w:p w:rsidR="00622B7A" w:rsidRDefault="00882C7A" w:rsidP="00267DDB">
      <w:pPr>
        <w:tabs>
          <w:tab w:val="left" w:pos="567"/>
        </w:tabs>
        <w:spacing w:after="0" w:line="260" w:lineRule="exact"/>
        <w:ind w:left="567" w:hanging="567"/>
        <w:rPr>
          <w:rFonts w:ascii="Times New Roman" w:eastAsia="Times New Roman" w:hAnsi="Times New Roman"/>
          <w:b/>
          <w:snapToGrid w:val="0"/>
          <w:szCs w:val="20"/>
        </w:rPr>
      </w:pPr>
      <w:r>
        <w:rPr>
          <w:rFonts w:ascii="Times New Roman" w:eastAsia="Times New Roman" w:hAnsi="Times New Roman"/>
          <w:b/>
          <w:snapToGrid w:val="0"/>
          <w:szCs w:val="20"/>
        </w:rPr>
        <w:br w:type="page"/>
      </w:r>
    </w:p>
    <w:p w:rsidR="00622B7A" w:rsidRDefault="00622B7A" w:rsidP="00267DDB">
      <w:pPr>
        <w:tabs>
          <w:tab w:val="left" w:pos="567"/>
        </w:tabs>
        <w:spacing w:after="0" w:line="260" w:lineRule="exact"/>
        <w:ind w:left="567" w:hanging="567"/>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ind w:left="567" w:hanging="567"/>
        <w:rPr>
          <w:rFonts w:ascii="Times New Roman" w:eastAsia="Times New Roman" w:hAnsi="Times New Roman"/>
          <w:b/>
          <w:snapToGrid w:val="0"/>
          <w:szCs w:val="24"/>
        </w:rPr>
      </w:pPr>
      <w:r w:rsidRPr="00267DDB">
        <w:rPr>
          <w:rFonts w:ascii="Times New Roman" w:eastAsia="Times New Roman" w:hAnsi="Times New Roman"/>
          <w:b/>
          <w:snapToGrid w:val="0"/>
          <w:szCs w:val="20"/>
        </w:rPr>
        <w:t>A.</w:t>
      </w:r>
      <w:r w:rsidRPr="00267DDB">
        <w:rPr>
          <w:rFonts w:ascii="Times New Roman" w:eastAsia="Times New Roman" w:hAnsi="Times New Roman"/>
          <w:b/>
          <w:snapToGrid w:val="0"/>
          <w:szCs w:val="24"/>
        </w:rPr>
        <w:tab/>
      </w:r>
      <w:r w:rsidRPr="00267DDB">
        <w:rPr>
          <w:rFonts w:ascii="Times New Roman" w:eastAsia="Times New Roman" w:hAnsi="Times New Roman"/>
          <w:b/>
          <w:snapToGrid w:val="0"/>
          <w:szCs w:val="20"/>
        </w:rPr>
        <w:t>GAMINTOJAS (-AI), ATSAKINGAS (-I) UŽ SERIJŲ IŠLEIDIMĄ</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40" w:lineRule="auto"/>
        <w:jc w:val="both"/>
        <w:rPr>
          <w:rFonts w:ascii="Times New Roman" w:eastAsia="Times New Roman" w:hAnsi="Times New Roman"/>
          <w:snapToGrid w:val="0"/>
          <w:szCs w:val="24"/>
        </w:rPr>
      </w:pPr>
      <w:r w:rsidRPr="00267DDB">
        <w:rPr>
          <w:rFonts w:ascii="Times New Roman" w:eastAsia="Times New Roman" w:hAnsi="Times New Roman"/>
          <w:noProof/>
          <w:snapToGrid w:val="0"/>
          <w:szCs w:val="24"/>
          <w:u w:val="single"/>
        </w:rPr>
        <w:t>Gamintojo (-ų), atsakingo (-ų) už serijų išleidimą, pavadinimas (-ai) ir adresas (-ai)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Pharmachemie B.V.</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Swensweg 5</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2031 GA Haarlem</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Nyderlandai</w:t>
      </w:r>
    </w:p>
    <w:p w:rsidR="00267DDB" w:rsidRPr="00131C11" w:rsidRDefault="00267DDB" w:rsidP="00267DDB">
      <w:pPr>
        <w:spacing w:after="0" w:line="240" w:lineRule="auto"/>
        <w:ind w:left="567" w:hanging="567"/>
        <w:rPr>
          <w:rFonts w:ascii="Times New Roman" w:eastAsia="Times New Roman" w:hAnsi="Times New Roman"/>
          <w:szCs w:val="20"/>
          <w:lang w:val="pl-PL"/>
        </w:rPr>
      </w:pPr>
    </w:p>
    <w:p w:rsidR="00267DDB" w:rsidRPr="00131C11" w:rsidRDefault="00267DDB" w:rsidP="00267DDB">
      <w:pPr>
        <w:spacing w:after="0" w:line="240" w:lineRule="auto"/>
        <w:ind w:left="567" w:hanging="567"/>
        <w:rPr>
          <w:rFonts w:ascii="Times New Roman" w:eastAsia="Times New Roman" w:hAnsi="Times New Roman"/>
          <w:szCs w:val="20"/>
          <w:lang w:val="pl-PL"/>
        </w:rPr>
      </w:pPr>
      <w:proofErr w:type="gramStart"/>
      <w:r w:rsidRPr="00131C11">
        <w:rPr>
          <w:rFonts w:ascii="Times New Roman" w:eastAsia="Times New Roman" w:hAnsi="Times New Roman"/>
          <w:szCs w:val="20"/>
          <w:lang w:val="pl-PL"/>
        </w:rPr>
        <w:t>arba</w:t>
      </w:r>
      <w:proofErr w:type="gramEnd"/>
    </w:p>
    <w:p w:rsidR="00267DDB" w:rsidRPr="00131C11" w:rsidRDefault="00267DDB" w:rsidP="00267DDB">
      <w:pPr>
        <w:spacing w:after="0" w:line="240" w:lineRule="auto"/>
        <w:ind w:left="567" w:hanging="567"/>
        <w:rPr>
          <w:rFonts w:ascii="Times New Roman" w:eastAsia="Times New Roman" w:hAnsi="Times New Roman"/>
          <w:szCs w:val="20"/>
          <w:lang w:val="pl-PL"/>
        </w:rPr>
      </w:pP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267DDB">
        <w:rPr>
          <w:rFonts w:ascii="Times New Roman" w:eastAsia="Times New Roman" w:hAnsi="Times New Roman"/>
          <w:snapToGrid w:val="0"/>
          <w:lang w:val="de-DE"/>
        </w:rPr>
        <w:t>TEVA Gyógyszergyár Zrt.</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Táncsics Mihály út 82</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H-2100 Gödöllő</w:t>
      </w:r>
    </w:p>
    <w:p w:rsidR="00267DDB" w:rsidRPr="00131C11" w:rsidRDefault="00267DDB" w:rsidP="00267DDB">
      <w:pPr>
        <w:spacing w:after="0" w:line="240" w:lineRule="auto"/>
        <w:ind w:left="567" w:hanging="567"/>
        <w:rPr>
          <w:rFonts w:ascii="Times New Roman" w:eastAsia="Times New Roman" w:hAnsi="Times New Roman"/>
          <w:b/>
          <w:szCs w:val="20"/>
          <w:lang w:val="pl-PL"/>
        </w:rPr>
      </w:pPr>
      <w:r w:rsidRPr="00131C11">
        <w:rPr>
          <w:rFonts w:ascii="Times New Roman" w:eastAsia="Times New Roman" w:hAnsi="Times New Roman"/>
          <w:szCs w:val="20"/>
          <w:lang w:val="pl-PL"/>
        </w:rPr>
        <w:t>Vengrija</w:t>
      </w:r>
    </w:p>
    <w:p w:rsidR="00267DDB" w:rsidRPr="00131C11" w:rsidRDefault="00267DDB" w:rsidP="00267DDB">
      <w:pPr>
        <w:tabs>
          <w:tab w:val="left" w:pos="567"/>
        </w:tabs>
        <w:spacing w:after="0" w:line="260" w:lineRule="exact"/>
        <w:rPr>
          <w:rFonts w:ascii="Times New Roman" w:eastAsia="Times New Roman" w:hAnsi="Times New Roman"/>
          <w:b/>
          <w:bCs/>
          <w:szCs w:val="20"/>
          <w:lang w:val="pl-PL"/>
        </w:rPr>
      </w:pPr>
    </w:p>
    <w:p w:rsidR="00267DDB" w:rsidRPr="00131C11" w:rsidRDefault="00267DDB" w:rsidP="00267DDB">
      <w:pPr>
        <w:tabs>
          <w:tab w:val="left" w:pos="567"/>
        </w:tabs>
        <w:spacing w:after="0" w:line="260" w:lineRule="exact"/>
        <w:rPr>
          <w:rFonts w:ascii="Times New Roman" w:eastAsia="Times New Roman" w:hAnsi="Times New Roman"/>
          <w:bCs/>
          <w:szCs w:val="20"/>
          <w:lang w:val="pl-PL"/>
        </w:rPr>
      </w:pPr>
      <w:proofErr w:type="gramStart"/>
      <w:r w:rsidRPr="00131C11">
        <w:rPr>
          <w:rFonts w:ascii="Times New Roman" w:eastAsia="Times New Roman" w:hAnsi="Times New Roman"/>
          <w:bCs/>
          <w:szCs w:val="20"/>
          <w:lang w:val="pl-PL"/>
        </w:rPr>
        <w:t>arba</w:t>
      </w:r>
      <w:proofErr w:type="gramEnd"/>
    </w:p>
    <w:p w:rsidR="00267DDB" w:rsidRPr="00131C11" w:rsidRDefault="00267DDB" w:rsidP="00267DDB">
      <w:pPr>
        <w:tabs>
          <w:tab w:val="left" w:pos="567"/>
        </w:tabs>
        <w:spacing w:after="0" w:line="260" w:lineRule="exact"/>
        <w:rPr>
          <w:rFonts w:ascii="Times New Roman" w:eastAsia="Times New Roman" w:hAnsi="Times New Roman"/>
          <w:b/>
          <w:bCs/>
          <w:szCs w:val="20"/>
          <w:lang w:val="pl-PL"/>
        </w:rPr>
      </w:pP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Pliva Croatia Ltd.</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Prilaz baruna Filipovica 25</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10000 Zagreb</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Kroatija</w:t>
      </w:r>
    </w:p>
    <w:p w:rsidR="00267DDB" w:rsidRPr="00131C11" w:rsidRDefault="00267DDB" w:rsidP="00267DDB">
      <w:pPr>
        <w:numPr>
          <w:ilvl w:val="12"/>
          <w:numId w:val="0"/>
        </w:numPr>
        <w:spacing w:after="0" w:line="240" w:lineRule="auto"/>
        <w:ind w:right="-2"/>
        <w:rPr>
          <w:rFonts w:ascii="Times New Roman" w:eastAsia="Times New Roman" w:hAnsi="Times New Roman"/>
          <w:noProof/>
          <w:szCs w:val="20"/>
          <w:lang w:val="pl-PL"/>
        </w:rPr>
      </w:pPr>
    </w:p>
    <w:p w:rsidR="00267DDB" w:rsidRPr="00267DDB" w:rsidRDefault="00267DDB" w:rsidP="00267DDB">
      <w:pPr>
        <w:tabs>
          <w:tab w:val="left" w:pos="567"/>
        </w:tabs>
        <w:spacing w:after="0" w:line="240" w:lineRule="auto"/>
        <w:jc w:val="both"/>
        <w:rPr>
          <w:rFonts w:ascii="Times New Roman" w:eastAsia="Times New Roman" w:hAnsi="Times New Roman"/>
          <w:snapToGrid w:val="0"/>
          <w:szCs w:val="24"/>
        </w:rPr>
      </w:pPr>
      <w:r w:rsidRPr="00267DDB">
        <w:rPr>
          <w:rFonts w:ascii="Times New Roman" w:eastAsia="Times New Roman" w:hAnsi="Times New Roman"/>
          <w:noProof/>
          <w:snapToGrid w:val="0"/>
          <w:szCs w:val="24"/>
        </w:rPr>
        <w:t>Su pakuote pateikiamame lapelyje nurodomas gamintojo, atsakingo už konkrečios serijos išleidimą, pavadinimas ir adresas.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40" w:lineRule="auto"/>
        <w:ind w:left="567" w:hanging="567"/>
        <w:rPr>
          <w:rFonts w:ascii="Times New Roman" w:eastAsia="Times New Roman" w:hAnsi="Times New Roman"/>
          <w:snapToGrid w:val="0"/>
          <w:szCs w:val="24"/>
        </w:rPr>
      </w:pPr>
      <w:r w:rsidRPr="00267DDB">
        <w:rPr>
          <w:rFonts w:ascii="Times New Roman" w:eastAsia="Times New Roman" w:hAnsi="Times New Roman"/>
          <w:b/>
          <w:noProof/>
          <w:snapToGrid w:val="0"/>
          <w:szCs w:val="24"/>
        </w:rPr>
        <w:t>B.</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TIEKIMO IR VARTOJIMO SĄLYGOS AR APRIBOJIMAI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0"/>
        </w:rPr>
        <w:t>Receptinis vaistinis preparatas.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4962"/>
        </w:tabs>
        <w:spacing w:after="0" w:line="240" w:lineRule="auto"/>
        <w:rPr>
          <w:rFonts w:ascii="Courier New" w:eastAsia="SimSun" w:hAnsi="Courier New"/>
          <w:sz w:val="20"/>
          <w:szCs w:val="20"/>
          <w:lang w:eastAsia="x-none"/>
        </w:rPr>
      </w:pPr>
      <w:r w:rsidRPr="00267DDB">
        <w:rPr>
          <w:rFonts w:ascii="Courier New" w:eastAsia="SimSun" w:hAnsi="Courier New"/>
          <w:b/>
          <w:noProof/>
          <w:sz w:val="20"/>
          <w:szCs w:val="24"/>
          <w:lang w:eastAsia="x-none"/>
        </w:rPr>
        <w:br w:type="page"/>
      </w: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b/>
          <w:snapToGrid w:val="0"/>
          <w:szCs w:val="20"/>
        </w:rPr>
      </w:pPr>
    </w:p>
    <w:p w:rsidR="00267DDB" w:rsidRPr="00267DDB" w:rsidRDefault="00267DDB" w:rsidP="00267DDB">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rsidR="00267DDB" w:rsidRPr="00267DDB" w:rsidRDefault="00267DDB" w:rsidP="00267DDB">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lang w:eastAsia="x-none"/>
        </w:rPr>
      </w:pPr>
    </w:p>
    <w:p w:rsidR="00267DDB" w:rsidRPr="00267DDB"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67DDB">
        <w:rPr>
          <w:rFonts w:ascii="Times New Roman" w:eastAsia="Times New Roman" w:hAnsi="Times New Roman"/>
          <w:b/>
          <w:bCs/>
          <w:iCs/>
          <w:snapToGrid w:val="0"/>
          <w:szCs w:val="28"/>
          <w:lang w:eastAsia="x-none"/>
        </w:rPr>
        <w:t>III PRIEDAS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67DDB">
        <w:rPr>
          <w:rFonts w:ascii="Times New Roman" w:eastAsia="Times New Roman" w:hAnsi="Times New Roman"/>
          <w:b/>
          <w:bCs/>
          <w:iCs/>
          <w:snapToGrid w:val="0"/>
          <w:szCs w:val="28"/>
          <w:lang w:eastAsia="x-none"/>
        </w:rPr>
        <w:t>ŽENKLINIMAS IR PAKUOTĖS LAPELIS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br w:type="page"/>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267DDB">
        <w:rPr>
          <w:rFonts w:ascii="Times New Roman" w:eastAsia="Times New Roman" w:hAnsi="Times New Roman"/>
          <w:b/>
          <w:bCs/>
          <w:iCs/>
          <w:snapToGrid w:val="0"/>
          <w:szCs w:val="28"/>
          <w:lang w:eastAsia="x-none"/>
        </w:rPr>
        <w:t>A. ŽENKLINIMAS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br w:type="page"/>
      </w: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267DDB">
        <w:rPr>
          <w:rFonts w:ascii="Times New Roman" w:eastAsia="Times New Roman" w:hAnsi="Times New Roman"/>
          <w:b/>
          <w:noProof/>
          <w:snapToGrid w:val="0"/>
          <w:szCs w:val="24"/>
        </w:rPr>
        <w:lastRenderedPageBreak/>
        <w:t>INFORMACIJA ANT IŠORINĖS PAKUOTĖS</w:t>
      </w: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267DDB">
        <w:rPr>
          <w:rFonts w:ascii="Times New Roman" w:eastAsia="Times New Roman" w:hAnsi="Times New Roman"/>
          <w:b/>
          <w:noProof/>
          <w:snapToGrid w:val="0"/>
          <w:szCs w:val="24"/>
        </w:rPr>
        <w:t>KARTONO DĖŽUTĖ</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w:t>
      </w:r>
      <w:r w:rsidRPr="00267DDB">
        <w:rPr>
          <w:rFonts w:ascii="Times New Roman" w:eastAsia="Times New Roman" w:hAnsi="Times New Roman"/>
          <w:b/>
          <w:snapToGrid w:val="0"/>
          <w:szCs w:val="24"/>
        </w:rPr>
        <w:tab/>
      </w:r>
      <w:r w:rsidRPr="00267DDB">
        <w:rPr>
          <w:rFonts w:ascii="Times New Roman" w:eastAsia="Times New Roman" w:hAnsi="Times New Roman"/>
          <w:b/>
          <w:caps/>
          <w:noProof/>
          <w:snapToGrid w:val="0"/>
          <w:szCs w:val="24"/>
        </w:rPr>
        <w:t>VAISTINIO</w:t>
      </w:r>
      <w:r w:rsidRPr="00267DDB">
        <w:rPr>
          <w:rFonts w:ascii="Times New Roman" w:eastAsia="Times New Roman" w:hAnsi="Times New Roman"/>
          <w:b/>
          <w:noProof/>
          <w:snapToGrid w:val="0"/>
          <w:szCs w:val="24"/>
        </w:rPr>
        <w:t xml:space="preserve"> PREPARATO PAVADINIMAS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8"/>
        </w:rPr>
        <w:t xml:space="preserve">Pemetrexed Teva </w:t>
      </w:r>
      <w:r w:rsidRPr="00267DDB">
        <w:rPr>
          <w:rFonts w:ascii="Times New Roman" w:eastAsia="Times New Roman" w:hAnsi="Times New Roman"/>
          <w:noProof/>
          <w:snapToGrid w:val="0"/>
          <w:szCs w:val="24"/>
        </w:rPr>
        <w:t>25 mg/ml koncentratas infuziniam tirpalui</w:t>
      </w:r>
      <w:r w:rsidRPr="00267DDB">
        <w:rPr>
          <w:rFonts w:ascii="Times New Roman" w:eastAsia="Times New Roman" w:hAnsi="Times New Roman"/>
          <w:snapToGrid w:val="0"/>
          <w:szCs w:val="24"/>
        </w:rPr>
        <w:t xml:space="preserve"> </w:t>
      </w:r>
    </w:p>
    <w:p w:rsidR="00267DDB" w:rsidRPr="00267DDB" w:rsidRDefault="00CD3F5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p</w:t>
      </w:r>
      <w:r w:rsidRPr="00267DDB">
        <w:rPr>
          <w:rFonts w:ascii="Times New Roman" w:eastAsia="Times New Roman" w:hAnsi="Times New Roman"/>
          <w:snapToGrid w:val="0"/>
          <w:szCs w:val="20"/>
        </w:rPr>
        <w:t>emetrexedum</w:t>
      </w:r>
      <w:r w:rsidRPr="00267DDB">
        <w:rPr>
          <w:rFonts w:ascii="Times New Roman" w:eastAsia="Times New Roman" w:hAnsi="Times New Roman"/>
          <w:snapToGrid w:val="0"/>
          <w:szCs w:val="24"/>
        </w:rPr>
        <w:t xml:space="preserve"> </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267DDB">
        <w:rPr>
          <w:rFonts w:ascii="Times New Roman" w:eastAsia="Times New Roman" w:hAnsi="Times New Roman"/>
          <w:b/>
          <w:snapToGrid w:val="0"/>
          <w:szCs w:val="24"/>
        </w:rPr>
        <w:t>2.</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VEIKLIOJI (-IOS) MEDŽIAGA (-OS) IR JOS (-Ų) KIEKIS (-IAI)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E15AE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ml yra 25 mg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E15AE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4 ml flakone yra 100 mg pemetreksedo (pemetreksedo dirūgšties pavidalu).</w:t>
      </w:r>
    </w:p>
    <w:p w:rsidR="00267DDB" w:rsidRPr="00E209CA" w:rsidRDefault="00E15AE3" w:rsidP="00267DDB">
      <w:pPr>
        <w:tabs>
          <w:tab w:val="left" w:pos="567"/>
        </w:tabs>
        <w:spacing w:after="0" w:line="260" w:lineRule="exact"/>
        <w:rPr>
          <w:rFonts w:ascii="Times New Roman" w:eastAsia="Times New Roman" w:hAnsi="Times New Roman"/>
          <w:snapToGrid w:val="0"/>
          <w:szCs w:val="24"/>
          <w:highlight w:val="lightGray"/>
        </w:rPr>
      </w:pPr>
      <w:r>
        <w:rPr>
          <w:rFonts w:ascii="Times New Roman" w:eastAsia="Times New Roman" w:hAnsi="Times New Roman"/>
          <w:snapToGrid w:val="0"/>
          <w:szCs w:val="24"/>
          <w:highlight w:val="lightGray"/>
        </w:rPr>
        <w:t>Kiekviename</w:t>
      </w:r>
      <w:r w:rsidRPr="00E209CA">
        <w:rPr>
          <w:rFonts w:ascii="Times New Roman" w:eastAsia="Times New Roman" w:hAnsi="Times New Roman"/>
          <w:snapToGrid w:val="0"/>
          <w:szCs w:val="24"/>
          <w:highlight w:val="lightGray"/>
        </w:rPr>
        <w:t xml:space="preserve"> </w:t>
      </w:r>
      <w:r w:rsidR="00267DDB" w:rsidRPr="00E209CA">
        <w:rPr>
          <w:rFonts w:ascii="Times New Roman" w:eastAsia="Times New Roman" w:hAnsi="Times New Roman"/>
          <w:snapToGrid w:val="0"/>
          <w:szCs w:val="24"/>
          <w:highlight w:val="lightGray"/>
        </w:rPr>
        <w:t>20 ml flakone yra 500 mg pemetreksedo (pemetreksedo dirūgšties pavidalu).</w:t>
      </w:r>
    </w:p>
    <w:p w:rsidR="00267DDB" w:rsidRPr="00267DDB" w:rsidRDefault="00E15AE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highlight w:val="lightGray"/>
        </w:rPr>
        <w:t>Kiekviename</w:t>
      </w:r>
      <w:r w:rsidRPr="00E209CA">
        <w:rPr>
          <w:rFonts w:ascii="Times New Roman" w:eastAsia="Times New Roman" w:hAnsi="Times New Roman"/>
          <w:snapToGrid w:val="0"/>
          <w:szCs w:val="24"/>
          <w:highlight w:val="lightGray"/>
        </w:rPr>
        <w:t xml:space="preserve"> </w:t>
      </w:r>
      <w:r w:rsidR="00267DDB" w:rsidRPr="00E209CA">
        <w:rPr>
          <w:rFonts w:ascii="Times New Roman" w:eastAsia="Times New Roman" w:hAnsi="Times New Roman"/>
          <w:snapToGrid w:val="0"/>
          <w:szCs w:val="24"/>
          <w:highlight w:val="lightGray"/>
        </w:rPr>
        <w:t>40 ml flakone yra 1000 mg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3.</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PAGALBINIŲ MEDŽIAGŲ SĄRAŠAS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lang w:eastAsia="en-GB"/>
        </w:rPr>
        <w:t>Pagalbinės medžiagos: Mannitolum (E421), Acidum citricum anhydricum, Trometamolum, Aqua ad iniectabile.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4.</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FARMACINĖ FORMA IR KIEKIS PAKUOTĖJE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8"/>
        </w:rPr>
      </w:pPr>
      <w:r w:rsidRPr="00E209CA">
        <w:rPr>
          <w:rFonts w:ascii="Times New Roman" w:eastAsia="Times New Roman" w:hAnsi="Times New Roman"/>
          <w:noProof/>
          <w:snapToGrid w:val="0"/>
          <w:szCs w:val="24"/>
          <w:highlight w:val="lightGray"/>
        </w:rPr>
        <w:t>Koncentratas infuziniam tirpalui</w:t>
      </w:r>
    </w:p>
    <w:p w:rsidR="00267DDB" w:rsidRPr="00267DDB" w:rsidRDefault="00267DDB" w:rsidP="00267DDB">
      <w:pPr>
        <w:tabs>
          <w:tab w:val="left" w:pos="567"/>
        </w:tabs>
        <w:spacing w:after="0" w:line="260" w:lineRule="exact"/>
        <w:rPr>
          <w:rFonts w:ascii="Times New Roman" w:eastAsia="Times New Roman" w:hAnsi="Times New Roman"/>
          <w:snapToGrid w:val="0"/>
          <w:szCs w:val="28"/>
        </w:rPr>
      </w:pPr>
      <w:r w:rsidRPr="00267DDB">
        <w:rPr>
          <w:rFonts w:ascii="Times New Roman" w:eastAsia="Times New Roman" w:hAnsi="Times New Roman"/>
          <w:snapToGrid w:val="0"/>
          <w:szCs w:val="28"/>
        </w:rPr>
        <w:t>1 flakonas</w:t>
      </w:r>
    </w:p>
    <w:p w:rsidR="00267DDB" w:rsidRPr="00267DDB" w:rsidRDefault="00267DDB" w:rsidP="00267DDB">
      <w:pPr>
        <w:tabs>
          <w:tab w:val="left" w:pos="567"/>
        </w:tabs>
        <w:spacing w:after="0" w:line="260" w:lineRule="exact"/>
        <w:rPr>
          <w:rFonts w:ascii="Times New Roman" w:eastAsia="Times New Roman" w:hAnsi="Times New Roman"/>
          <w:snapToGrid w:val="0"/>
          <w:szCs w:val="28"/>
        </w:rPr>
      </w:pPr>
      <w:r w:rsidRPr="00267DDB">
        <w:rPr>
          <w:rFonts w:ascii="Times New Roman" w:eastAsia="Times New Roman" w:hAnsi="Times New Roman"/>
          <w:snapToGrid w:val="0"/>
          <w:szCs w:val="28"/>
        </w:rPr>
        <w:t>100 mg/4 ml</w:t>
      </w:r>
    </w:p>
    <w:p w:rsidR="00267DDB" w:rsidRPr="00E209CA" w:rsidRDefault="00267DDB" w:rsidP="00267DDB">
      <w:pPr>
        <w:tabs>
          <w:tab w:val="left" w:pos="567"/>
        </w:tabs>
        <w:spacing w:after="0" w:line="260" w:lineRule="exact"/>
        <w:rPr>
          <w:rFonts w:ascii="Times New Roman" w:eastAsia="Times New Roman" w:hAnsi="Times New Roman"/>
          <w:snapToGrid w:val="0"/>
          <w:szCs w:val="24"/>
          <w:highlight w:val="lightGray"/>
        </w:rPr>
      </w:pPr>
      <w:r w:rsidRPr="00E209CA">
        <w:rPr>
          <w:rFonts w:ascii="Times New Roman" w:eastAsia="Times New Roman" w:hAnsi="Times New Roman"/>
          <w:snapToGrid w:val="0"/>
          <w:szCs w:val="24"/>
          <w:highlight w:val="lightGray"/>
        </w:rPr>
        <w:t>500 mg/20 ml</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E209CA">
        <w:rPr>
          <w:rFonts w:ascii="Times New Roman" w:eastAsia="Times New Roman" w:hAnsi="Times New Roman"/>
          <w:snapToGrid w:val="0"/>
          <w:szCs w:val="24"/>
          <w:highlight w:val="lightGray"/>
        </w:rPr>
        <w:t>1000 mg/40 ml</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5.</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VARTOJIMO METODAS IR BŪDAS (-AI)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E15AE3" w:rsidRDefault="00E15AE3"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Po praskiedimo leisti į veną.</w:t>
      </w:r>
    </w:p>
    <w:p w:rsidR="00E15AE3" w:rsidRPr="00131C11" w:rsidRDefault="00E15AE3" w:rsidP="00267DDB">
      <w:pPr>
        <w:tabs>
          <w:tab w:val="left" w:pos="567"/>
        </w:tabs>
        <w:spacing w:after="0" w:line="260" w:lineRule="exact"/>
        <w:rPr>
          <w:rFonts w:ascii="Times New Roman" w:eastAsia="Times New Roman" w:hAnsi="Times New Roman"/>
          <w:snapToGrid w:val="0"/>
        </w:rPr>
      </w:pPr>
      <w:r w:rsidRPr="00131C11">
        <w:rPr>
          <w:rFonts w:ascii="Times New Roman" w:eastAsia="Times New Roman" w:hAnsi="Times New Roman"/>
          <w:snapToGrid w:val="0"/>
        </w:rPr>
        <w:t>Skiesti tik 5 % gliukozės tirpalu.</w:t>
      </w:r>
    </w:p>
    <w:p w:rsidR="00E15AE3" w:rsidRPr="00131C11" w:rsidRDefault="00E15AE3" w:rsidP="00267DDB">
      <w:pPr>
        <w:tabs>
          <w:tab w:val="left" w:pos="567"/>
        </w:tabs>
        <w:spacing w:after="0" w:line="260" w:lineRule="exact"/>
        <w:rPr>
          <w:rFonts w:ascii="Times New Roman" w:eastAsia="Times New Roman" w:hAnsi="Times New Roman"/>
          <w:snapToGrid w:val="0"/>
        </w:rPr>
      </w:pPr>
      <w:r w:rsidRPr="00267DDB">
        <w:rPr>
          <w:rFonts w:ascii="Times New Roman" w:eastAsia="Times New Roman" w:hAnsi="Times New Roman"/>
          <w:noProof/>
          <w:snapToGrid w:val="0"/>
          <w:szCs w:val="24"/>
        </w:rPr>
        <w:t>Tik vienkartiniam vartojimui.</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Prieš vartojimą perskaitykite pakuotės lapelį.</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6.</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SPECIALUS ĮSPĖJIMAS, KAD VAISTINĮ PREPARATĄ BŪTINA LAIKYTI VAIKAMS NEPASTEBIMOJE IR NEPASIEKIAMOJE VIETOJE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Laikyti vaikams nepastebimoje ir nepasiekiamoje vietoje.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7.</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KITAS (-I) SPECIALUS (-ŪS) ĮSPĖJIMAS (-AI) (JEI REIKIA)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lastRenderedPageBreak/>
        <w:t>Citotoksinis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8.</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TINKAMUMO LAIKAS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r w:rsidRPr="00267DDB">
        <w:rPr>
          <w:rFonts w:ascii="Times New Roman" w:eastAsia="Times New Roman" w:hAnsi="Times New Roman"/>
          <w:snapToGrid w:val="0"/>
          <w:szCs w:val="20"/>
        </w:rPr>
        <w:t>Tinka iki {mm MMMM}</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9.</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SPECIALIOS LAIKYMO SĄLYGOS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Laikyti šaldytuve (2°C – 8°C). Flakoną laikyti išorinėje dėžutėje, kad vaistas būtų apsaugotas nuo šviesos.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267DDB">
        <w:rPr>
          <w:rFonts w:ascii="Times New Roman" w:eastAsia="Times New Roman" w:hAnsi="Times New Roman"/>
          <w:b/>
          <w:snapToGrid w:val="0"/>
          <w:szCs w:val="24"/>
        </w:rPr>
        <w:t>10.</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SPECIALIOS ATSARGUMO PRIEMONĖS DĖL NESUVARTOTO VAISTINIO PREPARATO AR JO ATLIEKŲ TVARKYMO (JEI REIKIA)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9C5DAF">
        <w:rPr>
          <w:rFonts w:ascii="Times New Roman" w:eastAsia="Times New Roman" w:hAnsi="Times New Roman"/>
          <w:snapToGrid w:val="0"/>
        </w:rPr>
        <w:t>Nesuvartotą vaistą ar atliekas reikia tvarkyti laikantis vietinių reikalavimų, skirtų citotoksiniams vaistams.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267DDB">
        <w:rPr>
          <w:rFonts w:ascii="Times New Roman" w:eastAsia="Times New Roman" w:hAnsi="Times New Roman"/>
          <w:b/>
          <w:snapToGrid w:val="0"/>
          <w:szCs w:val="24"/>
        </w:rPr>
        <w:t>11.</w:t>
      </w:r>
      <w:r w:rsidRPr="00267DDB">
        <w:rPr>
          <w:rFonts w:ascii="Times New Roman" w:eastAsia="Times New Roman" w:hAnsi="Times New Roman"/>
          <w:b/>
          <w:snapToGrid w:val="0"/>
          <w:szCs w:val="24"/>
        </w:rPr>
        <w:tab/>
      </w:r>
      <w:r w:rsidRPr="00267DDB">
        <w:rPr>
          <w:rFonts w:ascii="Times New Roman" w:eastAsia="Times New Roman" w:hAnsi="Times New Roman"/>
          <w:b/>
          <w:caps/>
          <w:noProof/>
          <w:snapToGrid w:val="0"/>
          <w:szCs w:val="24"/>
        </w:rPr>
        <w:t xml:space="preserve"> REGISTRUOTOJO PAVADINIMAS IR ADRESAS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Teva B.V.</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Swensweg 5</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2031 GA Haarlem</w:t>
      </w:r>
    </w:p>
    <w:p w:rsidR="00267DDB" w:rsidRPr="00267DDB" w:rsidRDefault="00267DDB" w:rsidP="00267DDB">
      <w:pPr>
        <w:tabs>
          <w:tab w:val="left" w:pos="567"/>
        </w:tabs>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Nyderlandai </w:t>
      </w:r>
    </w:p>
    <w:p w:rsidR="00267DDB" w:rsidRPr="00267DDB" w:rsidRDefault="00267DDB" w:rsidP="00267DDB">
      <w:pPr>
        <w:tabs>
          <w:tab w:val="left" w:pos="567"/>
        </w:tabs>
        <w:spacing w:after="0" w:line="240" w:lineRule="auto"/>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12.</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REGISTRACIJOS PAŽYMĖJIMO NUMERIS (-IAI)</w:t>
      </w:r>
      <w:r w:rsidRPr="00267DDB">
        <w:rPr>
          <w:rFonts w:ascii="Times New Roman" w:eastAsia="Times New Roman" w:hAnsi="Times New Roman"/>
          <w:b/>
          <w:snapToGrid w:val="0"/>
          <w:szCs w:val="24"/>
        </w:rPr>
        <w:t xml:space="preserve"> </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4 ml – LT/1/17/4090/001</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20 ml – LT/1/17/4090/002</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40 ml – LT/1/17/4090/003</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13.</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 xml:space="preserve">SERIJOS NUMERIS </w:t>
      </w: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r w:rsidRPr="00267DDB">
        <w:rPr>
          <w:rFonts w:ascii="Times New Roman" w:eastAsia="Times New Roman" w:hAnsi="Times New Roman"/>
          <w:snapToGrid w:val="0"/>
          <w:szCs w:val="20"/>
        </w:rPr>
        <w:t>Serija {numeris}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14.</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PARDAVIMO (IŠDAVIMO) TVARKA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0"/>
        </w:rPr>
        <w:t>Receptinis vaistas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15.</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VARTOJIMO INSTRUKCIJA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267DDB">
        <w:rPr>
          <w:rFonts w:ascii="Times New Roman" w:eastAsia="Times New Roman" w:hAnsi="Times New Roman"/>
          <w:b/>
          <w:snapToGrid w:val="0"/>
          <w:szCs w:val="24"/>
        </w:rPr>
        <w:t>16.</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INFORMACIJA BRAILIO RAŠTU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E209CA">
        <w:rPr>
          <w:rFonts w:ascii="Times New Roman" w:eastAsia="Times New Roman" w:hAnsi="Times New Roman"/>
          <w:snapToGrid w:val="0"/>
          <w:szCs w:val="20"/>
          <w:highlight w:val="lightGray"/>
        </w:rPr>
        <w:t>Priimtas pagrindimas informacijos Brailio raštu nepateikti.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ind w:left="567" w:hanging="567"/>
        <w:rPr>
          <w:rFonts w:ascii="Times New Roman" w:eastAsia="Times New Roman" w:hAnsi="Times New Roman"/>
          <w:snapToGrid w:val="0"/>
          <w:lang w:val="en-GB"/>
        </w:rPr>
      </w:pPr>
    </w:p>
    <w:p w:rsidR="00267DDB" w:rsidRPr="00267DDB"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lang w:val="en-GB"/>
        </w:rPr>
      </w:pPr>
      <w:r w:rsidRPr="00267DDB">
        <w:rPr>
          <w:rFonts w:ascii="Times New Roman" w:eastAsia="Times New Roman" w:hAnsi="Times New Roman"/>
          <w:b/>
          <w:noProof/>
          <w:snapToGrid w:val="0"/>
          <w:szCs w:val="20"/>
          <w:lang w:val="en-GB"/>
        </w:rPr>
        <w:t>17.</w:t>
      </w:r>
      <w:r w:rsidRPr="00267DDB">
        <w:rPr>
          <w:rFonts w:ascii="Times New Roman" w:eastAsia="Times New Roman" w:hAnsi="Times New Roman"/>
          <w:b/>
          <w:noProof/>
          <w:snapToGrid w:val="0"/>
          <w:szCs w:val="20"/>
          <w:lang w:val="en-GB"/>
        </w:rPr>
        <w:tab/>
        <w:t>UNIKALUS IDENTIFIKATORIUS – 2D BRŪKŠNINIS KODAS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0"/>
          <w:lang w:val="en-GB"/>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0"/>
          <w:shd w:val="clear" w:color="auto" w:fill="CCCCCC"/>
          <w:lang w:val="en-GB"/>
        </w:rPr>
      </w:pPr>
      <w:r w:rsidRPr="00E209CA">
        <w:rPr>
          <w:rFonts w:ascii="Times New Roman" w:eastAsia="Times New Roman" w:hAnsi="Times New Roman"/>
          <w:noProof/>
          <w:snapToGrid w:val="0"/>
          <w:szCs w:val="20"/>
          <w:highlight w:val="lightGray"/>
          <w:lang w:val="en-GB"/>
        </w:rPr>
        <w:t>&lt;2D brūkšninis kodas su nurodytu unikaliu identifikatoriumi.&gt;</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0"/>
          <w:shd w:val="clear" w:color="auto" w:fill="CCCCCC"/>
          <w:lang w:val="en-GB"/>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0"/>
          <w:lang w:val="en-GB"/>
        </w:rPr>
      </w:pPr>
    </w:p>
    <w:p w:rsidR="00267DDB" w:rsidRPr="00267DDB"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lang w:val="en-GB"/>
        </w:rPr>
      </w:pPr>
      <w:r w:rsidRPr="00267DDB">
        <w:rPr>
          <w:rFonts w:ascii="Times New Roman" w:eastAsia="Times New Roman" w:hAnsi="Times New Roman"/>
          <w:b/>
          <w:noProof/>
          <w:snapToGrid w:val="0"/>
          <w:szCs w:val="20"/>
          <w:lang w:val="en-GB"/>
        </w:rPr>
        <w:t>18.</w:t>
      </w:r>
      <w:r w:rsidRPr="00267DDB">
        <w:rPr>
          <w:rFonts w:ascii="Times New Roman" w:eastAsia="Times New Roman" w:hAnsi="Times New Roman"/>
          <w:b/>
          <w:noProof/>
          <w:snapToGrid w:val="0"/>
          <w:szCs w:val="20"/>
          <w:lang w:val="en-GB"/>
        </w:rPr>
        <w:tab/>
        <w:t>UNIKALUS IDENTIFIKATORIUS – ŽMONĖMS SUPRANTAMI DUOMENYS</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0"/>
          <w:lang w:val="en-GB"/>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lang w:val="en-GB"/>
        </w:rPr>
      </w:pPr>
      <w:r w:rsidRPr="00267DDB">
        <w:rPr>
          <w:rFonts w:ascii="Times New Roman" w:eastAsia="Times New Roman" w:hAnsi="Times New Roman"/>
          <w:snapToGrid w:val="0"/>
          <w:szCs w:val="20"/>
          <w:lang w:val="en-GB"/>
        </w:rPr>
        <w:t>PC {numeris}</w:t>
      </w:r>
    </w:p>
    <w:p w:rsidR="00267DDB" w:rsidRPr="00267DDB" w:rsidRDefault="00267DDB" w:rsidP="00267DDB">
      <w:pPr>
        <w:tabs>
          <w:tab w:val="left" w:pos="567"/>
        </w:tabs>
        <w:spacing w:after="0" w:line="260" w:lineRule="exact"/>
        <w:rPr>
          <w:rFonts w:ascii="Times New Roman" w:eastAsia="Times New Roman" w:hAnsi="Times New Roman"/>
          <w:snapToGrid w:val="0"/>
          <w:szCs w:val="20"/>
          <w:lang w:val="en-GB"/>
        </w:rPr>
      </w:pPr>
      <w:r w:rsidRPr="00267DDB">
        <w:rPr>
          <w:rFonts w:ascii="Times New Roman" w:eastAsia="Times New Roman" w:hAnsi="Times New Roman"/>
          <w:snapToGrid w:val="0"/>
          <w:szCs w:val="20"/>
          <w:lang w:val="en-GB"/>
        </w:rPr>
        <w:t>SN {numeris}</w:t>
      </w:r>
    </w:p>
    <w:p w:rsidR="00267DDB" w:rsidRPr="00267DDB" w:rsidRDefault="00267DDB" w:rsidP="00267DDB">
      <w:pPr>
        <w:tabs>
          <w:tab w:val="left" w:pos="567"/>
        </w:tabs>
        <w:spacing w:after="0" w:line="260" w:lineRule="exact"/>
        <w:rPr>
          <w:rFonts w:ascii="Times New Roman" w:eastAsia="Times New Roman" w:hAnsi="Times New Roman"/>
          <w:b/>
          <w:noProof/>
          <w:snapToGrid w:val="0"/>
          <w:szCs w:val="20"/>
          <w:u w:val="single"/>
          <w:lang w:val="en-GB"/>
        </w:rPr>
      </w:pPr>
      <w:r w:rsidRPr="00E209CA">
        <w:rPr>
          <w:rFonts w:ascii="Times New Roman" w:eastAsia="Times New Roman" w:hAnsi="Times New Roman"/>
          <w:snapToGrid w:val="0"/>
          <w:szCs w:val="20"/>
          <w:highlight w:val="lightGray"/>
          <w:lang w:val="en-GB"/>
        </w:rPr>
        <w:t>NN {numeris}</w:t>
      </w:r>
    </w:p>
    <w:p w:rsidR="00267DDB" w:rsidRPr="00267DDB" w:rsidRDefault="00267DDB" w:rsidP="00267DDB">
      <w:pPr>
        <w:tabs>
          <w:tab w:val="left" w:pos="567"/>
        </w:tabs>
        <w:spacing w:after="0" w:line="260" w:lineRule="exact"/>
        <w:rPr>
          <w:rFonts w:ascii="Times New Roman" w:eastAsia="Times New Roman" w:hAnsi="Times New Roman"/>
          <w:b/>
          <w:noProof/>
          <w:snapToGrid w:val="0"/>
          <w:szCs w:val="24"/>
        </w:rPr>
      </w:pPr>
      <w:r w:rsidRPr="00267DDB">
        <w:rPr>
          <w:rFonts w:ascii="Times New Roman" w:eastAsia="Times New Roman" w:hAnsi="Times New Roman"/>
          <w:snapToGrid w:val="0"/>
          <w:szCs w:val="24"/>
        </w:rPr>
        <w:br w:type="page"/>
      </w: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267DDB">
        <w:rPr>
          <w:rFonts w:ascii="Times New Roman" w:eastAsia="Times New Roman" w:hAnsi="Times New Roman"/>
          <w:b/>
          <w:noProof/>
          <w:snapToGrid w:val="0"/>
          <w:szCs w:val="24"/>
        </w:rPr>
        <w:lastRenderedPageBreak/>
        <w:t>INFORMACIJA ANT VIDINĖS PAKUOTĖS</w:t>
      </w: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rPr>
      </w:pPr>
      <w:r w:rsidRPr="00267DDB">
        <w:rPr>
          <w:rFonts w:ascii="Times New Roman" w:eastAsia="Times New Roman" w:hAnsi="Times New Roman"/>
          <w:b/>
          <w:noProof/>
          <w:snapToGrid w:val="0"/>
          <w:szCs w:val="24"/>
        </w:rPr>
        <w:t>FLAKONO ETIKETĖ</w:t>
      </w:r>
      <w:r w:rsidRPr="00267DDB">
        <w:rPr>
          <w:rFonts w:ascii="Times New Roman" w:eastAsia="Times New Roman" w:hAnsi="Times New Roman"/>
          <w:b/>
          <w:snapToGrid w:val="0"/>
          <w:szCs w:val="24"/>
        </w:rPr>
        <w:t xml:space="preserve"> (20 ml</w:t>
      </w:r>
      <w:r w:rsidR="00E15AE3">
        <w:rPr>
          <w:rFonts w:ascii="Times New Roman" w:eastAsia="Times New Roman" w:hAnsi="Times New Roman"/>
          <w:b/>
          <w:snapToGrid w:val="0"/>
          <w:szCs w:val="24"/>
        </w:rPr>
        <w:t>/</w:t>
      </w:r>
      <w:r w:rsidRPr="00267DDB">
        <w:rPr>
          <w:rFonts w:ascii="Times New Roman" w:eastAsia="Times New Roman" w:hAnsi="Times New Roman"/>
          <w:b/>
          <w:snapToGrid w:val="0"/>
          <w:szCs w:val="24"/>
        </w:rPr>
        <w:t>40 ml)</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w:t>
      </w:r>
      <w:r w:rsidRPr="00267DDB">
        <w:rPr>
          <w:rFonts w:ascii="Times New Roman" w:eastAsia="Times New Roman" w:hAnsi="Times New Roman"/>
          <w:b/>
          <w:snapToGrid w:val="0"/>
          <w:szCs w:val="24"/>
        </w:rPr>
        <w:tab/>
      </w:r>
      <w:r w:rsidRPr="00267DDB">
        <w:rPr>
          <w:rFonts w:ascii="Times New Roman" w:eastAsia="Times New Roman" w:hAnsi="Times New Roman"/>
          <w:b/>
          <w:caps/>
          <w:noProof/>
          <w:snapToGrid w:val="0"/>
          <w:szCs w:val="24"/>
        </w:rPr>
        <w:t>VAISTINIO</w:t>
      </w:r>
      <w:r w:rsidRPr="00267DDB">
        <w:rPr>
          <w:rFonts w:ascii="Times New Roman" w:eastAsia="Times New Roman" w:hAnsi="Times New Roman"/>
          <w:b/>
          <w:noProof/>
          <w:snapToGrid w:val="0"/>
          <w:szCs w:val="24"/>
        </w:rPr>
        <w:t xml:space="preserve"> PREPARATO PAVADINIMAS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8"/>
        </w:rPr>
        <w:t xml:space="preserve">Pemetrexed Teva </w:t>
      </w:r>
      <w:r w:rsidRPr="00267DDB">
        <w:rPr>
          <w:rFonts w:ascii="Times New Roman" w:eastAsia="Times New Roman" w:hAnsi="Times New Roman"/>
          <w:noProof/>
          <w:snapToGrid w:val="0"/>
          <w:szCs w:val="24"/>
        </w:rPr>
        <w:t>25 mg/ml koncentratas infuziniam tirpalui</w:t>
      </w:r>
      <w:r w:rsidRPr="00267DDB">
        <w:rPr>
          <w:rFonts w:ascii="Times New Roman" w:eastAsia="Times New Roman" w:hAnsi="Times New Roman"/>
          <w:snapToGrid w:val="0"/>
          <w:szCs w:val="24"/>
        </w:rPr>
        <w:t xml:space="preserve"> </w:t>
      </w:r>
    </w:p>
    <w:p w:rsidR="00267DDB" w:rsidRPr="00267DDB" w:rsidRDefault="00CD3F5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0"/>
        </w:rPr>
        <w:t>p</w:t>
      </w:r>
      <w:r w:rsidRPr="00267DDB">
        <w:rPr>
          <w:rFonts w:ascii="Times New Roman" w:eastAsia="Times New Roman" w:hAnsi="Times New Roman"/>
          <w:snapToGrid w:val="0"/>
          <w:szCs w:val="20"/>
        </w:rPr>
        <w:t>emetrexedum</w:t>
      </w:r>
      <w:r w:rsidRPr="00267DDB">
        <w:rPr>
          <w:rFonts w:ascii="Times New Roman" w:eastAsia="Times New Roman" w:hAnsi="Times New Roman"/>
          <w:snapToGrid w:val="0"/>
          <w:szCs w:val="24"/>
        </w:rPr>
        <w:t xml:space="preserve"> </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267DDB">
        <w:rPr>
          <w:rFonts w:ascii="Times New Roman" w:eastAsia="Times New Roman" w:hAnsi="Times New Roman"/>
          <w:b/>
          <w:snapToGrid w:val="0"/>
          <w:szCs w:val="24"/>
        </w:rPr>
        <w:t>2.</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VEIKLIOJI (-IOS) MEDŽIAGA (-OS) IR JOS (-Ų) KIEKIS (-IAI)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CD3F5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ml yra 25 mg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CD3F5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20 ml flakone yra 500 mg pemetreksedo (pemetreksedo dirūgšties pavidalu).</w:t>
      </w:r>
    </w:p>
    <w:p w:rsidR="00267DDB" w:rsidRPr="00267DDB" w:rsidRDefault="00CD3F53"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highlight w:val="lightGray"/>
        </w:rPr>
        <w:t>Kiekviename</w:t>
      </w:r>
      <w:r w:rsidRPr="00E209CA">
        <w:rPr>
          <w:rFonts w:ascii="Times New Roman" w:eastAsia="Times New Roman" w:hAnsi="Times New Roman"/>
          <w:snapToGrid w:val="0"/>
          <w:szCs w:val="24"/>
          <w:highlight w:val="lightGray"/>
        </w:rPr>
        <w:t xml:space="preserve"> </w:t>
      </w:r>
      <w:r w:rsidR="00267DDB" w:rsidRPr="00E209CA">
        <w:rPr>
          <w:rFonts w:ascii="Times New Roman" w:eastAsia="Times New Roman" w:hAnsi="Times New Roman"/>
          <w:snapToGrid w:val="0"/>
          <w:szCs w:val="24"/>
          <w:highlight w:val="lightGray"/>
        </w:rPr>
        <w:t>40 ml flakone yra 1000 mg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3.</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PAGALBINIŲ MEDŽIAGŲ SĄRAŠAS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lang w:eastAsia="en-GB"/>
        </w:rPr>
        <w:t>Mannitolum (E421), Acidum citricum anhydricum, Trometamolum, Aqua ad iniectabile.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4.</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FARMACINĖ FORMA IR KIEKIS PAKUOTĖJE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8"/>
        </w:rPr>
      </w:pPr>
      <w:r w:rsidRPr="00E209CA">
        <w:rPr>
          <w:rFonts w:ascii="Times New Roman" w:eastAsia="Times New Roman" w:hAnsi="Times New Roman"/>
          <w:noProof/>
          <w:snapToGrid w:val="0"/>
          <w:szCs w:val="24"/>
          <w:highlight w:val="lightGray"/>
        </w:rPr>
        <w:t>Koncentratas infuziniam tirpalui</w:t>
      </w:r>
    </w:p>
    <w:p w:rsidR="00267DDB" w:rsidRPr="00267DDB" w:rsidRDefault="00267DDB" w:rsidP="00267DDB">
      <w:pPr>
        <w:tabs>
          <w:tab w:val="left" w:pos="567"/>
        </w:tabs>
        <w:spacing w:after="0" w:line="260" w:lineRule="exact"/>
        <w:rPr>
          <w:rFonts w:ascii="Times New Roman" w:eastAsia="Times New Roman" w:hAnsi="Times New Roman"/>
          <w:snapToGrid w:val="0"/>
          <w:szCs w:val="28"/>
        </w:rPr>
      </w:pPr>
      <w:r w:rsidRPr="00267DDB">
        <w:rPr>
          <w:rFonts w:ascii="Times New Roman" w:eastAsia="Times New Roman" w:hAnsi="Times New Roman"/>
          <w:snapToGrid w:val="0"/>
          <w:szCs w:val="28"/>
        </w:rPr>
        <w:t>1 flakonas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500 mg/20 ml</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E209CA">
        <w:rPr>
          <w:rFonts w:ascii="Times New Roman" w:eastAsia="Times New Roman" w:hAnsi="Times New Roman"/>
          <w:snapToGrid w:val="0"/>
          <w:szCs w:val="24"/>
          <w:highlight w:val="lightGray"/>
        </w:rPr>
        <w:t>1000 mg/40 ml</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5.</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VARTOJIMO METODAS IR BŪDAS (-AI)</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CD3F53" w:rsidRPr="00267DDB" w:rsidRDefault="00CD3F53" w:rsidP="00CD3F53">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 xml:space="preserve">Po praskiedimo leisti į veną. </w:t>
      </w:r>
    </w:p>
    <w:p w:rsidR="00CD3F53" w:rsidRPr="00267DDB" w:rsidRDefault="00CD3F53" w:rsidP="00CD3F53">
      <w:pPr>
        <w:tabs>
          <w:tab w:val="left" w:pos="567"/>
        </w:tabs>
        <w:spacing w:after="0" w:line="260" w:lineRule="exact"/>
        <w:rPr>
          <w:rFonts w:ascii="Times New Roman" w:eastAsia="Times New Roman" w:hAnsi="Times New Roman"/>
          <w:snapToGrid w:val="0"/>
          <w:szCs w:val="24"/>
        </w:rPr>
      </w:pPr>
      <w:r w:rsidRPr="00131C11">
        <w:rPr>
          <w:rFonts w:ascii="Times New Roman" w:eastAsia="Times New Roman" w:hAnsi="Times New Roman"/>
          <w:snapToGrid w:val="0"/>
        </w:rPr>
        <w:t>Skiesti tik 5 % gliukozės tirpalu.</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Tik vienkartiniam vartojimui.</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Prieš vartojimą perskaitykite pakuotės lapelį.</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6.</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SPECIALUS ĮSPĖJIMAS, KAD VAISTINĮ PREPARATĄ BŪTINA LAIKYTI VAIKAMS NEPASTEBIMOJE IR  NEPASIEKIAMOJE VIETOJE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Laikyti vaikams nepastebimoje ir nepasiekiamoje vietoje.</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7.</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KITAS (-I) SPECIALUS (-ŪS) ĮSPĖJIMAS (-AI) (JEI REIKIA)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Citotoksinis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8.</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TINKAMUMO LAIKAS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r w:rsidRPr="00267DDB">
        <w:rPr>
          <w:rFonts w:ascii="Times New Roman" w:eastAsia="Times New Roman" w:hAnsi="Times New Roman"/>
          <w:snapToGrid w:val="0"/>
          <w:szCs w:val="20"/>
        </w:rPr>
        <w:lastRenderedPageBreak/>
        <w:t>Tinka iki {mm MMMM}</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9.</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SPECIALIOS LAIKYMO SĄLYGOS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131C11" w:rsidRDefault="00267DDB" w:rsidP="00267DDB">
      <w:pPr>
        <w:widowControl w:val="0"/>
        <w:autoSpaceDE w:val="0"/>
        <w:autoSpaceDN w:val="0"/>
        <w:adjustRightInd w:val="0"/>
        <w:spacing w:after="0" w:line="240" w:lineRule="auto"/>
        <w:rPr>
          <w:rFonts w:ascii="Times New Roman" w:eastAsia="Times New Roman" w:hAnsi="Times New Roman"/>
          <w:snapToGrid w:val="0"/>
        </w:rPr>
      </w:pPr>
      <w:r w:rsidRPr="00131C11">
        <w:rPr>
          <w:rFonts w:ascii="Times New Roman" w:eastAsia="Times New Roman" w:hAnsi="Times New Roman"/>
          <w:snapToGrid w:val="0"/>
        </w:rPr>
        <w:t>Laikyti šaldytuve (2 °C-8 °C). Flakoną laikyti išorinėje dėžutėje, kad vaistas būtų apsaugotas nuo šviesos.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267DDB">
        <w:rPr>
          <w:rFonts w:ascii="Times New Roman" w:eastAsia="Times New Roman" w:hAnsi="Times New Roman"/>
          <w:b/>
          <w:snapToGrid w:val="0"/>
          <w:szCs w:val="24"/>
        </w:rPr>
        <w:t>10.</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SPECIALIOS ATSARGUMO PRIEMONĖS DĖL NESUVARTOTO VAISTINIO PREPARATO AR JO ATLIEKŲ TVARKYMO (JEI REIKIA)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9C5DAF">
        <w:rPr>
          <w:rFonts w:ascii="Times New Roman" w:eastAsia="Times New Roman" w:hAnsi="Times New Roman"/>
          <w:snapToGrid w:val="0"/>
        </w:rPr>
        <w:t>Nesuvartotą vaistą ar atliekas reikia tvarkyti laikantis vietinių reikalavimų, skirtų citotoksiniams vaistams.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267DDB">
        <w:rPr>
          <w:rFonts w:ascii="Times New Roman" w:eastAsia="Times New Roman" w:hAnsi="Times New Roman"/>
          <w:b/>
          <w:snapToGrid w:val="0"/>
          <w:szCs w:val="24"/>
        </w:rPr>
        <w:t>11.</w:t>
      </w:r>
      <w:r w:rsidRPr="00267DDB">
        <w:rPr>
          <w:rFonts w:ascii="Times New Roman" w:eastAsia="Times New Roman" w:hAnsi="Times New Roman"/>
          <w:b/>
          <w:snapToGrid w:val="0"/>
          <w:szCs w:val="24"/>
        </w:rPr>
        <w:tab/>
      </w:r>
      <w:r w:rsidRPr="00267DDB">
        <w:rPr>
          <w:rFonts w:ascii="Times New Roman" w:eastAsia="Times New Roman" w:hAnsi="Times New Roman"/>
          <w:b/>
          <w:caps/>
          <w:noProof/>
          <w:snapToGrid w:val="0"/>
          <w:szCs w:val="24"/>
        </w:rPr>
        <w:t xml:space="preserve"> REGISTRUOTOJO PAVADINIMAS IR ADRESAS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Teva B.V.</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Swensweg 5</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2031 GA Haarlem</w:t>
      </w:r>
    </w:p>
    <w:p w:rsidR="00267DDB" w:rsidRPr="00267DDB" w:rsidRDefault="00267DDB" w:rsidP="00267DDB">
      <w:pPr>
        <w:tabs>
          <w:tab w:val="left" w:pos="567"/>
        </w:tabs>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Nyderlandai </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12.</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REGISTRACIJOS PAŽYMĖJIMO NUMERIS (-IAI)</w:t>
      </w:r>
      <w:r w:rsidRPr="00267DDB">
        <w:rPr>
          <w:rFonts w:ascii="Times New Roman" w:eastAsia="Times New Roman" w:hAnsi="Times New Roman"/>
          <w:b/>
          <w:snapToGrid w:val="0"/>
          <w:szCs w:val="24"/>
        </w:rPr>
        <w:t xml:space="preserve"> </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20 ml – LT/1/17/4090/002</w:t>
      </w: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40 ml – LT/1/17/4090/003</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13.</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 xml:space="preserve">SERIJOS NUMERIS </w:t>
      </w: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rPr>
          <w:rFonts w:ascii="Times New Roman" w:eastAsia="Times New Roman" w:hAnsi="Times New Roman"/>
          <w:snapToGrid w:val="0"/>
          <w:szCs w:val="20"/>
        </w:rPr>
      </w:pPr>
      <w:r w:rsidRPr="00267DDB">
        <w:rPr>
          <w:rFonts w:ascii="Times New Roman" w:eastAsia="Times New Roman" w:hAnsi="Times New Roman"/>
          <w:snapToGrid w:val="0"/>
          <w:szCs w:val="20"/>
        </w:rPr>
        <w:t>Serija {numeris}</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14.</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PARDAVIMO (IŠDAVIMO) TVARKA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267DDB">
        <w:rPr>
          <w:rFonts w:ascii="Times New Roman" w:eastAsia="Times New Roman" w:hAnsi="Times New Roman"/>
          <w:b/>
          <w:snapToGrid w:val="0"/>
          <w:szCs w:val="24"/>
        </w:rPr>
        <w:t>15.</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VARTOJIMO INSTRUKCIJA</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267DDB">
        <w:rPr>
          <w:rFonts w:ascii="Times New Roman" w:eastAsia="Times New Roman" w:hAnsi="Times New Roman"/>
          <w:b/>
          <w:snapToGrid w:val="0"/>
          <w:szCs w:val="24"/>
        </w:rPr>
        <w:t>16.</w:t>
      </w:r>
      <w:r w:rsidRPr="00267DDB">
        <w:rPr>
          <w:rFonts w:ascii="Times New Roman" w:eastAsia="Times New Roman" w:hAnsi="Times New Roman"/>
          <w:b/>
          <w:snapToGrid w:val="0"/>
          <w:szCs w:val="24"/>
        </w:rPr>
        <w:tab/>
      </w:r>
      <w:r w:rsidRPr="00267DDB">
        <w:rPr>
          <w:rFonts w:ascii="Times New Roman" w:eastAsia="Times New Roman" w:hAnsi="Times New Roman"/>
          <w:b/>
          <w:noProof/>
          <w:snapToGrid w:val="0"/>
          <w:szCs w:val="24"/>
        </w:rPr>
        <w:t>INFORMACIJA BRAILIO RAŠTU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E209CA">
        <w:rPr>
          <w:rFonts w:ascii="Times New Roman" w:eastAsia="Times New Roman" w:hAnsi="Times New Roman"/>
          <w:snapToGrid w:val="0"/>
          <w:szCs w:val="20"/>
          <w:highlight w:val="lightGray"/>
        </w:rPr>
        <w:t>Priimtas pagrindimas informacijos Brailio raštu nepateikti.</w:t>
      </w: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131C11" w:rsidRDefault="00267DDB" w:rsidP="00267DDB">
      <w:pPr>
        <w:tabs>
          <w:tab w:val="left" w:pos="567"/>
        </w:tabs>
        <w:spacing w:after="0" w:line="260" w:lineRule="exact"/>
        <w:ind w:left="567" w:hanging="567"/>
        <w:rPr>
          <w:rFonts w:ascii="Times New Roman" w:eastAsia="Times New Roman" w:hAnsi="Times New Roman"/>
          <w:snapToGrid w:val="0"/>
        </w:rPr>
      </w:pPr>
    </w:p>
    <w:p w:rsidR="00267DDB" w:rsidRPr="00131C11"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rPr>
      </w:pPr>
      <w:r w:rsidRPr="00131C11">
        <w:rPr>
          <w:rFonts w:ascii="Times New Roman" w:eastAsia="Times New Roman" w:hAnsi="Times New Roman"/>
          <w:b/>
          <w:noProof/>
          <w:snapToGrid w:val="0"/>
          <w:szCs w:val="20"/>
        </w:rPr>
        <w:t>17.</w:t>
      </w:r>
      <w:r w:rsidRPr="00131C11">
        <w:rPr>
          <w:rFonts w:ascii="Times New Roman" w:eastAsia="Times New Roman" w:hAnsi="Times New Roman"/>
          <w:b/>
          <w:noProof/>
          <w:snapToGrid w:val="0"/>
          <w:szCs w:val="20"/>
        </w:rPr>
        <w:tab/>
        <w:t>UNIKALUS IDENTIFIKATORIUS – 2D BRŪKŠNINIS KODAS</w:t>
      </w:r>
    </w:p>
    <w:p w:rsidR="00267DDB" w:rsidRPr="00131C11" w:rsidRDefault="00267DDB" w:rsidP="00267DDB">
      <w:pPr>
        <w:tabs>
          <w:tab w:val="left" w:pos="567"/>
        </w:tabs>
        <w:spacing w:after="0" w:line="260" w:lineRule="exact"/>
        <w:rPr>
          <w:rFonts w:ascii="Times New Roman" w:eastAsia="Times New Roman" w:hAnsi="Times New Roman"/>
          <w:noProof/>
          <w:snapToGrid w:val="0"/>
          <w:szCs w:val="20"/>
        </w:rPr>
      </w:pPr>
    </w:p>
    <w:p w:rsidR="00E15AE3" w:rsidRPr="00DF63FA" w:rsidRDefault="00E15AE3" w:rsidP="00E15AE3">
      <w:pPr>
        <w:tabs>
          <w:tab w:val="left" w:pos="567"/>
        </w:tabs>
        <w:spacing w:after="0" w:line="260" w:lineRule="exact"/>
        <w:rPr>
          <w:rFonts w:ascii="Times New Roman" w:eastAsia="Times New Roman" w:hAnsi="Times New Roman"/>
          <w:b/>
          <w:noProof/>
          <w:snapToGrid w:val="0"/>
          <w:szCs w:val="20"/>
        </w:rPr>
      </w:pPr>
      <w:r w:rsidRPr="00DF63FA">
        <w:rPr>
          <w:rFonts w:ascii="Times New Roman" w:eastAsia="Times New Roman" w:hAnsi="Times New Roman"/>
          <w:b/>
          <w:noProof/>
          <w:snapToGrid w:val="0"/>
          <w:szCs w:val="20"/>
          <w:highlight w:val="lightGray"/>
        </w:rPr>
        <w:t>Jeigu nėra išorinės dėžutės</w:t>
      </w:r>
    </w:p>
    <w:p w:rsidR="00E15AE3" w:rsidRPr="00131C11" w:rsidRDefault="00E15AE3" w:rsidP="00E15AE3">
      <w:pPr>
        <w:tabs>
          <w:tab w:val="left" w:pos="567"/>
        </w:tabs>
        <w:spacing w:after="0" w:line="260" w:lineRule="exact"/>
        <w:rPr>
          <w:rFonts w:ascii="Times New Roman" w:eastAsia="Times New Roman" w:hAnsi="Times New Roman"/>
          <w:noProof/>
          <w:snapToGrid w:val="0"/>
          <w:szCs w:val="20"/>
          <w:shd w:val="clear" w:color="auto" w:fill="CCCCCC"/>
          <w:lang w:val="pl-PL"/>
        </w:rPr>
      </w:pPr>
      <w:r w:rsidRPr="00131C11">
        <w:rPr>
          <w:rFonts w:ascii="Times New Roman" w:eastAsia="Times New Roman" w:hAnsi="Times New Roman"/>
          <w:noProof/>
          <w:snapToGrid w:val="0"/>
          <w:szCs w:val="20"/>
          <w:highlight w:val="lightGray"/>
          <w:lang w:val="pl-PL"/>
        </w:rPr>
        <w:t>&lt;2D brūkšninis kodas su nurodytu unikaliu identifikatoriumi.&gt;</w:t>
      </w:r>
    </w:p>
    <w:p w:rsidR="00E15AE3" w:rsidRPr="00131C11" w:rsidRDefault="00E15AE3" w:rsidP="00E15AE3">
      <w:pPr>
        <w:tabs>
          <w:tab w:val="left" w:pos="567"/>
        </w:tabs>
        <w:spacing w:after="0" w:line="260" w:lineRule="exact"/>
        <w:rPr>
          <w:rFonts w:ascii="Times New Roman" w:eastAsia="Times New Roman" w:hAnsi="Times New Roman"/>
          <w:noProof/>
          <w:snapToGrid w:val="0"/>
          <w:szCs w:val="20"/>
          <w:shd w:val="clear" w:color="auto" w:fill="CCCCCC"/>
          <w:lang w:val="pl-PL"/>
        </w:rPr>
      </w:pPr>
    </w:p>
    <w:p w:rsidR="00267DDB" w:rsidRPr="00131C11" w:rsidRDefault="00267DDB" w:rsidP="00267DDB">
      <w:pPr>
        <w:tabs>
          <w:tab w:val="left" w:pos="567"/>
        </w:tabs>
        <w:spacing w:after="0" w:line="260" w:lineRule="exact"/>
        <w:rPr>
          <w:rFonts w:ascii="Times New Roman" w:eastAsia="Times New Roman" w:hAnsi="Times New Roman"/>
          <w:noProof/>
          <w:snapToGrid w:val="0"/>
          <w:szCs w:val="20"/>
          <w:shd w:val="clear" w:color="auto" w:fill="CCCCCC"/>
          <w:lang w:val="pl-PL"/>
        </w:rPr>
      </w:pPr>
    </w:p>
    <w:p w:rsidR="00267DDB" w:rsidRPr="00131C11" w:rsidRDefault="00267DDB" w:rsidP="00267DDB">
      <w:pPr>
        <w:tabs>
          <w:tab w:val="left" w:pos="567"/>
        </w:tabs>
        <w:spacing w:after="0" w:line="260" w:lineRule="exact"/>
        <w:rPr>
          <w:rFonts w:ascii="Times New Roman" w:eastAsia="Times New Roman" w:hAnsi="Times New Roman"/>
          <w:noProof/>
          <w:snapToGrid w:val="0"/>
          <w:szCs w:val="20"/>
          <w:shd w:val="clear" w:color="auto" w:fill="CCCCCC"/>
          <w:lang w:val="pl-PL"/>
        </w:rPr>
      </w:pPr>
    </w:p>
    <w:p w:rsidR="00267DDB" w:rsidRPr="00131C11" w:rsidRDefault="00267DDB" w:rsidP="00267DDB">
      <w:pPr>
        <w:tabs>
          <w:tab w:val="left" w:pos="567"/>
        </w:tabs>
        <w:spacing w:after="0" w:line="260" w:lineRule="exact"/>
        <w:rPr>
          <w:rFonts w:ascii="Times New Roman" w:eastAsia="Times New Roman" w:hAnsi="Times New Roman"/>
          <w:noProof/>
          <w:snapToGrid w:val="0"/>
          <w:szCs w:val="20"/>
          <w:lang w:val="pl-PL"/>
        </w:rPr>
      </w:pPr>
    </w:p>
    <w:p w:rsidR="00267DDB" w:rsidRPr="00131C11" w:rsidRDefault="00267DDB" w:rsidP="00267DDB">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lang w:val="pl-PL"/>
        </w:rPr>
      </w:pPr>
      <w:r w:rsidRPr="00131C11">
        <w:rPr>
          <w:rFonts w:ascii="Times New Roman" w:eastAsia="Times New Roman" w:hAnsi="Times New Roman"/>
          <w:b/>
          <w:noProof/>
          <w:snapToGrid w:val="0"/>
          <w:szCs w:val="20"/>
          <w:lang w:val="pl-PL"/>
        </w:rPr>
        <w:lastRenderedPageBreak/>
        <w:t>18.</w:t>
      </w:r>
      <w:r w:rsidRPr="00131C11">
        <w:rPr>
          <w:rFonts w:ascii="Times New Roman" w:eastAsia="Times New Roman" w:hAnsi="Times New Roman"/>
          <w:b/>
          <w:noProof/>
          <w:snapToGrid w:val="0"/>
          <w:szCs w:val="20"/>
          <w:lang w:val="pl-PL"/>
        </w:rPr>
        <w:tab/>
        <w:t>UNIKALUS IDENTIFIKATORIUS – ŽMONĖMS SUPRANTAMI DUOMENYS</w:t>
      </w:r>
    </w:p>
    <w:p w:rsidR="00267DDB" w:rsidRPr="00131C11" w:rsidRDefault="00267DDB" w:rsidP="00267DDB">
      <w:pPr>
        <w:tabs>
          <w:tab w:val="left" w:pos="567"/>
        </w:tabs>
        <w:spacing w:after="0" w:line="260" w:lineRule="exact"/>
        <w:rPr>
          <w:rFonts w:ascii="Times New Roman" w:eastAsia="Times New Roman" w:hAnsi="Times New Roman"/>
          <w:noProof/>
          <w:snapToGrid w:val="0"/>
          <w:szCs w:val="20"/>
          <w:lang w:val="pl-PL"/>
        </w:rPr>
      </w:pPr>
    </w:p>
    <w:p w:rsidR="00E15AE3" w:rsidRPr="005A5024" w:rsidRDefault="00E15AE3" w:rsidP="00E15AE3">
      <w:pPr>
        <w:tabs>
          <w:tab w:val="left" w:pos="567"/>
        </w:tabs>
        <w:spacing w:after="0" w:line="260" w:lineRule="exact"/>
        <w:rPr>
          <w:rFonts w:ascii="Times New Roman" w:eastAsia="Times New Roman" w:hAnsi="Times New Roman"/>
          <w:b/>
          <w:noProof/>
          <w:snapToGrid w:val="0"/>
          <w:szCs w:val="20"/>
        </w:rPr>
      </w:pPr>
      <w:r w:rsidRPr="00131C11">
        <w:rPr>
          <w:rFonts w:ascii="Times New Roman" w:eastAsia="Times New Roman" w:hAnsi="Times New Roman"/>
          <w:b/>
          <w:noProof/>
          <w:snapToGrid w:val="0"/>
          <w:szCs w:val="20"/>
          <w:highlight w:val="lightGray"/>
          <w:lang w:val="pl-PL"/>
        </w:rPr>
        <w:t>Jeigu nėra i</w:t>
      </w:r>
      <w:r w:rsidRPr="005A5024">
        <w:rPr>
          <w:rFonts w:ascii="Times New Roman" w:eastAsia="Times New Roman" w:hAnsi="Times New Roman"/>
          <w:b/>
          <w:noProof/>
          <w:snapToGrid w:val="0"/>
          <w:szCs w:val="20"/>
          <w:highlight w:val="lightGray"/>
        </w:rPr>
        <w:t>šorinės dėžutės</w:t>
      </w:r>
    </w:p>
    <w:p w:rsidR="00267DDB" w:rsidRPr="00131C11" w:rsidRDefault="00267DDB" w:rsidP="00267DDB">
      <w:pPr>
        <w:tabs>
          <w:tab w:val="left" w:pos="567"/>
        </w:tabs>
        <w:spacing w:after="0" w:line="260" w:lineRule="exact"/>
        <w:rPr>
          <w:rFonts w:ascii="Times New Roman" w:eastAsia="Times New Roman" w:hAnsi="Times New Roman"/>
          <w:noProof/>
          <w:snapToGrid w:val="0"/>
          <w:szCs w:val="20"/>
          <w:highlight w:val="lightGray"/>
          <w:lang w:val="pl-PL"/>
        </w:rPr>
      </w:pPr>
    </w:p>
    <w:p w:rsidR="00E15AE3" w:rsidRPr="00E15AE3" w:rsidRDefault="00E15AE3" w:rsidP="00E15AE3">
      <w:pPr>
        <w:spacing w:after="0" w:line="240" w:lineRule="auto"/>
        <w:rPr>
          <w:rFonts w:ascii="Times New Roman" w:hAnsi="Times New Roman"/>
        </w:rPr>
      </w:pPr>
      <w:r w:rsidRPr="00E15AE3">
        <w:rPr>
          <w:rFonts w:ascii="Times New Roman" w:hAnsi="Times New Roman"/>
        </w:rPr>
        <w:t>PC</w:t>
      </w:r>
    </w:p>
    <w:p w:rsidR="00E15AE3" w:rsidRPr="00E15AE3" w:rsidRDefault="00E15AE3" w:rsidP="00E15AE3">
      <w:pPr>
        <w:spacing w:after="0" w:line="240" w:lineRule="auto"/>
        <w:rPr>
          <w:rFonts w:ascii="Times New Roman" w:hAnsi="Times New Roman"/>
        </w:rPr>
      </w:pPr>
      <w:r w:rsidRPr="00E15AE3">
        <w:rPr>
          <w:rFonts w:ascii="Times New Roman" w:hAnsi="Times New Roman"/>
        </w:rPr>
        <w:t>SN</w:t>
      </w:r>
    </w:p>
    <w:p w:rsidR="00E15AE3" w:rsidRPr="00131C11" w:rsidRDefault="00E15AE3" w:rsidP="00E15AE3">
      <w:pPr>
        <w:tabs>
          <w:tab w:val="left" w:pos="567"/>
        </w:tabs>
        <w:spacing w:after="0" w:line="240" w:lineRule="auto"/>
        <w:rPr>
          <w:rFonts w:ascii="Times New Roman" w:eastAsia="Times New Roman" w:hAnsi="Times New Roman"/>
          <w:noProof/>
          <w:snapToGrid w:val="0"/>
          <w:szCs w:val="20"/>
          <w:highlight w:val="lightGray"/>
          <w:lang w:val="pl-PL"/>
        </w:rPr>
      </w:pPr>
      <w:r w:rsidRPr="00E15AE3">
        <w:rPr>
          <w:rFonts w:ascii="Times New Roman" w:hAnsi="Times New Roman"/>
        </w:rPr>
        <w:t>NN</w:t>
      </w:r>
    </w:p>
    <w:p w:rsidR="00267DDB" w:rsidRPr="00267DDB" w:rsidRDefault="00267DDB" w:rsidP="00E15AE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131C11">
        <w:rPr>
          <w:rFonts w:ascii="Times New Roman" w:eastAsia="Times New Roman" w:hAnsi="Times New Roman"/>
          <w:noProof/>
          <w:snapToGrid w:val="0"/>
          <w:szCs w:val="20"/>
          <w:highlight w:val="lightGray"/>
          <w:lang w:val="pl-PL"/>
        </w:rPr>
        <w:br w:type="page"/>
      </w:r>
      <w:r w:rsidRPr="00267DDB">
        <w:rPr>
          <w:rFonts w:ascii="Times New Roman" w:eastAsia="Times New Roman" w:hAnsi="Times New Roman"/>
          <w:b/>
          <w:noProof/>
          <w:szCs w:val="20"/>
          <w:lang w:eastAsia="lt-LT" w:bidi="lt-LT"/>
        </w:rPr>
        <w:lastRenderedPageBreak/>
        <w:t>MINIMALI INFORMACIJA ANT MAŽŲ VIDINIŲ PAKUOČIŲ</w:t>
      </w: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p>
    <w:p w:rsidR="00267DDB" w:rsidRPr="00267DDB" w:rsidRDefault="00267DDB" w:rsidP="00267DD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lang w:eastAsia="lt-LT" w:bidi="lt-LT"/>
        </w:rPr>
      </w:pPr>
      <w:r w:rsidRPr="00267DDB">
        <w:rPr>
          <w:rFonts w:ascii="Times New Roman" w:eastAsia="Times New Roman" w:hAnsi="Times New Roman"/>
          <w:b/>
          <w:noProof/>
          <w:snapToGrid w:val="0"/>
          <w:szCs w:val="24"/>
        </w:rPr>
        <w:t>FLAKONO ETIKETĖ (4 ml)</w:t>
      </w:r>
      <w:r w:rsidRPr="00267DDB">
        <w:rPr>
          <w:rFonts w:ascii="Times New Roman" w:eastAsia="Times New Roman" w:hAnsi="Times New Roman"/>
          <w:b/>
          <w:noProof/>
          <w:szCs w:val="20"/>
          <w:lang w:eastAsia="lt-LT" w:bidi="lt-LT"/>
        </w:rPr>
        <w:t xml:space="preserve"> </w:t>
      </w: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p>
    <w:p w:rsidR="00267DDB" w:rsidRPr="00267DDB" w:rsidRDefault="00267DDB" w:rsidP="00267DDB">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267DDB">
        <w:rPr>
          <w:rFonts w:ascii="Times New Roman" w:eastAsia="Times New Roman" w:hAnsi="Times New Roman"/>
          <w:b/>
          <w:noProof/>
          <w:szCs w:val="20"/>
          <w:lang w:eastAsia="lt-LT" w:bidi="lt-LT"/>
        </w:rPr>
        <w:t>VAISTINIO PREPARATO PAVADINIMAS IR VARTOJIMO BŪDAS (-AI)</w:t>
      </w:r>
    </w:p>
    <w:p w:rsidR="00267DDB" w:rsidRPr="00267DDB" w:rsidRDefault="00267DDB" w:rsidP="00267DDB">
      <w:pPr>
        <w:tabs>
          <w:tab w:val="left" w:pos="567"/>
        </w:tabs>
        <w:spacing w:after="0" w:line="240" w:lineRule="auto"/>
        <w:ind w:left="567" w:hanging="567"/>
        <w:rPr>
          <w:rFonts w:ascii="Times New Roman" w:eastAsia="Times New Roman" w:hAnsi="Times New Roman"/>
          <w:noProof/>
          <w:lang w:eastAsia="lt-LT" w:bidi="lt-LT"/>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8"/>
        </w:rPr>
        <w:t xml:space="preserve">Pemetrexed Teva </w:t>
      </w:r>
      <w:r w:rsidRPr="00267DDB">
        <w:rPr>
          <w:rFonts w:ascii="Times New Roman" w:eastAsia="Times New Roman" w:hAnsi="Times New Roman"/>
          <w:noProof/>
          <w:snapToGrid w:val="0"/>
          <w:szCs w:val="24"/>
        </w:rPr>
        <w:t>25 mg/ml sterilus koncentratas</w:t>
      </w:r>
    </w:p>
    <w:p w:rsidR="00267DDB" w:rsidRPr="00267DDB" w:rsidRDefault="00CD3F53" w:rsidP="00267DDB">
      <w:pPr>
        <w:tabs>
          <w:tab w:val="left" w:pos="567"/>
        </w:tabs>
        <w:spacing w:after="0" w:line="240" w:lineRule="auto"/>
        <w:rPr>
          <w:rFonts w:ascii="Times New Roman" w:eastAsia="Times New Roman" w:hAnsi="Times New Roman"/>
          <w:snapToGrid w:val="0"/>
          <w:szCs w:val="24"/>
        </w:rPr>
      </w:pPr>
      <w:r>
        <w:rPr>
          <w:rFonts w:ascii="Times New Roman" w:eastAsia="Times New Roman" w:hAnsi="Times New Roman"/>
          <w:snapToGrid w:val="0"/>
          <w:szCs w:val="20"/>
        </w:rPr>
        <w:t>p</w:t>
      </w:r>
      <w:r w:rsidRPr="00267DDB">
        <w:rPr>
          <w:rFonts w:ascii="Times New Roman" w:eastAsia="Times New Roman" w:hAnsi="Times New Roman"/>
          <w:snapToGrid w:val="0"/>
          <w:szCs w:val="20"/>
        </w:rPr>
        <w:t>emetrexedum</w:t>
      </w:r>
      <w:r w:rsidRPr="00267DDB">
        <w:rPr>
          <w:rFonts w:ascii="Times New Roman" w:eastAsia="Times New Roman" w:hAnsi="Times New Roman"/>
          <w:snapToGrid w:val="0"/>
          <w:szCs w:val="24"/>
        </w:rPr>
        <w:t xml:space="preserve"> </w:t>
      </w:r>
    </w:p>
    <w:p w:rsidR="00CD3F53" w:rsidRPr="00267DDB" w:rsidRDefault="00CD3F53" w:rsidP="00CD3F53">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i. v.</w:t>
      </w: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p>
    <w:p w:rsidR="00267DDB" w:rsidRPr="00267DDB" w:rsidRDefault="00267DDB" w:rsidP="00267DDB">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267DDB">
        <w:rPr>
          <w:rFonts w:ascii="Times New Roman" w:eastAsia="Times New Roman" w:hAnsi="Times New Roman"/>
          <w:b/>
          <w:noProof/>
          <w:szCs w:val="20"/>
          <w:lang w:eastAsia="lt-LT" w:bidi="lt-LT"/>
        </w:rPr>
        <w:t>VARTOJIMO METODAS</w:t>
      </w: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Tik vienkartiniam vartojimui.</w:t>
      </w:r>
    </w:p>
    <w:p w:rsidR="00267DDB" w:rsidRPr="00267DDB" w:rsidRDefault="00267DDB" w:rsidP="00267DDB">
      <w:pPr>
        <w:tabs>
          <w:tab w:val="left" w:pos="567"/>
        </w:tabs>
        <w:spacing w:after="0" w:line="260" w:lineRule="exact"/>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Prieš vartojimą būtina praskiesti.</w:t>
      </w: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p>
    <w:p w:rsidR="00267DDB" w:rsidRPr="00267DDB" w:rsidRDefault="00267DDB" w:rsidP="00267DDB">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267DDB">
        <w:rPr>
          <w:rFonts w:ascii="Times New Roman" w:eastAsia="Times New Roman" w:hAnsi="Times New Roman"/>
          <w:b/>
          <w:noProof/>
          <w:szCs w:val="20"/>
          <w:lang w:eastAsia="lt-LT" w:bidi="lt-LT"/>
        </w:rPr>
        <w:t>TINKAMUMO LAIKAS</w:t>
      </w:r>
    </w:p>
    <w:p w:rsidR="00267DDB" w:rsidRPr="00267DDB" w:rsidRDefault="00267DDB" w:rsidP="00267DDB">
      <w:pPr>
        <w:tabs>
          <w:tab w:val="left" w:pos="567"/>
        </w:tabs>
        <w:spacing w:after="0" w:line="240" w:lineRule="auto"/>
        <w:rPr>
          <w:rFonts w:ascii="Times New Roman" w:eastAsia="Times New Roman" w:hAnsi="Times New Roman"/>
          <w:szCs w:val="20"/>
          <w:lang w:eastAsia="lt-LT" w:bidi="lt-LT"/>
        </w:rPr>
      </w:pPr>
    </w:p>
    <w:p w:rsidR="00267DDB" w:rsidRPr="00267DDB" w:rsidRDefault="00267DDB" w:rsidP="00267DDB">
      <w:pPr>
        <w:tabs>
          <w:tab w:val="left" w:pos="567"/>
        </w:tabs>
        <w:spacing w:after="0" w:line="240" w:lineRule="auto"/>
        <w:rPr>
          <w:rFonts w:ascii="Times New Roman" w:eastAsia="Times New Roman" w:hAnsi="Times New Roman"/>
          <w:szCs w:val="20"/>
          <w:lang w:eastAsia="lt-LT" w:bidi="lt-LT"/>
        </w:rPr>
      </w:pPr>
      <w:r w:rsidRPr="00267DDB">
        <w:rPr>
          <w:rFonts w:ascii="Times New Roman" w:eastAsia="Times New Roman" w:hAnsi="Times New Roman"/>
          <w:szCs w:val="20"/>
          <w:lang w:eastAsia="lt-LT" w:bidi="lt-LT"/>
        </w:rPr>
        <w:t>EXP {mm MMMM}</w:t>
      </w:r>
    </w:p>
    <w:p w:rsidR="00267DDB" w:rsidRPr="00267DDB" w:rsidRDefault="00267DDB" w:rsidP="00267DDB">
      <w:pPr>
        <w:tabs>
          <w:tab w:val="left" w:pos="567"/>
        </w:tabs>
        <w:spacing w:after="0" w:line="240" w:lineRule="auto"/>
        <w:rPr>
          <w:rFonts w:ascii="Times New Roman" w:eastAsia="Times New Roman" w:hAnsi="Times New Roman"/>
          <w:szCs w:val="20"/>
          <w:lang w:eastAsia="lt-LT" w:bidi="lt-LT"/>
        </w:rPr>
      </w:pPr>
    </w:p>
    <w:p w:rsidR="00267DDB" w:rsidRPr="00267DDB" w:rsidRDefault="00267DDB" w:rsidP="00267DDB">
      <w:pPr>
        <w:tabs>
          <w:tab w:val="left" w:pos="567"/>
        </w:tabs>
        <w:spacing w:after="0" w:line="240" w:lineRule="auto"/>
        <w:rPr>
          <w:rFonts w:ascii="Times New Roman" w:eastAsia="Times New Roman" w:hAnsi="Times New Roman"/>
          <w:szCs w:val="20"/>
          <w:lang w:eastAsia="lt-LT" w:bidi="lt-LT"/>
        </w:rPr>
      </w:pPr>
    </w:p>
    <w:p w:rsidR="00267DDB" w:rsidRPr="00267DDB" w:rsidRDefault="00267DDB" w:rsidP="00267DDB">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szCs w:val="20"/>
          <w:lang w:eastAsia="lt-LT" w:bidi="lt-LT"/>
        </w:rPr>
      </w:pPr>
      <w:r w:rsidRPr="00267DDB">
        <w:rPr>
          <w:rFonts w:ascii="Times New Roman" w:eastAsia="Times New Roman" w:hAnsi="Times New Roman"/>
          <w:b/>
          <w:szCs w:val="20"/>
          <w:lang w:eastAsia="lt-LT" w:bidi="lt-LT"/>
        </w:rPr>
        <w:t>SERIJOS NUMERIS</w:t>
      </w:r>
    </w:p>
    <w:p w:rsidR="00267DDB" w:rsidRPr="00267DDB" w:rsidRDefault="00267DDB" w:rsidP="00267DDB">
      <w:pPr>
        <w:tabs>
          <w:tab w:val="left" w:pos="567"/>
        </w:tabs>
        <w:spacing w:after="0" w:line="240" w:lineRule="auto"/>
        <w:ind w:right="113"/>
        <w:rPr>
          <w:rFonts w:ascii="Times New Roman" w:eastAsia="Times New Roman" w:hAnsi="Times New Roman"/>
          <w:szCs w:val="20"/>
          <w:lang w:eastAsia="lt-LT" w:bidi="lt-LT"/>
        </w:rPr>
      </w:pPr>
    </w:p>
    <w:p w:rsidR="00267DDB" w:rsidRPr="00267DDB" w:rsidRDefault="00267DDB" w:rsidP="00267DDB">
      <w:pPr>
        <w:tabs>
          <w:tab w:val="left" w:pos="567"/>
        </w:tabs>
        <w:spacing w:after="0" w:line="240" w:lineRule="auto"/>
        <w:ind w:right="113"/>
        <w:rPr>
          <w:rFonts w:ascii="Times New Roman" w:eastAsia="Times New Roman" w:hAnsi="Times New Roman"/>
          <w:szCs w:val="20"/>
          <w:lang w:eastAsia="lt-LT" w:bidi="lt-LT"/>
        </w:rPr>
      </w:pPr>
      <w:r w:rsidRPr="00267DDB">
        <w:rPr>
          <w:rFonts w:ascii="Times New Roman" w:eastAsia="Times New Roman" w:hAnsi="Times New Roman"/>
          <w:szCs w:val="20"/>
          <w:lang w:eastAsia="lt-LT" w:bidi="lt-LT"/>
        </w:rPr>
        <w:t>Lot</w:t>
      </w:r>
    </w:p>
    <w:p w:rsidR="00267DDB" w:rsidRPr="00267DDB" w:rsidRDefault="00267DDB" w:rsidP="00267DDB">
      <w:pPr>
        <w:tabs>
          <w:tab w:val="left" w:pos="567"/>
        </w:tabs>
        <w:spacing w:after="0" w:line="240" w:lineRule="auto"/>
        <w:ind w:right="113"/>
        <w:rPr>
          <w:rFonts w:ascii="Times New Roman" w:eastAsia="Times New Roman" w:hAnsi="Times New Roman"/>
          <w:szCs w:val="20"/>
          <w:lang w:eastAsia="lt-LT" w:bidi="lt-LT"/>
        </w:rPr>
      </w:pPr>
    </w:p>
    <w:p w:rsidR="00267DDB" w:rsidRPr="00267DDB" w:rsidRDefault="00267DDB" w:rsidP="00267DDB">
      <w:pPr>
        <w:tabs>
          <w:tab w:val="left" w:pos="567"/>
        </w:tabs>
        <w:spacing w:after="0" w:line="240" w:lineRule="auto"/>
        <w:ind w:right="113"/>
        <w:rPr>
          <w:rFonts w:ascii="Times New Roman" w:eastAsia="Times New Roman" w:hAnsi="Times New Roman"/>
          <w:szCs w:val="20"/>
          <w:lang w:eastAsia="lt-LT" w:bidi="lt-LT"/>
        </w:rPr>
      </w:pPr>
    </w:p>
    <w:p w:rsidR="00267DDB" w:rsidRPr="00267DDB" w:rsidRDefault="00267DDB" w:rsidP="00267DDB">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267DDB">
        <w:rPr>
          <w:rFonts w:ascii="Times New Roman" w:eastAsia="Times New Roman" w:hAnsi="Times New Roman"/>
          <w:b/>
          <w:noProof/>
          <w:szCs w:val="20"/>
          <w:lang w:eastAsia="lt-LT" w:bidi="lt-LT"/>
        </w:rPr>
        <w:t>KIEKIS (MASĖ, TŪRIS ARBA VIENETAI)</w:t>
      </w:r>
    </w:p>
    <w:p w:rsidR="00267DDB" w:rsidRPr="00267DDB" w:rsidRDefault="00267DDB" w:rsidP="00267DDB">
      <w:pPr>
        <w:tabs>
          <w:tab w:val="left" w:pos="567"/>
        </w:tabs>
        <w:spacing w:after="0" w:line="240" w:lineRule="auto"/>
        <w:ind w:right="113"/>
        <w:rPr>
          <w:rFonts w:ascii="Times New Roman" w:eastAsia="Times New Roman" w:hAnsi="Times New Roman"/>
          <w:noProof/>
          <w:lang w:eastAsia="lt-LT" w:bidi="lt-LT"/>
        </w:rPr>
      </w:pPr>
    </w:p>
    <w:p w:rsidR="00267DDB" w:rsidRPr="00267DDB" w:rsidRDefault="00267DDB" w:rsidP="00267DDB">
      <w:pPr>
        <w:tabs>
          <w:tab w:val="left" w:pos="567"/>
        </w:tabs>
        <w:spacing w:after="0" w:line="240" w:lineRule="auto"/>
        <w:ind w:right="113"/>
        <w:rPr>
          <w:rFonts w:ascii="Times New Roman" w:eastAsia="Times New Roman" w:hAnsi="Times New Roman"/>
          <w:noProof/>
          <w:lang w:eastAsia="lt-LT" w:bidi="lt-LT"/>
        </w:rPr>
      </w:pPr>
      <w:r w:rsidRPr="00267DDB">
        <w:rPr>
          <w:rFonts w:ascii="Times New Roman" w:eastAsia="Times New Roman" w:hAnsi="Times New Roman"/>
          <w:noProof/>
          <w:lang w:eastAsia="lt-LT" w:bidi="lt-LT"/>
        </w:rPr>
        <w:t>100 mg/4 ml</w:t>
      </w:r>
    </w:p>
    <w:p w:rsidR="00267DDB" w:rsidRPr="00267DDB" w:rsidRDefault="00267DDB" w:rsidP="00267DDB">
      <w:pPr>
        <w:tabs>
          <w:tab w:val="left" w:pos="567"/>
        </w:tabs>
        <w:spacing w:after="0" w:line="240" w:lineRule="auto"/>
        <w:ind w:right="113"/>
        <w:rPr>
          <w:rFonts w:ascii="Times New Roman" w:eastAsia="Times New Roman" w:hAnsi="Times New Roman"/>
          <w:noProof/>
          <w:lang w:eastAsia="lt-LT" w:bidi="lt-LT"/>
        </w:rPr>
      </w:pPr>
    </w:p>
    <w:p w:rsidR="00267DDB" w:rsidRPr="00267DDB" w:rsidRDefault="00267DDB" w:rsidP="00267DDB">
      <w:pPr>
        <w:tabs>
          <w:tab w:val="left" w:pos="567"/>
        </w:tabs>
        <w:spacing w:after="0" w:line="240" w:lineRule="auto"/>
        <w:ind w:right="113"/>
        <w:rPr>
          <w:rFonts w:ascii="Times New Roman" w:eastAsia="Times New Roman" w:hAnsi="Times New Roman"/>
          <w:noProof/>
          <w:lang w:eastAsia="lt-LT" w:bidi="lt-LT"/>
        </w:rPr>
      </w:pPr>
    </w:p>
    <w:p w:rsidR="00267DDB" w:rsidRPr="00267DDB" w:rsidRDefault="00267DDB" w:rsidP="00267DDB">
      <w:pPr>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b/>
          <w:noProof/>
          <w:lang w:eastAsia="lt-LT" w:bidi="lt-LT"/>
        </w:rPr>
      </w:pPr>
      <w:r w:rsidRPr="00267DDB">
        <w:rPr>
          <w:rFonts w:ascii="Times New Roman" w:eastAsia="Times New Roman" w:hAnsi="Times New Roman"/>
          <w:b/>
          <w:noProof/>
          <w:szCs w:val="20"/>
          <w:lang w:eastAsia="lt-LT" w:bidi="lt-LT"/>
        </w:rPr>
        <w:t>KITA</w:t>
      </w:r>
    </w:p>
    <w:p w:rsidR="00267DDB" w:rsidRPr="00267DDB" w:rsidRDefault="00267DDB" w:rsidP="00267DDB">
      <w:pPr>
        <w:tabs>
          <w:tab w:val="left" w:pos="567"/>
        </w:tabs>
        <w:spacing w:after="0" w:line="240" w:lineRule="auto"/>
        <w:ind w:right="113"/>
        <w:rPr>
          <w:rFonts w:ascii="Times New Roman" w:eastAsia="Times New Roman" w:hAnsi="Times New Roman"/>
          <w:noProof/>
          <w:lang w:eastAsia="lt-LT" w:bidi="lt-LT"/>
        </w:rPr>
      </w:pPr>
    </w:p>
    <w:p w:rsidR="00267DDB" w:rsidRPr="00267DDB" w:rsidRDefault="00267DDB" w:rsidP="00267DDB">
      <w:pPr>
        <w:tabs>
          <w:tab w:val="left" w:pos="567"/>
        </w:tabs>
        <w:spacing w:after="0" w:line="240" w:lineRule="auto"/>
        <w:rPr>
          <w:rFonts w:ascii="Times New Roman" w:eastAsia="Times New Roman" w:hAnsi="Times New Roman"/>
          <w:noProof/>
          <w:lang w:eastAsia="lt-LT" w:bidi="lt-LT"/>
        </w:rPr>
      </w:pPr>
      <w:r w:rsidRPr="00267DDB">
        <w:rPr>
          <w:rFonts w:ascii="Times New Roman" w:eastAsia="Times New Roman" w:hAnsi="Times New Roman"/>
          <w:szCs w:val="20"/>
          <w:lang w:eastAsia="lt-LT" w:bidi="lt-LT"/>
        </w:rPr>
        <w:t>Citotoksinis</w:t>
      </w:r>
    </w:p>
    <w:p w:rsidR="00267DDB" w:rsidRPr="00267DDB" w:rsidRDefault="00267DDB" w:rsidP="00267DDB">
      <w:pPr>
        <w:tabs>
          <w:tab w:val="left" w:pos="567"/>
        </w:tabs>
        <w:spacing w:after="0" w:line="240" w:lineRule="auto"/>
        <w:ind w:right="113"/>
        <w:rPr>
          <w:rFonts w:ascii="Times New Roman" w:eastAsia="Times New Roman" w:hAnsi="Times New Roman"/>
          <w:szCs w:val="20"/>
          <w:lang w:eastAsia="lt-LT" w:bidi="lt-LT"/>
        </w:rPr>
      </w:pPr>
    </w:p>
    <w:p w:rsidR="00267DDB" w:rsidRPr="00267DDB" w:rsidRDefault="00267DDB" w:rsidP="00267DDB">
      <w:pPr>
        <w:tabs>
          <w:tab w:val="left" w:pos="567"/>
        </w:tabs>
        <w:spacing w:after="0" w:line="240" w:lineRule="auto"/>
        <w:ind w:right="113"/>
        <w:rPr>
          <w:rFonts w:ascii="Times New Roman" w:eastAsia="Times New Roman" w:hAnsi="Times New Roman"/>
          <w:szCs w:val="20"/>
          <w:lang w:eastAsia="lt-LT" w:bidi="lt-LT"/>
        </w:rPr>
      </w:pPr>
    </w:p>
    <w:p w:rsidR="00267DDB" w:rsidRPr="00267DDB" w:rsidRDefault="00267DDB" w:rsidP="00267DDB">
      <w:pPr>
        <w:tabs>
          <w:tab w:val="left" w:pos="567"/>
        </w:tabs>
        <w:spacing w:after="0" w:line="260" w:lineRule="exact"/>
        <w:rPr>
          <w:rFonts w:ascii="Times New Roman" w:eastAsia="Times New Roman" w:hAnsi="Times New Roman"/>
          <w:b/>
          <w:noProof/>
          <w:snapToGrid w:val="0"/>
          <w:szCs w:val="20"/>
          <w:u w:val="single"/>
          <w:lang w:val="en-GB"/>
        </w:rPr>
      </w:pPr>
    </w:p>
    <w:p w:rsidR="00267DDB" w:rsidRPr="00267DDB" w:rsidRDefault="00267DDB" w:rsidP="00267DDB">
      <w:pPr>
        <w:tabs>
          <w:tab w:val="left" w:pos="567"/>
        </w:tabs>
        <w:spacing w:after="0" w:line="260" w:lineRule="exact"/>
        <w:rPr>
          <w:rFonts w:ascii="Times New Roman" w:eastAsia="Times New Roman" w:hAnsi="Times New Roman"/>
          <w:b/>
          <w:noProof/>
          <w:snapToGrid w:val="0"/>
          <w:szCs w:val="24"/>
        </w:rPr>
      </w:pPr>
      <w:r w:rsidRPr="00267DDB">
        <w:rPr>
          <w:rFonts w:ascii="Times New Roman" w:eastAsia="Times New Roman" w:hAnsi="Times New Roman"/>
          <w:snapToGrid w:val="0"/>
          <w:szCs w:val="24"/>
        </w:rPr>
        <w:br w:type="page"/>
      </w: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outlineLvl w:val="0"/>
        <w:rPr>
          <w:rFonts w:ascii="Times New Roman" w:eastAsia="Times New Roman" w:hAnsi="Times New Roman"/>
          <w:snapToGrid w:val="0"/>
          <w:szCs w:val="20"/>
        </w:rPr>
      </w:pPr>
    </w:p>
    <w:p w:rsidR="00267DDB" w:rsidRPr="00267DDB" w:rsidRDefault="00267DDB" w:rsidP="00267DDB">
      <w:pPr>
        <w:tabs>
          <w:tab w:val="left" w:pos="567"/>
        </w:tabs>
        <w:spacing w:after="0" w:line="260" w:lineRule="exact"/>
        <w:jc w:val="center"/>
        <w:outlineLvl w:val="0"/>
        <w:rPr>
          <w:rFonts w:ascii="Times New Roman" w:eastAsia="Times New Roman" w:hAnsi="Times New Roman"/>
          <w:b/>
          <w:snapToGrid w:val="0"/>
          <w:szCs w:val="20"/>
        </w:rPr>
      </w:pPr>
      <w:r w:rsidRPr="00267DDB">
        <w:rPr>
          <w:rFonts w:ascii="Times New Roman" w:eastAsia="Times New Roman" w:hAnsi="Times New Roman"/>
          <w:b/>
          <w:snapToGrid w:val="0"/>
          <w:szCs w:val="20"/>
        </w:rPr>
        <w:t>B. PAKUOTĖS LAPELIS</w:t>
      </w:r>
    </w:p>
    <w:p w:rsidR="00267DDB" w:rsidRPr="00267DDB" w:rsidRDefault="00267DDB" w:rsidP="00267DDB">
      <w:pPr>
        <w:tabs>
          <w:tab w:val="left" w:pos="567"/>
        </w:tabs>
        <w:spacing w:after="0" w:line="240" w:lineRule="auto"/>
        <w:jc w:val="center"/>
        <w:rPr>
          <w:rFonts w:ascii="Times New Roman" w:eastAsia="Times New Roman" w:hAnsi="Times New Roman"/>
          <w:b/>
          <w:snapToGrid w:val="0"/>
          <w:szCs w:val="28"/>
        </w:rPr>
      </w:pPr>
      <w:r w:rsidRPr="00267DDB">
        <w:rPr>
          <w:rFonts w:ascii="Times New Roman" w:eastAsia="Times New Roman" w:hAnsi="Times New Roman"/>
          <w:i/>
          <w:snapToGrid w:val="0"/>
          <w:szCs w:val="20"/>
        </w:rPr>
        <w:br w:type="page"/>
      </w:r>
      <w:r w:rsidRPr="00267DDB">
        <w:rPr>
          <w:rFonts w:ascii="Times New Roman" w:eastAsia="Times New Roman" w:hAnsi="Times New Roman"/>
          <w:b/>
          <w:snapToGrid w:val="0"/>
          <w:szCs w:val="28"/>
        </w:rPr>
        <w:lastRenderedPageBreak/>
        <w:t>Pakuotės lapelis: informacija vartotojui</w:t>
      </w:r>
    </w:p>
    <w:p w:rsidR="00267DDB" w:rsidRPr="00267DDB" w:rsidRDefault="00267DDB" w:rsidP="00267DDB">
      <w:pPr>
        <w:tabs>
          <w:tab w:val="left" w:pos="567"/>
        </w:tabs>
        <w:spacing w:after="0" w:line="240" w:lineRule="auto"/>
        <w:jc w:val="center"/>
        <w:rPr>
          <w:rFonts w:ascii="Times New Roman" w:eastAsia="Times New Roman" w:hAnsi="Times New Roman"/>
          <w:snapToGrid w:val="0"/>
          <w:szCs w:val="28"/>
        </w:rPr>
      </w:pPr>
    </w:p>
    <w:p w:rsidR="00267DDB" w:rsidRPr="00267DDB" w:rsidRDefault="00267DDB" w:rsidP="00267DDB">
      <w:pPr>
        <w:tabs>
          <w:tab w:val="left" w:pos="567"/>
        </w:tabs>
        <w:spacing w:after="0" w:line="240" w:lineRule="auto"/>
        <w:jc w:val="center"/>
        <w:rPr>
          <w:rFonts w:ascii="Times New Roman" w:eastAsia="Times New Roman" w:hAnsi="Times New Roman"/>
          <w:b/>
          <w:snapToGrid w:val="0"/>
          <w:szCs w:val="28"/>
        </w:rPr>
      </w:pPr>
      <w:r w:rsidRPr="00267DDB">
        <w:rPr>
          <w:rFonts w:ascii="Times New Roman" w:eastAsia="Times New Roman" w:hAnsi="Times New Roman"/>
          <w:b/>
          <w:snapToGrid w:val="0"/>
          <w:szCs w:val="28"/>
        </w:rPr>
        <w:t xml:space="preserve">Pemetrexed Teva </w:t>
      </w:r>
      <w:r w:rsidRPr="00267DDB">
        <w:rPr>
          <w:rFonts w:ascii="Times New Roman" w:eastAsia="Times New Roman" w:hAnsi="Times New Roman"/>
          <w:b/>
          <w:noProof/>
          <w:snapToGrid w:val="0"/>
          <w:szCs w:val="24"/>
        </w:rPr>
        <w:t>25 mg/ml koncentratas infuziniam tirpalui</w:t>
      </w:r>
    </w:p>
    <w:p w:rsidR="00267DDB" w:rsidRPr="00267DDB" w:rsidRDefault="008B309B" w:rsidP="00267DDB">
      <w:pPr>
        <w:spacing w:after="0" w:line="240" w:lineRule="auto"/>
        <w:jc w:val="center"/>
        <w:rPr>
          <w:rFonts w:ascii="Times New Roman" w:hAnsi="Times New Roman"/>
        </w:rPr>
      </w:pPr>
      <w:r>
        <w:rPr>
          <w:rFonts w:ascii="Times New Roman" w:hAnsi="Times New Roman"/>
        </w:rPr>
        <w:t>p</w:t>
      </w:r>
      <w:r w:rsidRPr="00267DDB">
        <w:rPr>
          <w:rFonts w:ascii="Times New Roman" w:hAnsi="Times New Roman"/>
        </w:rPr>
        <w:t>emetreksedas</w:t>
      </w:r>
    </w:p>
    <w:p w:rsidR="00267DDB" w:rsidRPr="00267DDB" w:rsidRDefault="00267DDB" w:rsidP="00267DDB">
      <w:pPr>
        <w:spacing w:after="0" w:line="240" w:lineRule="auto"/>
        <w:jc w:val="center"/>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Atidžiai perskaitykite visą šį lapelį, prieš pradėdami vartoti vaistą, nes jame pateikiama Jums svarbi informacija.</w:t>
      </w:r>
    </w:p>
    <w:p w:rsidR="00267DDB" w:rsidRPr="00267DDB" w:rsidRDefault="00267DDB" w:rsidP="00267DDB">
      <w:pPr>
        <w:tabs>
          <w:tab w:val="left" w:pos="567"/>
        </w:tabs>
        <w:spacing w:after="0" w:line="240" w:lineRule="auto"/>
        <w:rPr>
          <w:rFonts w:ascii="Times New Roman" w:hAnsi="Times New Roman"/>
        </w:rPr>
      </w:pPr>
      <w:r w:rsidRPr="00267DDB">
        <w:rPr>
          <w:rFonts w:ascii="Times New Roman" w:hAnsi="Times New Roman"/>
        </w:rPr>
        <w:t xml:space="preserve">- </w:t>
      </w:r>
      <w:r w:rsidRPr="00267DDB">
        <w:rPr>
          <w:rFonts w:ascii="Times New Roman" w:hAnsi="Times New Roman"/>
        </w:rPr>
        <w:tab/>
        <w:t>Neišmeskite šio lapelio, nes vėl gali prireikti jį perskaityti.</w:t>
      </w:r>
    </w:p>
    <w:p w:rsidR="00267DDB" w:rsidRPr="00267DDB" w:rsidRDefault="00267DDB" w:rsidP="00267DDB">
      <w:pPr>
        <w:tabs>
          <w:tab w:val="left" w:pos="567"/>
        </w:tabs>
        <w:spacing w:after="0" w:line="240" w:lineRule="auto"/>
        <w:rPr>
          <w:rFonts w:ascii="Times New Roman" w:hAnsi="Times New Roman"/>
        </w:rPr>
      </w:pPr>
      <w:r w:rsidRPr="00267DDB">
        <w:rPr>
          <w:rFonts w:ascii="Times New Roman" w:hAnsi="Times New Roman"/>
        </w:rPr>
        <w:t xml:space="preserve">- </w:t>
      </w:r>
      <w:r w:rsidRPr="00267DDB">
        <w:rPr>
          <w:rFonts w:ascii="Times New Roman" w:hAnsi="Times New Roman"/>
        </w:rPr>
        <w:tab/>
        <w:t>Jeigu kiltų daugiau klausimų, kreipkitės į gydytoją arba vaistininką.</w:t>
      </w:r>
    </w:p>
    <w:p w:rsidR="00267DDB" w:rsidRPr="00267DDB" w:rsidRDefault="00267DDB" w:rsidP="00267DDB">
      <w:pPr>
        <w:tabs>
          <w:tab w:val="left" w:pos="567"/>
        </w:tabs>
        <w:spacing w:after="0" w:line="240" w:lineRule="auto"/>
        <w:ind w:left="567" w:hanging="567"/>
        <w:rPr>
          <w:rFonts w:ascii="Times New Roman" w:hAnsi="Times New Roman"/>
        </w:rPr>
      </w:pPr>
      <w:r w:rsidRPr="00267DDB">
        <w:rPr>
          <w:rFonts w:ascii="Times New Roman" w:hAnsi="Times New Roman"/>
        </w:rPr>
        <w:t xml:space="preserve">- </w:t>
      </w:r>
      <w:r w:rsidRPr="00267DDB">
        <w:rPr>
          <w:rFonts w:ascii="Times New Roman" w:hAnsi="Times New Roman"/>
        </w:rPr>
        <w:tab/>
        <w:t>Jeigu pasireiškė šalutinis poveikis (net jeigu jis šiame lapelyje nenurodytas), kreipkitės į gydytoją arba vaistininką. Žr. 4 skyrių.</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Apie ką rašoma šiame lapelyje?</w:t>
      </w:r>
    </w:p>
    <w:p w:rsidR="00267DDB" w:rsidRPr="00267DDB" w:rsidRDefault="00267DDB" w:rsidP="00267DDB">
      <w:pPr>
        <w:spacing w:after="0" w:line="240" w:lineRule="auto"/>
        <w:rPr>
          <w:rFonts w:ascii="Times New Roman" w:hAnsi="Times New Roman"/>
          <w:b/>
        </w:rPr>
      </w:pPr>
    </w:p>
    <w:p w:rsidR="00267DDB" w:rsidRPr="00267DDB"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1.</w:t>
      </w:r>
      <w:r w:rsidRPr="00267DDB">
        <w:rPr>
          <w:rFonts w:ascii="Times New Roman" w:eastAsia="Times New Roman" w:hAnsi="Times New Roman"/>
          <w:snapToGrid w:val="0"/>
          <w:szCs w:val="24"/>
        </w:rPr>
        <w:tab/>
      </w:r>
      <w:r w:rsidRPr="00267DDB">
        <w:rPr>
          <w:rFonts w:ascii="Times New Roman" w:eastAsia="Times New Roman" w:hAnsi="Times New Roman"/>
          <w:snapToGrid w:val="0"/>
          <w:szCs w:val="20"/>
        </w:rPr>
        <w:t>Kas yra Pemetrexed Teva ir kam jis vartojamas</w:t>
      </w:r>
      <w:r w:rsidRPr="00267DDB">
        <w:rPr>
          <w:rFonts w:ascii="Times New Roman" w:eastAsia="Times New Roman" w:hAnsi="Times New Roman"/>
          <w:snapToGrid w:val="0"/>
          <w:szCs w:val="24"/>
        </w:rPr>
        <w:t xml:space="preserve"> </w:t>
      </w:r>
    </w:p>
    <w:p w:rsidR="00267DDB" w:rsidRPr="00267DDB"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2.</w:t>
      </w:r>
      <w:r w:rsidRPr="00267DDB">
        <w:rPr>
          <w:rFonts w:ascii="Times New Roman" w:eastAsia="Times New Roman" w:hAnsi="Times New Roman"/>
          <w:snapToGrid w:val="0"/>
          <w:szCs w:val="24"/>
        </w:rPr>
        <w:tab/>
      </w:r>
      <w:r w:rsidRPr="00267DDB">
        <w:rPr>
          <w:rFonts w:ascii="Times New Roman" w:eastAsia="Times New Roman" w:hAnsi="Times New Roman"/>
          <w:noProof/>
          <w:snapToGrid w:val="0"/>
          <w:szCs w:val="24"/>
        </w:rPr>
        <w:t xml:space="preserve">Kas žinotina prieš vartojant </w:t>
      </w:r>
      <w:r w:rsidRPr="00267DDB">
        <w:rPr>
          <w:rFonts w:ascii="Times New Roman" w:eastAsia="Times New Roman" w:hAnsi="Times New Roman"/>
          <w:snapToGrid w:val="0"/>
          <w:szCs w:val="20"/>
        </w:rPr>
        <w:t>Pemetrexed Teva</w:t>
      </w:r>
    </w:p>
    <w:p w:rsidR="00267DDB" w:rsidRPr="00267DDB"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3.</w:t>
      </w:r>
      <w:r w:rsidRPr="00267DDB">
        <w:rPr>
          <w:rFonts w:ascii="Times New Roman" w:eastAsia="Times New Roman" w:hAnsi="Times New Roman"/>
          <w:snapToGrid w:val="0"/>
          <w:szCs w:val="24"/>
        </w:rPr>
        <w:tab/>
      </w:r>
      <w:r w:rsidRPr="00267DDB">
        <w:rPr>
          <w:rFonts w:ascii="Times New Roman" w:eastAsia="Times New Roman" w:hAnsi="Times New Roman"/>
          <w:noProof/>
          <w:snapToGrid w:val="0"/>
          <w:szCs w:val="24"/>
        </w:rPr>
        <w:t xml:space="preserve">Kaip vartoti </w:t>
      </w:r>
      <w:r w:rsidRPr="00267DDB">
        <w:rPr>
          <w:rFonts w:ascii="Times New Roman" w:eastAsia="Times New Roman" w:hAnsi="Times New Roman"/>
          <w:snapToGrid w:val="0"/>
          <w:szCs w:val="20"/>
        </w:rPr>
        <w:t>Pemetrexed Teva</w:t>
      </w:r>
    </w:p>
    <w:p w:rsidR="00267DDB" w:rsidRPr="00267DDB"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4.</w:t>
      </w:r>
      <w:r w:rsidRPr="00267DDB">
        <w:rPr>
          <w:rFonts w:ascii="Times New Roman" w:eastAsia="Times New Roman" w:hAnsi="Times New Roman"/>
          <w:snapToGrid w:val="0"/>
          <w:szCs w:val="24"/>
        </w:rPr>
        <w:tab/>
      </w:r>
      <w:r w:rsidRPr="00267DDB">
        <w:rPr>
          <w:rFonts w:ascii="Times New Roman" w:eastAsia="Times New Roman" w:hAnsi="Times New Roman"/>
          <w:snapToGrid w:val="0"/>
          <w:szCs w:val="20"/>
        </w:rPr>
        <w:t>Galimas šalutinis poveikis</w:t>
      </w:r>
      <w:r w:rsidRPr="00267DDB">
        <w:rPr>
          <w:rFonts w:ascii="Times New Roman" w:eastAsia="Times New Roman" w:hAnsi="Times New Roman"/>
          <w:snapToGrid w:val="0"/>
          <w:szCs w:val="24"/>
        </w:rPr>
        <w:t xml:space="preserve"> </w:t>
      </w:r>
    </w:p>
    <w:p w:rsidR="00267DDB" w:rsidRPr="00267DDB" w:rsidRDefault="00267DDB" w:rsidP="00267DDB">
      <w:pPr>
        <w:numPr>
          <w:ilvl w:val="12"/>
          <w:numId w:val="0"/>
        </w:numPr>
        <w:tabs>
          <w:tab w:val="left" w:pos="567"/>
          <w:tab w:val="left" w:pos="709"/>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4"/>
        </w:rPr>
        <w:t>5.</w:t>
      </w:r>
      <w:r w:rsidRPr="00267DDB">
        <w:rPr>
          <w:rFonts w:ascii="Times New Roman" w:eastAsia="Times New Roman" w:hAnsi="Times New Roman"/>
          <w:snapToGrid w:val="0"/>
          <w:szCs w:val="24"/>
        </w:rPr>
        <w:tab/>
      </w:r>
      <w:r w:rsidRPr="00267DDB">
        <w:rPr>
          <w:rFonts w:ascii="Times New Roman" w:eastAsia="Times New Roman" w:hAnsi="Times New Roman"/>
          <w:snapToGrid w:val="0"/>
          <w:szCs w:val="20"/>
        </w:rPr>
        <w:t>Kaip laikyti Pemetrexed Teva</w:t>
      </w:r>
    </w:p>
    <w:p w:rsidR="00267DDB" w:rsidRPr="00267DDB" w:rsidRDefault="00267DDB" w:rsidP="00267DDB">
      <w:pPr>
        <w:tabs>
          <w:tab w:val="left" w:pos="567"/>
        </w:tabs>
        <w:spacing w:after="0" w:line="240" w:lineRule="auto"/>
        <w:rPr>
          <w:rFonts w:ascii="Times New Roman" w:hAnsi="Times New Roman"/>
        </w:rPr>
      </w:pPr>
      <w:r w:rsidRPr="00267DDB">
        <w:rPr>
          <w:rFonts w:ascii="Times New Roman" w:hAnsi="Times New Roman"/>
          <w:szCs w:val="24"/>
        </w:rPr>
        <w:t>6.</w:t>
      </w:r>
      <w:r w:rsidRPr="00267DDB">
        <w:rPr>
          <w:rFonts w:ascii="Times New Roman" w:hAnsi="Times New Roman"/>
          <w:szCs w:val="24"/>
        </w:rPr>
        <w:tab/>
      </w:r>
      <w:r w:rsidRPr="00267DDB">
        <w:rPr>
          <w:rFonts w:ascii="Times New Roman" w:hAnsi="Times New Roman"/>
          <w:noProof/>
          <w:szCs w:val="24"/>
        </w:rPr>
        <w:t>Pakuotės turinys ir kita informacija</w:t>
      </w:r>
    </w:p>
    <w:p w:rsidR="00267DDB" w:rsidRPr="00267DDB" w:rsidRDefault="00267DDB" w:rsidP="00267DDB">
      <w:pPr>
        <w:spacing w:after="0" w:line="240" w:lineRule="auto"/>
        <w:rPr>
          <w:rFonts w:ascii="Times New Roman" w:hAnsi="Times New Roman"/>
          <w:b/>
        </w:rPr>
      </w:pPr>
    </w:p>
    <w:p w:rsidR="00267DDB" w:rsidRPr="00267DDB" w:rsidRDefault="00267DDB" w:rsidP="00267DDB">
      <w:pPr>
        <w:spacing w:after="0" w:line="240" w:lineRule="auto"/>
        <w:rPr>
          <w:rFonts w:ascii="Times New Roman" w:hAnsi="Times New Roman"/>
          <w:b/>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267DDB">
        <w:rPr>
          <w:rFonts w:ascii="Times New Roman" w:eastAsia="Times New Roman" w:hAnsi="Times New Roman"/>
          <w:b/>
          <w:bCs/>
          <w:snapToGrid w:val="0"/>
          <w:szCs w:val="28"/>
          <w:lang w:eastAsia="x-none"/>
        </w:rPr>
        <w:t>1.</w:t>
      </w:r>
      <w:r w:rsidRPr="00267DDB">
        <w:rPr>
          <w:rFonts w:ascii="Times New Roman" w:eastAsia="Times New Roman" w:hAnsi="Times New Roman"/>
          <w:b/>
          <w:bCs/>
          <w:snapToGrid w:val="0"/>
          <w:szCs w:val="28"/>
          <w:lang w:eastAsia="x-none"/>
        </w:rPr>
        <w:tab/>
        <w:t>Kas yra Pemetrexed Teva ir kam jis vartojamas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yra vaistas, vartojamas vėžiui gydyti.</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vartojamas kartu su cisplatina, kitais vaistais nuo vėžio piktybinei pleuros mezoteliomai, t. y. vėžiui, kuris pakenkia plaučių gleivinę, gydyti ligoniams, kuriems chemoterapija dar nebuvo taikyta.</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kartu su cisplatina vartojamas ir pradiniam išplitusio plaučių vėžio gydymui.</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gali būti Jums paskirtas, jeigu sergate išplitusiu plaučių vėžiu, jeigu Jūsų liga reagavo į gydymą arba iš esmės nepakito po pradinės chemoterapijos.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taip pat tinka išplitusiam plaučių vėžiui gydyti ligoniams, kurių liga progresavo po kitokios taikytos pradinės chemoterapijos.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2.</w:t>
      </w:r>
      <w:r w:rsidRPr="00267DDB">
        <w:rPr>
          <w:rFonts w:ascii="Times New Roman" w:hAnsi="Times New Roman"/>
          <w:b/>
        </w:rPr>
        <w:tab/>
        <w:t>Kas žinotina prieš vartojant Pemetrexed Teva</w:t>
      </w:r>
    </w:p>
    <w:p w:rsidR="00267DDB" w:rsidRPr="00267DDB" w:rsidRDefault="00267DDB" w:rsidP="00267DDB">
      <w:pPr>
        <w:spacing w:after="0" w:line="240" w:lineRule="auto"/>
        <w:rPr>
          <w:rFonts w:ascii="Times New Roman" w:hAnsi="Times New Roman"/>
          <w:b/>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Pemetrexed Teva vartoti negalima:</w:t>
      </w:r>
    </w:p>
    <w:p w:rsidR="00267DDB" w:rsidRPr="00267DDB" w:rsidRDefault="00267DDB" w:rsidP="00267DDB">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sidRPr="00267DDB">
        <w:rPr>
          <w:rFonts w:ascii="Times New Roman" w:eastAsia="Times New Roman" w:hAnsi="Times New Roman"/>
          <w:snapToGrid w:val="0"/>
          <w:szCs w:val="24"/>
        </w:rPr>
        <w:t>-</w:t>
      </w:r>
      <w:r w:rsidRPr="00267DDB">
        <w:rPr>
          <w:rFonts w:ascii="Times New Roman" w:eastAsia="Times New Roman" w:hAnsi="Times New Roman"/>
          <w:snapToGrid w:val="0"/>
          <w:szCs w:val="24"/>
        </w:rPr>
        <w:tab/>
      </w:r>
      <w:r w:rsidRPr="00267DDB">
        <w:rPr>
          <w:rFonts w:ascii="Times New Roman" w:eastAsia="Times New Roman" w:hAnsi="Times New Roman"/>
          <w:noProof/>
          <w:snapToGrid w:val="0"/>
          <w:szCs w:val="24"/>
        </w:rPr>
        <w:t xml:space="preserve">jeigu yra alergija </w:t>
      </w:r>
      <w:r w:rsidRPr="00267DDB">
        <w:rPr>
          <w:rFonts w:ascii="Times New Roman" w:eastAsia="Times New Roman" w:hAnsi="Times New Roman"/>
          <w:snapToGrid w:val="0"/>
          <w:szCs w:val="20"/>
        </w:rPr>
        <w:t>pemetreksedui</w:t>
      </w:r>
      <w:r w:rsidRPr="00267DDB">
        <w:rPr>
          <w:rFonts w:ascii="Times New Roman" w:eastAsia="Times New Roman" w:hAnsi="Times New Roman"/>
          <w:noProof/>
          <w:snapToGrid w:val="0"/>
          <w:szCs w:val="24"/>
        </w:rPr>
        <w:t xml:space="preserve"> arba bet kuriai pagalbinei šio vaisto medžiagai (jos išvardytos 6 skyriuje);</w:t>
      </w:r>
    </w:p>
    <w:p w:rsidR="00267DDB" w:rsidRPr="00267DDB" w:rsidRDefault="00267DDB" w:rsidP="00267DDB">
      <w:pPr>
        <w:numPr>
          <w:ilvl w:val="12"/>
          <w:numId w:val="0"/>
        </w:numPr>
        <w:tabs>
          <w:tab w:val="left" w:pos="567"/>
        </w:tabs>
        <w:spacing w:after="0" w:line="240" w:lineRule="auto"/>
        <w:ind w:left="567" w:hanging="567"/>
        <w:rPr>
          <w:rFonts w:ascii="Times New Roman" w:eastAsia="Times New Roman" w:hAnsi="Times New Roman"/>
          <w:snapToGrid w:val="0"/>
          <w:szCs w:val="20"/>
        </w:rPr>
      </w:pPr>
      <w:r w:rsidRPr="00267DDB">
        <w:rPr>
          <w:rFonts w:ascii="Times New Roman" w:eastAsia="Times New Roman" w:hAnsi="Times New Roman"/>
          <w:noProof/>
          <w:snapToGrid w:val="0"/>
          <w:szCs w:val="24"/>
        </w:rPr>
        <w:t>-</w:t>
      </w:r>
      <w:r w:rsidRPr="00267DDB">
        <w:rPr>
          <w:rFonts w:ascii="Times New Roman" w:eastAsia="Times New Roman" w:hAnsi="Times New Roman"/>
          <w:noProof/>
          <w:snapToGrid w:val="0"/>
          <w:szCs w:val="24"/>
        </w:rPr>
        <w:tab/>
      </w:r>
      <w:r w:rsidRPr="00267DDB">
        <w:rPr>
          <w:rFonts w:ascii="Times New Roman" w:eastAsia="Times New Roman" w:hAnsi="Times New Roman"/>
          <w:snapToGrid w:val="0"/>
          <w:szCs w:val="20"/>
        </w:rPr>
        <w:t>jeigu žindote, gydymo Pemetrexed Teva metu žindymą būtina nutraukti (žr. skyrių „Nėštumas, žindymo laikotarpis ir vaisingumas“);</w:t>
      </w:r>
    </w:p>
    <w:p w:rsidR="00267DDB" w:rsidRPr="00267DDB" w:rsidRDefault="00267DDB" w:rsidP="00267DDB">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267DDB">
        <w:rPr>
          <w:rFonts w:ascii="Times New Roman" w:eastAsia="Times New Roman" w:hAnsi="Times New Roman"/>
          <w:snapToGrid w:val="0"/>
          <w:szCs w:val="20"/>
        </w:rPr>
        <w:t xml:space="preserve">- </w:t>
      </w:r>
      <w:r w:rsidRPr="00267DDB">
        <w:rPr>
          <w:rFonts w:ascii="Times New Roman" w:eastAsia="Times New Roman" w:hAnsi="Times New Roman"/>
          <w:snapToGrid w:val="0"/>
          <w:szCs w:val="20"/>
        </w:rPr>
        <w:tab/>
        <w:t>jeigu neseniai buvote paskiepytas arba būsite skiepijamas geltonosios karštligės vakcina.</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Įspėjimai ir atsargumo priemonės</w:t>
      </w:r>
    </w:p>
    <w:p w:rsidR="00267DDB" w:rsidRPr="00267DDB" w:rsidRDefault="00267DDB" w:rsidP="00267DDB">
      <w:pPr>
        <w:spacing w:after="0" w:line="240" w:lineRule="auto"/>
        <w:rPr>
          <w:rFonts w:ascii="Times New Roman" w:hAnsi="Times New Roman"/>
          <w:b/>
        </w:rPr>
      </w:pPr>
      <w:r w:rsidRPr="00267DDB">
        <w:rPr>
          <w:rFonts w:ascii="Times New Roman" w:hAnsi="Times New Roman"/>
          <w:b/>
        </w:rPr>
        <w:t>Pasitarkite su gydytoju arba vaistininku, prieš pradėdami vartoti Pemetrexed Teva.</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Jeigu Jūsų </w:t>
      </w:r>
      <w:r w:rsidRPr="00267DDB">
        <w:rPr>
          <w:rFonts w:ascii="Times New Roman" w:hAnsi="Times New Roman"/>
          <w:b/>
        </w:rPr>
        <w:t>inkstų</w:t>
      </w:r>
      <w:r w:rsidRPr="00267DDB">
        <w:rPr>
          <w:rFonts w:ascii="Times New Roman" w:hAnsi="Times New Roman"/>
        </w:rPr>
        <w:t xml:space="preserve"> </w:t>
      </w:r>
      <w:r w:rsidRPr="00267DDB">
        <w:rPr>
          <w:rFonts w:ascii="Times New Roman" w:hAnsi="Times New Roman"/>
          <w:b/>
        </w:rPr>
        <w:t>funkcija</w:t>
      </w:r>
      <w:r w:rsidRPr="00267DDB">
        <w:rPr>
          <w:rFonts w:ascii="Times New Roman" w:hAnsi="Times New Roman"/>
        </w:rPr>
        <w:t xml:space="preserve"> buvo arba yra sutrikusi, pasakykite gydytojui ar ligoninės vaistininkui, kadangi Jums vartoti Pemetrexed Teva gali būti negalima.</w:t>
      </w: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Prieš kiekvieną infuziją Jums bus imama kraujo inkstų bei kepenų funkcijai ir kraujo ląstelių kiekiui nustatyti, kad paaiškėtų, ar galite vartoti Pemetrexed Teva. Jūsų gydytojas gali nuspręsti keisti dozę </w:t>
      </w:r>
      <w:r w:rsidRPr="00267DDB">
        <w:rPr>
          <w:rFonts w:ascii="Times New Roman" w:hAnsi="Times New Roman"/>
        </w:rPr>
        <w:lastRenderedPageBreak/>
        <w:t>arba atidėti vartojimą, atsižvelgęs į Jūsų bendrąją būklę, arba tada, kai kraujo ląstelių skaičius per mažas.</w:t>
      </w:r>
    </w:p>
    <w:p w:rsidR="00267DDB" w:rsidRPr="00267DDB" w:rsidRDefault="00267DDB" w:rsidP="00267DDB">
      <w:pPr>
        <w:spacing w:after="0" w:line="240" w:lineRule="auto"/>
        <w:rPr>
          <w:rFonts w:ascii="Times New Roman" w:hAnsi="Times New Roman"/>
        </w:rPr>
      </w:pPr>
      <w:r w:rsidRPr="00267DDB">
        <w:rPr>
          <w:rFonts w:ascii="Times New Roman" w:hAnsi="Times New Roman"/>
        </w:rPr>
        <w:t>Jeigu kartu esate gydomas ir cisplatina, vėmimo profilaktikai gydytojas įsitikins, ar geriate pakankamai skysčiųir vartojate tam tikrus vaistus nuo vėmimo prieš cisplatinos vartojimą ir po to.</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Jeigu buvo arba bus taikomas </w:t>
      </w:r>
      <w:r w:rsidRPr="00267DDB">
        <w:rPr>
          <w:rFonts w:ascii="Times New Roman" w:hAnsi="Times New Roman"/>
          <w:b/>
        </w:rPr>
        <w:t>spindulinis gydymas</w:t>
      </w:r>
      <w:r w:rsidRPr="00267DDB">
        <w:rPr>
          <w:rFonts w:ascii="Times New Roman" w:hAnsi="Times New Roman"/>
        </w:rPr>
        <w:t>, pasakykite apie tai gydytojui, nes kartu vartojant Pemetrexed Teva galima ankstyvoji arba vėlyvoji radiacinė reakcija.</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Jeigu Jūs neseniai </w:t>
      </w:r>
      <w:r w:rsidRPr="00267DDB">
        <w:rPr>
          <w:rFonts w:ascii="Times New Roman" w:hAnsi="Times New Roman"/>
          <w:b/>
        </w:rPr>
        <w:t>skiepytas</w:t>
      </w:r>
      <w:r w:rsidRPr="00267DDB">
        <w:rPr>
          <w:rFonts w:ascii="Times New Roman" w:hAnsi="Times New Roman"/>
        </w:rPr>
        <w:t>, pasakykite apie tai gydytojui, nes pavartojus Pemetrexed Teva, galima nepalanki reakcija.</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Jeigu sergate arba anksčiau sirgote </w:t>
      </w:r>
      <w:r w:rsidRPr="00267DDB">
        <w:rPr>
          <w:rFonts w:ascii="Times New Roman" w:hAnsi="Times New Roman"/>
          <w:b/>
        </w:rPr>
        <w:t>širdies liga</w:t>
      </w:r>
      <w:r w:rsidRPr="00267DDB">
        <w:rPr>
          <w:rFonts w:ascii="Times New Roman" w:hAnsi="Times New Roman"/>
        </w:rPr>
        <w:t>, apie tai pasakykite savo gydytojui.</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Jeigu Jums </w:t>
      </w:r>
      <w:r w:rsidRPr="00267DDB">
        <w:rPr>
          <w:rFonts w:ascii="Times New Roman" w:hAnsi="Times New Roman"/>
          <w:b/>
        </w:rPr>
        <w:t>apie plaučius susikaupė skysčio</w:t>
      </w:r>
      <w:r w:rsidRPr="00267DDB">
        <w:rPr>
          <w:rFonts w:ascii="Times New Roman" w:hAnsi="Times New Roman"/>
        </w:rPr>
        <w:t>, gydytojas gali nutarti pašalinti jį prieš Pemetrexed Teva vartojimą.</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Vaikams ir paaugliams</w:t>
      </w:r>
    </w:p>
    <w:p w:rsidR="00267DDB" w:rsidRPr="00267DDB" w:rsidRDefault="008B309B" w:rsidP="00267DDB">
      <w:pPr>
        <w:spacing w:after="0" w:line="240" w:lineRule="auto"/>
        <w:rPr>
          <w:rFonts w:ascii="Times New Roman" w:hAnsi="Times New Roman"/>
        </w:rPr>
      </w:pPr>
      <w:r w:rsidRPr="00DF63FA">
        <w:rPr>
          <w:rFonts w:ascii="Times New Roman" w:hAnsi="Times New Roman"/>
        </w:rPr>
        <w:t>Šio vaisto negalima vartoti vaikams ar paaugliams, nes nėra šio vaisto vartojimo vaikams ir jaunesniems kaip 18 metų paaugliams patirties</w:t>
      </w:r>
      <w:r w:rsidR="00267DDB" w:rsidRPr="00267DDB">
        <w:rPr>
          <w:rFonts w:ascii="Times New Roman" w:hAnsi="Times New Roman"/>
        </w:rPr>
        <w:t>.</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Kiti vaistai ir Pemetrexed Teva</w:t>
      </w:r>
    </w:p>
    <w:p w:rsidR="00267DDB" w:rsidRPr="00267DDB" w:rsidRDefault="00267DDB" w:rsidP="00267DDB">
      <w:pPr>
        <w:spacing w:after="0" w:line="240" w:lineRule="auto"/>
        <w:rPr>
          <w:rFonts w:ascii="Times New Roman" w:hAnsi="Times New Roman"/>
        </w:rPr>
      </w:pPr>
      <w:r w:rsidRPr="00267DDB">
        <w:rPr>
          <w:rFonts w:ascii="Times New Roman" w:hAnsi="Times New Roman"/>
        </w:rPr>
        <w:t>Pasakykite gydytojui, jeigu vartojate kokius nors vaistus nuo skausmo ir uždegimo (patinimo), pavyzdžiui, nesteroidinius vaistus nuo uždegimo (NVNU), taip pat ir įsigytus be recepto (pvz., ibuprofeną). NVNU poveikio trukmė skiriasi. Atsižvelgdamas į numatytą Pemetrexed Teva vartojimo datą ir (arba) Jūsų inkstų funkciją, gydytojas nurodys, kokį preparatą ir kada galite vartoti. Jeigu abejojate, klauskite gydytojo arba vaistininko, kurie iš Jūsų vartojamų vaistų yra NVNU.</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Jeigu vartojate ar neseniai vartojote kitų vaistų, taip pat ir nereceptinius vaistus, apie tai pasakykite gydytojui arba ligoninės vaistininkui.</w:t>
      </w:r>
    </w:p>
    <w:p w:rsidR="00267DDB" w:rsidRPr="00267DDB" w:rsidRDefault="00267DDB" w:rsidP="00267DDB">
      <w:pPr>
        <w:spacing w:after="0" w:line="240" w:lineRule="auto"/>
        <w:rPr>
          <w:rFonts w:ascii="Times New Roman" w:hAnsi="Times New Roman"/>
        </w:rPr>
      </w:pPr>
    </w:p>
    <w:p w:rsidR="00267DDB" w:rsidRPr="00267DDB" w:rsidRDefault="00267DDB" w:rsidP="00267DDB">
      <w:pPr>
        <w:keepNext/>
        <w:tabs>
          <w:tab w:val="left" w:pos="567"/>
        </w:tabs>
        <w:spacing w:after="0" w:line="260" w:lineRule="exact"/>
        <w:jc w:val="both"/>
        <w:outlineLvl w:val="3"/>
        <w:rPr>
          <w:rFonts w:ascii="Times New Roman" w:eastAsia="Times New Roman" w:hAnsi="Times New Roman"/>
          <w:b/>
          <w:snapToGrid w:val="0"/>
          <w:szCs w:val="24"/>
          <w:lang w:eastAsia="x-none"/>
        </w:rPr>
      </w:pPr>
      <w:r w:rsidRPr="00267DDB">
        <w:rPr>
          <w:rFonts w:ascii="Times New Roman" w:eastAsia="Times New Roman" w:hAnsi="Times New Roman"/>
          <w:b/>
          <w:noProof/>
          <w:snapToGrid w:val="0"/>
          <w:szCs w:val="24"/>
          <w:lang w:eastAsia="x-none"/>
        </w:rPr>
        <w:t>Nėštumas, žindymo laikotarpis ir vaisingumas</w:t>
      </w:r>
    </w:p>
    <w:p w:rsidR="00267DDB" w:rsidRPr="00267DDB" w:rsidRDefault="00267DDB" w:rsidP="00267DDB">
      <w:pPr>
        <w:spacing w:after="0" w:line="240" w:lineRule="auto"/>
        <w:rPr>
          <w:rFonts w:ascii="Times New Roman" w:hAnsi="Times New Roman"/>
        </w:rPr>
      </w:pPr>
      <w:r w:rsidRPr="00267DDB">
        <w:rPr>
          <w:rFonts w:ascii="Times New Roman" w:hAnsi="Times New Roman"/>
          <w:b/>
        </w:rPr>
        <w:t>Nėštumas</w:t>
      </w: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Jeigu esate nėščia arba ketinate pastoti, </w:t>
      </w:r>
      <w:r w:rsidRPr="00267DDB">
        <w:rPr>
          <w:rFonts w:ascii="Times New Roman" w:hAnsi="Times New Roman"/>
          <w:b/>
        </w:rPr>
        <w:t>pasakykite apie tai gydytojui</w:t>
      </w:r>
      <w:r w:rsidRPr="00267DDB">
        <w:rPr>
          <w:rFonts w:ascii="Times New Roman" w:hAnsi="Times New Roman"/>
        </w:rPr>
        <w:t>. Nėštumo metu Pemetrexed Teva vartoti reikia vengti. Gydytojas aptars su Jumis nėštumo metu vartojamo Pemetrexed Teva keliamą grėsmę. Pemetrexed Teva gydomoms moterims BŪTINA naudotis veiksmingu kontracepcijos būdu.</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Žindymo laikotarpis</w:t>
      </w: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Jeigu maitinate kūdikį krūtimi, </w:t>
      </w:r>
      <w:r w:rsidRPr="00267DDB">
        <w:rPr>
          <w:rFonts w:ascii="Times New Roman" w:hAnsi="Times New Roman"/>
          <w:b/>
        </w:rPr>
        <w:t>pasakykite apie tai gydytojui</w:t>
      </w:r>
      <w:r w:rsidRPr="00267DDB">
        <w:rPr>
          <w:rFonts w:ascii="Times New Roman" w:hAnsi="Times New Roman"/>
        </w:rPr>
        <w:t>.</w:t>
      </w:r>
    </w:p>
    <w:p w:rsidR="00267DDB" w:rsidRPr="00267DDB" w:rsidRDefault="00267DDB" w:rsidP="00267DDB">
      <w:pPr>
        <w:spacing w:after="0" w:line="240" w:lineRule="auto"/>
        <w:rPr>
          <w:rFonts w:ascii="Times New Roman" w:hAnsi="Times New Roman"/>
        </w:rPr>
      </w:pPr>
      <w:r w:rsidRPr="00267DDB">
        <w:rPr>
          <w:rFonts w:ascii="Times New Roman" w:hAnsi="Times New Roman"/>
        </w:rPr>
        <w:t>Gydymo Pemetrexed Teva metu žindymą būtina nutraukti.</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b/>
        </w:rPr>
        <w:t>Vaisingumas</w:t>
      </w:r>
    </w:p>
    <w:p w:rsidR="00267DDB" w:rsidRPr="00267DDB" w:rsidRDefault="00267DDB" w:rsidP="00267DDB">
      <w:pPr>
        <w:spacing w:after="0" w:line="240" w:lineRule="auto"/>
        <w:rPr>
          <w:rFonts w:ascii="Times New Roman" w:hAnsi="Times New Roman"/>
        </w:rPr>
      </w:pPr>
      <w:r w:rsidRPr="00267DDB">
        <w:rPr>
          <w:rFonts w:ascii="Times New Roman" w:hAnsi="Times New Roman"/>
        </w:rPr>
        <w:t>Vyrams rekomenduojama nepradėti kūdikio gydymo metu ir ne trumpiau kaip 6 mėnesius po gydymo Pemetrexed Teva pabaigos, todėl jie turi naudoti veiksmingą kontracepcijos metodą gydymo Pemetrexed Teva metu ir paskui dar bent 6 mėnesius. Jeigu norėtumėte pradėti kūdikį gydymo metu arba per 6 mėnesius po gydymo, pasitarkite su savo gydytoju arba vaistininku. Prieš pradedant gydymą Jūs galite kreiptis patarimo dėl spermos išsaugojimo.</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Vairavimas ir mechanizmų valdymas</w:t>
      </w: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gali Jums sukelti nuovargį. Būkite atidūs vairuodami automobilį ir dirbdami su mechanizmais.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3.</w:t>
      </w:r>
      <w:r w:rsidRPr="00267DDB">
        <w:rPr>
          <w:rFonts w:ascii="Times New Roman" w:hAnsi="Times New Roman"/>
          <w:b/>
        </w:rPr>
        <w:tab/>
        <w:t>Kaip vartoti Pemetrexed Teva</w:t>
      </w:r>
    </w:p>
    <w:p w:rsidR="00267DDB" w:rsidRPr="00267DDB" w:rsidRDefault="00267DDB" w:rsidP="00267DDB">
      <w:pPr>
        <w:spacing w:after="0" w:line="240" w:lineRule="auto"/>
        <w:rPr>
          <w:rFonts w:ascii="Times New Roman" w:hAnsi="Times New Roman"/>
          <w:b/>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lastRenderedPageBreak/>
        <w:t>Pemetrexed Teva visada Jums paskirs sveikatos priežiūros specialistas. Gydymo metu, Jūsų būklė bus atidžiai stebima: reguliariai atliekami kraujo tyrimai, įskaitant kepenų bei inkstų funkcijos patikrinimą. Jūsų vartojama dozė gali būti pakeista arba gydymas atidėtas, priklausomai nuo šių tyrimų rezultatų.</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Pemetrexed Teva dozė yra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Ligoninės vaistininkas, slaugytojas arba gydytojas prieš vartojimą praskies Pemetrexed Teva koncentratą 5 </w:t>
      </w:r>
      <w:r w:rsidRPr="009C5DAF">
        <w:rPr>
          <w:rFonts w:ascii="Times New Roman" w:hAnsi="Times New Roman"/>
        </w:rPr>
        <w:t>%</w:t>
      </w:r>
      <w:r w:rsidRPr="00267DDB">
        <w:rPr>
          <w:rFonts w:ascii="Times New Roman" w:hAnsi="Times New Roman"/>
        </w:rPr>
        <w:t xml:space="preserve"> gliukozės tirpalu.</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visada Jums infuzuos į vieną iš venų. Infuzijos trukmė – apie 10 minučių.</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i/>
        </w:rPr>
      </w:pPr>
      <w:r w:rsidRPr="00267DDB">
        <w:rPr>
          <w:rFonts w:ascii="Times New Roman" w:hAnsi="Times New Roman"/>
          <w:i/>
        </w:rPr>
        <w:t>Pemetrexed Teva vartojimas kartu su cisplatina:</w:t>
      </w:r>
    </w:p>
    <w:p w:rsidR="00267DDB" w:rsidRPr="00267DDB" w:rsidRDefault="00267DDB" w:rsidP="00267DDB">
      <w:pPr>
        <w:spacing w:after="0" w:line="240" w:lineRule="auto"/>
        <w:rPr>
          <w:rFonts w:ascii="Times New Roman" w:hAnsi="Times New Roman"/>
        </w:rPr>
      </w:pPr>
      <w:r w:rsidRPr="00267DDB">
        <w:rPr>
          <w:rFonts w:ascii="Times New Roman" w:hAnsi="Times New Roman"/>
        </w:rPr>
        <w:t>Gydytojas arba ligoninės vaistininkas apskaičiuos reikiamą vaisto dozę pagal Jūsų kūno svorį ir ūgį. Cisplatina taip pat infuzuojama į veną, praėjus maždaug 30 minučių po Pemetrexed Teva infuzijos pabaigos. Cisplatinos infuzijos trukmė – apytikriai 2 valandos.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Paprastai infuzijos Jums bus kartojamos kas 3 savaites.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Papildomi vaistai:</w:t>
      </w:r>
    </w:p>
    <w:p w:rsidR="00267DDB" w:rsidRPr="00267DDB" w:rsidRDefault="00267DDB" w:rsidP="00267DDB">
      <w:pPr>
        <w:spacing w:after="0" w:line="240" w:lineRule="auto"/>
        <w:rPr>
          <w:rFonts w:ascii="Times New Roman" w:hAnsi="Times New Roman"/>
        </w:rPr>
      </w:pPr>
      <w:r w:rsidRPr="00267DDB">
        <w:rPr>
          <w:rFonts w:ascii="Times New Roman" w:hAnsi="Times New Roman"/>
          <w:b/>
        </w:rPr>
        <w:t>Kortikosteroidai</w:t>
      </w:r>
      <w:r w:rsidRPr="00267DDB">
        <w:rPr>
          <w:rFonts w:ascii="Times New Roman" w:hAnsi="Times New Roman"/>
        </w:rPr>
        <w:t>. Gydytojas Jums išrašys kortikosteroidų tablečių (atitinkančių 4 miligramus deksametazono du kartus per parą), kurių turėsite vartoti dieną prieš Pemetrexed Teva infuziją, jos dieną ir vieną dieną po jos. Kortikosteroidai vartojami tam, kad sumažėtų vaistų nuo vėžio sukeliamų odos reakcijų dažnis ir sunkumas.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b/>
        </w:rPr>
        <w:t>Vitaminų papildai</w:t>
      </w:r>
      <w:r w:rsidRPr="00267DDB">
        <w:rPr>
          <w:rFonts w:ascii="Times New Roman" w:hAnsi="Times New Roman"/>
        </w:rPr>
        <w:t>. Gydytojas paskirs Jums gydymo Pemetrexed Teva laikotarpiu gerti vieną kartą per dieną folio rūgšties (vitamino) arba multivitaminų, kurių sudėtyje yra folio rūgšties (350-1000 mikrogramų). Per septynias dienas prieš pirmąją Pemetrexed Teva dozę reikia suvartoti ne mažiau kaip 5 folio rūgšties dozes. Po paskutinės Pemetrexed Teva dozės folio rūgšties vartojimą reikia tęsti dar 21 dieną. Be to, Jums suleis vitamino B</w:t>
      </w:r>
      <w:r w:rsidRPr="00267DDB">
        <w:rPr>
          <w:rFonts w:ascii="Times New Roman" w:hAnsi="Times New Roman"/>
          <w:vertAlign w:val="subscript"/>
        </w:rPr>
        <w:t>12</w:t>
      </w:r>
      <w:r w:rsidRPr="00267DDB">
        <w:rPr>
          <w:rFonts w:ascii="Times New Roman" w:hAnsi="Times New Roman"/>
        </w:rPr>
        <w:t xml:space="preserve"> (1000 mikrogramų) per savaitę prieš Pemetrexed Teva dozę ir po to maždaug kas 9 savaites (t.y. kas 3 Pemetrexed Teva gydymo kursus). Vitaminą B</w:t>
      </w:r>
      <w:r w:rsidRPr="00267DDB">
        <w:rPr>
          <w:rFonts w:ascii="Times New Roman" w:hAnsi="Times New Roman"/>
          <w:vertAlign w:val="subscript"/>
        </w:rPr>
        <w:t>12</w:t>
      </w:r>
      <w:r w:rsidRPr="00267DDB">
        <w:rPr>
          <w:rFonts w:ascii="Times New Roman" w:hAnsi="Times New Roman"/>
        </w:rPr>
        <w:t xml:space="preserve"> ir folio rūgštį reikia vartoti tam, kad susilpnėtų vaistų nuo vėžio sukeliamas toksinis poveikis.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Jeigu kiltų daugiau klausimų dėl šio vaisto vartojimo, kreipkitės į gydytoją arba vaistininką.</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4.</w:t>
      </w:r>
      <w:r w:rsidRPr="00267DDB">
        <w:rPr>
          <w:rFonts w:ascii="Times New Roman" w:hAnsi="Times New Roman"/>
          <w:b/>
        </w:rPr>
        <w:tab/>
        <w:t>Galimas šalutinis poveikis</w:t>
      </w:r>
    </w:p>
    <w:p w:rsidR="00267DDB" w:rsidRPr="00267DDB" w:rsidRDefault="00267DDB" w:rsidP="00267DDB">
      <w:pPr>
        <w:spacing w:after="0" w:line="240" w:lineRule="auto"/>
        <w:rPr>
          <w:rFonts w:ascii="Times New Roman" w:hAnsi="Times New Roman"/>
          <w:b/>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Šis vaistas, kaip ir visi kiti, gali sukelti šalutinį poveikį, nors jis pasireiškia ne visiems žmonėms.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b/>
        </w:rPr>
        <w:t>Nedelsdami</w:t>
      </w:r>
      <w:r w:rsidRPr="00267DDB">
        <w:rPr>
          <w:rFonts w:ascii="Times New Roman" w:hAnsi="Times New Roman"/>
        </w:rPr>
        <w:t xml:space="preserve"> turite kreiptis į gydytoją šiais atvejais:</w:t>
      </w:r>
    </w:p>
    <w:p w:rsidR="00267DDB" w:rsidRPr="00267DDB" w:rsidRDefault="008B309B" w:rsidP="00DF63F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00267DDB" w:rsidRPr="00267DDB">
        <w:rPr>
          <w:rFonts w:ascii="Times New Roman" w:hAnsi="Times New Roman"/>
        </w:rPr>
        <w:t>jeigu karščiuojate arba susirgote infekcine liga (dažnas poveikis): temperatūra – 38 ºC ar daugiau, prakaituojate, yra kitų infekcijos simptomų (kadangi baltųjų kraujo ląstelių kiekis Jūsų kraujyje gali būti mažesnis už normalų; tai labai dažnas poveikis). Infekcinė liga (sepsis) gali būti sunki ir sąlygoti mirtį;</w:t>
      </w:r>
    </w:p>
    <w:p w:rsidR="00267DDB" w:rsidRPr="00267DDB" w:rsidRDefault="008B309B" w:rsidP="00DF63F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00267DDB" w:rsidRPr="00267DDB">
        <w:rPr>
          <w:rFonts w:ascii="Times New Roman" w:hAnsi="Times New Roman"/>
        </w:rPr>
        <w:t>jeigu juntate skausmą krūtinėje (dažnas poveikis) arba dažną širdies plakimą (nedažnas poveikis);</w:t>
      </w:r>
    </w:p>
    <w:p w:rsidR="00267DDB" w:rsidRPr="00267DDB" w:rsidRDefault="008B309B" w:rsidP="00DF63F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00267DDB" w:rsidRPr="00267DDB">
        <w:rPr>
          <w:rFonts w:ascii="Times New Roman" w:hAnsi="Times New Roman"/>
        </w:rPr>
        <w:t>jeigu pradėjo skaudėti burną, ji paraudo, patino arba atsirado opų (labai dažnas poveikis);</w:t>
      </w:r>
    </w:p>
    <w:p w:rsidR="00267DDB" w:rsidRPr="00267DDB" w:rsidRDefault="008B309B" w:rsidP="00DF63FA">
      <w:pPr>
        <w:tabs>
          <w:tab w:val="left" w:pos="567"/>
        </w:tabs>
        <w:spacing w:after="0" w:line="240" w:lineRule="auto"/>
        <w:rPr>
          <w:rFonts w:ascii="Times New Roman" w:hAnsi="Times New Roman"/>
        </w:rPr>
      </w:pPr>
      <w:r>
        <w:rPr>
          <w:rFonts w:ascii="Times New Roman" w:hAnsi="Times New Roman"/>
        </w:rPr>
        <w:tab/>
      </w:r>
      <w:r w:rsidR="00267DDB" w:rsidRPr="00267DDB">
        <w:rPr>
          <w:rFonts w:ascii="Times New Roman" w:hAnsi="Times New Roman"/>
        </w:rPr>
        <w:t>jeigu kilo alerginė reakcija: išbėrė odą (labai dažnas poveikis), ją degina ar peršti (dažnas poveikis) arba karščiuojate (dažnas poveikis). Retais atvejais odos reakcijos gali būti sunkios ir sąlygoti mirtį. Jeigu atsirado sunkus išbėrimas, niežulys ar pūslėtumas (Stivenso-Džonsono (Stevens-Johnson) sindromas ar toksinė epidermio nekrolizė [Lajelio (Lyell)]), kreipkitės į savo gydytoją;</w:t>
      </w:r>
    </w:p>
    <w:p w:rsidR="00267DDB" w:rsidRPr="00267DDB" w:rsidRDefault="008B309B" w:rsidP="00DF63F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00267DDB" w:rsidRPr="00267DDB">
        <w:rPr>
          <w:rFonts w:ascii="Times New Roman" w:hAnsi="Times New Roman"/>
        </w:rPr>
        <w:t>jeigu juntate nuovargį, alpstate, staiga pradedate dusti arba esate išblyškęs (nes hemoglobino koncentracija gali būti mažesnė už normalią; tai labai dažnas poveikis);</w:t>
      </w:r>
    </w:p>
    <w:p w:rsidR="00267DDB" w:rsidRPr="00267DDB" w:rsidRDefault="008B309B" w:rsidP="00DF63FA">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r w:rsidR="00267DDB" w:rsidRPr="00267DDB">
        <w:rPr>
          <w:rFonts w:ascii="Times New Roman" w:hAnsi="Times New Roman"/>
        </w:rPr>
        <w:t>jeigu nesiliauja kraujavimas iš dantenų, nosies, burnos ar kitų vietų, šlapimas rausvas arba šviesiai rožinis, netikėtai išryškėja mėlynių (kadangi Jūsų trombocitų kiekis gali būti mažesnis už normalų; tai labai dažnas poveikis);</w:t>
      </w:r>
    </w:p>
    <w:p w:rsidR="00267DDB" w:rsidRPr="00267DDB" w:rsidRDefault="008B309B" w:rsidP="00DF63FA">
      <w:pPr>
        <w:tabs>
          <w:tab w:val="left" w:pos="567"/>
        </w:tabs>
        <w:spacing w:after="0" w:line="240" w:lineRule="auto"/>
        <w:rPr>
          <w:rFonts w:ascii="Times New Roman" w:hAnsi="Times New Roman"/>
        </w:rPr>
      </w:pPr>
      <w:r>
        <w:rPr>
          <w:rFonts w:ascii="Times New Roman" w:hAnsi="Times New Roman"/>
        </w:rPr>
        <w:lastRenderedPageBreak/>
        <w:t>-</w:t>
      </w:r>
      <w:r>
        <w:rPr>
          <w:rFonts w:ascii="Times New Roman" w:hAnsi="Times New Roman"/>
        </w:rPr>
        <w:tab/>
      </w:r>
      <w:r w:rsidR="00267DDB" w:rsidRPr="00267DDB">
        <w:rPr>
          <w:rFonts w:ascii="Times New Roman" w:hAnsi="Times New Roman"/>
        </w:rPr>
        <w:t>jeigu staiga pasireiškia dusulys, stiprus krūtinės skausmas arba kosulys su kraujingais skrepliais (nedažnas poveikis) (tai gali rodyti, kad plaučių kraujagyslėse atsirado kraujo krešulių).</w:t>
      </w:r>
    </w:p>
    <w:p w:rsidR="00267DDB" w:rsidRPr="00267DDB" w:rsidRDefault="00267DDB" w:rsidP="00267DDB">
      <w:pPr>
        <w:spacing w:after="0" w:line="240" w:lineRule="auto"/>
        <w:ind w:left="90"/>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Galimas šalutinis Pemetrexed Teva poveikis: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b/>
        </w:rPr>
        <w:t>Labai dažnas</w:t>
      </w:r>
      <w:r w:rsidRPr="00267DDB">
        <w:rPr>
          <w:rFonts w:ascii="Times New Roman" w:hAnsi="Times New Roman"/>
        </w:rPr>
        <w:t xml:space="preserve"> (</w:t>
      </w:r>
      <w:r w:rsidRPr="00267DDB">
        <w:rPr>
          <w:rFonts w:ascii="Times New Roman" w:hAnsi="Times New Roman"/>
          <w:i/>
        </w:rPr>
        <w:t>gali pasireikšti da</w:t>
      </w:r>
      <w:r w:rsidR="00715164">
        <w:rPr>
          <w:rFonts w:ascii="Times New Roman" w:hAnsi="Times New Roman"/>
          <w:i/>
        </w:rPr>
        <w:t>žniau</w:t>
      </w:r>
      <w:r w:rsidRPr="00267DDB">
        <w:rPr>
          <w:rFonts w:ascii="Times New Roman" w:hAnsi="Times New Roman"/>
          <w:i/>
        </w:rPr>
        <w:t xml:space="preserve"> negu 1 iš 10 žmonių</w:t>
      </w:r>
      <w:r w:rsidRPr="00267DDB">
        <w:rPr>
          <w:rFonts w:ascii="Times New Roman" w:hAnsi="Times New Roman"/>
        </w:rPr>
        <w:t>)</w:t>
      </w:r>
    </w:p>
    <w:p w:rsidR="0053587D" w:rsidRPr="00DF63FA" w:rsidRDefault="0053587D" w:rsidP="00DF63FA">
      <w:pPr>
        <w:spacing w:after="0" w:line="240" w:lineRule="auto"/>
        <w:rPr>
          <w:rFonts w:ascii="Times New Roman" w:hAnsi="Times New Roman"/>
        </w:rPr>
      </w:pPr>
      <w:r w:rsidRPr="00DF63FA">
        <w:rPr>
          <w:rFonts w:ascii="Times New Roman" w:hAnsi="Times New Roman"/>
        </w:rPr>
        <w:t>Infekcija</w:t>
      </w:r>
    </w:p>
    <w:p w:rsidR="0053587D" w:rsidRPr="00DF63FA" w:rsidRDefault="0053587D" w:rsidP="00DF63FA">
      <w:pPr>
        <w:spacing w:after="0" w:line="240" w:lineRule="auto"/>
        <w:rPr>
          <w:rFonts w:ascii="Times New Roman" w:hAnsi="Times New Roman"/>
        </w:rPr>
      </w:pPr>
      <w:r w:rsidRPr="00DF63FA">
        <w:rPr>
          <w:rFonts w:ascii="Times New Roman" w:hAnsi="Times New Roman"/>
        </w:rPr>
        <w:t>Gerklės skausmas (faringitas)</w:t>
      </w:r>
    </w:p>
    <w:p w:rsidR="0053587D" w:rsidRPr="00DF63FA" w:rsidRDefault="0053587D" w:rsidP="00DF63FA">
      <w:pPr>
        <w:spacing w:after="0" w:line="240" w:lineRule="auto"/>
        <w:rPr>
          <w:rFonts w:ascii="Times New Roman" w:hAnsi="Times New Roman"/>
        </w:rPr>
      </w:pPr>
      <w:r w:rsidRPr="00DF63FA">
        <w:rPr>
          <w:rFonts w:ascii="Times New Roman" w:hAnsi="Times New Roman"/>
        </w:rPr>
        <w:t>Mažas neutrofilų granulocitų (baltųjų kraujo ląstelių rūšis) kiekis</w:t>
      </w:r>
    </w:p>
    <w:p w:rsidR="0053587D" w:rsidRPr="00DF63FA" w:rsidRDefault="0053587D" w:rsidP="00DF63FA">
      <w:pPr>
        <w:spacing w:after="0" w:line="240" w:lineRule="auto"/>
        <w:rPr>
          <w:rFonts w:ascii="Times New Roman" w:hAnsi="Times New Roman"/>
        </w:rPr>
      </w:pPr>
      <w:r w:rsidRPr="00DF63FA">
        <w:rPr>
          <w:rFonts w:ascii="Times New Roman" w:hAnsi="Times New Roman"/>
        </w:rPr>
        <w:t>Mažas baltųjų kraujo ląstelių kiekis</w:t>
      </w:r>
    </w:p>
    <w:p w:rsidR="0053587D" w:rsidRPr="00DF63FA" w:rsidRDefault="0053587D" w:rsidP="00DF63FA">
      <w:pPr>
        <w:spacing w:after="0" w:line="240" w:lineRule="auto"/>
        <w:rPr>
          <w:rFonts w:ascii="Times New Roman" w:hAnsi="Times New Roman"/>
        </w:rPr>
      </w:pPr>
      <w:r w:rsidRPr="00DF63FA">
        <w:rPr>
          <w:rFonts w:ascii="Times New Roman" w:hAnsi="Times New Roman"/>
        </w:rPr>
        <w:t>Maža hemoglobino koncentracija</w:t>
      </w:r>
    </w:p>
    <w:p w:rsidR="0053587D" w:rsidRPr="00DF63FA" w:rsidRDefault="0053587D" w:rsidP="00DF63FA">
      <w:pPr>
        <w:spacing w:after="0" w:line="240" w:lineRule="auto"/>
        <w:rPr>
          <w:rFonts w:ascii="Times New Roman" w:hAnsi="Times New Roman"/>
        </w:rPr>
      </w:pPr>
      <w:r w:rsidRPr="00DF63FA">
        <w:rPr>
          <w:rFonts w:ascii="Times New Roman" w:hAnsi="Times New Roman"/>
        </w:rPr>
        <w:t>Burnos skausmas, paraudimas, patinimas ar išopėjimas</w:t>
      </w:r>
    </w:p>
    <w:p w:rsidR="0053587D" w:rsidRPr="00DF63FA" w:rsidRDefault="0053587D" w:rsidP="00DF63FA">
      <w:pPr>
        <w:spacing w:after="0" w:line="240" w:lineRule="auto"/>
        <w:rPr>
          <w:rFonts w:ascii="Times New Roman" w:hAnsi="Times New Roman"/>
        </w:rPr>
      </w:pPr>
      <w:r w:rsidRPr="00DF63FA">
        <w:rPr>
          <w:rFonts w:ascii="Times New Roman" w:hAnsi="Times New Roman"/>
        </w:rPr>
        <w:t>Apetito praradimas</w:t>
      </w:r>
    </w:p>
    <w:p w:rsidR="0053587D" w:rsidRPr="00DF63FA" w:rsidRDefault="0053587D" w:rsidP="00DF63FA">
      <w:pPr>
        <w:spacing w:after="0" w:line="240" w:lineRule="auto"/>
        <w:rPr>
          <w:rFonts w:ascii="Times New Roman" w:hAnsi="Times New Roman"/>
        </w:rPr>
      </w:pPr>
      <w:r w:rsidRPr="00DF63FA">
        <w:rPr>
          <w:rFonts w:ascii="Times New Roman" w:hAnsi="Times New Roman"/>
        </w:rPr>
        <w:t>Vėmimas</w:t>
      </w:r>
    </w:p>
    <w:p w:rsidR="0053587D" w:rsidRPr="00DF63FA" w:rsidRDefault="0053587D" w:rsidP="00DF63FA">
      <w:pPr>
        <w:spacing w:after="0" w:line="240" w:lineRule="auto"/>
        <w:rPr>
          <w:rFonts w:ascii="Times New Roman" w:hAnsi="Times New Roman"/>
        </w:rPr>
      </w:pPr>
      <w:r w:rsidRPr="00DF63FA">
        <w:rPr>
          <w:rFonts w:ascii="Times New Roman" w:hAnsi="Times New Roman"/>
        </w:rPr>
        <w:t>Viduriavimas</w:t>
      </w:r>
    </w:p>
    <w:p w:rsidR="0053587D" w:rsidRPr="00DF63FA" w:rsidRDefault="0053587D" w:rsidP="00DF63FA">
      <w:pPr>
        <w:spacing w:after="0" w:line="240" w:lineRule="auto"/>
        <w:rPr>
          <w:rFonts w:ascii="Times New Roman" w:hAnsi="Times New Roman"/>
        </w:rPr>
      </w:pPr>
      <w:r w:rsidRPr="00DF63FA">
        <w:rPr>
          <w:rFonts w:ascii="Times New Roman" w:hAnsi="Times New Roman"/>
        </w:rPr>
        <w:t>Pykinimas</w:t>
      </w:r>
    </w:p>
    <w:p w:rsidR="0053587D" w:rsidRPr="00DF63FA" w:rsidRDefault="0053587D" w:rsidP="00DF63FA">
      <w:pPr>
        <w:spacing w:after="0" w:line="240" w:lineRule="auto"/>
        <w:rPr>
          <w:rFonts w:ascii="Times New Roman" w:hAnsi="Times New Roman"/>
        </w:rPr>
      </w:pPr>
      <w:r w:rsidRPr="00DF63FA">
        <w:rPr>
          <w:rFonts w:ascii="Times New Roman" w:hAnsi="Times New Roman"/>
        </w:rPr>
        <w:t>Odos išbėrimas</w:t>
      </w:r>
    </w:p>
    <w:p w:rsidR="0053587D" w:rsidRPr="00DF63FA" w:rsidRDefault="0053587D" w:rsidP="00DF63FA">
      <w:pPr>
        <w:spacing w:after="0" w:line="240" w:lineRule="auto"/>
        <w:rPr>
          <w:rFonts w:ascii="Times New Roman" w:hAnsi="Times New Roman"/>
        </w:rPr>
      </w:pPr>
      <w:r w:rsidRPr="00DF63FA">
        <w:rPr>
          <w:rFonts w:ascii="Times New Roman" w:hAnsi="Times New Roman"/>
        </w:rPr>
        <w:t>Pleiskanojanti oda</w:t>
      </w:r>
    </w:p>
    <w:p w:rsidR="0053587D" w:rsidRPr="00DF63FA" w:rsidRDefault="0053587D" w:rsidP="00DF63FA">
      <w:pPr>
        <w:spacing w:after="0" w:line="240" w:lineRule="auto"/>
        <w:rPr>
          <w:rFonts w:ascii="Times New Roman" w:hAnsi="Times New Roman"/>
        </w:rPr>
      </w:pPr>
      <w:r w:rsidRPr="00DF63FA">
        <w:rPr>
          <w:rFonts w:ascii="Times New Roman" w:hAnsi="Times New Roman"/>
        </w:rPr>
        <w:t>Nenormalūs kraujo tyrimo rodmenys, rodantys inkstų funkcijos su</w:t>
      </w:r>
      <w:r w:rsidR="00CD36C6">
        <w:rPr>
          <w:rFonts w:ascii="Times New Roman" w:hAnsi="Times New Roman"/>
        </w:rPr>
        <w:t>trikimą</w:t>
      </w:r>
    </w:p>
    <w:p w:rsidR="00267DDB" w:rsidRPr="00267DDB" w:rsidRDefault="0053587D" w:rsidP="00267DDB">
      <w:pPr>
        <w:spacing w:after="0" w:line="240" w:lineRule="auto"/>
        <w:rPr>
          <w:rFonts w:ascii="Times New Roman" w:hAnsi="Times New Roman"/>
        </w:rPr>
      </w:pPr>
      <w:r w:rsidRPr="00DF63FA">
        <w:rPr>
          <w:rFonts w:ascii="Times New Roman" w:hAnsi="Times New Roman"/>
        </w:rPr>
        <w:t>Nuovargis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b/>
        </w:rPr>
        <w:t>Dažnas</w:t>
      </w:r>
      <w:r w:rsidRPr="00267DDB">
        <w:rPr>
          <w:rFonts w:ascii="Times New Roman" w:hAnsi="Times New Roman"/>
        </w:rPr>
        <w:t xml:space="preserve"> (</w:t>
      </w:r>
      <w:r w:rsidRPr="00267DDB">
        <w:rPr>
          <w:rFonts w:ascii="Times New Roman" w:hAnsi="Times New Roman"/>
          <w:i/>
        </w:rPr>
        <w:t xml:space="preserve">gali pasireikšti </w:t>
      </w:r>
      <w:r w:rsidR="00715164">
        <w:rPr>
          <w:rFonts w:ascii="Times New Roman" w:hAnsi="Times New Roman"/>
          <w:i/>
        </w:rPr>
        <w:t>rečiau</w:t>
      </w:r>
      <w:r w:rsidR="00715164" w:rsidRPr="00267DDB">
        <w:rPr>
          <w:rFonts w:ascii="Times New Roman" w:hAnsi="Times New Roman"/>
          <w:i/>
        </w:rPr>
        <w:t xml:space="preserve"> </w:t>
      </w:r>
      <w:r w:rsidRPr="00267DDB">
        <w:rPr>
          <w:rFonts w:ascii="Times New Roman" w:hAnsi="Times New Roman"/>
          <w:i/>
        </w:rPr>
        <w:t>kaip 1 iš 10 žmonių</w:t>
      </w:r>
      <w:r w:rsidRPr="00267DDB">
        <w:rPr>
          <w:rFonts w:ascii="Times New Roman" w:hAnsi="Times New Roman"/>
        </w:rPr>
        <w:t>)</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Kraujo infekcija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Karščiavimas, pasireiškiantis kartu su neutrofilų granulocitų (baltųjų kraujo ląstelių rūšis) kiekio sumažėjimu</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Mažas trombocitų kiekis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Alerginė reakcija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Organizmo skysčių netekimas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Skonio pojūčio pokytis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Motorinių nervų pažaida, dėl kurios pasireiškia raumenų silpnumas ir atrofija (sunykimas), labiausiai rankose ir kojose</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Jutiminių nervų pažaida, dėl kurios gali išnykti jutimai, pasireikšti deginantis skausmas ir netvirta eisena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Galvos svaigimas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 xml:space="preserve">Junginės (membrana, kuri dengia akių vokus ir akies baltymą) uždegimas ir patinimas </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Akių sausmė</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Ašarojimas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Junginės (membrana, kuri dengia akių vokus ir akies baltymą) ir ragenos (skaidrus sluoksnis, dengiantis išorinį rainelės ir vyzdžio paviršių) sausmė</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Akių vokų patinimas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Akių sutrikimas, pasireiškiantis sausumu, ašarojimu, dirginimu ir (arba) skausmu</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Širdies nepakankamumas (būklė, kuri turi įtakos Jūsų širdies raumens pajėgumui pumpuoti kraują)</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Neritmiška širdies veikla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Nevirškinimas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Vidurių užkietėjimas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Pilvo skausmas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Kepenų veiklos sutrikimas: kepenyse pagamintų cheminių medžiagų koncentracijų padidėjimas kraujyje</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Padidėjusi odos pigmentacija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Odos niežėjimas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Kūno išbėrimas, kurio kiekvienas elementas primena taikinį</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Plaukų slinkimas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Dilgėlinė</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Nebeveikiantys inkstai</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Su</w:t>
      </w:r>
      <w:r w:rsidR="00D67F73">
        <w:rPr>
          <w:rFonts w:ascii="Times New Roman" w:eastAsia="Times New Roman" w:hAnsi="Times New Roman"/>
        </w:rPr>
        <w:t>trikusi</w:t>
      </w:r>
      <w:r w:rsidRPr="0053587D">
        <w:rPr>
          <w:rFonts w:ascii="Times New Roman" w:eastAsia="Times New Roman" w:hAnsi="Times New Roman"/>
        </w:rPr>
        <w:t xml:space="preserve"> inkstų veikla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Karščiavimas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Skausmas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lastRenderedPageBreak/>
        <w:t>Skysčių perteklius organizmo audiniuose, sukeliantis patinimą</w:t>
      </w:r>
    </w:p>
    <w:p w:rsidR="0053587D" w:rsidRPr="0053587D" w:rsidRDefault="0053587D" w:rsidP="0053587D">
      <w:pPr>
        <w:spacing w:after="0" w:line="240" w:lineRule="auto"/>
        <w:rPr>
          <w:rFonts w:ascii="Times New Roman" w:eastAsia="Times New Roman" w:hAnsi="Times New Roman"/>
          <w:vertAlign w:val="superscript"/>
        </w:rPr>
      </w:pPr>
      <w:r w:rsidRPr="0053587D">
        <w:rPr>
          <w:rFonts w:ascii="Times New Roman" w:eastAsia="Times New Roman" w:hAnsi="Times New Roman"/>
        </w:rPr>
        <w:t>Krūtinės skausmas</w:t>
      </w:r>
    </w:p>
    <w:p w:rsidR="00267DDB" w:rsidRPr="00267DDB" w:rsidRDefault="0053587D" w:rsidP="00267DDB">
      <w:pPr>
        <w:spacing w:after="0" w:line="240" w:lineRule="auto"/>
        <w:rPr>
          <w:rFonts w:ascii="Times New Roman" w:hAnsi="Times New Roman"/>
        </w:rPr>
      </w:pPr>
      <w:r w:rsidRPr="0053587D">
        <w:rPr>
          <w:rFonts w:ascii="Times New Roman" w:eastAsia="Times New Roman" w:hAnsi="Times New Roman"/>
        </w:rPr>
        <w:t>Virškinimo trakto gleivinės uždegimas ir išopėjimas</w:t>
      </w:r>
      <w:r w:rsidR="00267DDB" w:rsidRPr="00267DDB">
        <w:rPr>
          <w:rFonts w:ascii="Times New Roman" w:hAnsi="Times New Roman"/>
        </w:rPr>
        <w:t>.</w:t>
      </w:r>
      <w:r w:rsidR="00267DDB" w:rsidRPr="00267DDB">
        <w:rPr>
          <w:rFonts w:ascii="Times New Roman" w:hAnsi="Times New Roman"/>
        </w:rPr>
        <w:cr/>
      </w:r>
    </w:p>
    <w:p w:rsidR="00267DDB" w:rsidRPr="00267DDB" w:rsidRDefault="00267DDB" w:rsidP="00267DDB">
      <w:pPr>
        <w:spacing w:after="0" w:line="240" w:lineRule="auto"/>
        <w:rPr>
          <w:rFonts w:ascii="Times New Roman" w:hAnsi="Times New Roman"/>
        </w:rPr>
      </w:pPr>
      <w:r w:rsidRPr="00267DDB">
        <w:rPr>
          <w:rFonts w:ascii="Times New Roman" w:hAnsi="Times New Roman"/>
          <w:b/>
        </w:rPr>
        <w:t>Nedažnas</w:t>
      </w:r>
      <w:r w:rsidRPr="00267DDB">
        <w:rPr>
          <w:rFonts w:ascii="Times New Roman" w:hAnsi="Times New Roman"/>
        </w:rPr>
        <w:t xml:space="preserve"> (</w:t>
      </w:r>
      <w:r w:rsidRPr="00267DDB">
        <w:rPr>
          <w:rFonts w:ascii="Times New Roman" w:hAnsi="Times New Roman"/>
          <w:i/>
        </w:rPr>
        <w:t xml:space="preserve">gali pasireikšti </w:t>
      </w:r>
      <w:r w:rsidR="00715164">
        <w:rPr>
          <w:rFonts w:ascii="Times New Roman" w:hAnsi="Times New Roman"/>
          <w:i/>
        </w:rPr>
        <w:t>rečiau</w:t>
      </w:r>
      <w:r w:rsidR="00715164" w:rsidRPr="00267DDB">
        <w:rPr>
          <w:rFonts w:ascii="Times New Roman" w:hAnsi="Times New Roman"/>
          <w:i/>
        </w:rPr>
        <w:t xml:space="preserve"> </w:t>
      </w:r>
      <w:r w:rsidRPr="00267DDB">
        <w:rPr>
          <w:rFonts w:ascii="Times New Roman" w:hAnsi="Times New Roman"/>
          <w:i/>
        </w:rPr>
        <w:t>kaip 1 iš 100 žmonių</w:t>
      </w:r>
      <w:r w:rsidRPr="00267DDB">
        <w:rPr>
          <w:rFonts w:ascii="Times New Roman" w:hAnsi="Times New Roman"/>
        </w:rPr>
        <w:t>)</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Raudonųjų ir baltųjų kraujo ląstelių bei trombocitų kiekio sumažėjimas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Insultas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Insulto tipas, kai užsikemša galvos smegenų arterija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 xml:space="preserve">Kraujavimas į kaukolės ertmę </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Angina (krūtinės skausmas, kuris pasireiškia dėl sumažėjusio širdies aprūpinimo krauju)</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Širdies smūgis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Vainikinių arterijų susiaurėjimas arba užsikimšimas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Nenormalus širdies plakimas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Nepakankamas kraujo patekimas į galūnes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Vienos plaučių arterijos užsikimšimas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Plaučių gleivinės uždegimas ir randai, pasireiškiantys kvėpavimo sutrikimu</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Ryškiai raudono kraujo pasirodymas išangėje</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Kraujavimas iš virškinimo trakto</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Žarnos plyšimas</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 xml:space="preserve">Stemplės </w:t>
      </w:r>
      <w:bookmarkStart w:id="6" w:name="_Hlk36302159"/>
      <w:r w:rsidRPr="0053587D">
        <w:rPr>
          <w:rFonts w:ascii="Times New Roman" w:eastAsia="Times New Roman" w:hAnsi="Times New Roman"/>
        </w:rPr>
        <w:t>gleivinės uždegimas</w:t>
      </w:r>
      <w:bookmarkEnd w:id="6"/>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Storosios žarnos gleivinės uždegimas, pasireiškiantis kartu su kraujavimu iš žarnų ar tiesiosios žarnos (pasireiškęs tik vartojant kartu su cisplatina)</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 xml:space="preserve">Spindulinio gydymo sukeltas stemplės gleivinės uždegimas, patinimas, paraudimas ir erozija </w:t>
      </w:r>
    </w:p>
    <w:p w:rsidR="00267DDB" w:rsidRPr="00267DDB" w:rsidRDefault="0053587D" w:rsidP="00267DDB">
      <w:pPr>
        <w:spacing w:after="0" w:line="240" w:lineRule="auto"/>
        <w:rPr>
          <w:rFonts w:ascii="Times New Roman" w:hAnsi="Times New Roman"/>
        </w:rPr>
      </w:pPr>
      <w:r w:rsidRPr="0053587D">
        <w:rPr>
          <w:rFonts w:ascii="Times New Roman" w:eastAsia="Times New Roman" w:hAnsi="Times New Roman"/>
        </w:rPr>
        <w:t>Spindulinio gydymo sukeltas plaučių uždegimas</w:t>
      </w:r>
      <w:r w:rsidR="00267DDB" w:rsidRPr="00267DDB">
        <w:rPr>
          <w:rFonts w:ascii="Times New Roman" w:hAnsi="Times New Roman"/>
        </w:rPr>
        <w:t>.</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b/>
        </w:rPr>
        <w:t>Retas</w:t>
      </w:r>
      <w:r w:rsidRPr="00267DDB">
        <w:rPr>
          <w:rFonts w:ascii="Times New Roman" w:hAnsi="Times New Roman"/>
        </w:rPr>
        <w:t xml:space="preserve"> (</w:t>
      </w:r>
      <w:r w:rsidRPr="00267DDB">
        <w:rPr>
          <w:rFonts w:ascii="Times New Roman" w:hAnsi="Times New Roman"/>
          <w:i/>
        </w:rPr>
        <w:t>gali pasireikšti mažiau kaip 1 iš 1000 žmonių</w:t>
      </w:r>
      <w:r w:rsidRPr="00267DDB">
        <w:rPr>
          <w:rFonts w:ascii="Times New Roman" w:hAnsi="Times New Roman"/>
        </w:rPr>
        <w:t>)</w:t>
      </w:r>
    </w:p>
    <w:p w:rsidR="0053587D" w:rsidRPr="0053587D" w:rsidRDefault="0053587D" w:rsidP="0053587D">
      <w:pPr>
        <w:spacing w:after="0" w:line="240" w:lineRule="auto"/>
        <w:rPr>
          <w:rFonts w:ascii="Times New Roman" w:eastAsia="Times New Roman" w:hAnsi="Times New Roman"/>
        </w:rPr>
      </w:pPr>
      <w:r w:rsidRPr="0053587D">
        <w:rPr>
          <w:rFonts w:ascii="Times New Roman" w:eastAsia="Times New Roman" w:hAnsi="Times New Roman"/>
        </w:rPr>
        <w:t>Raudonųjų kraujo ląstelių irimas</w:t>
      </w:r>
    </w:p>
    <w:p w:rsidR="0053587D" w:rsidRPr="0053587D" w:rsidRDefault="0053587D" w:rsidP="0053587D">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Anafilaksinis šokas (sunki alerginė reakcija)</w:t>
      </w:r>
    </w:p>
    <w:p w:rsidR="0053587D" w:rsidRPr="0053587D" w:rsidRDefault="0053587D" w:rsidP="0053587D">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Kepenų uždegiminė būklė</w:t>
      </w:r>
    </w:p>
    <w:p w:rsidR="0053587D" w:rsidRPr="0053587D" w:rsidRDefault="0053587D" w:rsidP="0053587D">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Odos paraudimas</w:t>
      </w:r>
    </w:p>
    <w:p w:rsidR="0053587D" w:rsidRPr="0053587D" w:rsidRDefault="0053587D" w:rsidP="0053587D">
      <w:pPr>
        <w:tabs>
          <w:tab w:val="left" w:pos="567"/>
        </w:tabs>
        <w:spacing w:after="0" w:line="240" w:lineRule="auto"/>
        <w:rPr>
          <w:rFonts w:ascii="Times New Roman" w:eastAsia="Times New Roman" w:hAnsi="Times New Roman"/>
        </w:rPr>
      </w:pPr>
      <w:r w:rsidRPr="0053587D">
        <w:rPr>
          <w:rFonts w:ascii="Times New Roman" w:eastAsia="Times New Roman" w:hAnsi="Times New Roman"/>
        </w:rPr>
        <w:t>Odos išbėrimas,</w:t>
      </w:r>
      <w:r w:rsidRPr="0053587D">
        <w:rPr>
          <w:rFonts w:ascii="Times New Roman" w:eastAsia="Times New Roman" w:hAnsi="Times New Roman"/>
          <w:szCs w:val="24"/>
        </w:rPr>
        <w:t xml:space="preserve"> </w:t>
      </w:r>
      <w:r w:rsidRPr="0053587D">
        <w:rPr>
          <w:rFonts w:ascii="Times New Roman" w:eastAsia="Times New Roman" w:hAnsi="Times New Roman"/>
        </w:rPr>
        <w:t>kuris pasireiškia visoje anksčiau apšvitintoje srityje</w:t>
      </w:r>
    </w:p>
    <w:p w:rsidR="00267DDB" w:rsidRPr="00267DDB" w:rsidRDefault="00267DDB" w:rsidP="00267DDB">
      <w:pPr>
        <w:spacing w:after="0" w:line="240" w:lineRule="auto"/>
        <w:rPr>
          <w:rFonts w:ascii="Times New Roman" w:hAnsi="Times New Roman"/>
        </w:rPr>
      </w:pPr>
      <w:r w:rsidRPr="00267DDB">
        <w:rPr>
          <w:rFonts w:ascii="Times New Roman" w:hAnsi="Times New Roman"/>
        </w:rPr>
        <w:t>.</w:t>
      </w:r>
    </w:p>
    <w:p w:rsidR="00ED31C9" w:rsidRDefault="00ED31C9" w:rsidP="00ED31C9">
      <w:pPr>
        <w:tabs>
          <w:tab w:val="left" w:pos="567"/>
        </w:tabs>
        <w:spacing w:after="0" w:line="240" w:lineRule="auto"/>
        <w:rPr>
          <w:rFonts w:ascii="Times New Roman" w:eastAsia="Times New Roman" w:hAnsi="Times New Roman"/>
          <w:i/>
        </w:rPr>
      </w:pPr>
    </w:p>
    <w:p w:rsidR="00ED31C9" w:rsidRPr="00ED31C9" w:rsidRDefault="00ED31C9" w:rsidP="00ED31C9">
      <w:pPr>
        <w:tabs>
          <w:tab w:val="left" w:pos="567"/>
        </w:tabs>
        <w:spacing w:after="0" w:line="240" w:lineRule="auto"/>
        <w:rPr>
          <w:rFonts w:ascii="Times New Roman" w:eastAsia="Times New Roman" w:hAnsi="Times New Roman"/>
          <w:i/>
        </w:rPr>
      </w:pPr>
      <w:r w:rsidRPr="00DF63FA">
        <w:rPr>
          <w:rFonts w:ascii="Times New Roman" w:eastAsia="Times New Roman" w:hAnsi="Times New Roman"/>
          <w:b/>
        </w:rPr>
        <w:t>Labai retas</w:t>
      </w:r>
      <w:r w:rsidRPr="00ED31C9">
        <w:rPr>
          <w:rFonts w:ascii="Times New Roman" w:eastAsia="Times New Roman" w:hAnsi="Times New Roman"/>
          <w:i/>
        </w:rPr>
        <w:t xml:space="preserve"> (gali pasireikšti </w:t>
      </w:r>
      <w:r w:rsidR="00715164" w:rsidRPr="00715164">
        <w:rPr>
          <w:rFonts w:ascii="Times New Roman" w:eastAsia="Times New Roman" w:hAnsi="Times New Roman"/>
          <w:i/>
        </w:rPr>
        <w:t>rečiau</w:t>
      </w:r>
      <w:r w:rsidRPr="00ED31C9">
        <w:rPr>
          <w:rFonts w:ascii="Times New Roman" w:eastAsia="Times New Roman" w:hAnsi="Times New Roman"/>
          <w:i/>
        </w:rPr>
        <w:t xml:space="preserve"> kaip 1 iš 10 000 žmonių)</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 xml:space="preserve">Odos ir minkštųjų audinių infekcijos </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i/>
        </w:rPr>
        <w:t>Stevens-Johnson</w:t>
      </w:r>
      <w:r w:rsidRPr="00ED31C9">
        <w:rPr>
          <w:rFonts w:ascii="Times New Roman" w:eastAsia="Times New Roman" w:hAnsi="Times New Roman"/>
        </w:rPr>
        <w:t xml:space="preserve"> sindromas (sunki odos ir gleivinės reakcija, kuri gali kelti pavojų gyvybei)</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Toksinė epidermio nekrolizė (sunki odos reakcija, kuri gali kelti pavojų gyvybei)</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Autoimuninis sutrikimas, dėl kurio atsiranda kojų, rankų ir pilvo odos išbėrimai ir formuojasi pūslės</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Odos uždegimas, kuriam būdingas skysčio prisipildžiusių pūslių susiformavimas</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Odos trapumas, pūslelės ir erozijos, odos randai</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Paraudimas, skausmas ir patinimas (daugiausia apatinių galūnių)</w:t>
      </w:r>
    </w:p>
    <w:p w:rsidR="00ED31C9" w:rsidRPr="00ED31C9" w:rsidRDefault="00ED31C9" w:rsidP="00ED31C9">
      <w:pPr>
        <w:tabs>
          <w:tab w:val="left" w:pos="567"/>
        </w:tabs>
        <w:spacing w:after="0" w:line="240" w:lineRule="auto"/>
        <w:rPr>
          <w:rFonts w:ascii="Times New Roman" w:eastAsia="Times New Roman" w:hAnsi="Times New Roman"/>
        </w:rPr>
      </w:pPr>
      <w:bookmarkStart w:id="7" w:name="_Hlk36303240"/>
      <w:r w:rsidRPr="00ED31C9">
        <w:rPr>
          <w:rFonts w:ascii="Times New Roman" w:eastAsia="Times New Roman" w:hAnsi="Times New Roman"/>
        </w:rPr>
        <w:t xml:space="preserve">Odos uždegimas </w:t>
      </w:r>
      <w:bookmarkEnd w:id="7"/>
      <w:r w:rsidRPr="00ED31C9">
        <w:rPr>
          <w:rFonts w:ascii="Times New Roman" w:eastAsia="Times New Roman" w:hAnsi="Times New Roman"/>
        </w:rPr>
        <w:t>ir riebalų sankaupos po oda (pseudoceliulitas)</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Odos uždegimas (dermatitas)</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Oda tampa uždegiminė, niežtinti, raudona, įtrūkusi ir šiurkšti</w:t>
      </w:r>
    </w:p>
    <w:p w:rsidR="00ED31C9" w:rsidRPr="00ED31C9" w:rsidRDefault="00ED31C9" w:rsidP="00ED31C9">
      <w:pPr>
        <w:tabs>
          <w:tab w:val="left" w:pos="567"/>
        </w:tabs>
        <w:spacing w:after="0" w:line="240" w:lineRule="auto"/>
        <w:rPr>
          <w:rFonts w:ascii="Times New Roman" w:eastAsia="Times New Roman" w:hAnsi="Times New Roman"/>
        </w:rPr>
      </w:pPr>
      <w:r w:rsidRPr="00ED31C9">
        <w:rPr>
          <w:rFonts w:ascii="Times New Roman" w:eastAsia="Times New Roman" w:hAnsi="Times New Roman"/>
        </w:rPr>
        <w:t>Intensyviai niežtinčios dėmės</w:t>
      </w:r>
    </w:p>
    <w:p w:rsidR="00267DDB" w:rsidRPr="00267DDB" w:rsidRDefault="00267DDB" w:rsidP="00267DDB">
      <w:pPr>
        <w:spacing w:after="0" w:line="240" w:lineRule="auto"/>
        <w:rPr>
          <w:rFonts w:ascii="Times New Roman" w:hAnsi="Times New Roman"/>
        </w:rPr>
      </w:pPr>
    </w:p>
    <w:p w:rsidR="00267DDB" w:rsidRPr="00267DDB" w:rsidRDefault="00ED31C9" w:rsidP="00267DDB">
      <w:pPr>
        <w:spacing w:after="0" w:line="240" w:lineRule="auto"/>
        <w:rPr>
          <w:rFonts w:ascii="Times New Roman" w:hAnsi="Times New Roman"/>
        </w:rPr>
      </w:pPr>
      <w:r>
        <w:rPr>
          <w:rFonts w:ascii="Times New Roman" w:hAnsi="Times New Roman"/>
          <w:b/>
        </w:rPr>
        <w:t>Dažnis n</w:t>
      </w:r>
      <w:r w:rsidR="00267DDB" w:rsidRPr="00267DDB">
        <w:rPr>
          <w:rFonts w:ascii="Times New Roman" w:hAnsi="Times New Roman"/>
          <w:b/>
        </w:rPr>
        <w:t>ežinomas:</w:t>
      </w:r>
      <w:r w:rsidR="00267DDB" w:rsidRPr="00267DDB">
        <w:rPr>
          <w:rFonts w:ascii="Times New Roman" w:hAnsi="Times New Roman"/>
        </w:rPr>
        <w:t xml:space="preserve"> </w:t>
      </w:r>
      <w:r w:rsidR="00267DDB" w:rsidRPr="00267DDB">
        <w:rPr>
          <w:rFonts w:ascii="Times New Roman" w:hAnsi="Times New Roman"/>
          <w:i/>
        </w:rPr>
        <w:t>negali būti apskaičiuotas pagal turimus duomenis</w:t>
      </w:r>
    </w:p>
    <w:p w:rsidR="00B16F02" w:rsidRPr="00B16F02" w:rsidRDefault="00B16F02" w:rsidP="00B16F02">
      <w:pPr>
        <w:tabs>
          <w:tab w:val="left" w:pos="567"/>
        </w:tabs>
        <w:spacing w:after="0" w:line="240" w:lineRule="auto"/>
        <w:rPr>
          <w:rFonts w:ascii="Times New Roman" w:eastAsia="Times New Roman" w:hAnsi="Times New Roman"/>
        </w:rPr>
      </w:pPr>
      <w:r w:rsidRPr="00B16F02">
        <w:rPr>
          <w:rFonts w:ascii="Times New Roman" w:eastAsia="Times New Roman" w:hAnsi="Times New Roman"/>
        </w:rPr>
        <w:t>Cukrinio diabeto forma, kuri visų pirmiausia pasireiškia dėl inkstų patologijos</w:t>
      </w:r>
    </w:p>
    <w:p w:rsidR="00B16F02" w:rsidRPr="00B16F02" w:rsidRDefault="00B16F02" w:rsidP="00B16F02">
      <w:pPr>
        <w:tabs>
          <w:tab w:val="left" w:pos="567"/>
        </w:tabs>
        <w:spacing w:after="0" w:line="240" w:lineRule="auto"/>
        <w:rPr>
          <w:rFonts w:ascii="Times New Roman" w:eastAsia="Times New Roman" w:hAnsi="Times New Roman"/>
        </w:rPr>
      </w:pPr>
      <w:r w:rsidRPr="00B16F02">
        <w:rPr>
          <w:rFonts w:ascii="Times New Roman" w:eastAsia="Times New Roman" w:hAnsi="Times New Roman"/>
        </w:rPr>
        <w:t>Inkstų veiklos sutrikimas, susijęs su inkstų epitelio ląstelių, formuojančių inkstų kanalėlius, žūtimi.</w:t>
      </w:r>
    </w:p>
    <w:p w:rsidR="00622B7A" w:rsidRPr="00267DDB" w:rsidRDefault="00622B7A"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Jums gali atsirasti bet kuris minėtas simptomas ir (arba) sutrikimas. Kuo greičiau TURITE pasakykite gydytojui, jeigu pasireiškė bet kuris iš išvardytų šalutinių poveikių.</w:t>
      </w:r>
      <w:r w:rsidRPr="00267DDB">
        <w:rPr>
          <w:rFonts w:ascii="Times New Roman" w:hAnsi="Times New Roman"/>
        </w:rPr>
        <w:cr/>
      </w:r>
    </w:p>
    <w:p w:rsidR="00267DDB" w:rsidRPr="00267DDB" w:rsidRDefault="00267DDB" w:rsidP="00267DDB">
      <w:pPr>
        <w:spacing w:after="0" w:line="240" w:lineRule="auto"/>
        <w:rPr>
          <w:rFonts w:ascii="Times New Roman" w:hAnsi="Times New Roman"/>
        </w:rPr>
      </w:pPr>
      <w:r w:rsidRPr="00267DDB">
        <w:rPr>
          <w:rFonts w:ascii="Times New Roman" w:hAnsi="Times New Roman"/>
        </w:rPr>
        <w:t>Jeigu nerimaujate dėl kurio nors šalutinio poveikio, pasakykite apie tai gydytojui.</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Pranešimas apie šalutinį poveikį</w:t>
      </w:r>
    </w:p>
    <w:p w:rsidR="00267DDB" w:rsidRPr="00267DDB" w:rsidRDefault="00267DDB" w:rsidP="00267DDB">
      <w:pPr>
        <w:spacing w:after="0" w:line="240" w:lineRule="auto"/>
        <w:rPr>
          <w:rFonts w:ascii="Times New Roman" w:hAnsi="Times New Roman"/>
        </w:rPr>
      </w:pPr>
      <w:r w:rsidRPr="00267DDB">
        <w:rPr>
          <w:rFonts w:ascii="Times New Roman" w:hAnsi="Times New Roman"/>
        </w:rPr>
        <w:lastRenderedPageBreak/>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4" w:history="1">
        <w:r w:rsidRPr="00267DDB">
          <w:rPr>
            <w:rFonts w:ascii="Times New Roman" w:hAnsi="Times New Roman"/>
            <w:color w:val="0000FF"/>
            <w:u w:val="single"/>
          </w:rPr>
          <w:t>www.vvkt.lt</w:t>
        </w:r>
      </w:hyperlink>
      <w:r w:rsidRPr="00267DD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267DDB">
          <w:rPr>
            <w:rFonts w:ascii="Times New Roman" w:hAnsi="Times New Roman"/>
            <w:color w:val="0000FF"/>
            <w:u w:val="single"/>
          </w:rPr>
          <w:t>NepageidaujamaR@vvkt.lt</w:t>
        </w:r>
      </w:hyperlink>
      <w:r w:rsidRPr="00267DDB">
        <w:rPr>
          <w:rFonts w:ascii="Times New Roman" w:hAnsi="Times New Roman"/>
        </w:rPr>
        <w:t xml:space="preserve"> , taip pat per Valstybinės vaistų kontrolės tarnybos prie Lietuvos Respublikos sveikatos apsaugos ministerijos interneto svetainę (adresu </w:t>
      </w:r>
      <w:hyperlink r:id="rId16" w:history="1">
        <w:r w:rsidRPr="00267DDB">
          <w:rPr>
            <w:rFonts w:ascii="Times New Roman" w:hAnsi="Times New Roman"/>
            <w:color w:val="0000FF"/>
            <w:u w:val="single"/>
          </w:rPr>
          <w:t>http://www.vvkt.lt</w:t>
        </w:r>
      </w:hyperlink>
      <w:r w:rsidRPr="00267DDB">
        <w:rPr>
          <w:rFonts w:ascii="Times New Roman" w:hAnsi="Times New Roman"/>
        </w:rPr>
        <w:t xml:space="preserve"> ). Pranešdami apie šalutinį poveikį galite mums padėti gauti daugiau informacijos apie šio vaisto saugumą.</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tabs>
          <w:tab w:val="left" w:pos="567"/>
        </w:tabs>
        <w:spacing w:after="0" w:line="240" w:lineRule="auto"/>
        <w:rPr>
          <w:rFonts w:ascii="Times New Roman" w:hAnsi="Times New Roman"/>
          <w:b/>
        </w:rPr>
      </w:pPr>
      <w:r w:rsidRPr="00267DDB">
        <w:rPr>
          <w:rFonts w:ascii="Times New Roman" w:hAnsi="Times New Roman"/>
          <w:b/>
        </w:rPr>
        <w:t>5.</w:t>
      </w:r>
      <w:r w:rsidRPr="00267DDB">
        <w:rPr>
          <w:rFonts w:ascii="Times New Roman" w:hAnsi="Times New Roman"/>
          <w:b/>
        </w:rPr>
        <w:tab/>
        <w:t>Kaip laikyti Pemetrexed Teva</w:t>
      </w:r>
    </w:p>
    <w:p w:rsidR="00267DDB" w:rsidRPr="00267DDB" w:rsidRDefault="00267DDB" w:rsidP="00267DDB">
      <w:pPr>
        <w:spacing w:after="0" w:line="240" w:lineRule="auto"/>
        <w:rPr>
          <w:rFonts w:ascii="Times New Roman" w:hAnsi="Times New Roman"/>
          <w:b/>
        </w:rPr>
      </w:pPr>
    </w:p>
    <w:p w:rsidR="00267DDB" w:rsidRPr="00DF63FA" w:rsidRDefault="00267DDB" w:rsidP="00267DDB">
      <w:pPr>
        <w:spacing w:after="0" w:line="240" w:lineRule="auto"/>
        <w:rPr>
          <w:rFonts w:ascii="Times New Roman" w:hAnsi="Times New Roman"/>
        </w:rPr>
      </w:pPr>
      <w:r w:rsidRPr="00DF63FA">
        <w:rPr>
          <w:rFonts w:ascii="Times New Roman" w:hAnsi="Times New Roman"/>
        </w:rPr>
        <w:t>Šį vaistą laikykite vaikams nepastebimoje ir nepasiekiamoje vietoje.</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Ant dėžutės ir flakono etiketės po „Tinka iki/EXP“ nurodytam tinkamumo laikui pasibaigus, šio vaisto vartoti negalima. Vaistas tinkamas vartoti iki paskutinės nurodyto mėnesio dienos. </w:t>
      </w:r>
    </w:p>
    <w:p w:rsidR="00267DDB" w:rsidRPr="00267DDB" w:rsidRDefault="00267DDB" w:rsidP="00267DDB">
      <w:pPr>
        <w:spacing w:after="0" w:line="240" w:lineRule="auto"/>
        <w:rPr>
          <w:rFonts w:ascii="Times New Roman" w:hAnsi="Times New Roman"/>
        </w:rPr>
      </w:pPr>
    </w:p>
    <w:p w:rsidR="00267DDB" w:rsidRPr="00131C11" w:rsidRDefault="00267DDB" w:rsidP="00267DDB">
      <w:pPr>
        <w:widowControl w:val="0"/>
        <w:autoSpaceDE w:val="0"/>
        <w:autoSpaceDN w:val="0"/>
        <w:adjustRightInd w:val="0"/>
        <w:spacing w:after="0" w:line="240" w:lineRule="auto"/>
        <w:rPr>
          <w:rFonts w:ascii="Times New Roman" w:eastAsia="Times New Roman" w:hAnsi="Times New Roman"/>
          <w:snapToGrid w:val="0"/>
        </w:rPr>
      </w:pPr>
      <w:r w:rsidRPr="00131C11">
        <w:rPr>
          <w:rFonts w:ascii="Times New Roman" w:eastAsia="Times New Roman" w:hAnsi="Times New Roman"/>
          <w:snapToGrid w:val="0"/>
          <w:u w:val="single"/>
        </w:rPr>
        <w:t>Neatidaryti flakonai</w:t>
      </w:r>
      <w:r w:rsidRPr="00131C11">
        <w:rPr>
          <w:rFonts w:ascii="Times New Roman" w:eastAsia="Times New Roman" w:hAnsi="Times New Roman"/>
          <w:snapToGrid w:val="0"/>
        </w:rPr>
        <w:t>. Laikyti šaldytuve (2 °C-8 °C). Flakoną laikyti išorinėje dėžutėje, kad vaistas būtų apsaugotas nuo šviesos.</w:t>
      </w:r>
    </w:p>
    <w:p w:rsidR="00267DDB" w:rsidRPr="00267DDB" w:rsidRDefault="00267DDB" w:rsidP="00267DDB">
      <w:pPr>
        <w:spacing w:after="0" w:line="240" w:lineRule="auto"/>
        <w:rPr>
          <w:rFonts w:ascii="Times New Roman" w:eastAsia="Times New Roman" w:hAnsi="Times New Roman"/>
          <w:snapToGrid w:val="0"/>
          <w:szCs w:val="24"/>
          <w:u w:val="single"/>
        </w:rPr>
      </w:pPr>
    </w:p>
    <w:p w:rsidR="00267DDB" w:rsidRPr="00267DDB" w:rsidRDefault="00267DDB" w:rsidP="00267DDB">
      <w:pPr>
        <w:spacing w:after="0" w:line="240" w:lineRule="auto"/>
        <w:rPr>
          <w:rFonts w:ascii="Times New Roman" w:eastAsia="Times New Roman" w:hAnsi="Times New Roman"/>
          <w:snapToGrid w:val="0"/>
          <w:szCs w:val="24"/>
          <w:u w:val="single"/>
        </w:rPr>
      </w:pPr>
      <w:r w:rsidRPr="00267DDB">
        <w:rPr>
          <w:rFonts w:ascii="Times New Roman" w:eastAsia="Times New Roman" w:hAnsi="Times New Roman"/>
          <w:snapToGrid w:val="0"/>
          <w:szCs w:val="24"/>
          <w:u w:val="single"/>
        </w:rPr>
        <w:t xml:space="preserve">Infuzinis tirpalas. </w:t>
      </w:r>
      <w:r w:rsidRPr="00267DDB">
        <w:rPr>
          <w:rFonts w:ascii="Times New Roman" w:eastAsia="Times New Roman" w:hAnsi="Times New Roman"/>
          <w:snapToGrid w:val="0"/>
          <w:szCs w:val="24"/>
        </w:rPr>
        <w:t>Vaistą reikia vartoti nedelsiant. Jeigu paruoštas kaip nurodyta, cheminis ir fizinis ištirpinto pemetreksedo stabilumas išlieka 24 valandas, laikant šaldytuve (2 °C – 8 °C temperatūroje).</w:t>
      </w:r>
    </w:p>
    <w:p w:rsidR="00267DDB" w:rsidRPr="00267DDB" w:rsidRDefault="00267DDB" w:rsidP="00267DDB">
      <w:pPr>
        <w:spacing w:after="0" w:line="240" w:lineRule="auto"/>
        <w:rPr>
          <w:rFonts w:ascii="Times New Roman" w:hAnsi="Times New Roman"/>
        </w:rPr>
      </w:pPr>
      <w:r w:rsidRPr="00267DDB">
        <w:rPr>
          <w:rFonts w:ascii="Times New Roman" w:hAnsi="Times New Roman"/>
        </w:rPr>
        <w:t xml:space="preserve"> </w:t>
      </w:r>
    </w:p>
    <w:p w:rsidR="00267DDB" w:rsidRPr="00267DDB" w:rsidRDefault="00267DDB" w:rsidP="00267DDB">
      <w:pPr>
        <w:spacing w:after="0" w:line="240" w:lineRule="auto"/>
        <w:rPr>
          <w:rFonts w:ascii="Times New Roman" w:hAnsi="Times New Roman"/>
        </w:rPr>
      </w:pPr>
      <w:r w:rsidRPr="00267DDB">
        <w:rPr>
          <w:rFonts w:ascii="Times New Roman" w:hAnsi="Times New Roman"/>
        </w:rPr>
        <w:t>Šis vaistas skirtas tik vienkartiniam vartojimui, nesuvartotą tirpalą būtina sunaikinti laikantis vietinių reikalavimų.</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Vaistų negalima išmesti į kanalizaciją arba su buitinėmis atliekomis. Kaip išmesti nereikalingus vaistus, klauskite vaistininko. Šios priemonės padės apsaugoti aplinką.</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tabs>
          <w:tab w:val="left" w:pos="567"/>
        </w:tabs>
        <w:spacing w:after="0" w:line="240" w:lineRule="auto"/>
        <w:rPr>
          <w:rFonts w:ascii="Times New Roman" w:hAnsi="Times New Roman"/>
          <w:b/>
        </w:rPr>
      </w:pPr>
      <w:r w:rsidRPr="00267DDB">
        <w:rPr>
          <w:rFonts w:ascii="Times New Roman" w:hAnsi="Times New Roman"/>
          <w:b/>
        </w:rPr>
        <w:t>6.</w:t>
      </w:r>
      <w:r w:rsidRPr="00267DDB">
        <w:rPr>
          <w:rFonts w:ascii="Times New Roman" w:hAnsi="Times New Roman"/>
          <w:b/>
        </w:rPr>
        <w:tab/>
        <w:t>Pakuotės turinys ir kita informacija</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Pemetrexed Teva sudėtis</w:t>
      </w:r>
    </w:p>
    <w:p w:rsidR="00267DDB" w:rsidRPr="00267DDB" w:rsidRDefault="00267DDB" w:rsidP="00267DDB">
      <w:pPr>
        <w:numPr>
          <w:ilvl w:val="0"/>
          <w:numId w:val="13"/>
        </w:numPr>
        <w:tabs>
          <w:tab w:val="left" w:pos="567"/>
        </w:tabs>
        <w:spacing w:after="0" w:line="240" w:lineRule="auto"/>
        <w:ind w:hanging="720"/>
        <w:rPr>
          <w:rFonts w:ascii="Times New Roman" w:hAnsi="Times New Roman"/>
        </w:rPr>
      </w:pPr>
      <w:r w:rsidRPr="00267DDB">
        <w:rPr>
          <w:rFonts w:ascii="Times New Roman" w:hAnsi="Times New Roman"/>
        </w:rPr>
        <w:t>Veiklioji medžiaga yra pemetreksedas.</w:t>
      </w:r>
    </w:p>
    <w:p w:rsidR="00267DDB" w:rsidRPr="00267DDB" w:rsidRDefault="00B16F02" w:rsidP="00267DD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ml koncentrato yra 25 mg pemetreksedo (pemetreksedo dirūgšties</w:t>
      </w:r>
      <w:r w:rsidR="00267DDB" w:rsidRPr="00267DDB" w:rsidDel="0063290E">
        <w:rPr>
          <w:rFonts w:ascii="Times New Roman" w:eastAsia="Times New Roman" w:hAnsi="Times New Roman"/>
          <w:snapToGrid w:val="0"/>
          <w:szCs w:val="24"/>
        </w:rPr>
        <w:t xml:space="preserve"> </w:t>
      </w:r>
      <w:r w:rsidR="00267DDB" w:rsidRPr="00267DDB">
        <w:rPr>
          <w:rFonts w:ascii="Times New Roman" w:eastAsia="Times New Roman" w:hAnsi="Times New Roman"/>
          <w:snapToGrid w:val="0"/>
          <w:szCs w:val="24"/>
        </w:rPr>
        <w:t>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snapToGrid w:val="0"/>
          <w:szCs w:val="24"/>
        </w:rPr>
        <w:t xml:space="preserve">Pemetrexed Teva 25 mg/ml: </w:t>
      </w:r>
      <w:r w:rsidR="00B16F02">
        <w:rPr>
          <w:rFonts w:ascii="Times New Roman" w:eastAsia="Times New Roman" w:hAnsi="Times New Roman"/>
          <w:snapToGrid w:val="0"/>
          <w:szCs w:val="24"/>
        </w:rPr>
        <w:t>kiekviename</w:t>
      </w:r>
      <w:r w:rsidRPr="00267DDB">
        <w:rPr>
          <w:rFonts w:ascii="Times New Roman" w:eastAsia="Times New Roman" w:hAnsi="Times New Roman"/>
          <w:snapToGrid w:val="0"/>
          <w:szCs w:val="24"/>
        </w:rPr>
        <w:t xml:space="preserve"> 4 ml koncentrato flakone yra 100 miligramų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Pemetrexed Teva 25 mg/ml :</w:t>
      </w:r>
      <w:r w:rsidR="00B16F02">
        <w:rPr>
          <w:rFonts w:ascii="Times New Roman" w:eastAsia="Times New Roman" w:hAnsi="Times New Roman"/>
          <w:noProof/>
          <w:snapToGrid w:val="0"/>
          <w:szCs w:val="24"/>
        </w:rPr>
        <w:t xml:space="preserve"> </w:t>
      </w:r>
      <w:r w:rsidR="00B16F02">
        <w:rPr>
          <w:rFonts w:ascii="Times New Roman" w:eastAsia="Times New Roman" w:hAnsi="Times New Roman"/>
          <w:snapToGrid w:val="0"/>
          <w:szCs w:val="24"/>
        </w:rPr>
        <w:t>kiekviename</w:t>
      </w:r>
      <w:r w:rsidR="00B16F02" w:rsidRPr="00267DDB">
        <w:rPr>
          <w:rFonts w:ascii="Times New Roman" w:eastAsia="Times New Roman" w:hAnsi="Times New Roman"/>
          <w:snapToGrid w:val="0"/>
          <w:szCs w:val="24"/>
        </w:rPr>
        <w:t xml:space="preserve"> </w:t>
      </w:r>
      <w:r w:rsidRPr="00267DDB">
        <w:rPr>
          <w:rFonts w:ascii="Times New Roman" w:eastAsia="Times New Roman" w:hAnsi="Times New Roman"/>
          <w:snapToGrid w:val="0"/>
          <w:szCs w:val="24"/>
        </w:rPr>
        <w:t>20 ml koncentrato flakone yra 500 miligramų pemetreksedo (pemetreksedo dirūgšties pavidalu).</w:t>
      </w:r>
    </w:p>
    <w:p w:rsidR="00267DDB" w:rsidRPr="00267DDB" w:rsidRDefault="00267DDB" w:rsidP="00267DDB">
      <w:pPr>
        <w:tabs>
          <w:tab w:val="left" w:pos="567"/>
        </w:tabs>
        <w:spacing w:after="0" w:line="260" w:lineRule="exact"/>
        <w:rPr>
          <w:rFonts w:ascii="Times New Roman" w:eastAsia="Times New Roman" w:hAnsi="Times New Roman"/>
          <w:snapToGrid w:val="0"/>
          <w:szCs w:val="24"/>
        </w:rPr>
      </w:pPr>
      <w:r w:rsidRPr="00267DDB">
        <w:rPr>
          <w:rFonts w:ascii="Times New Roman" w:eastAsia="Times New Roman" w:hAnsi="Times New Roman"/>
          <w:noProof/>
          <w:snapToGrid w:val="0"/>
          <w:szCs w:val="24"/>
        </w:rPr>
        <w:t>Pemetrexed Teva 25 mg/ml :</w:t>
      </w:r>
      <w:r w:rsidR="00B16F02">
        <w:rPr>
          <w:rFonts w:ascii="Times New Roman" w:eastAsia="Times New Roman" w:hAnsi="Times New Roman"/>
          <w:noProof/>
          <w:snapToGrid w:val="0"/>
          <w:szCs w:val="24"/>
        </w:rPr>
        <w:t xml:space="preserve"> </w:t>
      </w:r>
      <w:r w:rsidR="00B16F02">
        <w:rPr>
          <w:rFonts w:ascii="Times New Roman" w:eastAsia="Times New Roman" w:hAnsi="Times New Roman"/>
          <w:snapToGrid w:val="0"/>
          <w:szCs w:val="24"/>
        </w:rPr>
        <w:t>kiekviename</w:t>
      </w:r>
      <w:r w:rsidR="00B16F02" w:rsidRPr="00267DDB">
        <w:rPr>
          <w:rFonts w:ascii="Times New Roman" w:eastAsia="Times New Roman" w:hAnsi="Times New Roman"/>
          <w:snapToGrid w:val="0"/>
          <w:szCs w:val="24"/>
        </w:rPr>
        <w:t xml:space="preserve"> </w:t>
      </w:r>
      <w:r w:rsidRPr="00267DDB">
        <w:rPr>
          <w:rFonts w:ascii="Times New Roman" w:eastAsia="Times New Roman" w:hAnsi="Times New Roman"/>
          <w:snapToGrid w:val="0"/>
          <w:szCs w:val="24"/>
        </w:rPr>
        <w:t>40 ml koncentrato flakone yra 1000 miligramų pemetreksedo (pemetreksedo dirūgšties pavidalu).</w:t>
      </w:r>
    </w:p>
    <w:p w:rsidR="00267DDB" w:rsidRPr="00267DDB" w:rsidRDefault="00267DDB" w:rsidP="00267DDB">
      <w:pPr>
        <w:spacing w:after="0" w:line="240" w:lineRule="auto"/>
        <w:rPr>
          <w:rFonts w:ascii="Times New Roman" w:hAnsi="Times New Roman"/>
        </w:rPr>
      </w:pPr>
    </w:p>
    <w:p w:rsidR="00267DDB" w:rsidRPr="00267DDB" w:rsidRDefault="00267DDB" w:rsidP="00267DDB">
      <w:pPr>
        <w:numPr>
          <w:ilvl w:val="0"/>
          <w:numId w:val="13"/>
        </w:numPr>
        <w:tabs>
          <w:tab w:val="left" w:pos="567"/>
        </w:tabs>
        <w:spacing w:after="0" w:line="240" w:lineRule="auto"/>
        <w:ind w:hanging="720"/>
        <w:rPr>
          <w:rFonts w:ascii="Times New Roman" w:hAnsi="Times New Roman"/>
        </w:rPr>
      </w:pPr>
      <w:r w:rsidRPr="00267DDB">
        <w:rPr>
          <w:rFonts w:ascii="Times New Roman" w:hAnsi="Times New Roman"/>
        </w:rPr>
        <w:t>Pagalbinės medžiagos yra manitolis (E421), bevandenė citrinų rūgšis, trometamolis ir injekcinis vanduo.</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Pemetrexed Teva išvaizda ir kiekis pakuotėje</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r w:rsidRPr="00267DDB">
        <w:rPr>
          <w:rFonts w:ascii="Times New Roman" w:hAnsi="Times New Roman"/>
        </w:rPr>
        <w:t>Pemetrexed Teva yra koncentratas infuziniam tirpalui (sterilus koncentratas) flakonuose. Tai b</w:t>
      </w:r>
      <w:r w:rsidRPr="00267DDB">
        <w:rPr>
          <w:rFonts w:ascii="Times New Roman" w:hAnsi="Times New Roman"/>
          <w:noProof/>
        </w:rPr>
        <w:t>espalvis į geltonumą ar žalsvai geltoną tirpalas</w:t>
      </w:r>
      <w:r w:rsidRPr="00267DDB">
        <w:rPr>
          <w:rFonts w:ascii="Times New Roman" w:hAnsi="Times New Roman"/>
        </w:rPr>
        <w:t>.</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Vienas 100 mg/4 ml skaidraus stiklo flakonas su bromobutilo kamščiu, padengtu fluoropolimero plėvele, bei aliuminio dangteliu. Flakonas yra "įvilktas" (tai yra pateiktas su permatomu apsauginiu apvalkalu).</w:t>
      </w:r>
      <w:r w:rsidRPr="00267DDB">
        <w:rPr>
          <w:rFonts w:ascii="Times New Roman" w:eastAsia="Times New Roman" w:hAnsi="Times New Roman"/>
          <w:snapToGrid w:val="0"/>
          <w:szCs w:val="20"/>
        </w:rPr>
        <w:t xml:space="preserve"> </w:t>
      </w:r>
    </w:p>
    <w:p w:rsidR="00267DDB" w:rsidRPr="00267DDB" w:rsidRDefault="00267DDB" w:rsidP="00267DDB">
      <w:pPr>
        <w:spacing w:after="0" w:line="240" w:lineRule="auto"/>
        <w:rPr>
          <w:rFonts w:ascii="Times New Roman" w:eastAsia="Times New Roman" w:hAnsi="Times New Roman"/>
          <w:snapToGrid w:val="0"/>
          <w:szCs w:val="20"/>
        </w:rPr>
      </w:pPr>
    </w:p>
    <w:p w:rsidR="00267DDB" w:rsidRPr="00267DDB" w:rsidRDefault="00267DDB" w:rsidP="00267DDB">
      <w:pPr>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rPr>
        <w:t>Vienas 500 mg/20 ml skaidraus stiklo flakonas su bromobutilo kamščiu, padengtu fluoropolimero plėvele, bei aliuminio dangteliu. Flakonas yra "įvilktas" (tai yra pateiktas su permatomu apsauginiu apvalkalu).</w:t>
      </w:r>
    </w:p>
    <w:p w:rsidR="00267DDB" w:rsidRPr="00267DDB" w:rsidRDefault="00267DDB" w:rsidP="00267DDB">
      <w:pPr>
        <w:spacing w:after="0" w:line="240" w:lineRule="auto"/>
        <w:rPr>
          <w:rFonts w:ascii="Times New Roman" w:eastAsia="Times New Roman" w:hAnsi="Times New Roman"/>
          <w:snapToGrid w:val="0"/>
          <w:szCs w:val="20"/>
        </w:rPr>
      </w:pPr>
    </w:p>
    <w:p w:rsidR="00267DDB" w:rsidRPr="00267DDB" w:rsidRDefault="00267DDB" w:rsidP="00267DDB">
      <w:pPr>
        <w:spacing w:after="0" w:line="240" w:lineRule="auto"/>
        <w:rPr>
          <w:rFonts w:ascii="Times New Roman" w:eastAsia="Times New Roman" w:hAnsi="Times New Roman"/>
          <w:snapToGrid w:val="0"/>
        </w:rPr>
      </w:pPr>
      <w:r w:rsidRPr="00267DDB">
        <w:rPr>
          <w:rFonts w:ascii="Times New Roman" w:eastAsia="Times New Roman" w:hAnsi="Times New Roman"/>
          <w:snapToGrid w:val="0"/>
        </w:rPr>
        <w:t>Vienas 1000 mg/40 ml skaidraus stiklo flakonas su bromobutilo kamščiu, padengtu fluoropolimero plėvele, bei aliuminio dangteliu. Flakonas yra "įvilktas" (tai yra pateiktas su permatomu apsauginiu apvalkalu).</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spacing w:after="0" w:line="240" w:lineRule="auto"/>
        <w:rPr>
          <w:rFonts w:ascii="Times New Roman" w:eastAsia="Times New Roman" w:hAnsi="Times New Roman"/>
          <w:snapToGrid w:val="0"/>
          <w:szCs w:val="20"/>
        </w:rPr>
      </w:pPr>
      <w:r w:rsidRPr="00267DDB">
        <w:rPr>
          <w:rFonts w:ascii="Times New Roman" w:eastAsia="Times New Roman" w:hAnsi="Times New Roman"/>
          <w:snapToGrid w:val="0"/>
        </w:rPr>
        <w:t>Gali būti tiekiamos ne visų dydžių pakuotės.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Registruotojas ir gamintojas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i/>
        </w:rPr>
      </w:pPr>
      <w:r w:rsidRPr="00267DDB">
        <w:rPr>
          <w:rFonts w:ascii="Times New Roman" w:hAnsi="Times New Roman"/>
          <w:i/>
        </w:rPr>
        <w:t>Registruotojas</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Teva B.V.</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Swensweg 5</w:t>
      </w:r>
    </w:p>
    <w:p w:rsidR="00267DDB" w:rsidRPr="00267DDB" w:rsidRDefault="00267DDB" w:rsidP="00267DDB">
      <w:pPr>
        <w:spacing w:after="0" w:line="240" w:lineRule="auto"/>
        <w:rPr>
          <w:rFonts w:ascii="Times New Roman" w:eastAsia="Times New Roman" w:hAnsi="Times New Roman"/>
          <w:snapToGrid w:val="0"/>
          <w:szCs w:val="24"/>
        </w:rPr>
      </w:pPr>
      <w:r w:rsidRPr="00267DDB">
        <w:rPr>
          <w:rFonts w:ascii="Times New Roman" w:eastAsia="Times New Roman" w:hAnsi="Times New Roman"/>
          <w:snapToGrid w:val="0"/>
          <w:szCs w:val="24"/>
        </w:rPr>
        <w:t>2031 GA Haarlem</w:t>
      </w:r>
    </w:p>
    <w:p w:rsidR="00267DDB" w:rsidRPr="00267DDB" w:rsidRDefault="00267DDB" w:rsidP="00267DDB">
      <w:pPr>
        <w:spacing w:after="0" w:line="240" w:lineRule="auto"/>
        <w:rPr>
          <w:rFonts w:ascii="Times New Roman" w:hAnsi="Times New Roman"/>
        </w:rPr>
      </w:pPr>
      <w:r w:rsidRPr="00267DDB">
        <w:rPr>
          <w:rFonts w:ascii="Times New Roman" w:hAnsi="Times New Roman"/>
          <w:szCs w:val="24"/>
        </w:rPr>
        <w:t>Nyderlandai</w:t>
      </w:r>
    </w:p>
    <w:p w:rsidR="00267DDB" w:rsidRPr="00267DDB" w:rsidRDefault="00267DDB" w:rsidP="00267DDB">
      <w:pPr>
        <w:spacing w:after="0" w:line="240" w:lineRule="auto"/>
        <w:rPr>
          <w:rFonts w:ascii="Times New Roman" w:hAnsi="Times New Roman"/>
          <w:b/>
        </w:rPr>
      </w:pPr>
    </w:p>
    <w:p w:rsidR="00267DDB" w:rsidRPr="00267DDB" w:rsidRDefault="00267DDB" w:rsidP="00267DDB">
      <w:pPr>
        <w:spacing w:after="0" w:line="240" w:lineRule="auto"/>
        <w:rPr>
          <w:rFonts w:ascii="Times New Roman" w:hAnsi="Times New Roman"/>
          <w:i/>
        </w:rPr>
      </w:pPr>
      <w:r w:rsidRPr="00267DDB">
        <w:rPr>
          <w:rFonts w:ascii="Times New Roman" w:hAnsi="Times New Roman"/>
          <w:i/>
        </w:rPr>
        <w:t>Gamintojas</w:t>
      </w:r>
    </w:p>
    <w:p w:rsidR="00267DDB" w:rsidRPr="00131C11" w:rsidRDefault="00267DDB" w:rsidP="00267DDB">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Pharmachemie B.V.</w:t>
      </w:r>
    </w:p>
    <w:p w:rsidR="00267DDB" w:rsidRPr="00131C11" w:rsidRDefault="00267DDB" w:rsidP="00267DDB">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Swensweg 5</w:t>
      </w:r>
    </w:p>
    <w:p w:rsidR="00267DDB" w:rsidRPr="00131C11" w:rsidRDefault="00267DDB" w:rsidP="00267DDB">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2031 GA Haarlem</w:t>
      </w:r>
    </w:p>
    <w:p w:rsidR="00267DDB" w:rsidRPr="00131C11" w:rsidRDefault="00267DDB" w:rsidP="00267DDB">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Nyderlandai</w:t>
      </w:r>
    </w:p>
    <w:p w:rsidR="00267DDB" w:rsidRPr="00131C11" w:rsidRDefault="00267DDB" w:rsidP="00267DDB">
      <w:pPr>
        <w:spacing w:after="0" w:line="240" w:lineRule="auto"/>
        <w:ind w:left="567" w:hanging="567"/>
        <w:rPr>
          <w:rFonts w:ascii="Times New Roman" w:eastAsia="Times New Roman" w:hAnsi="Times New Roman"/>
          <w:szCs w:val="20"/>
        </w:rPr>
      </w:pPr>
    </w:p>
    <w:p w:rsidR="00267DDB" w:rsidRPr="00131C11" w:rsidRDefault="00267DDB" w:rsidP="00267DDB">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arba</w:t>
      </w:r>
    </w:p>
    <w:p w:rsidR="00267DDB" w:rsidRPr="00131C11" w:rsidRDefault="00267DDB" w:rsidP="00267DDB">
      <w:pPr>
        <w:spacing w:after="0" w:line="240" w:lineRule="auto"/>
        <w:ind w:left="567" w:hanging="567"/>
        <w:rPr>
          <w:rFonts w:ascii="Times New Roman" w:eastAsia="Times New Roman" w:hAnsi="Times New Roman"/>
          <w:szCs w:val="20"/>
        </w:rPr>
      </w:pPr>
    </w:p>
    <w:p w:rsidR="00267DDB" w:rsidRPr="00131C11" w:rsidRDefault="00267DDB" w:rsidP="00267DDB">
      <w:pPr>
        <w:spacing w:after="0" w:line="240" w:lineRule="auto"/>
        <w:ind w:left="567" w:hanging="567"/>
        <w:rPr>
          <w:rFonts w:ascii="Times New Roman" w:eastAsia="Times New Roman" w:hAnsi="Times New Roman"/>
          <w:szCs w:val="20"/>
        </w:rPr>
      </w:pPr>
      <w:r w:rsidRPr="00267DDB">
        <w:rPr>
          <w:rFonts w:ascii="Times New Roman" w:eastAsia="Times New Roman" w:hAnsi="Times New Roman"/>
          <w:snapToGrid w:val="0"/>
          <w:lang w:val="de-DE"/>
        </w:rPr>
        <w:t>TEVA Gyógyszergyár Zrt.</w:t>
      </w:r>
    </w:p>
    <w:p w:rsidR="00267DDB" w:rsidRPr="00131C11" w:rsidRDefault="00267DDB" w:rsidP="00267DDB">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Táncsics Mihály út 82</w:t>
      </w:r>
    </w:p>
    <w:p w:rsidR="00267DDB" w:rsidRPr="00131C11" w:rsidRDefault="00267DDB" w:rsidP="00267DDB">
      <w:pPr>
        <w:spacing w:after="0" w:line="240" w:lineRule="auto"/>
        <w:ind w:left="567" w:hanging="567"/>
        <w:rPr>
          <w:rFonts w:ascii="Times New Roman" w:eastAsia="Times New Roman" w:hAnsi="Times New Roman"/>
          <w:szCs w:val="20"/>
        </w:rPr>
      </w:pPr>
      <w:r w:rsidRPr="00131C11">
        <w:rPr>
          <w:rFonts w:ascii="Times New Roman" w:eastAsia="Times New Roman" w:hAnsi="Times New Roman"/>
          <w:szCs w:val="20"/>
        </w:rPr>
        <w:t>H-2100 Gödöllő</w:t>
      </w:r>
    </w:p>
    <w:p w:rsidR="00267DDB" w:rsidRPr="00131C11" w:rsidRDefault="00267DDB" w:rsidP="00267DDB">
      <w:pPr>
        <w:spacing w:after="0" w:line="240" w:lineRule="auto"/>
        <w:ind w:left="567" w:hanging="567"/>
        <w:rPr>
          <w:rFonts w:ascii="Times New Roman" w:eastAsia="Times New Roman" w:hAnsi="Times New Roman"/>
          <w:b/>
          <w:szCs w:val="20"/>
        </w:rPr>
      </w:pPr>
      <w:r w:rsidRPr="00131C11">
        <w:rPr>
          <w:rFonts w:ascii="Times New Roman" w:eastAsia="Times New Roman" w:hAnsi="Times New Roman"/>
          <w:szCs w:val="20"/>
        </w:rPr>
        <w:t>Vengrija</w:t>
      </w:r>
    </w:p>
    <w:p w:rsidR="00267DDB" w:rsidRPr="00131C11" w:rsidRDefault="00267DDB" w:rsidP="00267DDB">
      <w:pPr>
        <w:tabs>
          <w:tab w:val="left" w:pos="567"/>
        </w:tabs>
        <w:spacing w:after="0" w:line="260" w:lineRule="exact"/>
        <w:rPr>
          <w:rFonts w:ascii="Times New Roman" w:eastAsia="Times New Roman" w:hAnsi="Times New Roman"/>
          <w:b/>
          <w:bCs/>
          <w:szCs w:val="20"/>
        </w:rPr>
      </w:pPr>
    </w:p>
    <w:p w:rsidR="00267DDB" w:rsidRPr="00131C11" w:rsidRDefault="00267DDB" w:rsidP="00267DDB">
      <w:pPr>
        <w:tabs>
          <w:tab w:val="left" w:pos="567"/>
        </w:tabs>
        <w:spacing w:after="0" w:line="260" w:lineRule="exact"/>
        <w:rPr>
          <w:rFonts w:ascii="Times New Roman" w:eastAsia="Times New Roman" w:hAnsi="Times New Roman"/>
          <w:bCs/>
          <w:szCs w:val="20"/>
          <w:lang w:val="pl-PL"/>
        </w:rPr>
      </w:pPr>
      <w:proofErr w:type="gramStart"/>
      <w:r w:rsidRPr="00131C11">
        <w:rPr>
          <w:rFonts w:ascii="Times New Roman" w:eastAsia="Times New Roman" w:hAnsi="Times New Roman"/>
          <w:bCs/>
          <w:szCs w:val="20"/>
          <w:lang w:val="pl-PL"/>
        </w:rPr>
        <w:t>arba</w:t>
      </w:r>
      <w:proofErr w:type="gramEnd"/>
    </w:p>
    <w:p w:rsidR="00267DDB" w:rsidRPr="00131C11" w:rsidRDefault="00267DDB" w:rsidP="00267DDB">
      <w:pPr>
        <w:tabs>
          <w:tab w:val="left" w:pos="567"/>
        </w:tabs>
        <w:spacing w:after="0" w:line="260" w:lineRule="exact"/>
        <w:rPr>
          <w:rFonts w:ascii="Times New Roman" w:eastAsia="Times New Roman" w:hAnsi="Times New Roman"/>
          <w:b/>
          <w:bCs/>
          <w:szCs w:val="20"/>
          <w:lang w:val="pl-PL"/>
        </w:rPr>
      </w:pP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Pliva Croatia Ltd.</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Prilaz baruna Filipovica 25</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 xml:space="preserve">10000 Zagreb </w:t>
      </w:r>
    </w:p>
    <w:p w:rsidR="00267DDB" w:rsidRPr="00131C11" w:rsidRDefault="00267DDB" w:rsidP="00267DDB">
      <w:pPr>
        <w:spacing w:after="0" w:line="240" w:lineRule="auto"/>
        <w:ind w:left="567" w:hanging="567"/>
        <w:rPr>
          <w:rFonts w:ascii="Times New Roman" w:eastAsia="Times New Roman" w:hAnsi="Times New Roman"/>
          <w:szCs w:val="20"/>
          <w:lang w:val="pl-PL"/>
        </w:rPr>
      </w:pPr>
      <w:r w:rsidRPr="00131C11">
        <w:rPr>
          <w:rFonts w:ascii="Times New Roman" w:eastAsia="Times New Roman" w:hAnsi="Times New Roman"/>
          <w:szCs w:val="20"/>
          <w:lang w:val="pl-PL"/>
        </w:rPr>
        <w:t>Kroatija</w:t>
      </w:r>
    </w:p>
    <w:p w:rsidR="00267DDB" w:rsidRPr="00131C11" w:rsidRDefault="00267DDB" w:rsidP="00267DDB">
      <w:pPr>
        <w:numPr>
          <w:ilvl w:val="12"/>
          <w:numId w:val="0"/>
        </w:numPr>
        <w:spacing w:after="0" w:line="240" w:lineRule="auto"/>
        <w:ind w:right="-2"/>
        <w:rPr>
          <w:rFonts w:ascii="Times New Roman" w:eastAsia="Times New Roman" w:hAnsi="Times New Roman"/>
          <w:noProof/>
          <w:szCs w:val="20"/>
          <w:lang w:val="pl-PL"/>
        </w:rPr>
      </w:pPr>
    </w:p>
    <w:p w:rsidR="00267DDB" w:rsidRPr="00131C11" w:rsidRDefault="00267DDB" w:rsidP="004D1CE9">
      <w:pPr>
        <w:numPr>
          <w:ilvl w:val="12"/>
          <w:numId w:val="0"/>
        </w:numPr>
        <w:spacing w:after="0" w:line="240" w:lineRule="auto"/>
        <w:ind w:right="-2"/>
        <w:rPr>
          <w:rFonts w:ascii="Times New Roman" w:eastAsia="Times New Roman" w:hAnsi="Times New Roman"/>
          <w:snapToGrid w:val="0"/>
          <w:szCs w:val="20"/>
          <w:lang w:val="pl-PL"/>
        </w:rPr>
      </w:pPr>
    </w:p>
    <w:p w:rsidR="00267DDB" w:rsidRPr="00267DDB" w:rsidRDefault="00267DDB" w:rsidP="00267DDB">
      <w:pPr>
        <w:spacing w:after="0" w:line="240" w:lineRule="auto"/>
        <w:rPr>
          <w:rFonts w:ascii="Times New Roman" w:hAnsi="Times New Roman"/>
        </w:rPr>
      </w:pPr>
    </w:p>
    <w:p w:rsidR="00267DDB" w:rsidRPr="00267DDB" w:rsidRDefault="00267DDB" w:rsidP="00267DDB">
      <w:pPr>
        <w:numPr>
          <w:ilvl w:val="12"/>
          <w:numId w:val="0"/>
        </w:numPr>
        <w:tabs>
          <w:tab w:val="left" w:pos="567"/>
        </w:tabs>
        <w:spacing w:after="0" w:line="240" w:lineRule="auto"/>
        <w:ind w:right="-2"/>
        <w:rPr>
          <w:rFonts w:ascii="Times New Roman" w:eastAsia="Times New Roman" w:hAnsi="Times New Roman"/>
          <w:noProof/>
          <w:snapToGrid w:val="0"/>
          <w:szCs w:val="24"/>
        </w:rPr>
      </w:pPr>
      <w:r w:rsidRPr="00267DDB">
        <w:rPr>
          <w:rFonts w:ascii="Times New Roman" w:eastAsia="Times New Roman" w:hAnsi="Times New Roman"/>
          <w:noProof/>
          <w:snapToGrid w:val="0"/>
          <w:szCs w:val="24"/>
        </w:rPr>
        <w:t>Jeigu apie šį vaistą norite sužinoti daugiau, kreipkitės į vietinį registruotojo atstovą.</w:t>
      </w:r>
    </w:p>
    <w:p w:rsidR="00267DDB" w:rsidRPr="00267DDB" w:rsidRDefault="00267DDB" w:rsidP="00267DDB">
      <w:pPr>
        <w:tabs>
          <w:tab w:val="left" w:pos="567"/>
        </w:tabs>
        <w:spacing w:after="0" w:line="240" w:lineRule="auto"/>
        <w:rPr>
          <w:rFonts w:ascii="Times New Roman" w:eastAsia="Times New Roman" w:hAnsi="Times New Roman"/>
          <w:noProof/>
          <w:snapToGrid w:val="0"/>
          <w:szCs w:val="24"/>
        </w:rPr>
      </w:pPr>
    </w:p>
    <w:p w:rsidR="00267DDB" w:rsidRPr="00267DDB" w:rsidRDefault="00267DDB" w:rsidP="00267DDB">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267DDB">
        <w:rPr>
          <w:rFonts w:ascii="Times New Roman" w:eastAsia="Times New Roman" w:hAnsi="Times New Roman"/>
          <w:snapToGrid w:val="0"/>
          <w:color w:val="000000"/>
          <w:szCs w:val="20"/>
          <w:lang w:val="en-GB"/>
        </w:rPr>
        <w:t xml:space="preserve">UAB </w:t>
      </w:r>
      <w:r w:rsidR="00B16F02">
        <w:rPr>
          <w:rFonts w:ascii="Times New Roman" w:eastAsia="Times New Roman" w:hAnsi="Times New Roman"/>
          <w:snapToGrid w:val="0"/>
          <w:color w:val="000000"/>
          <w:szCs w:val="20"/>
          <w:lang w:val="en-GB"/>
        </w:rPr>
        <w:t>Teva Baltics</w:t>
      </w:r>
    </w:p>
    <w:p w:rsidR="00267DDB" w:rsidRPr="00267DDB" w:rsidRDefault="00267DDB" w:rsidP="00267DDB">
      <w:pPr>
        <w:tabs>
          <w:tab w:val="left" w:pos="360"/>
          <w:tab w:val="left" w:pos="567"/>
          <w:tab w:val="left" w:pos="720"/>
        </w:tabs>
        <w:spacing w:after="0" w:line="260" w:lineRule="exact"/>
        <w:rPr>
          <w:rFonts w:ascii="Times New Roman" w:eastAsia="Times New Roman" w:hAnsi="Times New Roman"/>
          <w:noProof/>
          <w:snapToGrid w:val="0"/>
          <w:szCs w:val="20"/>
          <w:lang w:val="en-GB"/>
        </w:rPr>
      </w:pPr>
      <w:r w:rsidRPr="00267DDB">
        <w:rPr>
          <w:rFonts w:ascii="Times New Roman" w:eastAsia="Times New Roman" w:hAnsi="Times New Roman"/>
          <w:noProof/>
          <w:snapToGrid w:val="0"/>
          <w:szCs w:val="20"/>
          <w:lang w:val="en-GB"/>
        </w:rPr>
        <w:t xml:space="preserve">Molėtų pl. 5 </w:t>
      </w:r>
    </w:p>
    <w:p w:rsidR="00267DDB" w:rsidRPr="00267DDB" w:rsidRDefault="00267DDB" w:rsidP="00267DDB">
      <w:pPr>
        <w:tabs>
          <w:tab w:val="left" w:pos="567"/>
        </w:tabs>
        <w:autoSpaceDE w:val="0"/>
        <w:autoSpaceDN w:val="0"/>
        <w:adjustRightInd w:val="0"/>
        <w:spacing w:after="0" w:line="240" w:lineRule="auto"/>
        <w:rPr>
          <w:rFonts w:ascii="Times New Roman" w:eastAsia="Times New Roman" w:hAnsi="Times New Roman"/>
          <w:snapToGrid w:val="0"/>
          <w:color w:val="000000"/>
          <w:szCs w:val="20"/>
          <w:lang w:val="en-GB"/>
        </w:rPr>
      </w:pPr>
      <w:r w:rsidRPr="00267DDB">
        <w:rPr>
          <w:rFonts w:ascii="Times New Roman" w:eastAsia="Times New Roman" w:hAnsi="Times New Roman"/>
          <w:noProof/>
          <w:snapToGrid w:val="0"/>
          <w:szCs w:val="20"/>
          <w:lang w:val="en-GB"/>
        </w:rPr>
        <w:t>LT-08409 Vilnius</w:t>
      </w:r>
    </w:p>
    <w:p w:rsidR="00267DDB" w:rsidRPr="00267DDB" w:rsidRDefault="00267DDB" w:rsidP="00267DDB">
      <w:pPr>
        <w:numPr>
          <w:ilvl w:val="12"/>
          <w:numId w:val="0"/>
        </w:numPr>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color w:val="000000"/>
          <w:szCs w:val="20"/>
          <w:lang w:val="en-GB"/>
        </w:rPr>
        <w:t>Tel. 5 266 02 03</w:t>
      </w:r>
    </w:p>
    <w:p w:rsidR="00267DDB" w:rsidRPr="00267DDB" w:rsidRDefault="00267DDB" w:rsidP="00267DDB">
      <w:pPr>
        <w:numPr>
          <w:ilvl w:val="12"/>
          <w:numId w:val="0"/>
        </w:numPr>
        <w:tabs>
          <w:tab w:val="left" w:pos="567"/>
        </w:tabs>
        <w:spacing w:after="0" w:line="260" w:lineRule="exact"/>
        <w:ind w:right="-2"/>
        <w:rPr>
          <w:rFonts w:ascii="Times New Roman" w:eastAsia="Times New Roman" w:hAnsi="Times New Roman"/>
          <w:snapToGrid w:val="0"/>
          <w:szCs w:val="20"/>
        </w:rPr>
      </w:pPr>
    </w:p>
    <w:p w:rsidR="00267DDB" w:rsidRPr="00267DDB" w:rsidRDefault="00267DDB" w:rsidP="00267DDB">
      <w:pPr>
        <w:numPr>
          <w:ilvl w:val="12"/>
          <w:numId w:val="0"/>
        </w:numPr>
        <w:tabs>
          <w:tab w:val="left" w:pos="567"/>
        </w:tabs>
        <w:spacing w:after="0" w:line="260" w:lineRule="exact"/>
        <w:ind w:right="-2"/>
        <w:rPr>
          <w:rFonts w:ascii="Times New Roman" w:eastAsia="Times New Roman" w:hAnsi="Times New Roman"/>
          <w:snapToGrid w:val="0"/>
          <w:szCs w:val="20"/>
        </w:rPr>
      </w:pPr>
      <w:r w:rsidRPr="00267DDB">
        <w:rPr>
          <w:rFonts w:ascii="Times New Roman" w:eastAsia="Times New Roman" w:hAnsi="Times New Roman"/>
          <w:b/>
          <w:snapToGrid w:val="0"/>
          <w:szCs w:val="20"/>
        </w:rPr>
        <w:t>Šis vaistas EEE valstybėse narėse registruotas tokiais pavadinimais:</w:t>
      </w:r>
    </w:p>
    <w:p w:rsidR="00267DDB" w:rsidRPr="00267DDB" w:rsidRDefault="00267DDB" w:rsidP="00267DDB">
      <w:pPr>
        <w:numPr>
          <w:ilvl w:val="12"/>
          <w:numId w:val="0"/>
        </w:numPr>
        <w:tabs>
          <w:tab w:val="left" w:pos="1365"/>
        </w:tabs>
        <w:spacing w:after="0" w:line="240" w:lineRule="auto"/>
        <w:ind w:right="-2"/>
        <w:outlineLvl w:val="0"/>
        <w:rPr>
          <w:rFonts w:ascii="Times New Roman" w:eastAsia="Times New Roman" w:hAnsi="Times New Roman"/>
          <w:snapToGrid w:val="0"/>
          <w:szCs w:val="20"/>
        </w:rPr>
      </w:pPr>
      <w:r w:rsidRPr="00267DDB">
        <w:rPr>
          <w:rFonts w:ascii="Times New Roman" w:eastAsia="Times New Roman" w:hAnsi="Times New Roman"/>
          <w:b/>
          <w:snapToGrid w:val="0"/>
          <w:szCs w:val="20"/>
        </w:rPr>
        <w:t>Austrija, Vokietija: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Pemetrexed-ratiopharm 25 mg/ml Konzentrat zur Herstellung einer Infusionslösung</w:t>
      </w:r>
      <w:r w:rsidRPr="00267DDB">
        <w:rPr>
          <w:rFonts w:ascii="Times New Roman" w:eastAsia="Times New Roman" w:hAnsi="Times New Roman"/>
          <w:snapToGrid w:val="0"/>
          <w:szCs w:val="20"/>
        </w:rPr>
        <w:t xml:space="preserve">; </w:t>
      </w:r>
      <w:r w:rsidRPr="00267DDB">
        <w:rPr>
          <w:rFonts w:ascii="Times New Roman" w:eastAsia="Times New Roman" w:hAnsi="Times New Roman"/>
          <w:b/>
          <w:snapToGrid w:val="0"/>
          <w:szCs w:val="20"/>
        </w:rPr>
        <w:t>Belgija: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 Teva 25 mg/ml concentraat voor oplossing voor infusie (olandų k.)</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 Teva 25 mg/ml solution a diluer pour perfusion (prancūzų k.); Pemetrexed Teva 25 mg/ml Konzentrat zur Herstellung einer Infusionslösung (vokiečių k.);</w:t>
      </w:r>
      <w:r w:rsidRPr="00267DDB">
        <w:rPr>
          <w:rFonts w:ascii="Times New Roman" w:eastAsia="Times New Roman" w:hAnsi="Times New Roman"/>
          <w:b/>
          <w:snapToGrid w:val="0"/>
          <w:szCs w:val="20"/>
        </w:rPr>
        <w:t xml:space="preserve"> Kipras, Graikija: </w:t>
      </w:r>
      <w:r w:rsidRPr="009C5DAF">
        <w:rPr>
          <w:rFonts w:ascii="Times New Roman" w:eastAsia="Times New Roman" w:hAnsi="Times New Roman"/>
          <w:snapToGrid w:val="0"/>
        </w:rPr>
        <w:t>Pemetrexed</w:t>
      </w:r>
      <w:r w:rsidRPr="00267DDB">
        <w:rPr>
          <w:rFonts w:ascii="Times New Roman" w:eastAsia="Times New Roman" w:hAnsi="Times New Roman"/>
          <w:snapToGrid w:val="0"/>
          <w:lang w:val="el-GR"/>
        </w:rPr>
        <w:t>/</w:t>
      </w:r>
      <w:r w:rsidRPr="009C5DAF">
        <w:rPr>
          <w:rFonts w:ascii="Times New Roman" w:eastAsia="Times New Roman" w:hAnsi="Times New Roman"/>
          <w:snapToGrid w:val="0"/>
        </w:rPr>
        <w:t xml:space="preserve">Teva B.V. 25 mg/ml </w:t>
      </w:r>
      <w:r w:rsidRPr="00267DDB">
        <w:rPr>
          <w:rFonts w:ascii="Times New Roman" w:eastAsia="Times New Roman" w:hAnsi="Times New Roman"/>
          <w:snapToGrid w:val="0"/>
          <w:lang w:val="el-GR"/>
        </w:rPr>
        <w:t>πυκνό διάλυμα για παρασκευή διαλύματος προς έγχυση</w:t>
      </w:r>
      <w:r w:rsidRPr="00267DDB">
        <w:rPr>
          <w:rFonts w:ascii="Times New Roman" w:eastAsia="Times New Roman" w:hAnsi="Times New Roman"/>
          <w:snapToGrid w:val="0"/>
          <w:szCs w:val="20"/>
        </w:rPr>
        <w:t>;</w:t>
      </w:r>
      <w:r w:rsidRPr="00267DDB">
        <w:rPr>
          <w:rFonts w:ascii="Times New Roman" w:eastAsia="Times New Roman" w:hAnsi="Times New Roman"/>
          <w:b/>
          <w:snapToGrid w:val="0"/>
          <w:szCs w:val="20"/>
        </w:rPr>
        <w:t xml:space="preserve"> Danija, Estija, Lenkija, Švedija:</w:t>
      </w:r>
      <w:r w:rsidRPr="00267DDB">
        <w:rPr>
          <w:rFonts w:ascii="Times New Roman" w:eastAsia="Times New Roman" w:hAnsi="Times New Roman"/>
          <w:snapToGrid w:val="0"/>
          <w:szCs w:val="20"/>
        </w:rPr>
        <w:t xml:space="preserve"> Pemetrexed Teva; </w:t>
      </w:r>
      <w:r w:rsidRPr="00267DDB">
        <w:rPr>
          <w:rFonts w:ascii="Times New Roman" w:eastAsia="Times New Roman" w:hAnsi="Times New Roman"/>
          <w:b/>
          <w:snapToGrid w:val="0"/>
          <w:szCs w:val="20"/>
        </w:rPr>
        <w:t>Ispanija: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Pemetrexed Teva 25 mg/ml concentrado para solución para perfusión</w:t>
      </w:r>
      <w:r w:rsidRPr="00267DDB">
        <w:rPr>
          <w:rFonts w:ascii="Times New Roman" w:eastAsia="Times New Roman" w:hAnsi="Times New Roman"/>
          <w:snapToGrid w:val="0"/>
          <w:szCs w:val="20"/>
        </w:rPr>
        <w:t>;</w:t>
      </w:r>
      <w:r w:rsidRPr="00267DDB">
        <w:rPr>
          <w:rFonts w:ascii="Times New Roman" w:eastAsia="Times New Roman" w:hAnsi="Times New Roman"/>
          <w:b/>
          <w:snapToGrid w:val="0"/>
          <w:szCs w:val="20"/>
        </w:rPr>
        <w:t xml:space="preserve"> Prancūzija: </w:t>
      </w:r>
      <w:r w:rsidRPr="009C5DAF">
        <w:rPr>
          <w:rFonts w:ascii="Times New Roman" w:eastAsia="Times New Roman" w:hAnsi="Times New Roman"/>
          <w:snapToGrid w:val="0"/>
        </w:rPr>
        <w:t>Pemetrexed Teva 25 mg/ml solution à diluer pour perfusion</w:t>
      </w:r>
      <w:r w:rsidRPr="00267DDB">
        <w:rPr>
          <w:rFonts w:ascii="Times New Roman" w:eastAsia="Times New Roman" w:hAnsi="Times New Roman"/>
          <w:b/>
          <w:snapToGrid w:val="0"/>
          <w:szCs w:val="20"/>
        </w:rPr>
        <w:t xml:space="preserve">; </w:t>
      </w:r>
      <w:r w:rsidRPr="00267DDB">
        <w:rPr>
          <w:rFonts w:ascii="Times New Roman" w:eastAsia="Times New Roman" w:hAnsi="Times New Roman"/>
          <w:b/>
          <w:snapToGrid w:val="0"/>
          <w:szCs w:val="20"/>
        </w:rPr>
        <w:lastRenderedPageBreak/>
        <w:t xml:space="preserve">Kroatija: </w:t>
      </w:r>
      <w:r w:rsidRPr="009C5DAF">
        <w:rPr>
          <w:rFonts w:ascii="Times New Roman" w:eastAsia="Times New Roman" w:hAnsi="Times New Roman"/>
          <w:snapToGrid w:val="0"/>
        </w:rPr>
        <w:t>Pemetreksed Pliva 25 mg/ml koncentrat za otopinu za infuziju</w:t>
      </w:r>
      <w:r w:rsidRPr="00267DDB">
        <w:rPr>
          <w:rFonts w:ascii="Times New Roman" w:eastAsia="Times New Roman" w:hAnsi="Times New Roman"/>
          <w:snapToGrid w:val="0"/>
          <w:szCs w:val="20"/>
        </w:rPr>
        <w:t>;</w:t>
      </w:r>
      <w:r w:rsidRPr="00267DDB">
        <w:rPr>
          <w:rFonts w:ascii="Times New Roman" w:eastAsia="Times New Roman" w:hAnsi="Times New Roman"/>
          <w:b/>
          <w:snapToGrid w:val="0"/>
          <w:szCs w:val="20"/>
        </w:rPr>
        <w:t xml:space="preserve"> Vengrija:</w:t>
      </w:r>
      <w:r w:rsidRPr="00267DDB">
        <w:rPr>
          <w:rFonts w:ascii="Times New Roman" w:eastAsia="Times New Roman" w:hAnsi="Times New Roman"/>
          <w:snapToGrid w:val="0"/>
          <w:szCs w:val="20"/>
        </w:rPr>
        <w:t xml:space="preserve"> </w:t>
      </w:r>
      <w:r w:rsidRPr="009C5DAF">
        <w:rPr>
          <w:rFonts w:ascii="Times New Roman" w:eastAsia="Times New Roman" w:hAnsi="Times New Roman"/>
          <w:snapToGrid w:val="0"/>
        </w:rPr>
        <w:t xml:space="preserve">Pemetrexed Teva 25 mg/ml koncentrátum oldatos infúzióhoz; </w:t>
      </w:r>
      <w:r w:rsidRPr="009C5DAF">
        <w:rPr>
          <w:rFonts w:ascii="Times New Roman" w:eastAsia="Times New Roman" w:hAnsi="Times New Roman"/>
          <w:b/>
          <w:snapToGrid w:val="0"/>
        </w:rPr>
        <w:t>Airija:</w:t>
      </w:r>
      <w:r w:rsidRPr="009C5DAF">
        <w:rPr>
          <w:rFonts w:ascii="Times New Roman" w:eastAsia="Times New Roman" w:hAnsi="Times New Roman"/>
          <w:snapToGrid w:val="0"/>
        </w:rPr>
        <w:t xml:space="preserve"> Pemetrexed Teva 25 mg/ml Concentrate for Solution for Infusion; </w:t>
      </w:r>
      <w:r w:rsidRPr="009C5DAF">
        <w:rPr>
          <w:rFonts w:ascii="Times New Roman" w:eastAsia="Times New Roman" w:hAnsi="Times New Roman"/>
          <w:b/>
          <w:snapToGrid w:val="0"/>
        </w:rPr>
        <w:t>Islandija:</w:t>
      </w:r>
      <w:r w:rsidRPr="009C5DAF">
        <w:rPr>
          <w:rFonts w:ascii="Times New Roman" w:eastAsia="Times New Roman" w:hAnsi="Times New Roman"/>
          <w:snapToGrid w:val="0"/>
        </w:rPr>
        <w:t xml:space="preserve"> Pemetrexed Teva 25 mg/ml innrennslisþykkni, lausn; </w:t>
      </w:r>
      <w:r w:rsidRPr="009C5DAF">
        <w:rPr>
          <w:rFonts w:ascii="Times New Roman" w:eastAsia="Times New Roman" w:hAnsi="Times New Roman"/>
          <w:b/>
          <w:snapToGrid w:val="0"/>
        </w:rPr>
        <w:t>Latvija:</w:t>
      </w:r>
      <w:r w:rsidRPr="009C5DAF">
        <w:rPr>
          <w:rFonts w:ascii="Times New Roman" w:eastAsia="Times New Roman" w:hAnsi="Times New Roman"/>
          <w:snapToGrid w:val="0"/>
        </w:rPr>
        <w:t xml:space="preserve"> Pemetrexed Teva 25 mg/ml koncentrāts infūziju šķīduma pagatavošanai; </w:t>
      </w:r>
      <w:r w:rsidRPr="009C5DAF">
        <w:rPr>
          <w:rFonts w:ascii="Times New Roman" w:eastAsia="Times New Roman" w:hAnsi="Times New Roman"/>
          <w:b/>
          <w:snapToGrid w:val="0"/>
        </w:rPr>
        <w:t>Liuksemburgas:</w:t>
      </w:r>
      <w:r w:rsidRPr="009C5DAF">
        <w:rPr>
          <w:rFonts w:ascii="Times New Roman" w:eastAsia="Times New Roman" w:hAnsi="Times New Roman"/>
          <w:snapToGrid w:val="0"/>
        </w:rPr>
        <w:t xml:space="preserve"> Pemetrexed Teva 25 mg/ml solution a diluer pour perfusion; </w:t>
      </w:r>
      <w:r w:rsidRPr="009C5DAF">
        <w:rPr>
          <w:rFonts w:ascii="Times New Roman" w:eastAsia="Times New Roman" w:hAnsi="Times New Roman"/>
          <w:b/>
          <w:snapToGrid w:val="0"/>
        </w:rPr>
        <w:t>Malta:</w:t>
      </w:r>
      <w:r w:rsidRPr="009C5DAF">
        <w:rPr>
          <w:rFonts w:ascii="Times New Roman" w:eastAsia="Times New Roman" w:hAnsi="Times New Roman"/>
          <w:snapToGrid w:val="0"/>
        </w:rPr>
        <w:t xml:space="preserve"> Pemetrexed Teva 25 mg/ml Concentrate for Solution for Infusion; </w:t>
      </w:r>
      <w:r w:rsidRPr="009C5DAF">
        <w:rPr>
          <w:rFonts w:ascii="Times New Roman" w:eastAsia="Times New Roman" w:hAnsi="Times New Roman"/>
          <w:b/>
          <w:snapToGrid w:val="0"/>
        </w:rPr>
        <w:t>Nyderlandai:</w:t>
      </w:r>
      <w:r w:rsidRPr="009C5DAF">
        <w:rPr>
          <w:rFonts w:ascii="Times New Roman" w:eastAsia="Times New Roman" w:hAnsi="Times New Roman"/>
          <w:snapToGrid w:val="0"/>
        </w:rPr>
        <w:t xml:space="preserve"> Pemetrexed Teva 25 mg/ml, concentraat voor oplossing voor infusie; </w:t>
      </w:r>
      <w:r w:rsidRPr="009C5DAF">
        <w:rPr>
          <w:rFonts w:ascii="Times New Roman" w:eastAsia="Times New Roman" w:hAnsi="Times New Roman"/>
          <w:b/>
          <w:snapToGrid w:val="0"/>
        </w:rPr>
        <w:t>Portugal:</w:t>
      </w:r>
      <w:r w:rsidRPr="009C5DAF">
        <w:rPr>
          <w:rFonts w:ascii="Times New Roman" w:eastAsia="Times New Roman" w:hAnsi="Times New Roman"/>
          <w:snapToGrid w:val="0"/>
        </w:rPr>
        <w:t xml:space="preserve"> Pemetrexed Zidrium; </w:t>
      </w:r>
      <w:r w:rsidRPr="009C5DAF">
        <w:rPr>
          <w:rFonts w:ascii="Times New Roman" w:eastAsia="Times New Roman" w:hAnsi="Times New Roman"/>
          <w:b/>
          <w:snapToGrid w:val="0"/>
        </w:rPr>
        <w:t>Rumunija:</w:t>
      </w:r>
      <w:r w:rsidRPr="009C5DAF">
        <w:rPr>
          <w:rFonts w:ascii="Times New Roman" w:eastAsia="Times New Roman" w:hAnsi="Times New Roman"/>
          <w:snapToGrid w:val="0"/>
        </w:rPr>
        <w:t xml:space="preserve"> Pemetrexed Teva 25 mg/ml concentrat pentru soluţie perfuzabilă; </w:t>
      </w:r>
      <w:r w:rsidRPr="009C5DAF">
        <w:rPr>
          <w:rFonts w:ascii="Times New Roman" w:eastAsia="Times New Roman" w:hAnsi="Times New Roman"/>
          <w:b/>
          <w:snapToGrid w:val="0"/>
        </w:rPr>
        <w:t>Slovėnija:</w:t>
      </w:r>
      <w:r w:rsidRPr="009C5DAF">
        <w:rPr>
          <w:rFonts w:ascii="Times New Roman" w:eastAsia="Times New Roman" w:hAnsi="Times New Roman"/>
          <w:snapToGrid w:val="0"/>
        </w:rPr>
        <w:t xml:space="preserve"> Pemetreksed Teva 25 mg/ml koncentrat za raztopino za infundiranje; </w:t>
      </w:r>
      <w:r w:rsidRPr="009C5DAF">
        <w:rPr>
          <w:rFonts w:ascii="Times New Roman" w:eastAsia="Times New Roman" w:hAnsi="Times New Roman"/>
          <w:b/>
          <w:snapToGrid w:val="0"/>
        </w:rPr>
        <w:t>Slovakija:</w:t>
      </w:r>
      <w:r w:rsidRPr="009C5DAF">
        <w:rPr>
          <w:rFonts w:ascii="Times New Roman" w:eastAsia="Times New Roman" w:hAnsi="Times New Roman"/>
          <w:snapToGrid w:val="0"/>
        </w:rPr>
        <w:t xml:space="preserve"> Pemetrexed Teva 25 mg/ml infúzny koncentrát</w:t>
      </w:r>
      <w:r w:rsidRPr="00267DDB">
        <w:rPr>
          <w:rFonts w:ascii="Times New Roman" w:eastAsia="Times New Roman" w:hAnsi="Times New Roman"/>
          <w:snapToGrid w:val="0"/>
          <w:szCs w:val="20"/>
        </w:rPr>
        <w:t>.</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Šis pakuotės lapelis paskutinį kartą peržiūrėtas</w:t>
      </w:r>
      <w:r w:rsidR="00081291">
        <w:rPr>
          <w:rFonts w:ascii="Times New Roman" w:hAnsi="Times New Roman"/>
          <w:b/>
        </w:rPr>
        <w:t xml:space="preserve"> 2021-03-26</w:t>
      </w:r>
      <w:r w:rsidR="004D1CE9">
        <w:rPr>
          <w:rFonts w:ascii="Times New Roman" w:hAnsi="Times New Roman"/>
          <w:b/>
        </w:rPr>
        <w:t>.</w:t>
      </w:r>
    </w:p>
    <w:p w:rsidR="00267DDB" w:rsidRPr="00267DDB" w:rsidRDefault="00267DDB" w:rsidP="00267DDB">
      <w:pPr>
        <w:spacing w:after="0" w:line="240" w:lineRule="auto"/>
        <w:rPr>
          <w:rFonts w:ascii="Times New Roman" w:hAnsi="Times New Roman"/>
          <w:b/>
        </w:rPr>
      </w:pPr>
    </w:p>
    <w:p w:rsidR="00267DDB" w:rsidRPr="00267DDB" w:rsidRDefault="00267DDB" w:rsidP="00267DDB">
      <w:pPr>
        <w:spacing w:after="0" w:line="240" w:lineRule="auto"/>
        <w:rPr>
          <w:rFonts w:ascii="Times New Roman" w:hAnsi="Times New Roman"/>
          <w:b/>
        </w:rPr>
      </w:pPr>
    </w:p>
    <w:p w:rsidR="00267DDB" w:rsidRPr="00267DDB" w:rsidRDefault="00267DDB" w:rsidP="00267DDB">
      <w:pPr>
        <w:numPr>
          <w:ilvl w:val="12"/>
          <w:numId w:val="0"/>
        </w:numPr>
        <w:tabs>
          <w:tab w:val="left" w:pos="567"/>
        </w:tabs>
        <w:spacing w:after="0" w:line="240" w:lineRule="auto"/>
        <w:ind w:right="-2"/>
        <w:rPr>
          <w:rFonts w:ascii="Times New Roman" w:eastAsia="Times New Roman" w:hAnsi="Times New Roman"/>
          <w:snapToGrid w:val="0"/>
          <w:szCs w:val="24"/>
        </w:rPr>
      </w:pPr>
      <w:r w:rsidRPr="00267DDB">
        <w:rPr>
          <w:rFonts w:ascii="Times New Roman" w:eastAsia="Times New Roman" w:hAnsi="Times New Roman"/>
          <w:snapToGrid w:val="0"/>
          <w:szCs w:val="20"/>
        </w:rPr>
        <w:t xml:space="preserve">Išsami informacija apie šį </w:t>
      </w:r>
      <w:r w:rsidRPr="00267DDB">
        <w:rPr>
          <w:rFonts w:ascii="Times New Roman" w:eastAsia="Times New Roman" w:hAnsi="Times New Roman"/>
          <w:snapToGrid w:val="0"/>
          <w:szCs w:val="24"/>
        </w:rPr>
        <w:t>vaistą</w:t>
      </w:r>
      <w:r w:rsidRPr="00267DDB">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267DDB">
        <w:rPr>
          <w:rFonts w:ascii="Times New Roman" w:eastAsia="Times New Roman" w:hAnsi="Times New Roman"/>
          <w:i/>
          <w:snapToGrid w:val="0"/>
          <w:szCs w:val="24"/>
        </w:rPr>
        <w:t xml:space="preserve"> </w:t>
      </w:r>
      <w:hyperlink r:id="rId17" w:history="1">
        <w:r w:rsidRPr="00267DDB">
          <w:rPr>
            <w:rFonts w:ascii="Times New Roman" w:eastAsia="SimSun" w:hAnsi="Times New Roman"/>
            <w:snapToGrid w:val="0"/>
            <w:color w:val="0000FF"/>
            <w:szCs w:val="20"/>
            <w:u w:val="single"/>
          </w:rPr>
          <w:t>http://www.vvkt.lt/</w:t>
        </w:r>
      </w:hyperlink>
      <w:r w:rsidRPr="00267DDB">
        <w:rPr>
          <w:rFonts w:ascii="Times New Roman" w:eastAsia="Times New Roman" w:hAnsi="Times New Roman"/>
          <w:snapToGrid w:val="0"/>
          <w:szCs w:val="20"/>
        </w:rPr>
        <w:t>.</w:t>
      </w:r>
    </w:p>
    <w:p w:rsidR="00267DDB" w:rsidRPr="00267DDB" w:rsidRDefault="00267DDB" w:rsidP="00267DDB">
      <w:pPr>
        <w:spacing w:after="0" w:line="240" w:lineRule="auto"/>
        <w:rPr>
          <w:rFonts w:ascii="Times New Roman" w:hAnsi="Times New Roman"/>
          <w:b/>
        </w:rPr>
      </w:pPr>
      <w:r w:rsidRPr="00267DDB">
        <w:rPr>
          <w:rFonts w:ascii="Times New Roman" w:hAnsi="Times New Roman"/>
          <w:b/>
        </w:rPr>
        <w:t>---------------------------------------------------------------------------------------------------------------------------</w:t>
      </w:r>
    </w:p>
    <w:p w:rsidR="00267DDB" w:rsidRPr="00267DDB" w:rsidRDefault="00267DDB" w:rsidP="00267DDB">
      <w:pPr>
        <w:spacing w:after="0" w:line="240" w:lineRule="auto"/>
        <w:rPr>
          <w:rFonts w:ascii="Times New Roman" w:hAnsi="Times New Roman"/>
          <w:b/>
        </w:rPr>
      </w:pPr>
      <w:r w:rsidRPr="00267DDB">
        <w:rPr>
          <w:rFonts w:ascii="Times New Roman" w:hAnsi="Times New Roman"/>
          <w:b/>
        </w:rPr>
        <w:tab/>
      </w:r>
    </w:p>
    <w:p w:rsidR="00267DDB" w:rsidRPr="00267DDB" w:rsidRDefault="00267DDB" w:rsidP="00267DDB">
      <w:pPr>
        <w:spacing w:after="0" w:line="240" w:lineRule="auto"/>
        <w:rPr>
          <w:rFonts w:ascii="Times New Roman" w:hAnsi="Times New Roman"/>
        </w:rPr>
      </w:pPr>
      <w:r w:rsidRPr="00267DDB">
        <w:rPr>
          <w:rFonts w:ascii="Times New Roman" w:hAnsi="Times New Roman"/>
        </w:rPr>
        <w:t>Toliau pateikta informacija skirta tik sveikatos priežiūros specialistams:</w:t>
      </w:r>
    </w:p>
    <w:p w:rsidR="00267DDB" w:rsidRPr="00267DDB" w:rsidRDefault="00267DDB" w:rsidP="00267DDB">
      <w:pPr>
        <w:spacing w:after="0" w:line="240" w:lineRule="auto"/>
        <w:rPr>
          <w:rFonts w:ascii="Times New Roman" w:hAnsi="Times New Roman"/>
        </w:rPr>
      </w:pPr>
    </w:p>
    <w:p w:rsidR="00267DDB" w:rsidRPr="00267DDB" w:rsidRDefault="00267DDB" w:rsidP="00267DDB">
      <w:pPr>
        <w:spacing w:after="0" w:line="240" w:lineRule="auto"/>
        <w:rPr>
          <w:rFonts w:ascii="Times New Roman" w:hAnsi="Times New Roman"/>
          <w:b/>
        </w:rPr>
      </w:pPr>
      <w:r w:rsidRPr="00267DDB">
        <w:rPr>
          <w:rFonts w:ascii="Times New Roman" w:hAnsi="Times New Roman"/>
          <w:b/>
        </w:rPr>
        <w:t>Vartojimo, ruošimo ir atliekų tvarkymo instrukcijos</w:t>
      </w:r>
    </w:p>
    <w:p w:rsidR="00267DDB" w:rsidRPr="00267DDB" w:rsidRDefault="00267DDB" w:rsidP="00267DDB">
      <w:pPr>
        <w:spacing w:after="0" w:line="240" w:lineRule="auto"/>
        <w:rPr>
          <w:rFonts w:ascii="Times New Roman" w:hAnsi="Times New Roman"/>
          <w:b/>
        </w:rPr>
      </w:pPr>
    </w:p>
    <w:p w:rsidR="00267DDB" w:rsidRPr="00267DDB" w:rsidRDefault="00267DDB" w:rsidP="00267DDB">
      <w:pPr>
        <w:numPr>
          <w:ilvl w:val="0"/>
          <w:numId w:val="17"/>
        </w:numPr>
        <w:tabs>
          <w:tab w:val="left" w:pos="567"/>
        </w:tabs>
        <w:spacing w:after="0" w:line="240" w:lineRule="auto"/>
        <w:rPr>
          <w:rFonts w:ascii="Times New Roman" w:eastAsia="Times New Roman" w:hAnsi="Times New Roman"/>
          <w:snapToGrid w:val="0"/>
        </w:rPr>
      </w:pPr>
      <w:r w:rsidRPr="00267DDB">
        <w:rPr>
          <w:rFonts w:ascii="Times New Roman" w:eastAsia="Times New Roman" w:hAnsi="Times New Roman"/>
          <w:snapToGrid w:val="0"/>
        </w:rPr>
        <w:t>Aseptinėmis sąlygomis praskiesti pemetreksedą infuzijai į veną.</w:t>
      </w:r>
    </w:p>
    <w:p w:rsidR="00267DDB" w:rsidRPr="00267DDB" w:rsidRDefault="00267DDB" w:rsidP="00267DDB">
      <w:pPr>
        <w:spacing w:after="0" w:line="240" w:lineRule="auto"/>
        <w:rPr>
          <w:rFonts w:ascii="Times New Roman" w:eastAsia="Times New Roman" w:hAnsi="Times New Roman"/>
          <w:snapToGrid w:val="0"/>
        </w:rPr>
      </w:pPr>
    </w:p>
    <w:p w:rsidR="00267DDB" w:rsidRPr="00267DDB" w:rsidRDefault="00267DDB" w:rsidP="00267DDB">
      <w:pPr>
        <w:numPr>
          <w:ilvl w:val="0"/>
          <w:numId w:val="17"/>
        </w:numPr>
        <w:tabs>
          <w:tab w:val="left" w:pos="567"/>
        </w:tabs>
        <w:spacing w:after="0" w:line="240" w:lineRule="auto"/>
        <w:rPr>
          <w:rFonts w:ascii="Times New Roman" w:eastAsia="Times New Roman" w:hAnsi="Times New Roman"/>
          <w:snapToGrid w:val="0"/>
        </w:rPr>
      </w:pPr>
      <w:r w:rsidRPr="00267DDB">
        <w:rPr>
          <w:rFonts w:ascii="Times New Roman" w:eastAsia="Times New Roman" w:hAnsi="Times New Roman"/>
          <w:snapToGrid w:val="0"/>
        </w:rPr>
        <w:t xml:space="preserve">Apskaičiuoti, kokios dozės Pemetrexed Teva 25 mg/ml koncentrato infuziniam tirpalui ir kiek flakonų reikia. </w:t>
      </w:r>
    </w:p>
    <w:p w:rsidR="00267DDB" w:rsidRPr="009C5DAF" w:rsidRDefault="00267DDB" w:rsidP="00267DDB">
      <w:pPr>
        <w:tabs>
          <w:tab w:val="left" w:pos="567"/>
        </w:tabs>
        <w:spacing w:after="0" w:line="260" w:lineRule="exact"/>
        <w:ind w:left="1296"/>
        <w:rPr>
          <w:rFonts w:ascii="Times New Roman" w:eastAsia="Times New Roman" w:hAnsi="Times New Roman"/>
          <w:snapToGrid w:val="0"/>
        </w:rPr>
      </w:pPr>
    </w:p>
    <w:p w:rsidR="00267DDB" w:rsidRPr="00267DDB" w:rsidRDefault="00267DDB" w:rsidP="00267DDB">
      <w:pPr>
        <w:numPr>
          <w:ilvl w:val="0"/>
          <w:numId w:val="17"/>
        </w:numPr>
        <w:tabs>
          <w:tab w:val="left" w:pos="567"/>
        </w:tabs>
        <w:spacing w:after="0" w:line="240" w:lineRule="auto"/>
        <w:rPr>
          <w:rFonts w:ascii="Times New Roman" w:eastAsia="Times New Roman" w:hAnsi="Times New Roman"/>
          <w:snapToGrid w:val="0"/>
        </w:rPr>
      </w:pPr>
      <w:r w:rsidRPr="00131C11">
        <w:rPr>
          <w:rFonts w:ascii="Times New Roman" w:eastAsia="Times New Roman" w:hAnsi="Times New Roman"/>
          <w:snapToGrid w:val="0"/>
          <w:u w:val="single"/>
        </w:rPr>
        <w:t>Pemetrexed Teva reikia skiesti tik 5 %</w:t>
      </w:r>
      <w:r w:rsidRPr="00267DDB">
        <w:rPr>
          <w:rFonts w:ascii="Times New Roman" w:eastAsia="Times New Roman" w:hAnsi="Times New Roman"/>
          <w:snapToGrid w:val="0"/>
          <w:u w:val="single"/>
        </w:rPr>
        <w:t xml:space="preserve"> gliukozės tirpalu be konservantų</w:t>
      </w:r>
      <w:r w:rsidRPr="00131C11">
        <w:rPr>
          <w:rFonts w:ascii="Times New Roman" w:eastAsia="Times New Roman" w:hAnsi="Times New Roman"/>
          <w:snapToGrid w:val="0"/>
        </w:rPr>
        <w:t>. Reikiamas pemetreksedo koncentrato tūris turi būti praskiedžiamas iki 100 ml su 5 % gliukozės tirpalu ir suleistas į veną kaip intraveninė infuzija per 10 minučių.</w:t>
      </w:r>
    </w:p>
    <w:p w:rsidR="00267DDB" w:rsidRPr="00131C11" w:rsidRDefault="00267DDB" w:rsidP="00267DDB">
      <w:pPr>
        <w:spacing w:after="0" w:line="240" w:lineRule="auto"/>
        <w:rPr>
          <w:rFonts w:ascii="Times New Roman" w:eastAsia="Times New Roman" w:hAnsi="Times New Roman"/>
          <w:snapToGrid w:val="0"/>
        </w:rPr>
      </w:pPr>
    </w:p>
    <w:p w:rsidR="00267DDB" w:rsidRPr="00131C11" w:rsidRDefault="00267DDB" w:rsidP="00267DDB">
      <w:pPr>
        <w:numPr>
          <w:ilvl w:val="0"/>
          <w:numId w:val="17"/>
        </w:numPr>
        <w:tabs>
          <w:tab w:val="left" w:pos="567"/>
        </w:tabs>
        <w:spacing w:after="0" w:line="240" w:lineRule="auto"/>
        <w:rPr>
          <w:rFonts w:ascii="Times New Roman" w:eastAsia="Times New Roman" w:hAnsi="Times New Roman"/>
          <w:snapToGrid w:val="0"/>
        </w:rPr>
      </w:pPr>
      <w:r w:rsidRPr="00131C11">
        <w:rPr>
          <w:rFonts w:ascii="Times New Roman" w:eastAsia="Times New Roman" w:hAnsi="Times New Roman"/>
          <w:snapToGrid w:val="0"/>
        </w:rPr>
        <w:t>Pemetreksedo infuziniam tirpalui, paruoštam taip kaip nurodyta anksčiau, infuzuoti tinka poliolefinu padengtos infuzinės sistemos ir infuziniai maišeliai. Pemetreksedas nedera su skiedikliais, kurių sudėtyje yra kalcio, įskaitant Ringerio laktato injekcinį tirpalą ir Ringerio injekcinį tirpalą.</w:t>
      </w:r>
    </w:p>
    <w:p w:rsidR="00267DDB" w:rsidRPr="00131C11" w:rsidRDefault="00267DDB" w:rsidP="00267DDB">
      <w:pPr>
        <w:spacing w:after="0" w:line="240" w:lineRule="auto"/>
        <w:ind w:left="360"/>
        <w:rPr>
          <w:rFonts w:ascii="Times New Roman" w:eastAsia="Times New Roman" w:hAnsi="Times New Roman"/>
          <w:snapToGrid w:val="0"/>
        </w:rPr>
      </w:pPr>
    </w:p>
    <w:p w:rsidR="00267DDB" w:rsidRPr="00267DDB" w:rsidRDefault="00267DDB" w:rsidP="00267DDB">
      <w:pPr>
        <w:spacing w:after="0" w:line="240" w:lineRule="auto"/>
        <w:ind w:left="709"/>
        <w:rPr>
          <w:rFonts w:ascii="Times New Roman" w:eastAsia="Times New Roman" w:hAnsi="Times New Roman"/>
          <w:snapToGrid w:val="0"/>
          <w:u w:val="single"/>
          <w:lang w:val="en-GB"/>
        </w:rPr>
      </w:pPr>
      <w:r w:rsidRPr="00131C11">
        <w:rPr>
          <w:rFonts w:ascii="Times New Roman" w:eastAsia="Times New Roman" w:hAnsi="Times New Roman"/>
          <w:snapToGrid w:val="0"/>
          <w:u w:val="single"/>
        </w:rPr>
        <w:t xml:space="preserve">Pemetrexed Teva sudėtyje yra pagalbinės medžiagos trometamolio. </w:t>
      </w:r>
      <w:r w:rsidRPr="00267DDB">
        <w:rPr>
          <w:rFonts w:ascii="Times New Roman" w:eastAsia="Times New Roman" w:hAnsi="Times New Roman"/>
          <w:snapToGrid w:val="0"/>
          <w:u w:val="single"/>
          <w:lang w:val="en-GB"/>
        </w:rPr>
        <w:t>Trometamolis nedera su cisplatina, nes sukelia cisplatinos suirimą. Šio vaistinio preparato negalima maišyti su kitais vaistiniais preparatais. Pavartojus Pemetrexed Teva reikia praplauti intraveninę sistemą.</w:t>
      </w:r>
    </w:p>
    <w:p w:rsidR="00267DDB" w:rsidRPr="00267DDB" w:rsidRDefault="00267DDB" w:rsidP="00267DDB">
      <w:pPr>
        <w:tabs>
          <w:tab w:val="left" w:pos="567"/>
        </w:tabs>
        <w:spacing w:after="0" w:line="260" w:lineRule="exact"/>
        <w:rPr>
          <w:rFonts w:ascii="Times New Roman" w:eastAsia="Times New Roman" w:hAnsi="Times New Roman"/>
          <w:snapToGrid w:val="0"/>
          <w:lang w:val="en-GB"/>
        </w:rPr>
      </w:pPr>
    </w:p>
    <w:p w:rsidR="00267DDB" w:rsidRPr="00267DDB" w:rsidRDefault="00267DDB" w:rsidP="00267DDB">
      <w:pPr>
        <w:numPr>
          <w:ilvl w:val="0"/>
          <w:numId w:val="17"/>
        </w:numPr>
        <w:tabs>
          <w:tab w:val="left" w:pos="567"/>
        </w:tabs>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Parenterinius vaistinius preparatus, prieš vartojimą būtina apžiūrėti, ar juose nėra dalelių ir ar jų spalva nepakitusi. Nevartoti, jei yra dalelių.</w:t>
      </w:r>
    </w:p>
    <w:p w:rsidR="00267DDB" w:rsidRPr="00267DDB" w:rsidRDefault="00267DDB" w:rsidP="00267DDB">
      <w:pPr>
        <w:tabs>
          <w:tab w:val="left" w:pos="567"/>
        </w:tabs>
        <w:spacing w:after="0" w:line="260" w:lineRule="exact"/>
        <w:ind w:left="1296"/>
        <w:rPr>
          <w:rFonts w:ascii="Times New Roman" w:eastAsia="Times New Roman" w:hAnsi="Times New Roman"/>
          <w:snapToGrid w:val="0"/>
          <w:lang w:val="en-GB"/>
        </w:rPr>
      </w:pPr>
    </w:p>
    <w:p w:rsidR="00267DDB" w:rsidRPr="00267DDB" w:rsidRDefault="00267DDB" w:rsidP="00267DDB">
      <w:pPr>
        <w:numPr>
          <w:ilvl w:val="0"/>
          <w:numId w:val="17"/>
        </w:numPr>
        <w:tabs>
          <w:tab w:val="left" w:pos="567"/>
        </w:tabs>
        <w:spacing w:after="0" w:line="240" w:lineRule="auto"/>
        <w:rPr>
          <w:rFonts w:ascii="Times New Roman" w:eastAsia="Times New Roman" w:hAnsi="Times New Roman"/>
          <w:snapToGrid w:val="0"/>
          <w:lang w:val="en-GB"/>
        </w:rPr>
      </w:pPr>
      <w:r w:rsidRPr="00267DDB">
        <w:rPr>
          <w:rFonts w:ascii="Times New Roman" w:eastAsia="Times New Roman" w:hAnsi="Times New Roman"/>
          <w:snapToGrid w:val="0"/>
          <w:lang w:val="en-GB"/>
        </w:rPr>
        <w:t>Pemetreksedo tirpalai yra skirti tik vienkartiniam vartojimui. Nesuvartotą vaistinį preparatą ar atliekas reikia tvarkyti laikantis vietinių reikalavimų, skirtų citotoksiniams vaistiniams preparatams.</w:t>
      </w:r>
    </w:p>
    <w:p w:rsidR="00267DDB" w:rsidRPr="00267DDB" w:rsidRDefault="00267DDB" w:rsidP="00267DDB">
      <w:pPr>
        <w:spacing w:after="0" w:line="240" w:lineRule="auto"/>
        <w:rPr>
          <w:rFonts w:ascii="Times New Roman" w:eastAsia="Times New Roman" w:hAnsi="Times New Roman"/>
          <w:snapToGrid w:val="0"/>
          <w:lang w:val="en-GB"/>
        </w:rPr>
      </w:pPr>
    </w:p>
    <w:p w:rsidR="00267DDB" w:rsidRPr="00267DDB" w:rsidRDefault="00267DDB" w:rsidP="00267DDB">
      <w:pPr>
        <w:spacing w:after="0" w:line="240" w:lineRule="auto"/>
        <w:rPr>
          <w:rFonts w:ascii="Times New Roman" w:hAnsi="Times New Roman"/>
          <w:b/>
          <w:color w:val="000000"/>
          <w:lang w:val="en-US"/>
        </w:rPr>
      </w:pPr>
      <w:r w:rsidRPr="00267DDB">
        <w:rPr>
          <w:rFonts w:ascii="Times New Roman" w:hAnsi="Times New Roman"/>
          <w:b/>
          <w:color w:val="000000"/>
          <w:lang w:val="en-US"/>
        </w:rPr>
        <w:t>Atsargumo priemonės ruošiant ir infuzuojant tirpalą</w:t>
      </w:r>
    </w:p>
    <w:p w:rsidR="002175E5" w:rsidRPr="00081291" w:rsidRDefault="00267DDB" w:rsidP="00081291">
      <w:pPr>
        <w:spacing w:after="0" w:line="240" w:lineRule="auto"/>
        <w:rPr>
          <w:rFonts w:ascii="Times New Roman" w:hAnsi="Times New Roman"/>
          <w:b/>
        </w:rPr>
      </w:pPr>
      <w:r w:rsidRPr="00267DDB">
        <w:rPr>
          <w:rFonts w:ascii="Times New Roman" w:hAnsi="Times New Roman"/>
          <w:color w:val="000000"/>
          <w:lang w:val="en-US"/>
        </w:rPr>
        <w:t xml:space="preserve">Kaip ir kitus vaistinius preparatus nuo vėžio, galinčius sukelti toksinį poveikį, pemetreksedo infuzinį tirpalą reikia infuzuoti ir ruošti atsargiai. Rekomenduojama mūvėti pirštines. Jeigu pemetreksedo tirpalo patenka ant odos, </w:t>
      </w:r>
      <w:proofErr w:type="gramStart"/>
      <w:r w:rsidRPr="00267DDB">
        <w:rPr>
          <w:rFonts w:ascii="Times New Roman" w:hAnsi="Times New Roman"/>
          <w:color w:val="000000"/>
          <w:lang w:val="en-US"/>
        </w:rPr>
        <w:t>ją</w:t>
      </w:r>
      <w:proofErr w:type="gramEnd"/>
      <w:r w:rsidRPr="00267DDB">
        <w:rPr>
          <w:rFonts w:ascii="Times New Roman" w:hAnsi="Times New Roman"/>
          <w:color w:val="000000"/>
          <w:lang w:val="en-US"/>
        </w:rPr>
        <w:t xml:space="preserve"> reikia nedelsiant kruopščiai nuplauti vandeniu ir muilu. Jeigu pemetreksedo tirpalo patenka ant gleivinės, </w:t>
      </w:r>
      <w:proofErr w:type="gramStart"/>
      <w:r w:rsidRPr="00267DDB">
        <w:rPr>
          <w:rFonts w:ascii="Times New Roman" w:hAnsi="Times New Roman"/>
          <w:color w:val="000000"/>
          <w:lang w:val="en-US"/>
        </w:rPr>
        <w:t>ją</w:t>
      </w:r>
      <w:proofErr w:type="gramEnd"/>
      <w:r w:rsidRPr="00267DDB">
        <w:rPr>
          <w:rFonts w:ascii="Times New Roman" w:hAnsi="Times New Roman"/>
          <w:color w:val="000000"/>
          <w:lang w:val="en-US"/>
        </w:rPr>
        <w:t xml:space="preserve">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r w:rsidR="00571B8C">
        <w:rPr>
          <w:rFonts w:ascii="Times New Roman" w:hAnsi="Times New Roman"/>
          <w:color w:val="000000"/>
          <w:lang w:val="en-US"/>
        </w:rPr>
        <w:t xml:space="preserve">      </w:t>
      </w:r>
      <w:bookmarkStart w:id="8" w:name="_GoBack"/>
      <w:bookmarkEnd w:id="8"/>
    </w:p>
    <w:sectPr w:rsidR="002175E5" w:rsidRPr="00081291" w:rsidSect="00755E2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ADC" w:rsidRDefault="00D07ADC">
      <w:pPr>
        <w:spacing w:after="0" w:line="240" w:lineRule="auto"/>
      </w:pPr>
      <w:r>
        <w:separator/>
      </w:r>
    </w:p>
  </w:endnote>
  <w:endnote w:type="continuationSeparator" w:id="0">
    <w:p w:rsidR="00D07ADC" w:rsidRDefault="00D0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E27" w:rsidRDefault="00CB0409">
    <w:pPr>
      <w:pStyle w:val="Porat"/>
      <w:jc w:val="center"/>
    </w:pPr>
    <w:r>
      <w:fldChar w:fldCharType="begin"/>
    </w:r>
    <w:r>
      <w:instrText>PAGE   \* MERGEFORMAT</w:instrText>
    </w:r>
    <w:r>
      <w:fldChar w:fldCharType="separate"/>
    </w:r>
    <w:r w:rsidR="00571B8C" w:rsidRPr="00571B8C">
      <w:rPr>
        <w:noProof/>
        <w:lang w:val="lt-LT"/>
      </w:rPr>
      <w:t>40</w:t>
    </w:r>
    <w:r>
      <w:fldChar w:fldCharType="end"/>
    </w:r>
  </w:p>
  <w:p w:rsidR="00755E27" w:rsidRDefault="00755E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ADC" w:rsidRDefault="00D07ADC">
      <w:pPr>
        <w:spacing w:after="0" w:line="240" w:lineRule="auto"/>
      </w:pPr>
      <w:r>
        <w:separator/>
      </w:r>
    </w:p>
  </w:footnote>
  <w:footnote w:type="continuationSeparator" w:id="0">
    <w:p w:rsidR="00D07ADC" w:rsidRDefault="00D07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9008D"/>
    <w:multiLevelType w:val="hybridMultilevel"/>
    <w:tmpl w:val="7AE8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0EE1"/>
    <w:multiLevelType w:val="hybridMultilevel"/>
    <w:tmpl w:val="D706B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73A61"/>
    <w:multiLevelType w:val="hybridMultilevel"/>
    <w:tmpl w:val="DA0ED86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4D33A2F"/>
    <w:multiLevelType w:val="hybridMultilevel"/>
    <w:tmpl w:val="DAC66B72"/>
    <w:lvl w:ilvl="0" w:tplc="35489184">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38306E"/>
    <w:multiLevelType w:val="hybridMultilevel"/>
    <w:tmpl w:val="C51A2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44A8E"/>
    <w:multiLevelType w:val="hybridMultilevel"/>
    <w:tmpl w:val="EB6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26455"/>
    <w:multiLevelType w:val="hybridMultilevel"/>
    <w:tmpl w:val="2ADEE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31311F8"/>
    <w:multiLevelType w:val="hybridMultilevel"/>
    <w:tmpl w:val="2F52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D157F"/>
    <w:multiLevelType w:val="hybridMultilevel"/>
    <w:tmpl w:val="694E6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241C69"/>
    <w:multiLevelType w:val="hybridMultilevel"/>
    <w:tmpl w:val="D43C7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A53837"/>
    <w:multiLevelType w:val="hybridMultilevel"/>
    <w:tmpl w:val="9B8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6226E"/>
    <w:multiLevelType w:val="hybridMultilevel"/>
    <w:tmpl w:val="1C287D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22E80"/>
    <w:multiLevelType w:val="hybridMultilevel"/>
    <w:tmpl w:val="31B6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16"/>
  </w:num>
  <w:num w:numId="8">
    <w:abstractNumId w:val="13"/>
  </w:num>
  <w:num w:numId="9">
    <w:abstractNumId w:val="7"/>
  </w:num>
  <w:num w:numId="10">
    <w:abstractNumId w:val="1"/>
  </w:num>
  <w:num w:numId="11">
    <w:abstractNumId w:val="2"/>
  </w:num>
  <w:num w:numId="12">
    <w:abstractNumId w:val="3"/>
  </w:num>
  <w:num w:numId="13">
    <w:abstractNumId w:val="4"/>
  </w:num>
  <w:num w:numId="14">
    <w:abstractNumId w:val="8"/>
  </w:num>
  <w:num w:numId="15">
    <w:abstractNumId w:val="9"/>
  </w:num>
  <w:num w:numId="16">
    <w:abstractNumId w:val="11"/>
  </w:num>
  <w:num w:numId="17">
    <w:abstractNumId w:val="12"/>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68"/>
    <w:rsid w:val="0003495C"/>
    <w:rsid w:val="00081291"/>
    <w:rsid w:val="00094C9A"/>
    <w:rsid w:val="000C2A2D"/>
    <w:rsid w:val="000D4BFD"/>
    <w:rsid w:val="000F0C7A"/>
    <w:rsid w:val="00131C11"/>
    <w:rsid w:val="00144F95"/>
    <w:rsid w:val="001B4392"/>
    <w:rsid w:val="001C79D4"/>
    <w:rsid w:val="002060A7"/>
    <w:rsid w:val="002175E5"/>
    <w:rsid w:val="00267DDB"/>
    <w:rsid w:val="003D44F9"/>
    <w:rsid w:val="00417F20"/>
    <w:rsid w:val="00424CAD"/>
    <w:rsid w:val="00481ED9"/>
    <w:rsid w:val="004D1CE9"/>
    <w:rsid w:val="004F13ED"/>
    <w:rsid w:val="0052273C"/>
    <w:rsid w:val="0053587D"/>
    <w:rsid w:val="005632CB"/>
    <w:rsid w:val="00571B8C"/>
    <w:rsid w:val="005821C3"/>
    <w:rsid w:val="005907E0"/>
    <w:rsid w:val="005C23E9"/>
    <w:rsid w:val="00622B7A"/>
    <w:rsid w:val="00633917"/>
    <w:rsid w:val="00660E1E"/>
    <w:rsid w:val="006D2EA1"/>
    <w:rsid w:val="00715164"/>
    <w:rsid w:val="00746312"/>
    <w:rsid w:val="00755E27"/>
    <w:rsid w:val="007E38F6"/>
    <w:rsid w:val="00847340"/>
    <w:rsid w:val="00882C7A"/>
    <w:rsid w:val="008B309B"/>
    <w:rsid w:val="009017D1"/>
    <w:rsid w:val="00975484"/>
    <w:rsid w:val="00993321"/>
    <w:rsid w:val="009B7A3B"/>
    <w:rsid w:val="009C5DAF"/>
    <w:rsid w:val="009F1CBB"/>
    <w:rsid w:val="00A75709"/>
    <w:rsid w:val="00A80F7C"/>
    <w:rsid w:val="00A92168"/>
    <w:rsid w:val="00AF0246"/>
    <w:rsid w:val="00B16F02"/>
    <w:rsid w:val="00B474F0"/>
    <w:rsid w:val="00BF3B8D"/>
    <w:rsid w:val="00C02B51"/>
    <w:rsid w:val="00C41EF6"/>
    <w:rsid w:val="00C4295E"/>
    <w:rsid w:val="00C47138"/>
    <w:rsid w:val="00C73D10"/>
    <w:rsid w:val="00C74EE6"/>
    <w:rsid w:val="00CB0409"/>
    <w:rsid w:val="00CD0125"/>
    <w:rsid w:val="00CD36C6"/>
    <w:rsid w:val="00CD3F53"/>
    <w:rsid w:val="00D07ADC"/>
    <w:rsid w:val="00D67F73"/>
    <w:rsid w:val="00DF63FA"/>
    <w:rsid w:val="00E139AD"/>
    <w:rsid w:val="00E15AE3"/>
    <w:rsid w:val="00E209CA"/>
    <w:rsid w:val="00E22634"/>
    <w:rsid w:val="00ED31C9"/>
    <w:rsid w:val="00EF31D0"/>
    <w:rsid w:val="00F92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E8E52"/>
  <w15:chartTrackingRefBased/>
  <w15:docId w15:val="{7BF599AC-461B-4C1C-B28A-A30AD82F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267DDB"/>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267DDB"/>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267DDB"/>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267DDB"/>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267DDB"/>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267DDB"/>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267DDB"/>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267DDB"/>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267DDB"/>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67DDB"/>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267DD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267DDB"/>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267DDB"/>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267DDB"/>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267DDB"/>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267DDB"/>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267DDB"/>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267DDB"/>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267DDB"/>
  </w:style>
  <w:style w:type="paragraph" w:styleId="Porat">
    <w:name w:val="footer"/>
    <w:basedOn w:val="prastasis"/>
    <w:link w:val="PoratDiagrama"/>
    <w:uiPriority w:val="99"/>
    <w:rsid w:val="00267DDB"/>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267DDB"/>
    <w:rPr>
      <w:rFonts w:ascii="Times New Roman" w:eastAsia="Times New Roman" w:hAnsi="Times New Roman" w:cs="Times New Roman"/>
      <w:snapToGrid w:val="0"/>
      <w:sz w:val="20"/>
      <w:szCs w:val="20"/>
      <w:lang w:val="en-GB" w:eastAsia="x-none"/>
    </w:rPr>
  </w:style>
  <w:style w:type="character" w:customStyle="1" w:styleId="HeaderChar">
    <w:name w:val="Header Char"/>
    <w:rsid w:val="00267DDB"/>
    <w:rPr>
      <w:snapToGrid w:val="0"/>
      <w:sz w:val="22"/>
      <w:lang w:val="en-GB" w:eastAsia="en-US"/>
    </w:rPr>
  </w:style>
  <w:style w:type="character" w:styleId="Puslapionumeris">
    <w:name w:val="page number"/>
    <w:uiPriority w:val="99"/>
    <w:rsid w:val="00267DDB"/>
    <w:rPr>
      <w:rFonts w:cs="Times New Roman"/>
    </w:rPr>
  </w:style>
  <w:style w:type="character" w:styleId="Hipersaitas">
    <w:name w:val="Hyperlink"/>
    <w:uiPriority w:val="99"/>
    <w:rsid w:val="00267DDB"/>
    <w:rPr>
      <w:color w:val="0000FF"/>
      <w:u w:val="single"/>
    </w:rPr>
  </w:style>
  <w:style w:type="paragraph" w:customStyle="1" w:styleId="BodytextAgency">
    <w:name w:val="Body text (Agency)"/>
    <w:basedOn w:val="prastasis"/>
    <w:link w:val="BodytextAgencyChar"/>
    <w:uiPriority w:val="99"/>
    <w:rsid w:val="00267DDB"/>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267DDB"/>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267DDB"/>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267DDB"/>
    <w:rPr>
      <w:rFonts w:ascii="Courier New" w:hAnsi="Courier New"/>
      <w:color w:val="00FF00"/>
      <w:sz w:val="40"/>
    </w:rPr>
  </w:style>
  <w:style w:type="character" w:customStyle="1" w:styleId="tw4winTerm">
    <w:name w:val="tw4winTerm"/>
    <w:uiPriority w:val="99"/>
    <w:rsid w:val="00267DDB"/>
    <w:rPr>
      <w:color w:val="0000FF"/>
    </w:rPr>
  </w:style>
  <w:style w:type="character" w:customStyle="1" w:styleId="tw4winPopup">
    <w:name w:val="tw4winPopup"/>
    <w:uiPriority w:val="99"/>
    <w:rsid w:val="00267DDB"/>
    <w:rPr>
      <w:rFonts w:ascii="Courier New" w:hAnsi="Courier New"/>
      <w:noProof/>
      <w:color w:val="008000"/>
    </w:rPr>
  </w:style>
  <w:style w:type="character" w:customStyle="1" w:styleId="tw4winJump">
    <w:name w:val="tw4winJump"/>
    <w:uiPriority w:val="99"/>
    <w:rsid w:val="00267DDB"/>
    <w:rPr>
      <w:rFonts w:ascii="Courier New" w:hAnsi="Courier New"/>
      <w:noProof/>
      <w:color w:val="008080"/>
    </w:rPr>
  </w:style>
  <w:style w:type="character" w:customStyle="1" w:styleId="tw4winExternal">
    <w:name w:val="tw4winExternal"/>
    <w:uiPriority w:val="99"/>
    <w:rsid w:val="00267DDB"/>
    <w:rPr>
      <w:rFonts w:ascii="Courier New" w:hAnsi="Courier New"/>
      <w:noProof/>
      <w:color w:val="808080"/>
    </w:rPr>
  </w:style>
  <w:style w:type="character" w:customStyle="1" w:styleId="tw4winInternal">
    <w:name w:val="tw4winInternal"/>
    <w:uiPriority w:val="99"/>
    <w:rsid w:val="00267DDB"/>
    <w:rPr>
      <w:rFonts w:ascii="Courier New" w:hAnsi="Courier New"/>
      <w:noProof/>
      <w:color w:val="FF0000"/>
    </w:rPr>
  </w:style>
  <w:style w:type="character" w:customStyle="1" w:styleId="DONOTTRANSLATE">
    <w:name w:val="DO_NOT_TRANSLATE"/>
    <w:uiPriority w:val="99"/>
    <w:rsid w:val="00267DDB"/>
    <w:rPr>
      <w:rFonts w:ascii="Courier New" w:hAnsi="Courier New"/>
      <w:noProof/>
      <w:color w:val="800000"/>
    </w:rPr>
  </w:style>
  <w:style w:type="paragraph" w:styleId="Debesliotekstas">
    <w:name w:val="Balloon Text"/>
    <w:basedOn w:val="prastasis"/>
    <w:link w:val="DebesliotekstasDiagrama"/>
    <w:uiPriority w:val="99"/>
    <w:rsid w:val="00267DDB"/>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267DDB"/>
    <w:rPr>
      <w:rFonts w:ascii="Tahoma" w:eastAsia="Times New Roman" w:hAnsi="Tahoma" w:cs="Times New Roman"/>
      <w:snapToGrid w:val="0"/>
      <w:sz w:val="16"/>
      <w:szCs w:val="16"/>
      <w:lang w:val="en-GB" w:eastAsia="x-none"/>
    </w:rPr>
  </w:style>
  <w:style w:type="character" w:styleId="Komentaronuoroda">
    <w:name w:val="annotation reference"/>
    <w:uiPriority w:val="99"/>
    <w:rsid w:val="00267DDB"/>
    <w:rPr>
      <w:sz w:val="16"/>
      <w:szCs w:val="16"/>
    </w:rPr>
  </w:style>
  <w:style w:type="paragraph" w:styleId="Komentarotekstas">
    <w:name w:val="annotation text"/>
    <w:basedOn w:val="prastasis"/>
    <w:link w:val="KomentarotekstasDiagrama"/>
    <w:uiPriority w:val="99"/>
    <w:rsid w:val="00267DDB"/>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267DDB"/>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267DDB"/>
    <w:rPr>
      <w:b/>
      <w:bCs/>
    </w:rPr>
  </w:style>
  <w:style w:type="character" w:customStyle="1" w:styleId="KomentarotemaDiagrama">
    <w:name w:val="Komentaro tema Diagrama"/>
    <w:link w:val="Komentarotema"/>
    <w:uiPriority w:val="99"/>
    <w:rsid w:val="00267DDB"/>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267DDB"/>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267DDB"/>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267DDB"/>
    <w:rPr>
      <w:rFonts w:ascii="Courier New" w:hAnsi="Courier New"/>
      <w:vanish/>
      <w:color w:val="800080"/>
      <w:sz w:val="24"/>
      <w:vertAlign w:val="subscript"/>
    </w:rPr>
  </w:style>
  <w:style w:type="paragraph" w:styleId="Antrats">
    <w:name w:val="header"/>
    <w:basedOn w:val="prastasis"/>
    <w:link w:val="AntratsDiagrama"/>
    <w:uiPriority w:val="99"/>
    <w:rsid w:val="00267DDB"/>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267DDB"/>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267DDB"/>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267DD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67DDB"/>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267DDB"/>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267DDB"/>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267DD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267D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267DDB"/>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267DDB"/>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267DDB"/>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267D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267DDB"/>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267DD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67DDB"/>
    <w:pPr>
      <w:tabs>
        <w:tab w:val="clear" w:pos="720"/>
        <w:tab w:val="num" w:pos="360"/>
      </w:tabs>
      <w:ind w:left="709" w:hanging="425"/>
    </w:pPr>
    <w:rPr>
      <w:sz w:val="22"/>
    </w:rPr>
  </w:style>
  <w:style w:type="paragraph" w:customStyle="1" w:styleId="AHeader3">
    <w:name w:val="AHeader 3"/>
    <w:basedOn w:val="AHeader2"/>
    <w:uiPriority w:val="99"/>
    <w:rsid w:val="00267DDB"/>
    <w:pPr>
      <w:ind w:left="1276" w:hanging="567"/>
    </w:pPr>
  </w:style>
  <w:style w:type="paragraph" w:customStyle="1" w:styleId="AHeader2abc">
    <w:name w:val="AHeader 2 abc"/>
    <w:basedOn w:val="AHeader3"/>
    <w:uiPriority w:val="99"/>
    <w:rsid w:val="00267DDB"/>
    <w:pPr>
      <w:jc w:val="both"/>
    </w:pPr>
    <w:rPr>
      <w:b w:val="0"/>
      <w:bCs w:val="0"/>
    </w:rPr>
  </w:style>
  <w:style w:type="paragraph" w:customStyle="1" w:styleId="AHeader3abc">
    <w:name w:val="AHeader 3 abc"/>
    <w:basedOn w:val="AHeader2abc"/>
    <w:uiPriority w:val="99"/>
    <w:rsid w:val="00267DDB"/>
    <w:pPr>
      <w:ind w:left="1701" w:hanging="425"/>
    </w:pPr>
  </w:style>
  <w:style w:type="paragraph" w:styleId="Pagrindiniotekstotrauka3">
    <w:name w:val="Body Text Indent 3"/>
    <w:basedOn w:val="prastasis"/>
    <w:link w:val="Pagrindiniotekstotrauka3Diagrama"/>
    <w:uiPriority w:val="99"/>
    <w:rsid w:val="00267DDB"/>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267DDB"/>
    <w:rPr>
      <w:rFonts w:ascii="Times New Roman" w:eastAsia="SimSun" w:hAnsi="Times New Roman" w:cs="Times New Roman"/>
      <w:sz w:val="20"/>
      <w:szCs w:val="21"/>
      <w:lang w:val="en-GB" w:eastAsia="x-none"/>
    </w:rPr>
  </w:style>
  <w:style w:type="character" w:styleId="Perirtashipersaitas">
    <w:name w:val="FollowedHyperlink"/>
    <w:uiPriority w:val="99"/>
    <w:rsid w:val="00267DDB"/>
    <w:rPr>
      <w:rFonts w:cs="Times New Roman"/>
      <w:color w:val="800080"/>
      <w:u w:val="single"/>
    </w:rPr>
  </w:style>
  <w:style w:type="character" w:styleId="Grietas">
    <w:name w:val="Strong"/>
    <w:uiPriority w:val="99"/>
    <w:qFormat/>
    <w:rsid w:val="00267DDB"/>
    <w:rPr>
      <w:rFonts w:cs="Times New Roman"/>
      <w:b/>
      <w:bCs/>
    </w:rPr>
  </w:style>
  <w:style w:type="character" w:customStyle="1" w:styleId="BodytextAgencyChar">
    <w:name w:val="Body text (Agency) Char"/>
    <w:link w:val="BodytextAgency"/>
    <w:uiPriority w:val="99"/>
    <w:locked/>
    <w:rsid w:val="00267DD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67DDB"/>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67DDB"/>
    <w:pPr>
      <w:keepNext/>
    </w:pPr>
    <w:rPr>
      <w:rFonts w:eastAsia="SimSun" w:cs="Verdana"/>
      <w:b/>
      <w:snapToGrid/>
      <w:szCs w:val="18"/>
      <w:lang w:eastAsia="en-GB"/>
    </w:rPr>
  </w:style>
  <w:style w:type="character" w:customStyle="1" w:styleId="NormalAgencyChar">
    <w:name w:val="Normal (Agency) Char"/>
    <w:link w:val="NormalAgency"/>
    <w:uiPriority w:val="99"/>
    <w:locked/>
    <w:rsid w:val="00267DD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267DDB"/>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267DDB"/>
    <w:rPr>
      <w:rFonts w:ascii="Courier New" w:eastAsia="SimSun" w:hAnsi="Courier New" w:cs="Times New Roman"/>
      <w:sz w:val="20"/>
      <w:szCs w:val="20"/>
      <w:lang w:val="en-US" w:eastAsia="x-none"/>
    </w:rPr>
  </w:style>
  <w:style w:type="paragraph" w:customStyle="1" w:styleId="Default">
    <w:name w:val="Default"/>
    <w:rsid w:val="00267DDB"/>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267DDB"/>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267DDB"/>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267DDB"/>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267DDB"/>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267DDB"/>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267DDB"/>
    <w:rPr>
      <w:rFonts w:ascii="Times New Roman" w:eastAsia="SimSun" w:hAnsi="Times New Roman" w:cs="Times New Roman"/>
      <w:noProof/>
      <w:sz w:val="20"/>
      <w:szCs w:val="20"/>
      <w:lang w:val="x-none" w:eastAsia="x-none"/>
    </w:rPr>
  </w:style>
  <w:style w:type="character" w:customStyle="1" w:styleId="CharChar12">
    <w:name w:val="Char Char12"/>
    <w:locked/>
    <w:rsid w:val="00267DDB"/>
    <w:rPr>
      <w:snapToGrid w:val="0"/>
      <w:lang w:val="en-GB" w:eastAsia="en-US" w:bidi="ar-SA"/>
    </w:rPr>
  </w:style>
  <w:style w:type="paragraph" w:styleId="Betarp">
    <w:name w:val="No Spacing"/>
    <w:uiPriority w:val="1"/>
    <w:qFormat/>
    <w:rsid w:val="00267DDB"/>
    <w:rPr>
      <w:sz w:val="22"/>
      <w:szCs w:val="22"/>
      <w:lang w:val="en-US" w:eastAsia="en-US"/>
    </w:rPr>
  </w:style>
  <w:style w:type="paragraph" w:styleId="Sraopastraipa">
    <w:name w:val="List Paragraph"/>
    <w:basedOn w:val="prastasis"/>
    <w:uiPriority w:val="34"/>
    <w:qFormat/>
    <w:rsid w:val="00267DDB"/>
    <w:pPr>
      <w:tabs>
        <w:tab w:val="left" w:pos="567"/>
      </w:tabs>
      <w:spacing w:after="0" w:line="260" w:lineRule="exact"/>
      <w:ind w:left="1296"/>
    </w:pPr>
    <w:rPr>
      <w:rFonts w:ascii="Times New Roman" w:eastAsia="Times New Roman" w:hAnsi="Times New Roman"/>
      <w:snapToGrid w:val="0"/>
      <w:szCs w:val="20"/>
      <w:lang w:val="en-GB"/>
    </w:rPr>
  </w:style>
  <w:style w:type="paragraph" w:customStyle="1" w:styleId="Normal11pt">
    <w:name w:val="Normal + 11 pt"/>
    <w:aliases w:val="Bold"/>
    <w:basedOn w:val="prastasis"/>
    <w:rsid w:val="005C23E9"/>
    <w:pPr>
      <w:keepNext/>
      <w:keepLines/>
      <w:spacing w:after="0" w:line="240" w:lineRule="auto"/>
    </w:pPr>
    <w:rPr>
      <w:rFonts w:ascii="Times New Roman" w:eastAsia="Times New Roman" w:hAnsi="Times New Roman"/>
      <w:szCs w:val="24"/>
      <w:lang w:val="en-GB"/>
    </w:rPr>
  </w:style>
  <w:style w:type="paragraph" w:customStyle="1" w:styleId="mdTblEntry">
    <w:name w:val="md_Tbl Entry"/>
    <w:basedOn w:val="prastasis"/>
    <w:rsid w:val="005C23E9"/>
    <w:pPr>
      <w:keepNext/>
      <w:keepLines/>
      <w:overflowPunct w:val="0"/>
      <w:autoSpaceDE w:val="0"/>
      <w:autoSpaceDN w:val="0"/>
      <w:adjustRightInd w:val="0"/>
      <w:spacing w:after="0" w:line="259" w:lineRule="atLeast"/>
      <w:textAlignment w:val="baseline"/>
    </w:pPr>
    <w:rPr>
      <w:rFonts w:ascii="Times New Roman" w:eastAsia="Malgun Gothic" w:hAnsi="Times New Roman"/>
      <w:sz w:val="20"/>
      <w:szCs w:val="20"/>
      <w:lang w:val="en-US"/>
    </w:rPr>
  </w:style>
  <w:style w:type="paragraph" w:customStyle="1" w:styleId="xnormal11pt">
    <w:name w:val="x_normal11pt"/>
    <w:basedOn w:val="prastasis"/>
    <w:rsid w:val="005C23E9"/>
    <w:pPr>
      <w:keepNext/>
      <w:spacing w:after="0" w:line="240" w:lineRule="auto"/>
    </w:pPr>
    <w:rPr>
      <w:rFonts w:ascii="Times New Roman" w:hAnsi="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3.jpe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50516</Words>
  <Characters>28795</Characters>
  <Application>Microsoft Office Word</Application>
  <DocSecurity>0</DocSecurity>
  <Lines>239</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79153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3</cp:revision>
  <dcterms:created xsi:type="dcterms:W3CDTF">2021-05-20T05:26:00Z</dcterms:created>
  <dcterms:modified xsi:type="dcterms:W3CDTF">2021-05-20T05:27:00Z</dcterms:modified>
</cp:coreProperties>
</file>