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de-DE"/>
        </w:rPr>
      </w:pPr>
      <w:bookmarkStart w:id="0" w:name="_Toc129243135"/>
      <w:bookmarkStart w:id="1" w:name="_Toc129243260"/>
      <w:r w:rsidRPr="00B52AAA">
        <w:rPr>
          <w:rFonts w:ascii="Times New Roman" w:eastAsia="Calibri" w:hAnsi="Times New Roman" w:cs="Times New Roman"/>
          <w:b/>
          <w:caps/>
          <w:sz w:val="24"/>
          <w:szCs w:val="24"/>
          <w:lang w:val="de-DE"/>
        </w:rPr>
        <w:t>ŽENKLINIMAS IR PAKUOTĖS LAPELIS</w:t>
      </w:r>
      <w:bookmarkEnd w:id="0"/>
      <w:bookmarkEnd w:id="1"/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52AAA">
        <w:rPr>
          <w:rFonts w:ascii="Times New Roman" w:eastAsia="Calibri" w:hAnsi="Times New Roman" w:cs="Times New Roman"/>
          <w:noProof/>
          <w:sz w:val="24"/>
          <w:szCs w:val="24"/>
          <w:lang w:val="de-DE" w:eastAsia="lt-LT"/>
        </w:rPr>
        <w:br w:type="page"/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de-DE"/>
        </w:rPr>
      </w:pPr>
      <w:bookmarkStart w:id="2" w:name="_Toc129243136"/>
      <w:bookmarkStart w:id="3" w:name="_Toc129243261"/>
      <w:r w:rsidRPr="00B52AAA">
        <w:rPr>
          <w:rFonts w:ascii="Times New Roman" w:eastAsia="Calibri" w:hAnsi="Times New Roman" w:cs="Times New Roman"/>
          <w:b/>
          <w:caps/>
          <w:sz w:val="24"/>
          <w:szCs w:val="24"/>
          <w:lang w:val="de-DE"/>
        </w:rPr>
        <w:t>A. ŽENKLINIMAS</w:t>
      </w:r>
      <w:bookmarkEnd w:id="2"/>
      <w:bookmarkEnd w:id="3"/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Informacija ant 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IŠORINĖS 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pakuotės </w:t>
      </w: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B52AAA">
        <w:rPr>
          <w:rFonts w:ascii="Times New Roman" w:eastAsia="MS Mincho" w:hAnsi="Times New Roman" w:cs="Times New Roman"/>
          <w:b/>
          <w:sz w:val="24"/>
          <w:szCs w:val="24"/>
        </w:rPr>
        <w:t>KARTONINĖ DĖŽUTĖ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1.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vaistinio preparato pavadinimas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20 mg/g tepalas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fuzidatas</w:t>
      </w:r>
      <w:proofErr w:type="spellEnd"/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52AAA">
        <w:rPr>
          <w:rFonts w:ascii="Times New Roman" w:eastAsia="Times New Roman" w:hAnsi="Times New Roman" w:cs="Times New Roman"/>
          <w:b/>
          <w:noProof/>
          <w:sz w:val="24"/>
          <w:szCs w:val="24"/>
        </w:rPr>
        <w:t>2.</w:t>
      </w:r>
      <w:r w:rsidRPr="00B52AAA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VEIKLIOJI (-IOS) MEDŽIAGA (-OS) IR JOS (-Ų) KIEKIS (-IAI)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1 g tepalo yra 20 mg 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3.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pagalbinių medžiagų sąrašas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Pagalbinės medžiagos: 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vilnų riebalai,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cetilo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alkoholis,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butilhidroksitoluenas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>(E321)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, visų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racematų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alfa-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tokoferolis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>, skystasis parafinas ir minkštasis baltas parafinas.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4.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FARMACINĖ forma ir KIEKIS PAKUOTĖJE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  <w:highlight w:val="lightGray"/>
        </w:rPr>
        <w:t>tepalas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15 g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sz w:val="24"/>
          <w:szCs w:val="24"/>
        </w:rPr>
      </w:pPr>
      <w:r w:rsidRPr="00B52AAA">
        <w:rPr>
          <w:rFonts w:ascii="Times New Roman" w:eastAsia="MS Mincho" w:hAnsi="Times New Roman" w:cs="Times New Roman"/>
          <w:b/>
          <w:sz w:val="24"/>
          <w:szCs w:val="24"/>
        </w:rPr>
        <w:t>5.</w:t>
      </w:r>
      <w:r w:rsidRPr="00B52AAA">
        <w:rPr>
          <w:rFonts w:ascii="Times New Roman" w:eastAsia="MS Mincho" w:hAnsi="Times New Roman" w:cs="Times New Roman"/>
          <w:b/>
          <w:sz w:val="24"/>
          <w:szCs w:val="24"/>
        </w:rPr>
        <w:tab/>
        <w:t>VARTOJIMO METODAS IR BŪDAS (-AI)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Vartoti ant odos.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Prieš vartojimą perskaitykite pakuotės lapelį.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6.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SPECIALUS Įspėjimas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, KAD VAISTINĮ PREPARATĄ BŪTINA LAIKYTI 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vaikams NEPASTEBIMOJE IR nepasiekiamoje  vietoje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Laikyti vaikams  nepastebimoje ir nepasiekiamoje vietoje.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highlight w:val="lightGray"/>
        </w:rPr>
      </w:pPr>
      <w:r w:rsidRPr="00B52AAA">
        <w:rPr>
          <w:rFonts w:ascii="Times New Roman" w:eastAsia="Times New Roman" w:hAnsi="Times New Roman" w:cs="Times New Roman"/>
          <w:b/>
          <w:noProof/>
          <w:sz w:val="24"/>
          <w:szCs w:val="24"/>
        </w:rPr>
        <w:t>7.</w:t>
      </w:r>
      <w:r w:rsidRPr="00B52AAA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KITAS (-I) SPECIALUS (-ŪS) ĮSPĖJIMAS (-AI) (JEI REIKIA)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8.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tinkamumo laikas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lastRenderedPageBreak/>
        <w:t>Tinka iki: mm MMMM</w:t>
      </w:r>
    </w:p>
    <w:p w:rsidR="00490324" w:rsidRPr="00B52AAA" w:rsidRDefault="00490324" w:rsidP="004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9.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SPECIALIOS laikymo sąlygos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6111" w:rsidRPr="00B52AAA" w:rsidRDefault="00116111" w:rsidP="00116111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sz w:val="24"/>
          <w:szCs w:val="24"/>
        </w:rPr>
        <w:t>Laikyti ne aukštesnėje kaip 25 </w:t>
      </w:r>
      <w:r w:rsidRPr="00B52AAA">
        <w:rPr>
          <w:rFonts w:ascii="Times New Roman" w:hAnsi="Times New Roman" w:cs="Times New Roman"/>
          <w:sz w:val="24"/>
          <w:szCs w:val="24"/>
        </w:rPr>
        <w:sym w:font="Symbol" w:char="00B0"/>
      </w:r>
      <w:r w:rsidRPr="00B52AAA">
        <w:rPr>
          <w:rFonts w:ascii="Times New Roman" w:hAnsi="Times New Roman" w:cs="Times New Roman"/>
          <w:sz w:val="24"/>
          <w:szCs w:val="24"/>
        </w:rPr>
        <w:t>C temperatūroje.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10.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specialios atsargumo priemonės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DĖL NESUVARTOTO VAISTINIO PREPARATO AR JO ATLIEKŲ TVARKYMO 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(jei reikia)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</w:t>
      </w:r>
      <w:r w:rsidRPr="00B52A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 xml:space="preserve">LYGIAGRETUS IMPORTUOTOJAS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Lygiagretus importuotojas UAB „Tojaris projektai“.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0324" w:rsidRPr="00B52AAA" w:rsidRDefault="00490324" w:rsidP="004903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</w:t>
      </w:r>
      <w:r w:rsidRPr="00B52A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>LYGIAGRETAUS IMPORTO LEIDIMO NUMERIS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Lyg.imp.Nr</w:t>
      </w:r>
      <w:proofErr w:type="spellEnd"/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.: LT/L/</w:t>
      </w:r>
      <w:r w:rsidR="00F36E81">
        <w:rPr>
          <w:rFonts w:ascii="Times New Roman" w:eastAsia="Times New Roman" w:hAnsi="Times New Roman" w:cs="Times New Roman"/>
          <w:sz w:val="24"/>
          <w:szCs w:val="24"/>
          <w:lang w:eastAsia="lt-LT"/>
        </w:rPr>
        <w:t>16/0367/001</w:t>
      </w:r>
    </w:p>
    <w:p w:rsidR="00490324" w:rsidRPr="00B52AAA" w:rsidRDefault="00490324" w:rsidP="0049032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13.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serijos numeris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Serija: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14.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PARDAVIMO (IŠDAVIMO) tvarka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Receptinis vaistinis preparatas.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15.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vartojimo instrukcijA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16.</w:t>
      </w: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ab/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>INFORMACIJA BRAILIO RAŠTU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tepalas</w:t>
      </w:r>
    </w:p>
    <w:p w:rsidR="00490324" w:rsidRPr="00B52AAA" w:rsidRDefault="00490324" w:rsidP="00490324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  <w:r w:rsidRPr="00B52AAA">
        <w:rPr>
          <w:rFonts w:ascii="Times New Roman" w:eastAsia="MS Mincho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  <w:bookmarkStart w:id="4" w:name="_GoBack"/>
      <w:bookmarkEnd w:id="4"/>
    </w:p>
    <w:p w:rsidR="00C56ADA" w:rsidRPr="00B52AAA" w:rsidRDefault="00490324" w:rsidP="00C56A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hAnsi="Times New Roman" w:cs="Times New Roman"/>
          <w:sz w:val="24"/>
          <w:szCs w:val="24"/>
          <w:lang w:val="en-US"/>
        </w:rPr>
        <w:t>Gamintojas</w:t>
      </w:r>
      <w:proofErr w:type="spellEnd"/>
      <w:r w:rsidRPr="00B52AA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56ADA" w:rsidRPr="00B52AAA">
        <w:rPr>
          <w:rFonts w:ascii="Times New Roman" w:hAnsi="Times New Roman" w:cs="Times New Roman"/>
          <w:sz w:val="24"/>
          <w:szCs w:val="24"/>
        </w:rPr>
        <w:t xml:space="preserve">LEO </w:t>
      </w:r>
      <w:proofErr w:type="spellStart"/>
      <w:r w:rsidR="00C56ADA" w:rsidRPr="00B52AAA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="00C56ADA" w:rsidRPr="00B52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ADA" w:rsidRPr="00B52AAA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C56ADA" w:rsidRPr="00B52AAA">
        <w:rPr>
          <w:rFonts w:ascii="Times New Roman" w:hAnsi="Times New Roman" w:cs="Times New Roman"/>
          <w:sz w:val="24"/>
          <w:szCs w:val="24"/>
        </w:rPr>
        <w:t>, Airija.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Perpakavo BĮ UAB „</w:t>
      </w:r>
      <w:proofErr w:type="spellStart"/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Norfachema</w:t>
      </w:r>
      <w:proofErr w:type="spellEnd"/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Perpakavo UAB „</w:t>
      </w:r>
      <w:proofErr w:type="spellStart"/>
      <w:r w:rsidRPr="00B52AAA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Entafarma</w:t>
      </w:r>
      <w:proofErr w:type="spellEnd"/>
      <w:r w:rsidRPr="00B52AAA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“.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Perpak.serija</w:t>
      </w:r>
      <w:proofErr w:type="spellEnd"/>
      <w:r w:rsidRPr="00B52AA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490324" w:rsidRPr="00B52AAA" w:rsidRDefault="00490324" w:rsidP="0049032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B52AAA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ab/>
      </w:r>
    </w:p>
    <w:p w:rsidR="00CE115E" w:rsidRPr="00B52AAA" w:rsidRDefault="00CE115E" w:rsidP="00CE115E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B52AAA">
        <w:rPr>
          <w:rFonts w:ascii="Times New Roman" w:eastAsia="MS Mincho" w:hAnsi="Times New Roman" w:cs="Times New Roman"/>
          <w:i/>
          <w:sz w:val="24"/>
          <w:szCs w:val="24"/>
        </w:rPr>
        <w:t xml:space="preserve">Lygiagrečiai importuojamas vaistinis preparatas skiriasi nuo referencinio vaistinio laikymo sąlygomis ir tinkamumo laiku. Lygiagrečiai importuojamo vaistinio preparato laikymo sąlygos: </w:t>
      </w:r>
      <w:r w:rsidRPr="00B52AAA">
        <w:rPr>
          <w:rFonts w:ascii="Times New Roman" w:hAnsi="Times New Roman" w:cs="Times New Roman"/>
          <w:i/>
          <w:sz w:val="24"/>
          <w:szCs w:val="24"/>
        </w:rPr>
        <w:t>laikyti ne aukštesnėje kaip 25 </w:t>
      </w:r>
      <w:r w:rsidRPr="00B52AAA">
        <w:rPr>
          <w:rFonts w:ascii="Times New Roman" w:hAnsi="Times New Roman" w:cs="Times New Roman"/>
          <w:i/>
          <w:sz w:val="24"/>
          <w:szCs w:val="24"/>
        </w:rPr>
        <w:sym w:font="Symbol" w:char="00B0"/>
      </w:r>
      <w:r w:rsidRPr="00B52AAA">
        <w:rPr>
          <w:rFonts w:ascii="Times New Roman" w:hAnsi="Times New Roman" w:cs="Times New Roman"/>
          <w:i/>
          <w:sz w:val="24"/>
          <w:szCs w:val="24"/>
        </w:rPr>
        <w:t xml:space="preserve">C temperatūroje, referencinio -  </w:t>
      </w:r>
      <w:r w:rsidRPr="00B52AAA">
        <w:rPr>
          <w:rFonts w:ascii="Times New Roman" w:eastAsia="Calibri" w:hAnsi="Times New Roman" w:cs="Times New Roman"/>
          <w:i/>
          <w:sz w:val="24"/>
          <w:szCs w:val="24"/>
        </w:rPr>
        <w:t xml:space="preserve">šiam vaistiniam preparatui specialių laikymo sąlygų nereikia. </w:t>
      </w:r>
    </w:p>
    <w:p w:rsidR="00490324" w:rsidRPr="00B52AAA" w:rsidRDefault="00CE115E" w:rsidP="00CE11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MS Mincho" w:hAnsi="Times New Roman" w:cs="Times New Roman"/>
          <w:i/>
          <w:sz w:val="24"/>
          <w:szCs w:val="24"/>
        </w:rPr>
        <w:t>Lygiagrečiai importuojamo tinkamumo laikas po tūbelės atidarymo nėra nurodytas, referencinio-28 dienos</w:t>
      </w:r>
      <w:r w:rsidR="00B52AAA"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="00490324" w:rsidRPr="00B52AAA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5" w:name="_Toc129243137"/>
      <w:bookmarkStart w:id="6" w:name="_Toc129243262"/>
    </w:p>
    <w:p w:rsidR="00490324" w:rsidRPr="00B52AAA" w:rsidRDefault="00490324" w:rsidP="0049032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caps/>
          <w:sz w:val="24"/>
          <w:szCs w:val="24"/>
        </w:rPr>
        <w:t>B. pakuotės LAPELIS</w:t>
      </w:r>
      <w:bookmarkEnd w:id="5"/>
      <w:bookmarkEnd w:id="6"/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2AA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B52AA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Pakuotės lapelis: informacija vartotojui</w:t>
      </w: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20 mg/g tepalas</w:t>
      </w:r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fuzidatas</w:t>
      </w:r>
      <w:proofErr w:type="spellEnd"/>
    </w:p>
    <w:p w:rsidR="00490324" w:rsidRPr="00B52AAA" w:rsidRDefault="00490324" w:rsidP="004903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bCs/>
          <w:sz w:val="24"/>
          <w:szCs w:val="24"/>
        </w:rPr>
        <w:t>Atidžiai perskaitykite visą šį lapelį, prieš pradėdami vartoti vaistą, nes jame pateikiama Jums svarbi informacija.</w:t>
      </w:r>
    </w:p>
    <w:p w:rsidR="00490324" w:rsidRPr="00B52AAA" w:rsidRDefault="00490324" w:rsidP="0049032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Neišmeskite šio lapelio, nes vėl gali prireikti jį perskaityti.</w:t>
      </w:r>
    </w:p>
    <w:p w:rsidR="00490324" w:rsidRPr="00B52AAA" w:rsidRDefault="00490324" w:rsidP="0049032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Jeigu kiltų daugiau klausimų, kreipkitės į gydytoją arba vaistininką.</w:t>
      </w:r>
    </w:p>
    <w:p w:rsidR="00490324" w:rsidRPr="00B52AAA" w:rsidRDefault="00490324" w:rsidP="0049032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Šis vaistas skirtas tik Jums, todėl kitiems žmonėms jo duoti negalima. Vaistas gali jiems pakenkti (net  tiems, kurių ligos požymiai yra tokie patys kaip Jūsų).</w:t>
      </w:r>
    </w:p>
    <w:p w:rsidR="00490324" w:rsidRPr="00B52AAA" w:rsidRDefault="00490324" w:rsidP="0049032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Jeigu pasireiškė šalutinis poveikis (net jeigu jis šiame lapelyje nenurodytas), kreipkitės į gydytoją arba vaistininką. Žr. 4 skyrių.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Apie ką rašoma šiame lapelyje ?</w:t>
      </w:r>
    </w:p>
    <w:p w:rsidR="00490324" w:rsidRPr="00B52AAA" w:rsidRDefault="00490324" w:rsidP="00D53002">
      <w:pPr>
        <w:numPr>
          <w:ilvl w:val="0"/>
          <w:numId w:val="2"/>
        </w:numPr>
        <w:tabs>
          <w:tab w:val="clear" w:pos="1080"/>
          <w:tab w:val="num" w:pos="567"/>
          <w:tab w:val="left" w:pos="709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Kas yra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ir kam jis vartojamas</w:t>
      </w:r>
    </w:p>
    <w:p w:rsidR="00490324" w:rsidRPr="00B52AAA" w:rsidRDefault="00490324" w:rsidP="00D53002">
      <w:pPr>
        <w:numPr>
          <w:ilvl w:val="0"/>
          <w:numId w:val="2"/>
        </w:numPr>
        <w:tabs>
          <w:tab w:val="clear" w:pos="1080"/>
          <w:tab w:val="num" w:pos="567"/>
          <w:tab w:val="left" w:pos="709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Kas žinotina prieš vartojant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0324" w:rsidRPr="00B52AAA" w:rsidRDefault="00490324" w:rsidP="00D53002">
      <w:pPr>
        <w:numPr>
          <w:ilvl w:val="0"/>
          <w:numId w:val="2"/>
        </w:numPr>
        <w:tabs>
          <w:tab w:val="clear" w:pos="1080"/>
          <w:tab w:val="num" w:pos="567"/>
          <w:tab w:val="left" w:pos="709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Kaip vartoti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</w:p>
    <w:p w:rsidR="00490324" w:rsidRPr="00B52AAA" w:rsidRDefault="00490324" w:rsidP="00D53002">
      <w:pPr>
        <w:numPr>
          <w:ilvl w:val="0"/>
          <w:numId w:val="2"/>
        </w:numPr>
        <w:tabs>
          <w:tab w:val="clear" w:pos="1080"/>
          <w:tab w:val="num" w:pos="567"/>
          <w:tab w:val="left" w:pos="709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Galimas šalutinis poveikis</w:t>
      </w:r>
    </w:p>
    <w:p w:rsidR="00490324" w:rsidRPr="00B52AAA" w:rsidRDefault="00490324" w:rsidP="00D53002">
      <w:pPr>
        <w:numPr>
          <w:ilvl w:val="0"/>
          <w:numId w:val="2"/>
        </w:numPr>
        <w:tabs>
          <w:tab w:val="clear" w:pos="1080"/>
          <w:tab w:val="num" w:pos="567"/>
          <w:tab w:val="left" w:pos="709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Kaip laikyti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0324" w:rsidRPr="00B52AAA" w:rsidRDefault="00490324" w:rsidP="00D53002">
      <w:pPr>
        <w:numPr>
          <w:ilvl w:val="0"/>
          <w:numId w:val="2"/>
        </w:numPr>
        <w:tabs>
          <w:tab w:val="clear" w:pos="1080"/>
          <w:tab w:val="num" w:pos="567"/>
          <w:tab w:val="left" w:pos="709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Pakuotės turinys ir kita informacija</w:t>
      </w:r>
    </w:p>
    <w:p w:rsidR="00490324" w:rsidRPr="00B52AAA" w:rsidRDefault="00490324" w:rsidP="00490324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0324" w:rsidRPr="00B52AAA" w:rsidRDefault="00490324" w:rsidP="00D53002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  <w:lang w:val="sv-SE"/>
        </w:rPr>
        <w:t>1.</w:t>
      </w:r>
      <w:r w:rsidRPr="00B52AAA">
        <w:rPr>
          <w:rFonts w:ascii="Times New Roman" w:eastAsia="Calibri" w:hAnsi="Times New Roman" w:cs="Times New Roman"/>
          <w:b/>
          <w:sz w:val="24"/>
          <w:szCs w:val="24"/>
          <w:lang w:val="sv-SE"/>
        </w:rPr>
        <w:tab/>
      </w:r>
      <w:r w:rsidRPr="00B52AAA">
        <w:rPr>
          <w:rFonts w:ascii="Times New Roman" w:hAnsi="Times New Roman" w:cs="Times New Roman"/>
          <w:b/>
          <w:sz w:val="24"/>
          <w:szCs w:val="24"/>
        </w:rPr>
        <w:t xml:space="preserve">Kas yra </w:t>
      </w:r>
      <w:proofErr w:type="spellStart"/>
      <w:r w:rsidRPr="00B52AAA">
        <w:rPr>
          <w:rFonts w:ascii="Times New Roman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hAnsi="Times New Roman" w:cs="Times New Roman"/>
          <w:b/>
          <w:sz w:val="24"/>
          <w:szCs w:val="24"/>
        </w:rPr>
        <w:t xml:space="preserve"> ir kam jis vartojamas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fuzidatui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jautrių mikroorganizmų sukeltų odos infekcinių ligų, gydymas.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turi unikalių savybių prasiskverbti į infekcijos židinį net ir tais atvejais, kai jo tepama ant sveikos odos.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Kas žinotina prieš vartojant </w:t>
      </w: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vartoti negalima:</w:t>
      </w:r>
    </w:p>
    <w:p w:rsidR="00490324" w:rsidRPr="00B52AAA" w:rsidRDefault="00490324" w:rsidP="0049032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jeigu yra alergija 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fuzidatui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arba bet kuriai pagalbinei šio vaisto medžiagai (jos išvardytos 6 skyriuje).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Įspėjimai ir atsargumo priemonės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B52AAA">
        <w:rPr>
          <w:rFonts w:ascii="Times New Roman" w:eastAsia="Calibri" w:hAnsi="Times New Roman" w:cs="Times New Roman"/>
          <w:noProof/>
          <w:sz w:val="24"/>
          <w:szCs w:val="24"/>
        </w:rPr>
        <w:t>Pasitarkite su gydytoju arba vaistininku, prieš pradėdami vartoti Fucidin.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Jeigu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tepama veido oda ar vieta apie akį, reikia stengtis, kad jo nepatektų į akis, nes tepalas gali dirginti akies junginę.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Vaisto sudėtyje esantys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butilhidroksitoluenas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>(E321)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cetilo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alkoholis gali sukelti vietinę odos reakciją (pavyzdžiui, kontaktinį dermatitą). Vilnų riebalai gali sukelti vietinę odos reakciją žmonėms alergiškiems vilnų riebalams.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Kaip ir visų antibiotikų, ilgalaikis ir pasikartojantis </w:t>
      </w:r>
      <w:proofErr w:type="spellStart"/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vartojimas padidina riziką išsivystyti bakterijų atsparumui antibiotikams.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Kiti vaistai ir </w:t>
      </w: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Jeigu vartojate ar neseniai vartojote kitų vaistų arba dėl to nesate tikri, apie tai pasakykite gydytojui arba vaistininkui.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Nėštumas ir žindymo laikotarpis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Jeigu esate nėščia, žindote kūdikį, manote, kad galbūt esate nėščia, arba planuojate pastoti, tai prieš vartodama šį vaistą pasitarkite su gydytoju arba vaistininku.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Vartojant vietiškai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tepalo poveikis organizmui yra nedidelis, todėl kenksmingo poveikio  tikimybė yra maža. Preparatas gali būti vartojamas nėštumo laikotarpiu.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gali būti vartojamas žindymo laikotarpiu, tačiau reikia vengti </w:t>
      </w:r>
      <w:r w:rsidRPr="00B52AAA">
        <w:rPr>
          <w:rFonts w:ascii="Times New Roman" w:eastAsia="Calibri" w:hAnsi="Times New Roman" w:cs="Times New Roman"/>
          <w:sz w:val="24"/>
          <w:szCs w:val="24"/>
          <w:lang w:eastAsia="lt-LT"/>
        </w:rPr>
        <w:t>tepti krūtų srityje</w:t>
      </w:r>
      <w:r w:rsidRPr="00B52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Vairavimas ir mechanizmų valdymas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Vartojamas ant odos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neveikia gebėjimo vairuoti ir valdyti mechanizmus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sudėtyje yra vilnų riebalų, </w:t>
      </w: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cetilo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alkoholio ir </w:t>
      </w: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butilhidroksitolueno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(E321)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Vilnų riebalai,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cetilo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alkoholis gali sukelti lokalių odos reakcijų (pvz., kontaktinį dermatitą).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tepalo sudėtyje yra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butilhidroksitolueno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>(E321), kuris gali sukelti vietinių odos reakcijų (pvz., kontaktinį dermatitą) arba sudirginti akis ir gleivinių paviršius.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Jeigu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tepalu tepama veido oda ar vieta apie akį, reikia stengtis, kad jo nepatektų į akis.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Kaip vartoti </w:t>
      </w: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Visada vartokite šį vaistą tiksliai kaip nurodė gydytojas. Jeigu abejojate, kreipkitės į gydytoją arba vaistininką.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52AAA">
        <w:rPr>
          <w:rFonts w:ascii="Times New Roman" w:eastAsia="Calibri" w:hAnsi="Times New Roman" w:cs="Times New Roman"/>
          <w:sz w:val="24"/>
          <w:szCs w:val="24"/>
          <w:u w:val="single"/>
        </w:rPr>
        <w:t>Suaugusiems ir vaikams nuo 0 iki 17 metų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tepamas ant pažeistų odos vietų 2-3 kartus per parą (vieną kartą ryte ir vieną kartą vakare), įprastai 7 paras. Jis gali būti vartojamas su tvarsčiu arba be jo.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B52AAA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Senyvo amžiaus pacientai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Nėra klinikinės patirties, nurodančios būtinybę laikytis vartojimo atsargumo priemonių ar keisti dozavimą pagyvenusiems pacientams.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B52AAA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Kepenų ir inkstų nepakankamumas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Nėra klinikinės patirties, nurodančios būtinybę laikytis vartojimo atsargumo priemonių ar keisti dozavimą, pacientams turintiems kepenų ir inkstų nepakankamumą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D53002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52AAA">
        <w:rPr>
          <w:rFonts w:ascii="Times New Roman" w:hAnsi="Times New Roman" w:cs="Times New Roman"/>
          <w:b/>
          <w:sz w:val="24"/>
          <w:szCs w:val="24"/>
        </w:rPr>
        <w:t xml:space="preserve">Galimas šalutinis poveikis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Šis vaistas, kaip ir visi kiti, gali sukelti šalutinį poveikį, nors jis pasireiškia ne visiems žmonėms.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Pasireiškę reti (nuo ≥ 1/10 000 iki &lt;1/1 000 vaistą vartojusių žmonių) šalutinio poveikio reiškiniai: padidėjęs jautrumas, akies junginės uždegimas, angioneurozinė edema (paburkimas), urtikarija (dilgėlinė), pūslelės.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Pasireiškę nedažni šalutinio poveikio reiškiniai (nuo ≥ </w:t>
      </w:r>
      <w:r w:rsidRPr="00B52AAA">
        <w:rPr>
          <w:rFonts w:ascii="Times New Roman" w:eastAsia="Calibri" w:hAnsi="Times New Roman" w:cs="Times New Roman"/>
          <w:bCs/>
          <w:sz w:val="24"/>
          <w:szCs w:val="24"/>
        </w:rPr>
        <w:t xml:space="preserve">1/1 000 iki &lt;1/100 </w:t>
      </w:r>
      <w:r w:rsidRPr="00B52AAA">
        <w:rPr>
          <w:rFonts w:ascii="Times New Roman" w:eastAsia="Calibri" w:hAnsi="Times New Roman" w:cs="Times New Roman"/>
          <w:sz w:val="24"/>
          <w:szCs w:val="24"/>
        </w:rPr>
        <w:t>vaistą vartojusių žmonių</w:t>
      </w:r>
      <w:r w:rsidRPr="00B52AAA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yra tokie: dermatitas (odos uždegimas, įskaitant kontaktinį dermatitą, egzemą), bėrimas*, niežėjimas, odos sudirginimas, vartojimo vietos skausmas (įskaitant deginimo pojūtį), vartojimo vietos sudirginimas.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*</w:t>
      </w:r>
      <w:r w:rsidRPr="00B52AAA">
        <w:rPr>
          <w:rFonts w:ascii="Times New Roman" w:eastAsia="Calibri" w:hAnsi="Times New Roman" w:cs="Times New Roman"/>
          <w:i/>
          <w:sz w:val="24"/>
          <w:szCs w:val="24"/>
        </w:rPr>
        <w:t xml:space="preserve"> Buvo aprašyti įvairūs bėrimai, pasireiškę paraudimu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2AAA">
        <w:rPr>
          <w:rFonts w:ascii="Times New Roman" w:eastAsia="Calibri" w:hAnsi="Times New Roman" w:cs="Times New Roman"/>
          <w:i/>
          <w:sz w:val="24"/>
          <w:szCs w:val="24"/>
        </w:rPr>
        <w:t>pūslelėmis, dėmelėmis, mazgeliais ar pūlinėliais.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Nepageidaujamo poveikio dažnis, tipas ir pasireiškimo stiprumas vaikams tikėtinas toks pat , kaip ir suaugusiesiems.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yra labai gerai toleruojamas, padidėjusio jautrumo reakcijos yra išimtinai retos.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B52AAA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Pranešimas apie šalutinį poveikį</w:t>
      </w:r>
    </w:p>
    <w:p w:rsidR="00490324" w:rsidRPr="00B52AAA" w:rsidRDefault="00490324" w:rsidP="0049032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>elefonu 8 800 73568</w:t>
      </w: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arba užpildyti interneto svetainėje </w:t>
      </w:r>
      <w:hyperlink r:id="rId6" w:history="1">
        <w:r w:rsidRPr="00B52AAA">
          <w:rPr>
            <w:rFonts w:ascii="Times New Roman" w:eastAsia="SimSun" w:hAnsi="Times New Roman" w:cs="Times New Roman"/>
            <w:snapToGrid w:val="0"/>
            <w:color w:val="0000FF"/>
            <w:sz w:val="24"/>
            <w:szCs w:val="24"/>
            <w:u w:val="single"/>
          </w:rPr>
          <w:t>www.vvkt.lt</w:t>
        </w:r>
      </w:hyperlink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nemokamu </w:t>
      </w: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>fakso numeriu 8 800 20131</w:t>
      </w: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, </w:t>
      </w:r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el. paštu </w:t>
      </w:r>
      <w:hyperlink r:id="rId7" w:history="1">
        <w:r w:rsidRPr="00B52AAA">
          <w:rPr>
            <w:rFonts w:ascii="Times New Roman" w:eastAsia="SimSun" w:hAnsi="Times New Roman" w:cs="Times New Roman"/>
            <w:snapToGrid w:val="0"/>
            <w:color w:val="0000FF"/>
            <w:sz w:val="24"/>
            <w:szCs w:val="24"/>
            <w:u w:val="single"/>
          </w:rPr>
          <w:t>NepageidaujamaR@vvkt.lt</w:t>
        </w:r>
      </w:hyperlink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B52AAA">
          <w:rPr>
            <w:rFonts w:ascii="Times New Roman" w:eastAsia="SimSun" w:hAnsi="Times New Roman" w:cs="Times New Roman"/>
            <w:snapToGrid w:val="0"/>
            <w:color w:val="0000FF"/>
            <w:sz w:val="24"/>
            <w:szCs w:val="24"/>
            <w:u w:val="single"/>
          </w:rPr>
          <w:t>http://www.vvkt.lt</w:t>
        </w:r>
      </w:hyperlink>
      <w:r w:rsidRPr="00B52AAA">
        <w:rPr>
          <w:rFonts w:ascii="Times New Roman" w:eastAsia="Times New Roman" w:hAnsi="Times New Roman" w:cs="Times New Roman"/>
          <w:snapToGrid w:val="0"/>
          <w:sz w:val="24"/>
          <w:szCs w:val="24"/>
        </w:rPr>
        <w:t>). Pranešdami apie šalutinį poveikį galite mums padėti gauti daugiau informacijos apie šio vaisto saugumą.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D5300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Kaip laikyti </w:t>
      </w: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Šį vaistą laikykite vaikams nepastebimoje ir nepasiekiamoje vietoje.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45D2" w:rsidRPr="00B52AAA" w:rsidRDefault="009445D2" w:rsidP="009445D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sz w:val="24"/>
          <w:szCs w:val="24"/>
        </w:rPr>
        <w:t>Laikyti ne aukštesnėje kaip 25 </w:t>
      </w:r>
      <w:r w:rsidRPr="00B52AAA">
        <w:rPr>
          <w:rFonts w:ascii="Times New Roman" w:hAnsi="Times New Roman" w:cs="Times New Roman"/>
          <w:sz w:val="24"/>
          <w:szCs w:val="24"/>
        </w:rPr>
        <w:sym w:font="Symbol" w:char="00B0"/>
      </w:r>
      <w:r w:rsidRPr="00B52AAA">
        <w:rPr>
          <w:rFonts w:ascii="Times New Roman" w:hAnsi="Times New Roman" w:cs="Times New Roman"/>
          <w:sz w:val="24"/>
          <w:szCs w:val="24"/>
        </w:rPr>
        <w:t>C temperatūroje.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Ant etiketės po „Tinka iki“, kartono dėžutės ir tūbelės nurodytam tinkamumo laikui pasibaigus, šio vaisto vartoti negalima. Vaistas tinkamas vartoti iki paskutinės nurodyto mėnesio dienos.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6.</w:t>
      </w:r>
      <w:r w:rsidRPr="00B52AA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</w:r>
      <w:r w:rsidRPr="00B52AAA">
        <w:rPr>
          <w:rFonts w:ascii="Times New Roman" w:eastAsia="Calibri" w:hAnsi="Times New Roman" w:cs="Times New Roman"/>
          <w:b/>
          <w:sz w:val="24"/>
          <w:szCs w:val="24"/>
        </w:rPr>
        <w:t>Pakuotės turinys ir kita informacija</w:t>
      </w:r>
      <w:r w:rsidRPr="00B52A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sudėtis</w:t>
      </w:r>
    </w:p>
    <w:p w:rsidR="00490324" w:rsidRPr="00B52AAA" w:rsidRDefault="00490324" w:rsidP="0049032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-</w:t>
      </w:r>
      <w:r w:rsidRPr="00B52AAA">
        <w:rPr>
          <w:rFonts w:ascii="Times New Roman" w:eastAsia="Calibri" w:hAnsi="Times New Roman" w:cs="Times New Roman"/>
          <w:sz w:val="24"/>
          <w:szCs w:val="24"/>
        </w:rPr>
        <w:tab/>
        <w:t xml:space="preserve">Veiklioji medžiaga yra 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fuzidatas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. Viename grame tepalo yra 20 mg natrio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fuzidato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0324" w:rsidRPr="00B52AAA" w:rsidRDefault="00490324" w:rsidP="00490324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B52AAA">
        <w:rPr>
          <w:rFonts w:ascii="Times New Roman" w:eastAsia="Calibri" w:hAnsi="Times New Roman" w:cs="Times New Roman"/>
          <w:sz w:val="24"/>
          <w:szCs w:val="24"/>
        </w:rPr>
        <w:t>-</w:t>
      </w:r>
      <w:r w:rsidRPr="00B52AAA">
        <w:rPr>
          <w:rFonts w:ascii="Times New Roman" w:eastAsia="Calibri" w:hAnsi="Times New Roman" w:cs="Times New Roman"/>
          <w:sz w:val="24"/>
          <w:szCs w:val="24"/>
        </w:rPr>
        <w:tab/>
        <w:t xml:space="preserve">Pagalbinės medžiagos yra vilnų riebalai,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cetilo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alkoholis,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butilhidroksitoluenas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>(E321)</w:t>
      </w:r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, visų 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racematų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alfa-</w:t>
      </w: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tokoferolis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>, skystasis parafinas ir minkštasis baltas parafinas.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b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b/>
          <w:sz w:val="24"/>
          <w:szCs w:val="24"/>
        </w:rPr>
        <w:t xml:space="preserve"> išvaizda ir kiekis pakuotėje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>Skaidrus, gelsvai baltas tepalas</w:t>
      </w:r>
      <w:r w:rsidRPr="00B52AA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AAA">
        <w:rPr>
          <w:rFonts w:ascii="Times New Roman" w:eastAsia="Calibri" w:hAnsi="Times New Roman" w:cs="Times New Roman"/>
          <w:sz w:val="24"/>
          <w:szCs w:val="24"/>
        </w:rPr>
        <w:t>Fucidin</w:t>
      </w:r>
      <w:proofErr w:type="spellEnd"/>
      <w:r w:rsidRPr="00B52AAA">
        <w:rPr>
          <w:rFonts w:ascii="Times New Roman" w:eastAsia="Calibri" w:hAnsi="Times New Roman" w:cs="Times New Roman"/>
          <w:sz w:val="24"/>
          <w:szCs w:val="24"/>
        </w:rPr>
        <w:t xml:space="preserve"> tiekiamas tūbelėse po 15 g tepalo.</w:t>
      </w:r>
    </w:p>
    <w:p w:rsidR="00D53002" w:rsidRPr="00B52AAA" w:rsidRDefault="00D53002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sz w:val="24"/>
          <w:szCs w:val="24"/>
        </w:rPr>
        <w:t>Gamintojas</w:t>
      </w:r>
    </w:p>
    <w:p w:rsidR="00C56ADA" w:rsidRPr="00B52AAA" w:rsidRDefault="00C56ADA" w:rsidP="00C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sz w:val="24"/>
          <w:szCs w:val="24"/>
        </w:rPr>
        <w:t xml:space="preserve">LEO </w:t>
      </w:r>
      <w:proofErr w:type="spellStart"/>
      <w:r w:rsidRPr="00B52AAA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Pr="00B52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AA">
        <w:rPr>
          <w:rFonts w:ascii="Times New Roman" w:hAnsi="Times New Roman" w:cs="Times New Roman"/>
          <w:sz w:val="24"/>
          <w:szCs w:val="24"/>
        </w:rPr>
        <w:t>Limited</w:t>
      </w:r>
      <w:proofErr w:type="spellEnd"/>
    </w:p>
    <w:p w:rsidR="00C56ADA" w:rsidRPr="00B52AAA" w:rsidRDefault="00C56ADA" w:rsidP="00C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sz w:val="24"/>
          <w:szCs w:val="24"/>
        </w:rPr>
        <w:t xml:space="preserve">285 </w:t>
      </w:r>
      <w:proofErr w:type="spellStart"/>
      <w:r w:rsidRPr="00B52AAA">
        <w:rPr>
          <w:rFonts w:ascii="Times New Roman" w:hAnsi="Times New Roman" w:cs="Times New Roman"/>
          <w:sz w:val="24"/>
          <w:szCs w:val="24"/>
        </w:rPr>
        <w:t>Cashel</w:t>
      </w:r>
      <w:proofErr w:type="spellEnd"/>
      <w:r w:rsidRPr="00B52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AA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B52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2AAA">
        <w:rPr>
          <w:rFonts w:ascii="Times New Roman" w:hAnsi="Times New Roman" w:cs="Times New Roman"/>
          <w:sz w:val="24"/>
          <w:szCs w:val="24"/>
        </w:rPr>
        <w:t>Crumlin</w:t>
      </w:r>
      <w:proofErr w:type="spellEnd"/>
      <w:r w:rsidRPr="00B52AAA">
        <w:rPr>
          <w:rFonts w:ascii="Times New Roman" w:hAnsi="Times New Roman" w:cs="Times New Roman"/>
          <w:sz w:val="24"/>
          <w:szCs w:val="24"/>
        </w:rPr>
        <w:t>, Dublin 12</w:t>
      </w:r>
    </w:p>
    <w:p w:rsidR="00C56ADA" w:rsidRPr="00B52AAA" w:rsidRDefault="00C56ADA" w:rsidP="00C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sz w:val="24"/>
          <w:szCs w:val="24"/>
        </w:rPr>
        <w:t>Airija</w:t>
      </w:r>
    </w:p>
    <w:p w:rsidR="00490324" w:rsidRPr="00B52AAA" w:rsidRDefault="00490324" w:rsidP="00C56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2AAA">
        <w:rPr>
          <w:rFonts w:ascii="Times New Roman" w:eastAsia="Times New Roman" w:hAnsi="Times New Roman" w:cs="Times New Roman"/>
          <w:b/>
          <w:sz w:val="24"/>
          <w:szCs w:val="24"/>
        </w:rPr>
        <w:t xml:space="preserve">Lygiagretus importuotojas </w:t>
      </w:r>
    </w:p>
    <w:p w:rsidR="00490324" w:rsidRPr="00B52AAA" w:rsidRDefault="00490324" w:rsidP="0049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sz w:val="24"/>
          <w:szCs w:val="24"/>
        </w:rPr>
        <w:t>UAB “TOJARIS PROJEKTAI ”</w:t>
      </w:r>
    </w:p>
    <w:p w:rsidR="00490324" w:rsidRPr="00B52AAA" w:rsidRDefault="00490324" w:rsidP="00490324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52AAA">
        <w:rPr>
          <w:rFonts w:ascii="Times New Roman" w:hAnsi="Times New Roman" w:cs="Times New Roman"/>
          <w:color w:val="000000"/>
          <w:sz w:val="24"/>
          <w:szCs w:val="24"/>
        </w:rPr>
        <w:t>Ukmergės g. 369a</w:t>
      </w:r>
    </w:p>
    <w:p w:rsidR="00490324" w:rsidRPr="00B52AAA" w:rsidRDefault="00490324" w:rsidP="00490324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52AAA">
        <w:rPr>
          <w:rFonts w:ascii="Times New Roman" w:hAnsi="Times New Roman" w:cs="Times New Roman"/>
          <w:color w:val="000000"/>
          <w:sz w:val="24"/>
          <w:szCs w:val="24"/>
        </w:rPr>
        <w:t>LT-12142 Vilnius, Lietuva</w:t>
      </w:r>
    </w:p>
    <w:p w:rsidR="00490324" w:rsidRPr="00B52AAA" w:rsidRDefault="00490324" w:rsidP="0049032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Perpakavo 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BĮ UAB „</w:t>
      </w:r>
      <w:proofErr w:type="spellStart"/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Norfachema</w:t>
      </w:r>
      <w:proofErr w:type="spellEnd"/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“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Vytauto g. 6, Jonava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Lietuva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arba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UAB „</w:t>
      </w:r>
      <w:proofErr w:type="spellStart"/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Entafarma</w:t>
      </w:r>
      <w:proofErr w:type="spellEnd"/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“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Klonėnų</w:t>
      </w:r>
      <w:proofErr w:type="spellEnd"/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vs. 1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Širvintų r. sav.</w:t>
      </w:r>
    </w:p>
    <w:p w:rsidR="00490324" w:rsidRPr="00B52AAA" w:rsidRDefault="00490324" w:rsidP="0049032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52A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Lietuva</w:t>
      </w:r>
    </w:p>
    <w:p w:rsidR="00490324" w:rsidRPr="00B52AAA" w:rsidRDefault="00490324" w:rsidP="0049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2AA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Registruotojas eksportuojančioje šalyje yra </w:t>
      </w:r>
      <w:r w:rsidRPr="00B52AAA">
        <w:rPr>
          <w:rFonts w:ascii="Times New Roman" w:eastAsia="Calibri" w:hAnsi="Times New Roman" w:cs="Times New Roman"/>
          <w:sz w:val="24"/>
          <w:szCs w:val="24"/>
        </w:rPr>
        <w:t>LEO Pharma A/S</w:t>
      </w:r>
      <w:r w:rsidRPr="00B52AAA">
        <w:rPr>
          <w:rFonts w:ascii="Times New Roman" w:hAnsi="Times New Roman" w:cs="Times New Roman"/>
          <w:sz w:val="24"/>
          <w:szCs w:val="24"/>
        </w:rPr>
        <w:t xml:space="preserve">, </w:t>
      </w:r>
      <w:r w:rsidRPr="00B52AAA">
        <w:rPr>
          <w:rFonts w:ascii="Times New Roman" w:eastAsia="Calibri" w:hAnsi="Times New Roman" w:cs="Times New Roman"/>
          <w:sz w:val="24"/>
          <w:szCs w:val="24"/>
          <w:lang w:val="sk-SK"/>
        </w:rPr>
        <w:t>Industriparken 55</w:t>
      </w:r>
      <w:r w:rsidRPr="00B52AAA">
        <w:rPr>
          <w:rFonts w:ascii="Times New Roman" w:hAnsi="Times New Roman" w:cs="Times New Roman"/>
          <w:sz w:val="24"/>
          <w:szCs w:val="24"/>
        </w:rPr>
        <w:t xml:space="preserve">, </w:t>
      </w:r>
      <w:r w:rsidRPr="00B52AAA">
        <w:rPr>
          <w:rFonts w:ascii="Times New Roman" w:eastAsia="Calibri" w:hAnsi="Times New Roman" w:cs="Times New Roman"/>
          <w:sz w:val="24"/>
          <w:szCs w:val="24"/>
          <w:lang w:val="sk-SK"/>
        </w:rPr>
        <w:t>DK-2750 Ballerup</w:t>
      </w:r>
      <w:r w:rsidRPr="00B52AAA">
        <w:rPr>
          <w:rFonts w:ascii="Times New Roman" w:hAnsi="Times New Roman" w:cs="Times New Roman"/>
          <w:sz w:val="24"/>
          <w:szCs w:val="24"/>
          <w:lang w:val="sk-SK"/>
        </w:rPr>
        <w:t>, Danija.</w:t>
      </w:r>
    </w:p>
    <w:p w:rsidR="00D53002" w:rsidRPr="00B52AAA" w:rsidRDefault="00D53002" w:rsidP="0049032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</w:pPr>
      <w:r w:rsidRPr="00B52AAA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  <w:t>Šis pakuotės lapel</w:t>
      </w:r>
      <w:r w:rsidR="00F36E81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  <w:t>is paskutinį kartą peržiūrėtas 2016-04-26.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90324" w:rsidRPr="00B52AAA" w:rsidRDefault="00490324" w:rsidP="0049032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AAA">
        <w:rPr>
          <w:rFonts w:ascii="Times New Roman" w:eastAsia="Times New Roman" w:hAnsi="Times New Roman" w:cs="Times New Roman"/>
          <w:sz w:val="24"/>
          <w:szCs w:val="24"/>
        </w:rPr>
        <w:t>Išsami informacija apie šį vaistą pateikiama Valstybinės vaistų kontrolės tarnybos prie Lietuvos Respublikos sveikatos apsaugos ministerijos tinklalapyje</w:t>
      </w:r>
      <w:r w:rsidRPr="00B52A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Pr="00B52A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http://www.vvkt.lt/</w:t>
        </w:r>
      </w:hyperlink>
      <w:r w:rsidRPr="00B52AAA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90324" w:rsidRPr="00B52AAA" w:rsidRDefault="00490324" w:rsidP="00490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15E" w:rsidRPr="00B52AAA" w:rsidRDefault="00CE115E" w:rsidP="00CE115E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B52AAA">
        <w:rPr>
          <w:rFonts w:ascii="Times New Roman" w:eastAsia="MS Mincho" w:hAnsi="Times New Roman" w:cs="Times New Roman"/>
          <w:i/>
          <w:sz w:val="24"/>
          <w:szCs w:val="24"/>
        </w:rPr>
        <w:t xml:space="preserve">Lygiagrečiai importuojamas vaistinis preparatas skiriasi nuo referencinio vaistinio laikymo sąlygomis ir tinkamumo laiku. Lygiagrečiai importuojamo vaistinio preparato laikymo sąlygos: </w:t>
      </w:r>
      <w:r w:rsidRPr="00B52AAA">
        <w:rPr>
          <w:rFonts w:ascii="Times New Roman" w:hAnsi="Times New Roman" w:cs="Times New Roman"/>
          <w:i/>
          <w:sz w:val="24"/>
          <w:szCs w:val="24"/>
        </w:rPr>
        <w:lastRenderedPageBreak/>
        <w:t>laikyti ne aukštesnėje kaip 25 </w:t>
      </w:r>
      <w:r w:rsidRPr="00B52AAA">
        <w:rPr>
          <w:rFonts w:ascii="Times New Roman" w:hAnsi="Times New Roman" w:cs="Times New Roman"/>
          <w:i/>
          <w:sz w:val="24"/>
          <w:szCs w:val="24"/>
        </w:rPr>
        <w:sym w:font="Symbol" w:char="00B0"/>
      </w:r>
      <w:r w:rsidRPr="00B52AAA">
        <w:rPr>
          <w:rFonts w:ascii="Times New Roman" w:hAnsi="Times New Roman" w:cs="Times New Roman"/>
          <w:i/>
          <w:sz w:val="24"/>
          <w:szCs w:val="24"/>
        </w:rPr>
        <w:t xml:space="preserve">C temperatūroje, referencinio -  </w:t>
      </w:r>
      <w:r w:rsidRPr="00B52AAA">
        <w:rPr>
          <w:rFonts w:ascii="Times New Roman" w:eastAsia="Calibri" w:hAnsi="Times New Roman" w:cs="Times New Roman"/>
          <w:i/>
          <w:sz w:val="24"/>
          <w:szCs w:val="24"/>
        </w:rPr>
        <w:t xml:space="preserve">šiam vaistiniam preparatui specialių laikymo sąlygų nereikia. </w:t>
      </w:r>
    </w:p>
    <w:p w:rsidR="006E1459" w:rsidRPr="00B52AAA" w:rsidRDefault="00CE115E" w:rsidP="00CE115E">
      <w:pPr>
        <w:rPr>
          <w:rFonts w:ascii="Times New Roman" w:hAnsi="Times New Roman" w:cs="Times New Roman"/>
          <w:sz w:val="24"/>
          <w:szCs w:val="24"/>
        </w:rPr>
      </w:pPr>
      <w:r w:rsidRPr="00B52AAA">
        <w:rPr>
          <w:rFonts w:ascii="Times New Roman" w:eastAsia="MS Mincho" w:hAnsi="Times New Roman" w:cs="Times New Roman"/>
          <w:i/>
          <w:sz w:val="24"/>
          <w:szCs w:val="24"/>
        </w:rPr>
        <w:t>Lygiagrečiai importuojamo tinkamumo laikas po tūbelės atidarymo nėra nurodytas, referencinio-28 dienos</w:t>
      </w:r>
      <w:r w:rsidR="00B30427">
        <w:rPr>
          <w:rFonts w:ascii="Times New Roman" w:eastAsia="MS Mincho" w:hAnsi="Times New Roman" w:cs="Times New Roman"/>
          <w:i/>
          <w:sz w:val="24"/>
          <w:szCs w:val="24"/>
        </w:rPr>
        <w:t>.</w:t>
      </w:r>
    </w:p>
    <w:sectPr w:rsidR="006E1459" w:rsidRPr="00B52AAA" w:rsidSect="00025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5A8"/>
    <w:multiLevelType w:val="hybridMultilevel"/>
    <w:tmpl w:val="AEACB30E"/>
    <w:lvl w:ilvl="0" w:tplc="785269B0">
      <w:start w:val="1"/>
      <w:numFmt w:val="bullet"/>
      <w:lvlText w:val="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490324"/>
    <w:rsid w:val="00116111"/>
    <w:rsid w:val="00344E46"/>
    <w:rsid w:val="003E3426"/>
    <w:rsid w:val="0042359F"/>
    <w:rsid w:val="00490324"/>
    <w:rsid w:val="00647700"/>
    <w:rsid w:val="006E1459"/>
    <w:rsid w:val="009445D2"/>
    <w:rsid w:val="00B30427"/>
    <w:rsid w:val="00B52AAA"/>
    <w:rsid w:val="00BC6EF6"/>
    <w:rsid w:val="00BF0B15"/>
    <w:rsid w:val="00C32D5B"/>
    <w:rsid w:val="00C56ADA"/>
    <w:rsid w:val="00CA7A6E"/>
    <w:rsid w:val="00CE115E"/>
    <w:rsid w:val="00D53002"/>
    <w:rsid w:val="00D93E04"/>
    <w:rsid w:val="00F3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9753C-6BDE-4089-9029-D7D98D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032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E3426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E3426"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link w:val="Antrat3Diagrama"/>
    <w:qFormat/>
    <w:rsid w:val="003E3426"/>
    <w:pPr>
      <w:keepNext/>
      <w:ind w:firstLine="720"/>
      <w:jc w:val="both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3E3426"/>
    <w:pPr>
      <w:keepNext/>
      <w:jc w:val="both"/>
      <w:outlineLvl w:val="3"/>
    </w:pPr>
    <w:rPr>
      <w:rFonts w:ascii="Garamond" w:hAnsi="Garamond"/>
      <w:b/>
      <w:bCs/>
      <w:sz w:val="28"/>
    </w:rPr>
  </w:style>
  <w:style w:type="paragraph" w:styleId="Antrat5">
    <w:name w:val="heading 5"/>
    <w:basedOn w:val="prastasis"/>
    <w:next w:val="prastasis"/>
    <w:link w:val="Antrat5Diagrama"/>
    <w:qFormat/>
    <w:rsid w:val="003E3426"/>
    <w:pPr>
      <w:keepNext/>
      <w:ind w:left="567" w:right="425" w:firstLine="567"/>
      <w:jc w:val="both"/>
      <w:outlineLvl w:val="4"/>
    </w:pPr>
    <w:rPr>
      <w:rFonts w:ascii="Garamond" w:hAnsi="Garamond"/>
      <w:b/>
      <w:bCs/>
      <w:sz w:val="28"/>
    </w:rPr>
  </w:style>
  <w:style w:type="paragraph" w:styleId="Antrat6">
    <w:name w:val="heading 6"/>
    <w:basedOn w:val="prastasis"/>
    <w:next w:val="prastasis"/>
    <w:link w:val="Antrat6Diagrama"/>
    <w:qFormat/>
    <w:rsid w:val="003E3426"/>
    <w:pPr>
      <w:keepNext/>
      <w:ind w:right="425"/>
      <w:jc w:val="center"/>
      <w:outlineLvl w:val="5"/>
    </w:pPr>
    <w:rPr>
      <w:rFonts w:ascii="Garamond" w:hAnsi="Garamond"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3E3426"/>
    <w:pPr>
      <w:keepNext/>
      <w:ind w:left="567" w:right="425" w:firstLine="567"/>
      <w:jc w:val="both"/>
      <w:outlineLvl w:val="6"/>
    </w:pPr>
    <w:rPr>
      <w:rFonts w:ascii="Garamond" w:hAnsi="Garamond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3426"/>
    <w:rPr>
      <w:b/>
      <w:sz w:val="28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rsid w:val="003E3426"/>
    <w:rPr>
      <w:sz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E3426"/>
    <w:rPr>
      <w:b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3E3426"/>
    <w:rPr>
      <w:rFonts w:ascii="Garamond" w:hAnsi="Garamond"/>
      <w:sz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3E3426"/>
    <w:rPr>
      <w:rFonts w:ascii="Garamond" w:hAnsi="Garamond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3E3426"/>
    <w:pPr>
      <w:jc w:val="center"/>
    </w:pPr>
    <w:rPr>
      <w:rFonts w:ascii="Bookman Old Style" w:hAnsi="Bookman Old Style"/>
      <w:b/>
      <w:sz w:val="28"/>
      <w:lang w:val="de-DE"/>
    </w:rPr>
  </w:style>
  <w:style w:type="character" w:customStyle="1" w:styleId="PavadinimasDiagrama">
    <w:name w:val="Pavadinimas Diagrama"/>
    <w:basedOn w:val="Numatytasispastraiposriftas"/>
    <w:link w:val="Pavadinimas"/>
    <w:rsid w:val="003E3426"/>
    <w:rPr>
      <w:rFonts w:ascii="Bookman Old Style" w:hAnsi="Bookman Old Style"/>
      <w:b/>
      <w:sz w:val="28"/>
      <w:lang w:val="de-DE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2D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2D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2D5B"/>
    <w:rPr>
      <w:rFonts w:asciiTheme="minorHAnsi" w:eastAsiaTheme="minorHAnsi" w:hAnsiTheme="minorHAnsi" w:cstheme="minorBid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2D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2D5B"/>
    <w:rPr>
      <w:rFonts w:asciiTheme="minorHAnsi" w:eastAsiaTheme="minorHAnsi" w:hAnsiTheme="minorHAnsi" w:cstheme="minorBid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2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2D5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A26B-8462-432F-AB58-F1ADB3C7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6510</Words>
  <Characters>3712</Characters>
  <Application>Microsoft Office Word</Application>
  <DocSecurity>0</DocSecurity>
  <Lines>30</Lines>
  <Paragraphs>20</Paragraphs>
  <ScaleCrop>false</ScaleCrop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</dc:creator>
  <cp:keywords/>
  <dc:description/>
  <cp:lastModifiedBy>Božena Kuntelija</cp:lastModifiedBy>
  <cp:revision>16</cp:revision>
  <cp:lastPrinted>2016-01-20T09:16:00Z</cp:lastPrinted>
  <dcterms:created xsi:type="dcterms:W3CDTF">2016-01-20T09:03:00Z</dcterms:created>
  <dcterms:modified xsi:type="dcterms:W3CDTF">2016-04-28T06:34:00Z</dcterms:modified>
</cp:coreProperties>
</file>