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4F2B" w14:textId="77777777" w:rsidR="00DA70E6" w:rsidRPr="00DA70E6" w:rsidRDefault="00DA70E6" w:rsidP="00DA70E6">
      <w:pPr>
        <w:jc w:val="center"/>
        <w:rPr>
          <w:b/>
        </w:rPr>
      </w:pPr>
    </w:p>
    <w:p w14:paraId="4DCDDB18" w14:textId="77777777" w:rsidR="00DA70E6" w:rsidRPr="00DA70E6" w:rsidRDefault="00DA70E6" w:rsidP="00DA70E6">
      <w:pPr>
        <w:jc w:val="center"/>
        <w:rPr>
          <w:b/>
        </w:rPr>
      </w:pPr>
    </w:p>
    <w:p w14:paraId="6D5B0394" w14:textId="77777777" w:rsidR="00DA70E6" w:rsidRPr="00DA70E6" w:rsidRDefault="00DA70E6" w:rsidP="00DA70E6">
      <w:pPr>
        <w:jc w:val="center"/>
        <w:rPr>
          <w:b/>
        </w:rPr>
      </w:pPr>
    </w:p>
    <w:p w14:paraId="57A53921" w14:textId="77777777" w:rsidR="00DA70E6" w:rsidRPr="00DA70E6" w:rsidRDefault="00DA70E6" w:rsidP="00DA70E6">
      <w:pPr>
        <w:jc w:val="center"/>
        <w:rPr>
          <w:b/>
        </w:rPr>
      </w:pPr>
    </w:p>
    <w:p w14:paraId="788D8445" w14:textId="77777777" w:rsidR="00DA70E6" w:rsidRPr="00DA70E6" w:rsidRDefault="00DA70E6" w:rsidP="00DA70E6">
      <w:pPr>
        <w:jc w:val="center"/>
        <w:rPr>
          <w:b/>
        </w:rPr>
      </w:pPr>
    </w:p>
    <w:p w14:paraId="681850BD" w14:textId="77777777" w:rsidR="00DA70E6" w:rsidRPr="00DA70E6" w:rsidRDefault="00DA70E6" w:rsidP="00DA70E6">
      <w:pPr>
        <w:jc w:val="center"/>
        <w:rPr>
          <w:b/>
        </w:rPr>
      </w:pPr>
    </w:p>
    <w:p w14:paraId="07DE3E4D" w14:textId="77777777" w:rsidR="00DA70E6" w:rsidRPr="00DA70E6" w:rsidRDefault="00DA70E6" w:rsidP="00DA70E6">
      <w:pPr>
        <w:jc w:val="center"/>
        <w:rPr>
          <w:b/>
        </w:rPr>
      </w:pPr>
    </w:p>
    <w:p w14:paraId="7408C911" w14:textId="77777777" w:rsidR="00DA70E6" w:rsidRPr="00DA70E6" w:rsidRDefault="00DA70E6" w:rsidP="00DA70E6">
      <w:pPr>
        <w:jc w:val="center"/>
        <w:rPr>
          <w:b/>
        </w:rPr>
      </w:pPr>
    </w:p>
    <w:p w14:paraId="10167AC1" w14:textId="77777777" w:rsidR="00DA70E6" w:rsidRPr="00DA70E6" w:rsidRDefault="00DA70E6" w:rsidP="00DA70E6">
      <w:pPr>
        <w:jc w:val="center"/>
        <w:rPr>
          <w:b/>
        </w:rPr>
      </w:pPr>
    </w:p>
    <w:p w14:paraId="496FEF0B" w14:textId="77777777" w:rsidR="00DA70E6" w:rsidRPr="00DA70E6" w:rsidRDefault="00DA70E6" w:rsidP="00DA70E6">
      <w:pPr>
        <w:jc w:val="center"/>
        <w:rPr>
          <w:b/>
        </w:rPr>
      </w:pPr>
    </w:p>
    <w:p w14:paraId="663243EC" w14:textId="77777777" w:rsidR="00DA70E6" w:rsidRPr="00DA70E6" w:rsidRDefault="00DA70E6" w:rsidP="00DA70E6">
      <w:pPr>
        <w:jc w:val="center"/>
        <w:rPr>
          <w:b/>
        </w:rPr>
      </w:pPr>
    </w:p>
    <w:p w14:paraId="3164A727" w14:textId="77777777" w:rsidR="00DA70E6" w:rsidRPr="00DA70E6" w:rsidRDefault="00DA70E6" w:rsidP="00DA70E6">
      <w:pPr>
        <w:jc w:val="center"/>
        <w:rPr>
          <w:b/>
        </w:rPr>
      </w:pPr>
    </w:p>
    <w:p w14:paraId="7D6D44A7" w14:textId="77777777" w:rsidR="00DA70E6" w:rsidRPr="00DA70E6" w:rsidRDefault="00DA70E6" w:rsidP="00DA70E6">
      <w:pPr>
        <w:jc w:val="center"/>
        <w:rPr>
          <w:b/>
        </w:rPr>
      </w:pPr>
    </w:p>
    <w:p w14:paraId="63EFB16D" w14:textId="77777777" w:rsidR="00DA70E6" w:rsidRPr="00DA70E6" w:rsidRDefault="00DA70E6" w:rsidP="00DA70E6">
      <w:pPr>
        <w:jc w:val="center"/>
        <w:rPr>
          <w:b/>
        </w:rPr>
      </w:pPr>
    </w:p>
    <w:p w14:paraId="7D769F0D" w14:textId="77777777" w:rsidR="00DA70E6" w:rsidRPr="00DA70E6" w:rsidRDefault="00DA70E6" w:rsidP="00DA70E6">
      <w:pPr>
        <w:jc w:val="center"/>
        <w:rPr>
          <w:b/>
        </w:rPr>
      </w:pPr>
    </w:p>
    <w:p w14:paraId="4AC0AA9C" w14:textId="77777777" w:rsidR="00DA70E6" w:rsidRPr="00DA70E6" w:rsidRDefault="00DA70E6" w:rsidP="00DA70E6">
      <w:pPr>
        <w:jc w:val="center"/>
        <w:rPr>
          <w:b/>
        </w:rPr>
      </w:pPr>
    </w:p>
    <w:p w14:paraId="5C5E0A4C" w14:textId="77777777" w:rsidR="00DA70E6" w:rsidRPr="00DA70E6" w:rsidRDefault="00DA70E6" w:rsidP="00DA70E6">
      <w:pPr>
        <w:jc w:val="center"/>
        <w:rPr>
          <w:b/>
        </w:rPr>
      </w:pPr>
    </w:p>
    <w:p w14:paraId="1EBDE778" w14:textId="77777777" w:rsidR="00DA70E6" w:rsidRPr="00DA70E6" w:rsidRDefault="00DA70E6" w:rsidP="00DA70E6">
      <w:pPr>
        <w:jc w:val="center"/>
        <w:rPr>
          <w:b/>
        </w:rPr>
      </w:pPr>
    </w:p>
    <w:p w14:paraId="7665A29C" w14:textId="77777777" w:rsidR="00DA70E6" w:rsidRPr="00DA70E6" w:rsidRDefault="00DA70E6" w:rsidP="00DA70E6">
      <w:pPr>
        <w:jc w:val="center"/>
        <w:rPr>
          <w:b/>
        </w:rPr>
      </w:pPr>
    </w:p>
    <w:p w14:paraId="341C2778" w14:textId="77777777" w:rsidR="00DA70E6" w:rsidRPr="00DA70E6" w:rsidRDefault="00DA70E6" w:rsidP="00DA70E6">
      <w:pPr>
        <w:jc w:val="center"/>
        <w:rPr>
          <w:b/>
        </w:rPr>
      </w:pPr>
    </w:p>
    <w:p w14:paraId="3722F68B" w14:textId="77777777" w:rsidR="00DA70E6" w:rsidRPr="00DA70E6" w:rsidRDefault="00DA70E6" w:rsidP="00DA70E6">
      <w:pPr>
        <w:jc w:val="center"/>
        <w:rPr>
          <w:b/>
        </w:rPr>
      </w:pPr>
    </w:p>
    <w:p w14:paraId="53590511" w14:textId="77777777" w:rsidR="00DA70E6" w:rsidRPr="00DA70E6" w:rsidRDefault="00DA70E6" w:rsidP="00DA70E6">
      <w:pPr>
        <w:jc w:val="center"/>
        <w:rPr>
          <w:b/>
        </w:rPr>
      </w:pPr>
    </w:p>
    <w:p w14:paraId="19243D76" w14:textId="77777777" w:rsidR="00DA70E6" w:rsidRPr="00DA70E6" w:rsidRDefault="00DA70E6" w:rsidP="00DA70E6">
      <w:pPr>
        <w:rPr>
          <w:b/>
        </w:rPr>
      </w:pPr>
    </w:p>
    <w:p w14:paraId="1E569B01" w14:textId="77777777" w:rsidR="00DA70E6" w:rsidRPr="00DA70E6" w:rsidRDefault="00DA70E6" w:rsidP="00DA70E6">
      <w:pPr>
        <w:jc w:val="center"/>
        <w:rPr>
          <w:b/>
        </w:rPr>
      </w:pPr>
      <w:r w:rsidRPr="00DA70E6">
        <w:rPr>
          <w:b/>
        </w:rPr>
        <w:t>I PRIEDAS</w:t>
      </w:r>
    </w:p>
    <w:p w14:paraId="7B85459C" w14:textId="77777777" w:rsidR="00DA70E6" w:rsidRPr="00DA70E6" w:rsidRDefault="00DA70E6" w:rsidP="00DA70E6">
      <w:pPr>
        <w:jc w:val="center"/>
        <w:rPr>
          <w:b/>
        </w:rPr>
      </w:pPr>
    </w:p>
    <w:p w14:paraId="42CC601E" w14:textId="77777777" w:rsidR="00DA70E6" w:rsidRPr="00DA70E6" w:rsidRDefault="00DA70E6" w:rsidP="00DA70E6">
      <w:pPr>
        <w:jc w:val="center"/>
        <w:rPr>
          <w:b/>
        </w:rPr>
      </w:pPr>
      <w:r w:rsidRPr="00DA70E6">
        <w:rPr>
          <w:b/>
        </w:rPr>
        <w:t>PREPARATO CHARAKTERISTIKŲ SANTRAUKA</w:t>
      </w:r>
    </w:p>
    <w:p w14:paraId="35902ED9" w14:textId="77777777" w:rsidR="00DA70E6" w:rsidRPr="00DA70E6" w:rsidRDefault="00DA70E6" w:rsidP="00DA70E6">
      <w:pPr>
        <w:rPr>
          <w:b/>
        </w:rPr>
      </w:pPr>
    </w:p>
    <w:p w14:paraId="77620D66" w14:textId="77777777" w:rsidR="00DA70E6" w:rsidRPr="00DA70E6" w:rsidRDefault="00DA70E6" w:rsidP="00DA70E6">
      <w:pPr>
        <w:rPr>
          <w:b/>
        </w:rPr>
      </w:pPr>
      <w:r w:rsidRPr="00DA70E6">
        <w:rPr>
          <w:b/>
        </w:rPr>
        <w:br w:type="page"/>
      </w:r>
      <w:r w:rsidRPr="00DA70E6">
        <w:rPr>
          <w:b/>
        </w:rPr>
        <w:lastRenderedPageBreak/>
        <w:t>1.</w:t>
      </w:r>
      <w:r w:rsidRPr="00DA70E6">
        <w:rPr>
          <w:b/>
        </w:rPr>
        <w:tab/>
        <w:t>VAISTINIO PREPARATO PAVADINIMAS</w:t>
      </w:r>
    </w:p>
    <w:p w14:paraId="07A908B4" w14:textId="77777777" w:rsidR="00DA70E6" w:rsidRPr="00DA70E6" w:rsidRDefault="00DA70E6" w:rsidP="00DA70E6"/>
    <w:p w14:paraId="7ABFA499" w14:textId="77777777" w:rsidR="00DA70E6" w:rsidRPr="00DA70E6" w:rsidRDefault="00DA70E6" w:rsidP="00DA70E6">
      <w:pPr>
        <w:rPr>
          <w:rFonts w:ascii="Calibri" w:eastAsia="Calibri" w:hAnsi="Calibri"/>
          <w:b/>
        </w:rPr>
      </w:pPr>
      <w:r w:rsidRPr="00DA70E6">
        <w:rPr>
          <w:rFonts w:eastAsia="TimesNewRoman"/>
        </w:rPr>
        <w:t>Emtricitabine/Tenofovir disoproxil Sandoz 200 mg/245 mg plėvele dengtos tabletės</w:t>
      </w:r>
    </w:p>
    <w:p w14:paraId="251A7F2A" w14:textId="77777777" w:rsidR="00DA70E6" w:rsidRPr="00DA70E6" w:rsidRDefault="00DA70E6" w:rsidP="00DA70E6">
      <w:pPr>
        <w:rPr>
          <w:b/>
        </w:rPr>
      </w:pPr>
    </w:p>
    <w:p w14:paraId="048D3239" w14:textId="77777777" w:rsidR="00DA70E6" w:rsidRPr="00DA70E6" w:rsidRDefault="00DA70E6" w:rsidP="00DA70E6">
      <w:pPr>
        <w:rPr>
          <w:b/>
        </w:rPr>
      </w:pPr>
    </w:p>
    <w:p w14:paraId="37CC5E85" w14:textId="77777777" w:rsidR="00DA70E6" w:rsidRPr="00DA70E6" w:rsidRDefault="00DA70E6" w:rsidP="00DA70E6">
      <w:pPr>
        <w:tabs>
          <w:tab w:val="left" w:pos="567"/>
        </w:tabs>
        <w:rPr>
          <w:b/>
        </w:rPr>
      </w:pPr>
      <w:r w:rsidRPr="00DA70E6">
        <w:rPr>
          <w:b/>
        </w:rPr>
        <w:t>2.</w:t>
      </w:r>
      <w:r w:rsidRPr="00DA70E6">
        <w:rPr>
          <w:b/>
        </w:rPr>
        <w:tab/>
        <w:t>KOKYBINĖ IR KIEKYBINĖ SUDĖTIS</w:t>
      </w:r>
    </w:p>
    <w:p w14:paraId="3652D56E" w14:textId="77777777" w:rsidR="00DA70E6" w:rsidRPr="00DA70E6" w:rsidRDefault="00DA70E6" w:rsidP="00DA70E6"/>
    <w:p w14:paraId="22D2B0E2" w14:textId="77777777" w:rsidR="00DA70E6" w:rsidRPr="00DA70E6" w:rsidRDefault="00DA70E6" w:rsidP="00DA70E6">
      <w:pPr>
        <w:rPr>
          <w:rFonts w:ascii="Calibri" w:eastAsia="Calibri" w:hAnsi="Calibri"/>
        </w:rPr>
      </w:pPr>
      <w:r w:rsidRPr="00DA70E6">
        <w:rPr>
          <w:rFonts w:eastAsia="TimesNewRoman"/>
        </w:rPr>
        <w:t xml:space="preserve">Kiekvienoje plėvele dengtoje tabletėje yra 200 mg emtricitabino ir 245 mg tenofoviro dizoproksilio. </w:t>
      </w:r>
    </w:p>
    <w:p w14:paraId="07D8925D" w14:textId="77777777" w:rsidR="00DA70E6" w:rsidRPr="00DA70E6" w:rsidRDefault="00DA70E6" w:rsidP="00DA70E6">
      <w:pPr>
        <w:rPr>
          <w:u w:val="single"/>
        </w:rPr>
      </w:pPr>
    </w:p>
    <w:p w14:paraId="1A73BF79" w14:textId="77777777" w:rsidR="00DA70E6" w:rsidRPr="00DA70E6" w:rsidRDefault="00DA70E6" w:rsidP="00DA70E6">
      <w:r w:rsidRPr="00DA70E6">
        <w:rPr>
          <w:u w:val="single"/>
        </w:rPr>
        <w:t>Pagalbinė medžiaga, kurios poveikis žinomas</w:t>
      </w:r>
      <w:r w:rsidRPr="00DA70E6">
        <w:t>:</w:t>
      </w:r>
    </w:p>
    <w:p w14:paraId="65853595" w14:textId="77777777" w:rsidR="00DA70E6" w:rsidRPr="00DA70E6" w:rsidRDefault="00DA70E6" w:rsidP="00DA70E6">
      <w:r w:rsidRPr="00DA70E6">
        <w:t>Kiekvienoje tabletėje yra 216 mg laktozės (monohidrato pavidalu).</w:t>
      </w:r>
    </w:p>
    <w:p w14:paraId="426590E9" w14:textId="77777777" w:rsidR="00DA70E6" w:rsidRPr="00DA70E6" w:rsidRDefault="00DA70E6" w:rsidP="00DA70E6"/>
    <w:p w14:paraId="4D75172E" w14:textId="77777777" w:rsidR="00DA70E6" w:rsidRPr="00DA70E6" w:rsidRDefault="00DA70E6" w:rsidP="00DA70E6">
      <w:r w:rsidRPr="00DA70E6">
        <w:t>Visos pagalbinės medžiagos išvardytos 6.1 skyriuje.</w:t>
      </w:r>
    </w:p>
    <w:p w14:paraId="20072611" w14:textId="77777777" w:rsidR="00DA70E6" w:rsidRPr="00DA70E6" w:rsidRDefault="00DA70E6" w:rsidP="00DA70E6">
      <w:pPr>
        <w:rPr>
          <w:b/>
        </w:rPr>
      </w:pPr>
    </w:p>
    <w:p w14:paraId="4D4C124C" w14:textId="77777777" w:rsidR="00DA70E6" w:rsidRPr="00DA70E6" w:rsidRDefault="00DA70E6" w:rsidP="00DA70E6">
      <w:pPr>
        <w:rPr>
          <w:b/>
        </w:rPr>
      </w:pPr>
    </w:p>
    <w:p w14:paraId="7A66C952" w14:textId="77777777" w:rsidR="00DA70E6" w:rsidRPr="00DA70E6" w:rsidRDefault="00DA70E6" w:rsidP="00DA70E6">
      <w:pPr>
        <w:tabs>
          <w:tab w:val="left" w:pos="567"/>
        </w:tabs>
        <w:rPr>
          <w:b/>
        </w:rPr>
      </w:pPr>
      <w:r w:rsidRPr="00DA70E6">
        <w:rPr>
          <w:b/>
        </w:rPr>
        <w:t>3.</w:t>
      </w:r>
      <w:r w:rsidRPr="00DA70E6">
        <w:rPr>
          <w:b/>
        </w:rPr>
        <w:tab/>
        <w:t>FARMACINĖ FORMA</w:t>
      </w:r>
    </w:p>
    <w:p w14:paraId="54463537" w14:textId="77777777" w:rsidR="00DA70E6" w:rsidRPr="00DA70E6" w:rsidRDefault="00DA70E6" w:rsidP="00DA70E6"/>
    <w:p w14:paraId="24746483" w14:textId="77777777" w:rsidR="00DA70E6" w:rsidRPr="00DA70E6" w:rsidRDefault="00DA70E6" w:rsidP="00DA70E6">
      <w:r w:rsidRPr="00DA70E6">
        <w:t>Plėvele dengta tabletė (tabletė).</w:t>
      </w:r>
    </w:p>
    <w:p w14:paraId="2040ADCA" w14:textId="77777777" w:rsidR="00DA70E6" w:rsidRPr="00DA70E6" w:rsidRDefault="00DA70E6" w:rsidP="00DA70E6">
      <w:pPr>
        <w:autoSpaceDE w:val="0"/>
        <w:autoSpaceDN w:val="0"/>
        <w:adjustRightInd w:val="0"/>
        <w:rPr>
          <w:rFonts w:eastAsia="TimesNewRoman"/>
          <w:b/>
        </w:rPr>
      </w:pPr>
    </w:p>
    <w:p w14:paraId="6C57DAB3" w14:textId="77777777" w:rsidR="00DA70E6" w:rsidRPr="00DA70E6" w:rsidRDefault="00DA70E6" w:rsidP="00DA70E6">
      <w:pPr>
        <w:rPr>
          <w:rFonts w:ascii="Calibri" w:eastAsia="Calibri" w:hAnsi="Calibri"/>
        </w:rPr>
      </w:pPr>
      <w:r w:rsidRPr="00DA70E6">
        <w:rPr>
          <w:rFonts w:eastAsia="TimesNewRoman"/>
        </w:rPr>
        <w:t>Mėlyna, kapsulės formos, apytiksliai 19 mm x 9 mm dydžio plėvele dengta tabletė, kurios vienoje pusėje įspausta „H“, o kitoje pusėje – „E29“.</w:t>
      </w:r>
    </w:p>
    <w:p w14:paraId="016DE756" w14:textId="77777777" w:rsidR="00DA70E6" w:rsidRPr="00DA70E6" w:rsidRDefault="00DA70E6" w:rsidP="00DA70E6">
      <w:pPr>
        <w:rPr>
          <w:b/>
        </w:rPr>
      </w:pPr>
    </w:p>
    <w:p w14:paraId="70508DB4" w14:textId="77777777" w:rsidR="00DA70E6" w:rsidRPr="00DA70E6" w:rsidRDefault="00DA70E6" w:rsidP="00DA70E6">
      <w:pPr>
        <w:rPr>
          <w:b/>
        </w:rPr>
      </w:pPr>
    </w:p>
    <w:p w14:paraId="5D592CD3" w14:textId="77777777" w:rsidR="00DA70E6" w:rsidRPr="00DA70E6" w:rsidRDefault="00DA70E6" w:rsidP="00DA70E6">
      <w:pPr>
        <w:tabs>
          <w:tab w:val="left" w:pos="567"/>
        </w:tabs>
        <w:rPr>
          <w:b/>
        </w:rPr>
      </w:pPr>
      <w:r w:rsidRPr="00DA70E6">
        <w:rPr>
          <w:b/>
        </w:rPr>
        <w:t>4.</w:t>
      </w:r>
      <w:r w:rsidRPr="00DA70E6">
        <w:rPr>
          <w:b/>
        </w:rPr>
        <w:tab/>
        <w:t>KLINIKINĖ INFORMACIJA</w:t>
      </w:r>
    </w:p>
    <w:p w14:paraId="41197863" w14:textId="77777777" w:rsidR="00DA70E6" w:rsidRPr="00DA70E6" w:rsidRDefault="00DA70E6" w:rsidP="00DA70E6">
      <w:pPr>
        <w:rPr>
          <w:b/>
        </w:rPr>
      </w:pPr>
    </w:p>
    <w:p w14:paraId="092C50B9" w14:textId="77777777" w:rsidR="00DA70E6" w:rsidRPr="00DA70E6" w:rsidRDefault="00DA70E6" w:rsidP="00DA70E6">
      <w:pPr>
        <w:tabs>
          <w:tab w:val="left" w:pos="567"/>
        </w:tabs>
        <w:rPr>
          <w:b/>
          <w:i/>
        </w:rPr>
      </w:pPr>
      <w:r w:rsidRPr="00DA70E6">
        <w:rPr>
          <w:b/>
        </w:rPr>
        <w:t>4.1</w:t>
      </w:r>
      <w:r w:rsidRPr="00DA70E6">
        <w:rPr>
          <w:b/>
        </w:rPr>
        <w:tab/>
        <w:t>Terapinės indikacijos</w:t>
      </w:r>
    </w:p>
    <w:p w14:paraId="04218C1F" w14:textId="77777777" w:rsidR="00DA70E6" w:rsidRPr="00DA70E6" w:rsidRDefault="00DA70E6" w:rsidP="00DA70E6">
      <w:pPr>
        <w:autoSpaceDE w:val="0"/>
        <w:autoSpaceDN w:val="0"/>
        <w:adjustRightInd w:val="0"/>
        <w:rPr>
          <w:rFonts w:eastAsia="TimesNewRoman"/>
        </w:rPr>
      </w:pPr>
    </w:p>
    <w:p w14:paraId="16093C9C" w14:textId="77777777" w:rsidR="00DA70E6" w:rsidRPr="00DA70E6" w:rsidRDefault="00DA70E6" w:rsidP="00DA70E6">
      <w:pPr>
        <w:autoSpaceDE w:val="0"/>
        <w:autoSpaceDN w:val="0"/>
        <w:adjustRightInd w:val="0"/>
        <w:rPr>
          <w:rFonts w:ascii="Calibri" w:eastAsia="TimesNewRoman" w:hAnsi="Calibri"/>
          <w:i/>
          <w:u w:val="single"/>
        </w:rPr>
      </w:pPr>
      <w:r w:rsidRPr="00DA70E6">
        <w:rPr>
          <w:rFonts w:eastAsia="TimesNewRoman"/>
          <w:i/>
          <w:u w:val="single"/>
        </w:rPr>
        <w:t>ŽIV-1 infekcijos gydymas</w:t>
      </w:r>
    </w:p>
    <w:p w14:paraId="7B66DAC0"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skirtas ŽIV-1 infekuotiems suaugusiesiems gydyti skiriant kombinuotą antiretrovirusinį gydymą (žr. 5.1 skyrių).</w:t>
      </w:r>
    </w:p>
    <w:p w14:paraId="33E2ECCA" w14:textId="77777777" w:rsidR="00DA70E6" w:rsidRPr="00DA70E6" w:rsidRDefault="00DA70E6" w:rsidP="00DA70E6">
      <w:pPr>
        <w:autoSpaceDE w:val="0"/>
        <w:autoSpaceDN w:val="0"/>
        <w:adjustRightInd w:val="0"/>
        <w:rPr>
          <w:rFonts w:eastAsia="TimesNewRoman"/>
        </w:rPr>
      </w:pPr>
    </w:p>
    <w:p w14:paraId="23A2D0BC" w14:textId="77777777" w:rsidR="00DA70E6" w:rsidRPr="007F6D1C" w:rsidRDefault="00DA70E6" w:rsidP="00DA70E6">
      <w:pPr>
        <w:autoSpaceDE w:val="0"/>
        <w:autoSpaceDN w:val="0"/>
        <w:adjustRightInd w:val="0"/>
        <w:rPr>
          <w:rFonts w:eastAsia="TimesNewRoman"/>
        </w:rPr>
      </w:pPr>
      <w:r w:rsidRPr="00DA70E6">
        <w:rPr>
          <w:rFonts w:eastAsia="TimesNewRoman"/>
        </w:rPr>
        <w:t xml:space="preserve">Emtricitabine/Tenofovir disoproxil Sandoz yra taip pat skirtas ŽIV-1 infekuotiems paaugliams gydyti, jeigu dėl atsparumo nukleotidų atvirkštinės transkriptazės inhibitoriams (NATI) arba toksinio poveikio negalima skirti pirmojo pasirinkimo vaistinių </w:t>
      </w:r>
      <w:r w:rsidRPr="007F6D1C">
        <w:rPr>
          <w:rFonts w:eastAsia="TimesNewRoman"/>
        </w:rPr>
        <w:t xml:space="preserve">preparatų </w:t>
      </w:r>
      <w:r w:rsidRPr="005C0E81">
        <w:rPr>
          <w:rFonts w:eastAsia="TimesNewRoman"/>
        </w:rPr>
        <w:t xml:space="preserve">(žr. </w:t>
      </w:r>
      <w:r w:rsidR="00ED3396" w:rsidRPr="005C0E81">
        <w:rPr>
          <w:rFonts w:eastAsia="TimesNewRoman"/>
        </w:rPr>
        <w:t xml:space="preserve">4.2, 4.4 ir </w:t>
      </w:r>
      <w:r w:rsidRPr="005C0E81">
        <w:rPr>
          <w:rFonts w:eastAsia="TimesNewRoman"/>
        </w:rPr>
        <w:t>5.1 skyri</w:t>
      </w:r>
      <w:r w:rsidR="00ED3396" w:rsidRPr="005C0E81">
        <w:rPr>
          <w:rFonts w:eastAsia="TimesNewRoman"/>
        </w:rPr>
        <w:t>us</w:t>
      </w:r>
      <w:r w:rsidRPr="005C0E81">
        <w:rPr>
          <w:rFonts w:eastAsia="TimesNewRoman"/>
        </w:rPr>
        <w:t>).</w:t>
      </w:r>
    </w:p>
    <w:p w14:paraId="382E7D7C" w14:textId="77777777" w:rsidR="00DA70E6" w:rsidRPr="00E1395D" w:rsidRDefault="00DA70E6" w:rsidP="00DA70E6">
      <w:pPr>
        <w:autoSpaceDE w:val="0"/>
        <w:autoSpaceDN w:val="0"/>
        <w:adjustRightInd w:val="0"/>
        <w:rPr>
          <w:rFonts w:eastAsia="TimesNewRoman"/>
        </w:rPr>
      </w:pPr>
    </w:p>
    <w:p w14:paraId="6A90D8EF" w14:textId="77777777" w:rsidR="00DA70E6" w:rsidRPr="00613B1F" w:rsidRDefault="00DA70E6" w:rsidP="00DA70E6">
      <w:pPr>
        <w:autoSpaceDE w:val="0"/>
        <w:autoSpaceDN w:val="0"/>
        <w:adjustRightInd w:val="0"/>
        <w:rPr>
          <w:rFonts w:ascii="Calibri" w:eastAsia="TimesNewRoman" w:hAnsi="Calibri"/>
          <w:i/>
          <w:u w:val="single"/>
        </w:rPr>
      </w:pPr>
      <w:r w:rsidRPr="00613B1F">
        <w:rPr>
          <w:rFonts w:eastAsia="TimesNewRoman"/>
          <w:i/>
          <w:u w:val="single"/>
        </w:rPr>
        <w:t>Preekspozicinė profilaktika (PrEP)</w:t>
      </w:r>
    </w:p>
    <w:p w14:paraId="51DF2F53" w14:textId="77777777" w:rsidR="00DA70E6" w:rsidRPr="00DA70E6" w:rsidRDefault="00DA70E6" w:rsidP="00DA70E6">
      <w:pPr>
        <w:autoSpaceDE w:val="0"/>
        <w:autoSpaceDN w:val="0"/>
        <w:adjustRightInd w:val="0"/>
        <w:rPr>
          <w:rFonts w:ascii="Calibri" w:eastAsia="TimesNewRoman" w:hAnsi="Calibri"/>
        </w:rPr>
      </w:pPr>
      <w:r w:rsidRPr="00613B1F">
        <w:rPr>
          <w:rFonts w:eastAsia="TimesNewRoman"/>
        </w:rPr>
        <w:t>Emtricitabine/Tenofovir disoproxil Sandoz skirtas derinyje su saugesnių lytinių santykių praktikavimu preekspozicinei profilaktikai, siekiant sumažinti užsikrėtimo lytiniu keliu plintančia ŽIV-1 infekcija riziką didelės rizikos grupės suaugusiesiems</w:t>
      </w:r>
      <w:r w:rsidR="00ED3396" w:rsidRPr="00613B1F">
        <w:rPr>
          <w:rFonts w:eastAsia="TimesNewRoman"/>
        </w:rPr>
        <w:t xml:space="preserve"> ir </w:t>
      </w:r>
      <w:r w:rsidR="00ED3396" w:rsidRPr="005C0E81">
        <w:rPr>
          <w:rFonts w:eastAsia="TimesNewRoman"/>
        </w:rPr>
        <w:t xml:space="preserve">paaugliams </w:t>
      </w:r>
      <w:r w:rsidRPr="005C0E81">
        <w:rPr>
          <w:rFonts w:eastAsia="TimesNewRoman"/>
        </w:rPr>
        <w:t xml:space="preserve">(žr. </w:t>
      </w:r>
      <w:r w:rsidR="00ED3396" w:rsidRPr="005C0E81">
        <w:rPr>
          <w:rFonts w:eastAsia="TimesNewRoman"/>
        </w:rPr>
        <w:t xml:space="preserve">4.2 </w:t>
      </w:r>
      <w:r w:rsidRPr="005C0E81">
        <w:rPr>
          <w:rFonts w:eastAsia="TimesNewRoman"/>
        </w:rPr>
        <w:t>4.4 ir 5.1 skyrius).</w:t>
      </w:r>
    </w:p>
    <w:p w14:paraId="7A276F92" w14:textId="77777777" w:rsidR="00DA70E6" w:rsidRPr="00DA70E6" w:rsidRDefault="00DA70E6" w:rsidP="00DA70E6"/>
    <w:p w14:paraId="55F02DDF" w14:textId="77777777" w:rsidR="00DA70E6" w:rsidRPr="00DA70E6" w:rsidRDefault="00DA70E6" w:rsidP="00DA70E6">
      <w:pPr>
        <w:ind w:left="567" w:hanging="567"/>
        <w:rPr>
          <w:b/>
          <w:i/>
        </w:rPr>
      </w:pPr>
      <w:r w:rsidRPr="00DA70E6">
        <w:rPr>
          <w:b/>
        </w:rPr>
        <w:t>4.2</w:t>
      </w:r>
      <w:r w:rsidRPr="00DA70E6">
        <w:rPr>
          <w:b/>
        </w:rPr>
        <w:tab/>
        <w:t>Dozavimas ir vartojimo metodas</w:t>
      </w:r>
    </w:p>
    <w:p w14:paraId="7A1CAB56" w14:textId="77777777" w:rsidR="00DA70E6" w:rsidRPr="00DA70E6" w:rsidRDefault="00DA70E6" w:rsidP="00DA70E6"/>
    <w:p w14:paraId="38E5EE97"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 xml:space="preserve">Gydymą Emtricitabine/Tenofovir disoproxil Sandoz turi pradėti gydytojas, turintis gydymo nuo ŽIV infekcijos patirties. </w:t>
      </w:r>
    </w:p>
    <w:p w14:paraId="67FEE381" w14:textId="77777777" w:rsidR="00DA70E6" w:rsidRPr="00DA70E6" w:rsidRDefault="00DA70E6" w:rsidP="00DA70E6">
      <w:pPr>
        <w:autoSpaceDE w:val="0"/>
        <w:autoSpaceDN w:val="0"/>
        <w:adjustRightInd w:val="0"/>
        <w:rPr>
          <w:rFonts w:eastAsia="TimesNewRoman"/>
        </w:rPr>
      </w:pPr>
    </w:p>
    <w:p w14:paraId="386AC519"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Dozavimas</w:t>
      </w:r>
    </w:p>
    <w:p w14:paraId="731825DF" w14:textId="77777777" w:rsidR="00DA70E6" w:rsidRPr="00DA70E6" w:rsidRDefault="00DA70E6" w:rsidP="00DA70E6">
      <w:pPr>
        <w:autoSpaceDE w:val="0"/>
        <w:autoSpaceDN w:val="0"/>
        <w:adjustRightInd w:val="0"/>
        <w:rPr>
          <w:rFonts w:eastAsia="TimesNewRoman"/>
        </w:rPr>
      </w:pPr>
    </w:p>
    <w:p w14:paraId="0071DB65" w14:textId="77777777" w:rsidR="00DA70E6" w:rsidRPr="00DA70E6" w:rsidRDefault="00DA70E6" w:rsidP="00DA70E6">
      <w:pPr>
        <w:autoSpaceDE w:val="0"/>
        <w:autoSpaceDN w:val="0"/>
        <w:adjustRightInd w:val="0"/>
        <w:rPr>
          <w:rFonts w:eastAsia="TimesNewRoman"/>
        </w:rPr>
      </w:pPr>
      <w:r w:rsidRPr="00DA70E6">
        <w:rPr>
          <w:rFonts w:eastAsia="TimesNewRoman"/>
          <w:i/>
        </w:rPr>
        <w:t>ŽIV gydymas suaugusiesiems ir 12 metų bei vyresniems paaugliams, sveriantiems ne mažiau kaip 35 kg</w:t>
      </w:r>
      <w:r w:rsidRPr="00DA70E6">
        <w:rPr>
          <w:rFonts w:eastAsia="TimesNewRoman"/>
        </w:rPr>
        <w:t>: viena tabletė vieną kartą per parą.</w:t>
      </w:r>
    </w:p>
    <w:p w14:paraId="2AFA5D14" w14:textId="77777777" w:rsidR="00DA70E6" w:rsidRPr="00DA70E6" w:rsidRDefault="00DA70E6" w:rsidP="00DA70E6">
      <w:pPr>
        <w:autoSpaceDE w:val="0"/>
        <w:autoSpaceDN w:val="0"/>
        <w:adjustRightInd w:val="0"/>
        <w:rPr>
          <w:rFonts w:eastAsia="TimesNewRoman"/>
        </w:rPr>
      </w:pPr>
    </w:p>
    <w:p w14:paraId="61D18242"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i/>
        </w:rPr>
        <w:t xml:space="preserve">ŽIV profilaktika </w:t>
      </w:r>
      <w:r w:rsidRPr="007F6D1C">
        <w:rPr>
          <w:rFonts w:eastAsia="TimesNewRoman"/>
          <w:i/>
        </w:rPr>
        <w:t>suaugusiesiems</w:t>
      </w:r>
      <w:r w:rsidR="00ED3396" w:rsidRPr="007F6D1C">
        <w:rPr>
          <w:rFonts w:eastAsia="TimesNewRoman"/>
          <w:i/>
        </w:rPr>
        <w:t xml:space="preserve"> </w:t>
      </w:r>
      <w:r w:rsidR="00ED3396" w:rsidRPr="005C0E81">
        <w:rPr>
          <w:rFonts w:eastAsia="TimesNewRoman"/>
          <w:i/>
        </w:rPr>
        <w:t>ir 12 metų arba vyresniems paaugliams, sveriantiems ne mažiau kaip 35 kg</w:t>
      </w:r>
      <w:r w:rsidRPr="005C0E81">
        <w:rPr>
          <w:rFonts w:eastAsia="TimesNewRoman"/>
        </w:rPr>
        <w:t>:</w:t>
      </w:r>
      <w:r w:rsidRPr="007F6D1C">
        <w:rPr>
          <w:rFonts w:eastAsia="TimesNewRoman"/>
        </w:rPr>
        <w:t xml:space="preserve"> viena tabletė vieną kartą per parą</w:t>
      </w:r>
      <w:r w:rsidRPr="00DA70E6">
        <w:rPr>
          <w:rFonts w:eastAsia="TimesNewRoman"/>
        </w:rPr>
        <w:t>.</w:t>
      </w:r>
    </w:p>
    <w:p w14:paraId="3D7F19F2" w14:textId="77777777" w:rsidR="00DA70E6" w:rsidRPr="00DA70E6" w:rsidRDefault="00DA70E6" w:rsidP="00DA70E6">
      <w:pPr>
        <w:autoSpaceDE w:val="0"/>
        <w:autoSpaceDN w:val="0"/>
        <w:adjustRightInd w:val="0"/>
        <w:rPr>
          <w:rFonts w:eastAsia="TimesNewRoman"/>
        </w:rPr>
      </w:pPr>
    </w:p>
    <w:p w14:paraId="501333BA"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ŽIV-1 infekcijai gydyti esama atskirų emtricitabino ir tenofoviro dizoproksilio preparatų, jeigu reikalinga nutraukti vieno iš Emtricitabine/Tenofovir disoproxil Sandoz komponentų vartojimą ar modifikuoti jo dozę. Žiūrėkite šių vaistinių preparatų charakteristikų santraukas.</w:t>
      </w:r>
    </w:p>
    <w:p w14:paraId="0BB4461B" w14:textId="77777777" w:rsidR="00DA70E6" w:rsidRPr="00DA70E6" w:rsidRDefault="00DA70E6" w:rsidP="00DA70E6">
      <w:pPr>
        <w:autoSpaceDE w:val="0"/>
        <w:autoSpaceDN w:val="0"/>
        <w:adjustRightInd w:val="0"/>
        <w:rPr>
          <w:rFonts w:eastAsia="TimesNewRoman"/>
        </w:rPr>
      </w:pPr>
    </w:p>
    <w:p w14:paraId="1DF243FD"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lastRenderedPageBreak/>
        <w:t>Jeigu po praleistos Emtricitabine/Tenofovir disoproxil Sandoz dozės praėjo ne daugiau kaip 12 valandų nuo įprasto vartojimo laiko, reikia praleistą Emtricitabine/Tenofovir disoproxil Sandoz dozę suvartoti kiek galima greičiau ir kitą dozę vartoti pagal įprastą vartojimo grafiką. Jeigu po praleistos Emtricitabine/Tenofovir disoproxil Sandoz dozės praėjo daugiau kaip 12 valandų bei netrukus reikės vartoti kitą dozę, praleistos dozės vartoti negalima; kitą dozę reikia vartoti pagal įprastą dozavimo grafiką.</w:t>
      </w:r>
    </w:p>
    <w:p w14:paraId="72271401" w14:textId="77777777" w:rsidR="00DA70E6" w:rsidRPr="00DA70E6" w:rsidRDefault="00DA70E6" w:rsidP="00DA70E6">
      <w:pPr>
        <w:autoSpaceDE w:val="0"/>
        <w:autoSpaceDN w:val="0"/>
        <w:adjustRightInd w:val="0"/>
        <w:rPr>
          <w:rFonts w:eastAsia="TimesNewRoman"/>
        </w:rPr>
      </w:pPr>
    </w:p>
    <w:p w14:paraId="6037550F"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Jeigu po Emtricitabine/Tenofovir disoproxil Sandoz suvartojimo valandos laikotarpiu pasireiškia vėmimas, reikia suvartoti dar vieną tabletę. Jeigu vemiama praėjus daugiau kaip 1 valandai nuo Emtricitabine/Tenofovir disoproxil Sandoz vartojimo, kitos dozės vartoti negalima.</w:t>
      </w:r>
    </w:p>
    <w:p w14:paraId="45C71377" w14:textId="77777777" w:rsidR="00DA70E6" w:rsidRPr="00DA70E6" w:rsidRDefault="00DA70E6" w:rsidP="00DA70E6">
      <w:pPr>
        <w:autoSpaceDE w:val="0"/>
        <w:autoSpaceDN w:val="0"/>
        <w:adjustRightInd w:val="0"/>
        <w:rPr>
          <w:rFonts w:eastAsia="TimesNewRoman"/>
        </w:rPr>
      </w:pPr>
    </w:p>
    <w:p w14:paraId="01428F1B" w14:textId="77777777" w:rsidR="00DA70E6" w:rsidRPr="00DA70E6" w:rsidRDefault="00DA70E6" w:rsidP="00DA70E6">
      <w:pPr>
        <w:autoSpaceDE w:val="0"/>
        <w:autoSpaceDN w:val="0"/>
        <w:adjustRightInd w:val="0"/>
        <w:rPr>
          <w:rFonts w:ascii="Calibri" w:eastAsia="TimesNewRoman" w:hAnsi="Calibri"/>
          <w:i/>
          <w:u w:val="single"/>
        </w:rPr>
      </w:pPr>
      <w:r w:rsidRPr="00DA70E6">
        <w:rPr>
          <w:rFonts w:eastAsia="TimesNewRoman"/>
          <w:i/>
          <w:u w:val="single"/>
        </w:rPr>
        <w:t>Ypatingos populiacijos</w:t>
      </w:r>
    </w:p>
    <w:p w14:paraId="7178AE3C" w14:textId="77777777" w:rsidR="00DA70E6" w:rsidRPr="00DA70E6" w:rsidRDefault="00DA70E6" w:rsidP="00DA70E6">
      <w:pPr>
        <w:autoSpaceDE w:val="0"/>
        <w:autoSpaceDN w:val="0"/>
        <w:adjustRightInd w:val="0"/>
        <w:rPr>
          <w:rFonts w:eastAsia="TimesNewRoman"/>
        </w:rPr>
      </w:pPr>
    </w:p>
    <w:p w14:paraId="3DC1332D"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i/>
        </w:rPr>
        <w:t>Senyviems pacientams</w:t>
      </w:r>
      <w:r w:rsidRPr="00DA70E6">
        <w:rPr>
          <w:rFonts w:eastAsia="TimesNewRoman"/>
        </w:rPr>
        <w:t>: dozės priderinimas nereikalingas (žr. 5.2 skyrių).</w:t>
      </w:r>
    </w:p>
    <w:p w14:paraId="37D522A2" w14:textId="77777777" w:rsidR="00DA70E6" w:rsidRPr="00DA70E6" w:rsidRDefault="00DA70E6" w:rsidP="00DA70E6">
      <w:pPr>
        <w:autoSpaceDE w:val="0"/>
        <w:autoSpaceDN w:val="0"/>
        <w:adjustRightInd w:val="0"/>
        <w:rPr>
          <w:rFonts w:eastAsia="TimesNewRoman"/>
        </w:rPr>
      </w:pPr>
    </w:p>
    <w:p w14:paraId="069E802A"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i/>
        </w:rPr>
        <w:t>Pacientams, kurių inkstų funkcija sutrikusi:</w:t>
      </w:r>
      <w:r w:rsidRPr="00DA70E6">
        <w:rPr>
          <w:rFonts w:eastAsia="TimesNewRoman"/>
        </w:rPr>
        <w:t xml:space="preserve"> emtricitabinas ir tenofoviras yra šalinami pro inkstus, todėl asmenims, kurių inkstų funkcija sutrikusi, ekspozicija emtricitabinu ir tenofoviru būna didesnė (žr. 4.4 ir 5.2 skyrius).</w:t>
      </w:r>
    </w:p>
    <w:p w14:paraId="09A78089" w14:textId="77777777" w:rsidR="00DA70E6" w:rsidRPr="00DA70E6" w:rsidRDefault="00DA70E6" w:rsidP="00DA70E6">
      <w:pPr>
        <w:autoSpaceDE w:val="0"/>
        <w:autoSpaceDN w:val="0"/>
        <w:adjustRightInd w:val="0"/>
        <w:rPr>
          <w:rFonts w:eastAsia="TimesNewRoman"/>
          <w:i/>
        </w:rPr>
      </w:pPr>
    </w:p>
    <w:p w14:paraId="79FAC0DD" w14:textId="77777777" w:rsidR="00DA70E6" w:rsidRPr="00DA70E6" w:rsidRDefault="00DA70E6" w:rsidP="00DA70E6">
      <w:pPr>
        <w:autoSpaceDE w:val="0"/>
        <w:autoSpaceDN w:val="0"/>
        <w:adjustRightInd w:val="0"/>
        <w:rPr>
          <w:rFonts w:eastAsia="TimesNewRoman"/>
          <w:i/>
        </w:rPr>
      </w:pPr>
      <w:r w:rsidRPr="00DA70E6">
        <w:rPr>
          <w:rFonts w:eastAsia="TimesNewRoman"/>
          <w:i/>
        </w:rPr>
        <w:t>Suaugusiesiems, kurių inkstų funkcija sutrikusi</w:t>
      </w:r>
    </w:p>
    <w:p w14:paraId="23C5C7DC"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asmenims, kurių kreatinino klirensas (KrKl) yra &lt; 80 ml/min., galima skirti tik manant, jog galima nauda viršija galimą riziką. Žr. 1 lentelę.</w:t>
      </w:r>
    </w:p>
    <w:p w14:paraId="75911A36" w14:textId="77777777" w:rsidR="00DA70E6" w:rsidRPr="00DA70E6" w:rsidRDefault="00DA70E6" w:rsidP="00DA70E6">
      <w:pPr>
        <w:autoSpaceDE w:val="0"/>
        <w:autoSpaceDN w:val="0"/>
        <w:adjustRightInd w:val="0"/>
        <w:rPr>
          <w:rFonts w:eastAsia="TimesNewRoman"/>
        </w:rPr>
      </w:pPr>
    </w:p>
    <w:p w14:paraId="5AA77AE8" w14:textId="77777777" w:rsidR="00DA70E6" w:rsidRPr="00DA70E6" w:rsidRDefault="00DA70E6" w:rsidP="00DA70E6">
      <w:pPr>
        <w:autoSpaceDE w:val="0"/>
        <w:autoSpaceDN w:val="0"/>
        <w:adjustRightInd w:val="0"/>
        <w:rPr>
          <w:rFonts w:ascii="Calibri" w:eastAsia="TimesNewRoman" w:hAnsi="Calibri"/>
          <w:b/>
        </w:rPr>
      </w:pPr>
      <w:r w:rsidRPr="00DA70E6">
        <w:rPr>
          <w:rFonts w:eastAsia="TimesNewRoman"/>
          <w:b/>
        </w:rPr>
        <w:t>1 lentelė. Dozavimo rekomendacijos suaugusiesiems, kurių inkstų funkcija sutrikusi</w:t>
      </w:r>
    </w:p>
    <w:p w14:paraId="662308B2" w14:textId="77777777" w:rsidR="00DA70E6" w:rsidRPr="00DA70E6" w:rsidRDefault="00DA70E6" w:rsidP="00DA70E6">
      <w:pPr>
        <w:autoSpaceDE w:val="0"/>
        <w:autoSpaceDN w:val="0"/>
        <w:adjustRightInd w:val="0"/>
        <w:rPr>
          <w:rFonts w:eastAsia="TimesNew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3018"/>
        <w:gridCol w:w="3020"/>
      </w:tblGrid>
      <w:tr w:rsidR="00EA3053" w:rsidRPr="00DA70E6" w14:paraId="0AEAC20A" w14:textId="77777777" w:rsidTr="005C0E81">
        <w:tc>
          <w:tcPr>
            <w:tcW w:w="2842" w:type="dxa"/>
          </w:tcPr>
          <w:p w14:paraId="69117C83" w14:textId="77777777" w:rsidR="00DA70E6" w:rsidRPr="00DA70E6" w:rsidRDefault="00DA70E6" w:rsidP="00DA70E6"/>
        </w:tc>
        <w:tc>
          <w:tcPr>
            <w:tcW w:w="3092" w:type="dxa"/>
          </w:tcPr>
          <w:p w14:paraId="5EE2A45A" w14:textId="77777777" w:rsidR="00DA70E6" w:rsidRPr="00DA70E6" w:rsidRDefault="00DA70E6" w:rsidP="00DA70E6">
            <w:r w:rsidRPr="00DA70E6">
              <w:rPr>
                <w:b/>
                <w:color w:val="000000"/>
              </w:rPr>
              <w:t>ŽIV-1 infekcijos gydymas</w:t>
            </w:r>
          </w:p>
        </w:tc>
        <w:tc>
          <w:tcPr>
            <w:tcW w:w="3092" w:type="dxa"/>
          </w:tcPr>
          <w:p w14:paraId="37C7E6B7" w14:textId="77777777" w:rsidR="00DA70E6" w:rsidRPr="00DA70E6" w:rsidRDefault="007D4D7E" w:rsidP="007D4D7E">
            <w:r>
              <w:rPr>
                <w:b/>
                <w:color w:val="000000"/>
              </w:rPr>
              <w:t>Pree</w:t>
            </w:r>
            <w:r w:rsidR="00DA70E6" w:rsidRPr="00DA70E6">
              <w:rPr>
                <w:b/>
                <w:color w:val="000000"/>
              </w:rPr>
              <w:t>kspozicinė profilaktika</w:t>
            </w:r>
          </w:p>
        </w:tc>
      </w:tr>
      <w:tr w:rsidR="00DA70E6" w:rsidRPr="00DA70E6" w14:paraId="7B3961A2" w14:textId="77777777" w:rsidTr="00EA3053">
        <w:tc>
          <w:tcPr>
            <w:tcW w:w="2842" w:type="dxa"/>
          </w:tcPr>
          <w:p w14:paraId="6B22BF04" w14:textId="77777777" w:rsidR="00DA70E6" w:rsidRPr="00DA70E6" w:rsidRDefault="00DA70E6" w:rsidP="00DA70E6">
            <w:r w:rsidRPr="00DA70E6">
              <w:t>Lengvas inkstų funkcijos sutrikimas</w:t>
            </w:r>
          </w:p>
          <w:p w14:paraId="2F06DDF0" w14:textId="77777777" w:rsidR="00DA70E6" w:rsidRPr="00DA70E6" w:rsidRDefault="00DA70E6" w:rsidP="00DA70E6">
            <w:r w:rsidRPr="00DA70E6">
              <w:t>(KrKl 50–80 ml/min.)</w:t>
            </w:r>
          </w:p>
        </w:tc>
        <w:tc>
          <w:tcPr>
            <w:tcW w:w="3092" w:type="dxa"/>
          </w:tcPr>
          <w:p w14:paraId="357CFFCD" w14:textId="77777777" w:rsidR="00DA70E6" w:rsidRPr="00DA70E6" w:rsidRDefault="00C23D69" w:rsidP="00C23D69">
            <w:r>
              <w:t>Dozavimas kartą per parą yra pagrįstas ribotais</w:t>
            </w:r>
            <w:r w:rsidR="00DA70E6" w:rsidRPr="00DA70E6">
              <w:t xml:space="preserve"> klinikinių tyrimų duomen</w:t>
            </w:r>
            <w:r>
              <w:t>imis</w:t>
            </w:r>
            <w:r w:rsidR="00DA70E6" w:rsidRPr="00DA70E6">
              <w:t xml:space="preserve"> (žr. 4.4 skyrių).</w:t>
            </w:r>
          </w:p>
        </w:tc>
        <w:tc>
          <w:tcPr>
            <w:tcW w:w="3092" w:type="dxa"/>
          </w:tcPr>
          <w:p w14:paraId="176E3D7B" w14:textId="77777777" w:rsidR="00DA70E6" w:rsidRPr="00DA70E6" w:rsidRDefault="00C23D69" w:rsidP="00202CF6">
            <w:r>
              <w:rPr>
                <w:color w:val="000000"/>
              </w:rPr>
              <w:t>Dozavimas kartą per parą</w:t>
            </w:r>
            <w:r w:rsidR="00DA70E6" w:rsidRPr="00DA70E6">
              <w:rPr>
                <w:color w:val="000000"/>
              </w:rPr>
              <w:t xml:space="preserve"> ŽIV-1 neinfekuotiems asmenims, kurių KrKl 60–80 ml/min.</w:t>
            </w:r>
            <w:r w:rsidR="00202CF6">
              <w:rPr>
                <w:color w:val="000000"/>
              </w:rPr>
              <w:t xml:space="preserve"> </w:t>
            </w:r>
            <w:r>
              <w:t>yra pagrįstas ribotais</w:t>
            </w:r>
            <w:r w:rsidRPr="00DA70E6">
              <w:t xml:space="preserve"> klinikinių tyrimų duomen</w:t>
            </w:r>
            <w:r>
              <w:t>imis</w:t>
            </w:r>
            <w:r w:rsidR="00DA70E6" w:rsidRPr="00DA70E6">
              <w:rPr>
                <w:color w:val="000000"/>
              </w:rPr>
              <w:t xml:space="preserve">. </w:t>
            </w:r>
            <w:r>
              <w:t>Vartojimas nerekomenduojamas</w:t>
            </w:r>
            <w:r w:rsidR="00DA70E6" w:rsidRPr="00DA70E6">
              <w:rPr>
                <w:color w:val="000000"/>
              </w:rPr>
              <w:t xml:space="preserve"> </w:t>
            </w:r>
            <w:r>
              <w:rPr>
                <w:color w:val="000000"/>
              </w:rPr>
              <w:t xml:space="preserve"> </w:t>
            </w:r>
            <w:r w:rsidR="00DA70E6" w:rsidRPr="00DA70E6">
              <w:rPr>
                <w:color w:val="000000"/>
              </w:rPr>
              <w:t>ŽIV-1 neinfekuotiems asmenims, kurių KrKl &lt; 60 ml/min., nes vartojimas šiai populiacijai neištirtas (žr. 4.4 ir 5.2 skyrius).</w:t>
            </w:r>
          </w:p>
        </w:tc>
      </w:tr>
      <w:tr w:rsidR="00DA70E6" w:rsidRPr="00DA70E6" w14:paraId="61EB6E0A" w14:textId="77777777" w:rsidTr="00EA3053">
        <w:tc>
          <w:tcPr>
            <w:tcW w:w="2842" w:type="dxa"/>
          </w:tcPr>
          <w:p w14:paraId="63638EC4" w14:textId="77777777" w:rsidR="00DA70E6" w:rsidRPr="00DA70E6" w:rsidRDefault="00DA70E6" w:rsidP="00DA70E6">
            <w:r w:rsidRPr="00DA70E6">
              <w:t>Vidutinio sunkumo inkstų funkcijos sutrikimas (KrKl 30–49 ml/min.)</w:t>
            </w:r>
          </w:p>
        </w:tc>
        <w:tc>
          <w:tcPr>
            <w:tcW w:w="3092" w:type="dxa"/>
          </w:tcPr>
          <w:p w14:paraId="7D68EC69" w14:textId="77777777" w:rsidR="00DA70E6" w:rsidRPr="00DA70E6" w:rsidRDefault="00DA70E6" w:rsidP="00C23D69">
            <w:r w:rsidRPr="00DA70E6">
              <w:t>Remiantis emtricitabino ir tenofoviro dizoproksilio vienkartinės dozės farmakokinetikos duomenų modeliavimu ŽIV neinfekuotiems tiriamiesiems su įvairaus laipsnio inkstų funkcijos sutrikimu, rekomenduojama vartoti kas 48 valandas (žr. 4.4 skyrių).</w:t>
            </w:r>
          </w:p>
        </w:tc>
        <w:tc>
          <w:tcPr>
            <w:tcW w:w="3092" w:type="dxa"/>
          </w:tcPr>
          <w:p w14:paraId="3D4277F9" w14:textId="77777777" w:rsidR="00DA70E6" w:rsidRPr="00DA70E6" w:rsidRDefault="00C23D69" w:rsidP="00DA70E6">
            <w:pPr>
              <w:autoSpaceDE w:val="0"/>
              <w:autoSpaceDN w:val="0"/>
              <w:adjustRightInd w:val="0"/>
              <w:rPr>
                <w:color w:val="000000"/>
              </w:rPr>
            </w:pPr>
            <w:r>
              <w:rPr>
                <w:color w:val="000000"/>
              </w:rPr>
              <w:t>N</w:t>
            </w:r>
            <w:r w:rsidR="00DA70E6" w:rsidRPr="00DA70E6">
              <w:rPr>
                <w:color w:val="000000"/>
              </w:rPr>
              <w:t xml:space="preserve">erekomenduojama vartoti šios populiacijos žmonėms. </w:t>
            </w:r>
          </w:p>
          <w:p w14:paraId="3A0160CD" w14:textId="77777777" w:rsidR="00DA70E6" w:rsidRPr="00DA70E6" w:rsidRDefault="00DA70E6" w:rsidP="00DA70E6"/>
        </w:tc>
      </w:tr>
      <w:tr w:rsidR="00DA70E6" w:rsidRPr="00DA70E6" w14:paraId="44A928FF" w14:textId="77777777" w:rsidTr="00EA3053">
        <w:tc>
          <w:tcPr>
            <w:tcW w:w="2842" w:type="dxa"/>
          </w:tcPr>
          <w:p w14:paraId="1FE9601C" w14:textId="77777777" w:rsidR="00DA70E6" w:rsidRPr="00DA70E6" w:rsidRDefault="00DA70E6" w:rsidP="00DA70E6">
            <w:r w:rsidRPr="00DA70E6">
              <w:t>Sunkus inkstų funkcijos sutrikimas</w:t>
            </w:r>
          </w:p>
          <w:p w14:paraId="5718C9EB" w14:textId="77777777" w:rsidR="00DA70E6" w:rsidRPr="00DA70E6" w:rsidRDefault="00DA70E6" w:rsidP="00DA70E6">
            <w:r w:rsidRPr="00DA70E6">
              <w:t>(KrKl &lt; 30 ml/min.) ir hemodializuojami pacientai</w:t>
            </w:r>
          </w:p>
        </w:tc>
        <w:tc>
          <w:tcPr>
            <w:tcW w:w="3092" w:type="dxa"/>
          </w:tcPr>
          <w:p w14:paraId="6D071B9A" w14:textId="77777777" w:rsidR="00DA70E6" w:rsidRPr="00DA70E6" w:rsidRDefault="00C23D69" w:rsidP="00C23D69">
            <w:r>
              <w:t>V</w:t>
            </w:r>
            <w:r w:rsidR="00DA70E6" w:rsidRPr="00DA70E6">
              <w:t>artoti nerekomenduojama, nes vartojant sudėtinę tabletę negalima tinkamai sumažinti dozės.</w:t>
            </w:r>
          </w:p>
        </w:tc>
        <w:tc>
          <w:tcPr>
            <w:tcW w:w="3092" w:type="dxa"/>
          </w:tcPr>
          <w:p w14:paraId="44BADDFA" w14:textId="77777777" w:rsidR="00DA70E6" w:rsidRPr="00DA70E6" w:rsidRDefault="00C23D69" w:rsidP="00DA70E6">
            <w:pPr>
              <w:autoSpaceDE w:val="0"/>
              <w:autoSpaceDN w:val="0"/>
              <w:adjustRightInd w:val="0"/>
              <w:rPr>
                <w:color w:val="000000"/>
              </w:rPr>
            </w:pPr>
            <w:r w:rsidRPr="00B00379">
              <w:rPr>
                <w:color w:val="000000"/>
              </w:rPr>
              <w:t>N</w:t>
            </w:r>
            <w:r w:rsidR="00DA70E6" w:rsidRPr="00B00379">
              <w:rPr>
                <w:color w:val="000000"/>
              </w:rPr>
              <w:t>erekomenduojama</w:t>
            </w:r>
            <w:r w:rsidR="00DA70E6" w:rsidRPr="00DA70E6">
              <w:rPr>
                <w:color w:val="000000"/>
              </w:rPr>
              <w:t xml:space="preserve"> vartoti šios populiacijos žmonėms. </w:t>
            </w:r>
          </w:p>
          <w:p w14:paraId="4FE2A38D" w14:textId="77777777" w:rsidR="00DA70E6" w:rsidRPr="00DA70E6" w:rsidRDefault="00DA70E6" w:rsidP="00DA70E6"/>
        </w:tc>
      </w:tr>
    </w:tbl>
    <w:p w14:paraId="28969122" w14:textId="77777777" w:rsidR="00DA70E6" w:rsidRPr="00DA70E6" w:rsidRDefault="00DA70E6" w:rsidP="00DA70E6">
      <w:pPr>
        <w:autoSpaceDE w:val="0"/>
        <w:autoSpaceDN w:val="0"/>
        <w:adjustRightInd w:val="0"/>
        <w:rPr>
          <w:rFonts w:eastAsia="TimesNewRoman"/>
        </w:rPr>
      </w:pPr>
    </w:p>
    <w:p w14:paraId="334A9EAB" w14:textId="77777777" w:rsidR="00DA70E6" w:rsidRPr="007F6D1C" w:rsidRDefault="00DA70E6" w:rsidP="00DA70E6">
      <w:pPr>
        <w:autoSpaceDE w:val="0"/>
        <w:autoSpaceDN w:val="0"/>
        <w:adjustRightInd w:val="0"/>
        <w:rPr>
          <w:rFonts w:eastAsia="TimesNewRoman"/>
          <w:i/>
        </w:rPr>
      </w:pPr>
      <w:r w:rsidRPr="007F6D1C">
        <w:rPr>
          <w:rFonts w:eastAsia="TimesNewRoman"/>
          <w:i/>
        </w:rPr>
        <w:t>Vaikams, kurių inkstų funkcija sutrikusi</w:t>
      </w:r>
    </w:p>
    <w:p w14:paraId="50B5CD61" w14:textId="77777777" w:rsidR="00DA70E6" w:rsidRPr="00DA70E6" w:rsidRDefault="00ED3396" w:rsidP="00DA70E6">
      <w:pPr>
        <w:autoSpaceDE w:val="0"/>
        <w:autoSpaceDN w:val="0"/>
        <w:adjustRightInd w:val="0"/>
        <w:rPr>
          <w:rFonts w:eastAsia="TimesNewRoman"/>
        </w:rPr>
      </w:pPr>
      <w:r w:rsidRPr="005C0E81">
        <w:rPr>
          <w:rFonts w:eastAsia="TimesNewRoman"/>
        </w:rPr>
        <w:t>Nerekomenduojamas vartoti jaunesniems kaip 18 metų amžiaus asmenims</w:t>
      </w:r>
      <w:r w:rsidR="00DA70E6" w:rsidRPr="005C0E81">
        <w:rPr>
          <w:rFonts w:eastAsia="TimesNewRoman"/>
        </w:rPr>
        <w:t>, kurių inkstų funkcija sutrikusi (žr. 4.4 skyrių).</w:t>
      </w:r>
    </w:p>
    <w:p w14:paraId="6994D21C" w14:textId="77777777" w:rsidR="00DA70E6" w:rsidRPr="00DA70E6" w:rsidRDefault="00DA70E6" w:rsidP="00DA70E6">
      <w:pPr>
        <w:autoSpaceDE w:val="0"/>
        <w:autoSpaceDN w:val="0"/>
        <w:adjustRightInd w:val="0"/>
        <w:rPr>
          <w:rFonts w:eastAsia="TimesNewRoman"/>
          <w:i/>
        </w:rPr>
      </w:pPr>
    </w:p>
    <w:p w14:paraId="0D4D6E24"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i/>
        </w:rPr>
        <w:lastRenderedPageBreak/>
        <w:t>Pacientams, kurių kepenų funkcija sutrikusi</w:t>
      </w:r>
      <w:r w:rsidRPr="00DA70E6">
        <w:rPr>
          <w:rFonts w:eastAsia="TimesNewRoman"/>
        </w:rPr>
        <w:t>: pacientams, kuriems yra kepenų funkcijos sutrikimų, dozės priderinimas nereikalingas (žr. 4.4 ir 5.2 skyrius).</w:t>
      </w:r>
    </w:p>
    <w:p w14:paraId="6E87191E" w14:textId="77777777" w:rsidR="00DA70E6" w:rsidRPr="00DA70E6" w:rsidRDefault="00DA70E6" w:rsidP="00DA70E6">
      <w:pPr>
        <w:autoSpaceDE w:val="0"/>
        <w:autoSpaceDN w:val="0"/>
        <w:adjustRightInd w:val="0"/>
        <w:rPr>
          <w:rFonts w:eastAsia="TimesNewRoman"/>
        </w:rPr>
      </w:pPr>
    </w:p>
    <w:p w14:paraId="4FDB7D06"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i/>
        </w:rPr>
        <w:t>Vaikų populiacija</w:t>
      </w:r>
      <w:r w:rsidRPr="00DA70E6">
        <w:rPr>
          <w:rFonts w:eastAsia="TimesNewRoman"/>
        </w:rPr>
        <w:t>: emtricitabino/</w:t>
      </w:r>
      <w:r w:rsidRPr="00DA70E6">
        <w:t xml:space="preserve"> </w:t>
      </w:r>
      <w:r w:rsidRPr="00DA70E6">
        <w:rPr>
          <w:rFonts w:eastAsia="TimesNewRoman"/>
        </w:rPr>
        <w:t>tenofoviro dizoproksilio saugumas ir veiksmingumas jaunesniems negu 12 metų vaikams dar neištirtas (žr. 5.2 skyrių).</w:t>
      </w:r>
    </w:p>
    <w:p w14:paraId="32582307" w14:textId="77777777" w:rsidR="00DA70E6" w:rsidRPr="00DA70E6" w:rsidRDefault="00DA70E6" w:rsidP="00DA70E6">
      <w:pPr>
        <w:autoSpaceDE w:val="0"/>
        <w:autoSpaceDN w:val="0"/>
        <w:adjustRightInd w:val="0"/>
        <w:rPr>
          <w:rFonts w:eastAsia="TimesNewRoman"/>
        </w:rPr>
      </w:pPr>
    </w:p>
    <w:p w14:paraId="7A4480D5"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Vartojimo metodas</w:t>
      </w:r>
    </w:p>
    <w:p w14:paraId="310F5B8C" w14:textId="77777777" w:rsidR="00DA70E6" w:rsidRPr="00DA70E6" w:rsidRDefault="00DA70E6" w:rsidP="00DA70E6">
      <w:pPr>
        <w:autoSpaceDE w:val="0"/>
        <w:autoSpaceDN w:val="0"/>
        <w:adjustRightInd w:val="0"/>
        <w:rPr>
          <w:rFonts w:eastAsia="TimesNewRoman"/>
        </w:rPr>
      </w:pPr>
    </w:p>
    <w:p w14:paraId="3537E08D"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Vartoti per burną. Emtricitabine/Tenofovir disoproxil Sandoz pageidautina vartoti su maistu.</w:t>
      </w:r>
    </w:p>
    <w:p w14:paraId="3BAE6122"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tabletes galima ištirpdyti maždaug 100 ml vandens, apelsinų ar vynuogių sulčių ir po to nedelsiant išgerti.</w:t>
      </w:r>
    </w:p>
    <w:p w14:paraId="2BD11C03" w14:textId="77777777" w:rsidR="00DA70E6" w:rsidRPr="00DA70E6" w:rsidRDefault="00DA70E6" w:rsidP="00DA70E6">
      <w:pPr>
        <w:autoSpaceDE w:val="0"/>
        <w:autoSpaceDN w:val="0"/>
        <w:adjustRightInd w:val="0"/>
        <w:rPr>
          <w:rFonts w:eastAsia="TimesNewRoman"/>
        </w:rPr>
      </w:pPr>
    </w:p>
    <w:p w14:paraId="102C5D95" w14:textId="77777777" w:rsidR="00DA70E6" w:rsidRPr="00DA70E6" w:rsidRDefault="00DA70E6" w:rsidP="00DA70E6">
      <w:pPr>
        <w:autoSpaceDE w:val="0"/>
        <w:autoSpaceDN w:val="0"/>
        <w:adjustRightInd w:val="0"/>
        <w:rPr>
          <w:rFonts w:ascii="Calibri" w:eastAsia="TimesNewRoman" w:hAnsi="Calibri"/>
          <w:b/>
        </w:rPr>
      </w:pPr>
      <w:r w:rsidRPr="00DA70E6">
        <w:rPr>
          <w:rFonts w:eastAsia="TimesNewRoman"/>
          <w:b/>
        </w:rPr>
        <w:t>4.3</w:t>
      </w:r>
      <w:r w:rsidRPr="00DA70E6">
        <w:rPr>
          <w:rFonts w:eastAsia="TimesNewRoman"/>
          <w:b/>
        </w:rPr>
        <w:tab/>
        <w:t>Kontraindikacijos</w:t>
      </w:r>
    </w:p>
    <w:p w14:paraId="110EE357" w14:textId="77777777" w:rsidR="00DA70E6" w:rsidRPr="00DA70E6" w:rsidRDefault="00DA70E6" w:rsidP="00DA70E6">
      <w:pPr>
        <w:autoSpaceDE w:val="0"/>
        <w:autoSpaceDN w:val="0"/>
        <w:adjustRightInd w:val="0"/>
        <w:rPr>
          <w:rFonts w:eastAsia="TimesNewRoman"/>
        </w:rPr>
      </w:pPr>
    </w:p>
    <w:p w14:paraId="03343BA7"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Padidėjęs jautrumas veikliosioms medžiagoms arba bet kuriai 6.1 skyriuje nurodytai pagalbinei medžiagai.</w:t>
      </w:r>
    </w:p>
    <w:p w14:paraId="05E12E3E" w14:textId="77777777" w:rsidR="00DA70E6" w:rsidRPr="00DA70E6" w:rsidRDefault="00DA70E6" w:rsidP="00DA70E6">
      <w:pPr>
        <w:autoSpaceDE w:val="0"/>
        <w:autoSpaceDN w:val="0"/>
        <w:adjustRightInd w:val="0"/>
        <w:rPr>
          <w:rFonts w:eastAsia="TimesNewRoman"/>
        </w:rPr>
      </w:pPr>
    </w:p>
    <w:p w14:paraId="2AB7B953" w14:textId="77777777" w:rsidR="00DA70E6" w:rsidRPr="00DA70E6" w:rsidRDefault="00C23D69" w:rsidP="00DA70E6">
      <w:pPr>
        <w:autoSpaceDE w:val="0"/>
        <w:autoSpaceDN w:val="0"/>
        <w:adjustRightInd w:val="0"/>
        <w:rPr>
          <w:rFonts w:ascii="Calibri" w:eastAsia="TimesNewRoman" w:hAnsi="Calibri"/>
        </w:rPr>
      </w:pPr>
      <w:r>
        <w:rPr>
          <w:rFonts w:eastAsia="TimesNewRoman"/>
        </w:rPr>
        <w:t>V</w:t>
      </w:r>
      <w:r w:rsidR="007D4D7E">
        <w:rPr>
          <w:rFonts w:eastAsia="TimesNewRoman"/>
        </w:rPr>
        <w:t>artojimas pre</w:t>
      </w:r>
      <w:r w:rsidR="00DA70E6" w:rsidRPr="00DA70E6">
        <w:rPr>
          <w:rFonts w:eastAsia="TimesNewRoman"/>
        </w:rPr>
        <w:t>ekspozicinei profilaktikai asmenims, kurie yra užsikrėtę ŽIV-1 arba apie kurių užsikrėtimą nėra žinoma.</w:t>
      </w:r>
    </w:p>
    <w:p w14:paraId="654D637B" w14:textId="77777777" w:rsidR="00DA70E6" w:rsidRPr="00DA70E6" w:rsidRDefault="00DA70E6" w:rsidP="00DA70E6">
      <w:pPr>
        <w:autoSpaceDE w:val="0"/>
        <w:autoSpaceDN w:val="0"/>
        <w:adjustRightInd w:val="0"/>
        <w:rPr>
          <w:rFonts w:eastAsia="TimesNewRoman"/>
        </w:rPr>
      </w:pPr>
    </w:p>
    <w:p w14:paraId="64EE5B6E" w14:textId="77777777" w:rsidR="00DA70E6" w:rsidRPr="00DA70E6" w:rsidRDefault="00DA70E6" w:rsidP="00DA70E6">
      <w:pPr>
        <w:ind w:left="567" w:hanging="567"/>
        <w:rPr>
          <w:b/>
          <w:i/>
        </w:rPr>
      </w:pPr>
      <w:r w:rsidRPr="00DA70E6">
        <w:rPr>
          <w:b/>
        </w:rPr>
        <w:t>4.4</w:t>
      </w:r>
      <w:r w:rsidRPr="00DA70E6">
        <w:rPr>
          <w:b/>
        </w:rPr>
        <w:tab/>
        <w:t>Specialūs įspėjimai ir atsargumo priemonės</w:t>
      </w:r>
    </w:p>
    <w:p w14:paraId="27368924" w14:textId="77777777" w:rsidR="00DA70E6" w:rsidRPr="00613B1F" w:rsidRDefault="00DA70E6" w:rsidP="00613B1F">
      <w:pPr>
        <w:autoSpaceDE w:val="0"/>
        <w:autoSpaceDN w:val="0"/>
        <w:adjustRightInd w:val="0"/>
        <w:rPr>
          <w:rFonts w:eastAsia="TimesNewRoman"/>
        </w:rPr>
      </w:pPr>
    </w:p>
    <w:p w14:paraId="09884E19" w14:textId="77777777" w:rsidR="00DA70E6" w:rsidRPr="00DA70E6" w:rsidRDefault="00DA70E6" w:rsidP="00DA70E6">
      <w:pPr>
        <w:autoSpaceDE w:val="0"/>
        <w:autoSpaceDN w:val="0"/>
        <w:adjustRightInd w:val="0"/>
        <w:rPr>
          <w:rFonts w:eastAsia="TimesNewRoman"/>
        </w:rPr>
      </w:pPr>
    </w:p>
    <w:p w14:paraId="4D28DAC4"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Pacientai, turintys ŽIV-1 padermių su mutacijomis</w:t>
      </w:r>
    </w:p>
    <w:p w14:paraId="335D6832" w14:textId="77777777" w:rsidR="00DA70E6" w:rsidRPr="00DA70E6" w:rsidRDefault="00DA70E6" w:rsidP="00DA70E6">
      <w:pPr>
        <w:autoSpaceDE w:val="0"/>
        <w:autoSpaceDN w:val="0"/>
        <w:adjustRightInd w:val="0"/>
        <w:rPr>
          <w:rFonts w:eastAsia="TimesNewRoman"/>
        </w:rPr>
      </w:pPr>
    </w:p>
    <w:p w14:paraId="21731B96"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reikia vengti skirti antiretrovirusinį gydymą gavusiems pacientams, turintiems ŽIV-1 padermių su K65R mutacija (žr. 5.1 skyrių).</w:t>
      </w:r>
    </w:p>
    <w:p w14:paraId="57F5FFAA" w14:textId="77777777" w:rsidR="00DA70E6" w:rsidRPr="00DA70E6" w:rsidRDefault="00DA70E6" w:rsidP="00DA70E6">
      <w:pPr>
        <w:autoSpaceDE w:val="0"/>
        <w:autoSpaceDN w:val="0"/>
        <w:adjustRightInd w:val="0"/>
        <w:rPr>
          <w:rFonts w:eastAsia="TimesNewRoman"/>
        </w:rPr>
      </w:pPr>
    </w:p>
    <w:p w14:paraId="135E031D"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Bendroji ŽIV-1 infekcijos prevencijos strategija</w:t>
      </w:r>
    </w:p>
    <w:p w14:paraId="18AA27A9" w14:textId="77777777" w:rsidR="00DA70E6" w:rsidRPr="00DA70E6" w:rsidRDefault="00DA70E6" w:rsidP="00DA70E6">
      <w:pPr>
        <w:autoSpaceDE w:val="0"/>
        <w:autoSpaceDN w:val="0"/>
        <w:adjustRightInd w:val="0"/>
        <w:rPr>
          <w:rFonts w:eastAsia="TimesNewRoman"/>
        </w:rPr>
      </w:pPr>
    </w:p>
    <w:p w14:paraId="52C033BE"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ne visada veiksmingai apsaugo nuo užsikrėtimo ŽIV-1. Kiek laiko praeina nuo gydymo Emtricitabine/Tenofovir disoproxil Sandoz pradžios iki apsaugos pradžios, nežinoma.</w:t>
      </w:r>
    </w:p>
    <w:p w14:paraId="328DE674" w14:textId="77777777" w:rsidR="00DA70E6" w:rsidRPr="00DA70E6" w:rsidRDefault="00DA70E6" w:rsidP="00DA70E6">
      <w:pPr>
        <w:autoSpaceDE w:val="0"/>
        <w:autoSpaceDN w:val="0"/>
        <w:adjustRightInd w:val="0"/>
        <w:rPr>
          <w:rFonts w:eastAsia="TimesNewRoman"/>
        </w:rPr>
      </w:pPr>
    </w:p>
    <w:p w14:paraId="08CEAF3C" w14:textId="16483BA9"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pr</w:t>
      </w:r>
      <w:r w:rsidR="007D4D7E">
        <w:rPr>
          <w:rFonts w:eastAsia="TimesNewRoman"/>
        </w:rPr>
        <w:t>ee</w:t>
      </w:r>
      <w:r w:rsidRPr="00DA70E6">
        <w:rPr>
          <w:rFonts w:eastAsia="TimesNewRoman"/>
        </w:rPr>
        <w:t>kspozicinei profilaktikai gali būti taikomas tik kaip dalis bendrosios užsikrėtimo ŽIV-1 prevencijos strategijos, į kurią dar įeina kitos ŽIV-1 prevencijos priemonės (pvz., pastovus ir taisyklingas prezervatyvų naudojimas, ŽIV-1 statuso žinojimas, reguliarus tyrimasis dėl kitų lytiškai plintančių infekcijų).</w:t>
      </w:r>
    </w:p>
    <w:p w14:paraId="7C254205" w14:textId="77777777" w:rsidR="00DA70E6" w:rsidRPr="00DA70E6" w:rsidRDefault="00DA70E6" w:rsidP="00DA70E6">
      <w:pPr>
        <w:autoSpaceDE w:val="0"/>
        <w:autoSpaceDN w:val="0"/>
        <w:adjustRightInd w:val="0"/>
        <w:rPr>
          <w:rFonts w:eastAsia="TimesNewRoman"/>
        </w:rPr>
      </w:pPr>
    </w:p>
    <w:p w14:paraId="3C62C6FB" w14:textId="77777777" w:rsidR="00DA70E6" w:rsidRPr="00DA70E6" w:rsidRDefault="00DA70E6" w:rsidP="00DA70E6">
      <w:pPr>
        <w:autoSpaceDE w:val="0"/>
        <w:autoSpaceDN w:val="0"/>
        <w:adjustRightInd w:val="0"/>
        <w:rPr>
          <w:rFonts w:ascii="Calibri" w:eastAsia="TimesNewRoman" w:hAnsi="Calibri"/>
          <w:i/>
        </w:rPr>
      </w:pPr>
      <w:r w:rsidRPr="00DA70E6">
        <w:rPr>
          <w:rFonts w:eastAsia="TimesNewRoman"/>
          <w:i/>
        </w:rPr>
        <w:t>Rezistentiškumo rizika esant neaptiktai ŽIV-1 infekcijai</w:t>
      </w:r>
    </w:p>
    <w:p w14:paraId="34786D1E" w14:textId="6C257EB6"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Emtricitabine/Tenofovir disoproxil Sandoz galima skirti užsikrėtimo ŽIV-1 rizikai sumažinti tik tiems asmenims, kuriems patvirtinta, jog jie nėra užsikrėtę ŽIV (žr. 4.3 skyrių). Kol Emtricitabine/Tenofovir disoproxil Sandoz vartojamas pr</w:t>
      </w:r>
      <w:r w:rsidR="007D4D7E">
        <w:rPr>
          <w:rFonts w:eastAsia="TimesNewRoman"/>
        </w:rPr>
        <w:t>ee</w:t>
      </w:r>
      <w:r w:rsidRPr="00DA70E6">
        <w:rPr>
          <w:rFonts w:eastAsia="TimesNewRoman"/>
        </w:rPr>
        <w:t>kspozicinei profilaktikai, reikia reguliariai ir dažnai (pvz., ne rečiau kaip kas 3 mėnesius) atliekant sudėtinį antigenų / antikūnų tyrimą tikrinti, siekiant patvirtinti, kad asmenys vis dar nėra užsikrėtę ŽIV.</w:t>
      </w:r>
    </w:p>
    <w:p w14:paraId="0AFEDAE3" w14:textId="77777777" w:rsidR="00DA70E6" w:rsidRPr="00DA70E6" w:rsidRDefault="00DA70E6" w:rsidP="00DA70E6">
      <w:pPr>
        <w:autoSpaceDE w:val="0"/>
        <w:autoSpaceDN w:val="0"/>
        <w:adjustRightInd w:val="0"/>
        <w:rPr>
          <w:rFonts w:eastAsia="TimesNewRoman"/>
        </w:rPr>
      </w:pPr>
    </w:p>
    <w:p w14:paraId="6E1FF8C6"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Vien tik Emtricitabine/Tenofovir disoproxil Sandoz nesudaro užbaigto ŽIV-1 gydymo režimo, o vien Emtricitabine/Tenofovir disoproxil Sandoz vartojantiems pacientams, kuriems yra neaptikta ŽIV-1 infekcija, atsirado rezistentiškų ŽIV-1 mutacijų.</w:t>
      </w:r>
    </w:p>
    <w:p w14:paraId="5B97BA9D" w14:textId="77777777" w:rsidR="00DA70E6" w:rsidRPr="00DA70E6" w:rsidRDefault="00DA70E6" w:rsidP="00DA70E6">
      <w:pPr>
        <w:autoSpaceDE w:val="0"/>
        <w:autoSpaceDN w:val="0"/>
        <w:adjustRightInd w:val="0"/>
        <w:rPr>
          <w:rFonts w:eastAsia="TimesNewRoman"/>
        </w:rPr>
      </w:pPr>
    </w:p>
    <w:p w14:paraId="66DF0E72" w14:textId="08198B11" w:rsidR="00DA70E6" w:rsidRPr="00DA70E6" w:rsidRDefault="00DA70E6" w:rsidP="00DA70E6">
      <w:pPr>
        <w:autoSpaceDE w:val="0"/>
        <w:autoSpaceDN w:val="0"/>
        <w:adjustRightInd w:val="0"/>
        <w:rPr>
          <w:rFonts w:ascii="Calibri" w:eastAsia="TimesNewRoman" w:hAnsi="Calibri"/>
        </w:rPr>
      </w:pPr>
      <w:r w:rsidRPr="00DA70E6">
        <w:rPr>
          <w:rFonts w:eastAsia="TimesNewRoman"/>
        </w:rPr>
        <w:t>Jeigu yra klinikinių simptomų, atitinkančių ūminę virusinę infekciją, ir įtariama, kad neseniai (&lt; 1 mėn.) galėjo būti ekspozicija ŽIV-1, reikia atidėti Emtricitabine/Tenofovir disoproxil Sandoz vartojimą bent vienam mėnesiui ir, prieš pradedant vartoti Emtricitabine/Tenofovir disoproxil Sandoz pr</w:t>
      </w:r>
      <w:r w:rsidR="007D4D7E">
        <w:rPr>
          <w:rFonts w:eastAsia="TimesNewRoman"/>
        </w:rPr>
        <w:t>e</w:t>
      </w:r>
      <w:r w:rsidRPr="00DA70E6">
        <w:rPr>
          <w:rFonts w:eastAsia="TimesNewRoman"/>
        </w:rPr>
        <w:t>ekspozicinei profilaktikai, reikia pakartotinai įsitikinti, jog asmuo nėra užsikrėtęs ŽIV-1.</w:t>
      </w:r>
    </w:p>
    <w:p w14:paraId="163A1D75" w14:textId="77777777" w:rsidR="00DA70E6" w:rsidRPr="00DA70E6" w:rsidRDefault="00DA70E6" w:rsidP="00DA70E6">
      <w:pPr>
        <w:autoSpaceDE w:val="0"/>
        <w:autoSpaceDN w:val="0"/>
        <w:adjustRightInd w:val="0"/>
        <w:rPr>
          <w:rFonts w:eastAsia="TimesNewRoman"/>
        </w:rPr>
      </w:pPr>
    </w:p>
    <w:p w14:paraId="4E88D683" w14:textId="77777777" w:rsidR="00DA70E6" w:rsidRPr="00DA70E6" w:rsidRDefault="00DA70E6" w:rsidP="00DA70E6">
      <w:pPr>
        <w:autoSpaceDE w:val="0"/>
        <w:autoSpaceDN w:val="0"/>
        <w:adjustRightInd w:val="0"/>
        <w:rPr>
          <w:rFonts w:ascii="Calibri" w:eastAsia="TimesNewRoman" w:hAnsi="Calibri"/>
          <w:i/>
        </w:rPr>
      </w:pPr>
      <w:r w:rsidRPr="00DA70E6">
        <w:rPr>
          <w:rFonts w:eastAsia="TimesNewRoman"/>
          <w:i/>
        </w:rPr>
        <w:t>Nurodymų laikymosi svarba</w:t>
      </w:r>
    </w:p>
    <w:p w14:paraId="729A4497" w14:textId="77777777" w:rsidR="00DA70E6" w:rsidRPr="00DA70E6" w:rsidRDefault="001F046B" w:rsidP="00DA70E6">
      <w:pPr>
        <w:autoSpaceDE w:val="0"/>
        <w:autoSpaceDN w:val="0"/>
        <w:adjustRightInd w:val="0"/>
        <w:rPr>
          <w:rFonts w:ascii="Calibri" w:eastAsia="TimesNewRoman" w:hAnsi="Calibri"/>
        </w:rPr>
      </w:pPr>
      <w:r w:rsidRPr="005C0E81">
        <w:rPr>
          <w:rFonts w:eastAsia="TimesNewRoman"/>
        </w:rPr>
        <w:lastRenderedPageBreak/>
        <w:t>Emtricitabino ir tenofoviro derinio veiksmingumas mažinant užsikrėtimo ŽIV-1 riziką labai susijęs su nurodymų laikymusi, kas įrodyta išmatuojamais veikliosios medžiagos lygiais kraujyje (žr. 5.1 skyrių)</w:t>
      </w:r>
      <w:r w:rsidR="00643574" w:rsidRPr="007F6D1C">
        <w:rPr>
          <w:rFonts w:eastAsia="TimesNewRoman"/>
        </w:rPr>
        <w:t xml:space="preserve">. </w:t>
      </w:r>
      <w:r w:rsidR="00DA70E6" w:rsidRPr="007F6D1C">
        <w:rPr>
          <w:rFonts w:eastAsia="TimesNewRoman"/>
        </w:rPr>
        <w:t xml:space="preserve">ŽIV-1 neužsikrėtusiems asmenims </w:t>
      </w:r>
      <w:r w:rsidR="00DA70E6" w:rsidRPr="005C0E81">
        <w:rPr>
          <w:rFonts w:eastAsia="TimesNewRoman"/>
        </w:rPr>
        <w:t xml:space="preserve">reikia </w:t>
      </w:r>
      <w:r w:rsidR="00643574" w:rsidRPr="005C0E81">
        <w:rPr>
          <w:rFonts w:eastAsia="TimesNewRoman"/>
        </w:rPr>
        <w:t>dažnai patarti</w:t>
      </w:r>
      <w:r w:rsidR="00DA70E6" w:rsidRPr="005C0E81">
        <w:rPr>
          <w:rFonts w:eastAsia="TimesNewRoman"/>
        </w:rPr>
        <w:t xml:space="preserve"> griežtai laikytis</w:t>
      </w:r>
      <w:r w:rsidR="00DA70E6" w:rsidRPr="007F6D1C">
        <w:rPr>
          <w:rFonts w:eastAsia="TimesNewRoman"/>
        </w:rPr>
        <w:t xml:space="preserve"> rekomenduojamo Emtricitabine/Tenofovir disoproxil Sandoz </w:t>
      </w:r>
      <w:r w:rsidR="00643574" w:rsidRPr="005C0E81">
        <w:rPr>
          <w:rFonts w:eastAsia="TimesNewRoman"/>
        </w:rPr>
        <w:t>paros</w:t>
      </w:r>
      <w:r w:rsidR="00643574" w:rsidRPr="007F6D1C">
        <w:rPr>
          <w:rFonts w:eastAsia="TimesNewRoman"/>
        </w:rPr>
        <w:t xml:space="preserve"> </w:t>
      </w:r>
      <w:r w:rsidR="00DA70E6" w:rsidRPr="007F6D1C">
        <w:rPr>
          <w:rFonts w:eastAsia="TimesNewRoman"/>
        </w:rPr>
        <w:t>dozavimo režimo.</w:t>
      </w:r>
      <w:r w:rsidR="00DA70E6" w:rsidRPr="00DA70E6">
        <w:rPr>
          <w:rFonts w:eastAsia="TimesNewRoman"/>
        </w:rPr>
        <w:t xml:space="preserve"> </w:t>
      </w:r>
    </w:p>
    <w:p w14:paraId="23464F5E" w14:textId="77777777" w:rsidR="00DA70E6" w:rsidRPr="00DA70E6" w:rsidRDefault="00DA70E6" w:rsidP="00DA70E6">
      <w:pPr>
        <w:autoSpaceDE w:val="0"/>
        <w:autoSpaceDN w:val="0"/>
        <w:adjustRightInd w:val="0"/>
        <w:rPr>
          <w:rFonts w:eastAsia="TimesNewRoman"/>
        </w:rPr>
      </w:pPr>
    </w:p>
    <w:p w14:paraId="5B5F7C06"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Infekuoti hepatito B ar C virusu pacientai</w:t>
      </w:r>
    </w:p>
    <w:p w14:paraId="7925D8D4" w14:textId="77777777" w:rsidR="00DA70E6" w:rsidRPr="00DA70E6" w:rsidRDefault="00DA70E6" w:rsidP="00DA70E6">
      <w:pPr>
        <w:autoSpaceDE w:val="0"/>
        <w:autoSpaceDN w:val="0"/>
        <w:adjustRightInd w:val="0"/>
        <w:rPr>
          <w:rFonts w:eastAsia="TimesNewRoman"/>
        </w:rPr>
      </w:pPr>
    </w:p>
    <w:p w14:paraId="3BFC3760"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ŽIV-1 infekuotiems pacientams, kuriems yra lėtinis hepatitas B ar C, taikant antiretrovirusinį gydymą yra didesnė sunkių nepageidaujamų reakcijų, kurios gali būti mirtinos, pasireiškimo kepenims rizika. Taikant ŽIV-1 gydymą pacientams, kurie yra infekuoti ir hepatito B virusu (HBV) arba hepatito C virusu (HCV), gydytojas turi vadovautis dabartiniais gydymo nuo ŽIV nurodymais.</w:t>
      </w:r>
    </w:p>
    <w:p w14:paraId="55E5292D" w14:textId="77777777" w:rsidR="00DA70E6" w:rsidRPr="00DA70E6" w:rsidRDefault="00DA70E6" w:rsidP="00DA70E6">
      <w:pPr>
        <w:autoSpaceDE w:val="0"/>
        <w:autoSpaceDN w:val="0"/>
        <w:adjustRightInd w:val="0"/>
        <w:rPr>
          <w:rFonts w:eastAsia="TimesNewRoman"/>
        </w:rPr>
      </w:pPr>
    </w:p>
    <w:p w14:paraId="5369923E" w14:textId="56F8B8F5" w:rsidR="00DA70E6" w:rsidRPr="00DA70E6" w:rsidRDefault="00DA70E6" w:rsidP="00DA70E6">
      <w:pPr>
        <w:autoSpaceDE w:val="0"/>
        <w:autoSpaceDN w:val="0"/>
        <w:adjustRightInd w:val="0"/>
        <w:rPr>
          <w:rFonts w:ascii="Calibri" w:eastAsia="TimesNewRoman" w:hAnsi="Calibri"/>
        </w:rPr>
      </w:pPr>
      <w:r w:rsidRPr="007F6D1C">
        <w:rPr>
          <w:rFonts w:eastAsia="TimesNewRoman"/>
        </w:rPr>
        <w:t>Emtricitabine/Tenofovir disoproxil Sandoz saugumas ir veiksmingumas jo vartojant pr</w:t>
      </w:r>
      <w:r w:rsidR="007D4D7E">
        <w:rPr>
          <w:rFonts w:eastAsia="TimesNewRoman"/>
        </w:rPr>
        <w:t>e</w:t>
      </w:r>
      <w:r w:rsidRPr="007F6D1C">
        <w:rPr>
          <w:rFonts w:eastAsia="TimesNewRoman"/>
        </w:rPr>
        <w:t>ekspozicinei profilaktikai</w:t>
      </w:r>
      <w:r w:rsidR="00643574" w:rsidRPr="007F6D1C">
        <w:rPr>
          <w:rFonts w:eastAsia="TimesNewRoman"/>
        </w:rPr>
        <w:t xml:space="preserve"> </w:t>
      </w:r>
      <w:r w:rsidR="00643574" w:rsidRPr="005C0E81">
        <w:rPr>
          <w:rFonts w:eastAsia="TimesNewRoman"/>
        </w:rPr>
        <w:t>(PrEP)</w:t>
      </w:r>
      <w:r w:rsidRPr="007F6D1C">
        <w:rPr>
          <w:rFonts w:eastAsia="TimesNewRoman"/>
        </w:rPr>
        <w:t xml:space="preserve"> pacientams, kuriems yra HBV ar HCV infekcija, nenustatytas.</w:t>
      </w:r>
    </w:p>
    <w:p w14:paraId="141C27C6" w14:textId="77777777" w:rsidR="00DA70E6" w:rsidRPr="00DA70E6" w:rsidRDefault="00DA70E6" w:rsidP="00DA70E6">
      <w:pPr>
        <w:autoSpaceDE w:val="0"/>
        <w:autoSpaceDN w:val="0"/>
        <w:adjustRightInd w:val="0"/>
        <w:rPr>
          <w:rFonts w:eastAsia="TimesNewRoman"/>
        </w:rPr>
      </w:pPr>
    </w:p>
    <w:p w14:paraId="172E82D7"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Jeigu tuo pat metu yra skiriamas antivirusinis gydymas nuo hepatito B ar C, taip pat žiūrėkite su šiuo gydymu tiesiogiai susijusių vaistinių preparatų charakteristikų santraukas. Taip pat žr. toliau poskyrį „Vartojimas kartu su ledipasviru ir sofosbuviru arba sofosbuviru ir velpatasviru“.</w:t>
      </w:r>
    </w:p>
    <w:p w14:paraId="6E5E3683" w14:textId="77777777" w:rsidR="00DA70E6" w:rsidRPr="00DA70E6" w:rsidRDefault="00DA70E6" w:rsidP="00DA70E6">
      <w:pPr>
        <w:autoSpaceDE w:val="0"/>
        <w:autoSpaceDN w:val="0"/>
        <w:adjustRightInd w:val="0"/>
        <w:rPr>
          <w:rFonts w:eastAsia="TimesNewRoman"/>
        </w:rPr>
      </w:pPr>
    </w:p>
    <w:p w14:paraId="2F5E3993"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Tenofoviru (dizoproksiliu) rekomenduojama gydyti nuo HBV ir farmakodinamikos tyrimais parodytas emtricitabino veiksmingumas prieš HBV, tačiau emtricitabino ir tenofoviro dizoproksilio saugumas ir veiksmingumas pacientams, kuriems yra lėtinė HBV infekcija, tiksliai neištirti.</w:t>
      </w:r>
    </w:p>
    <w:p w14:paraId="4CD38B27" w14:textId="77777777" w:rsidR="00DA70E6" w:rsidRPr="00DA70E6" w:rsidRDefault="00DA70E6" w:rsidP="00DA70E6">
      <w:pPr>
        <w:autoSpaceDE w:val="0"/>
        <w:autoSpaceDN w:val="0"/>
        <w:adjustRightInd w:val="0"/>
        <w:rPr>
          <w:rFonts w:eastAsia="TimesNewRoman"/>
        </w:rPr>
      </w:pPr>
    </w:p>
    <w:p w14:paraId="6A8E2D55"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Gydymo Emtricitabine/Tenofovir disoproxil Sandoz nutraukimas pacientams, kurie yra infekuoti HBV, gali būti susijęs su sunkiais ūminiais hepatito paūmėjimais. Mažiausiai kelis mėnesius po gydymo Emtricitabine/Tenofovir disoproxil Sandoz nutraukimo HBV infekuotus pacientus reikia atidžiai stebėti atliekant klinikinius ir laboratorinius tyrimus. Esant poreikiui, hepatito B gydymas turi būti atnaujinamas. Pacientams, kuriems yra progresavusi kepenų liga ar cirozė, gydymo nutraukti nerekomenduojama, nes po gydymo pasireiškiantis hepatito paūmėjimas gali sukelti kepenų veiklos nepakankamumą.</w:t>
      </w:r>
    </w:p>
    <w:p w14:paraId="6B6E11BC" w14:textId="77777777" w:rsidR="00DA70E6" w:rsidRPr="00DA70E6" w:rsidRDefault="00DA70E6" w:rsidP="00DA70E6">
      <w:pPr>
        <w:autoSpaceDE w:val="0"/>
        <w:autoSpaceDN w:val="0"/>
        <w:adjustRightInd w:val="0"/>
        <w:rPr>
          <w:rFonts w:eastAsia="TimesNewRoman"/>
        </w:rPr>
      </w:pPr>
    </w:p>
    <w:p w14:paraId="78AB3CCC"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Kepenų liga</w:t>
      </w:r>
    </w:p>
    <w:p w14:paraId="5C4866B4" w14:textId="77777777" w:rsidR="00DA70E6" w:rsidRPr="00DA70E6" w:rsidRDefault="00DA70E6" w:rsidP="00DA70E6">
      <w:pPr>
        <w:autoSpaceDE w:val="0"/>
        <w:autoSpaceDN w:val="0"/>
        <w:adjustRightInd w:val="0"/>
        <w:rPr>
          <w:rFonts w:eastAsia="TimesNewRoman"/>
        </w:rPr>
      </w:pPr>
    </w:p>
    <w:p w14:paraId="6098E653"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Emtricitabino ir tenofoviro dizoproksilio saugumas ir veiksmingumas pacientams, kuriems yra pastebimų esminių kepenų sutrikimų, nenustatytas. Pacientams, kuriems yra kepenų funkcijos sutrikimas, tenofoviro farmakokinetika buvo tirta ir nustatyta, kad dozės koreguoti nereikia. Emtricitabino farmakokinetika pacientams, kurių kepenų funkcija yra sutrikusi, netirta. Tačiau, remiantis minimaliu emtricitabino metabolizmu kepenyse ir jo šalinimu pro inkstus, mažai tikėtina, kad pacientams, kurių kepenų funkcija sutrikusi, reikėtų priderinti Emtricitabine/Tenofovir disoproxil Sandoz dozę (žr. 4.2 ir 5.2 skyrius).</w:t>
      </w:r>
    </w:p>
    <w:p w14:paraId="64C8DD4F" w14:textId="77777777" w:rsidR="00DA70E6" w:rsidRPr="00DA70E6" w:rsidRDefault="00DA70E6" w:rsidP="00DA70E6">
      <w:pPr>
        <w:autoSpaceDE w:val="0"/>
        <w:autoSpaceDN w:val="0"/>
        <w:adjustRightInd w:val="0"/>
        <w:rPr>
          <w:rFonts w:eastAsia="TimesNewRoman"/>
        </w:rPr>
      </w:pPr>
    </w:p>
    <w:p w14:paraId="08DF13C4"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ŽIV-1 infekuotiems pacientams, kuriems jau yra kepenų funkcijos sutrikimų, įskaitant lėtinį aktyvų hepatitą, skiriant kombinuotą antiretrovirusinį gydymą (KARG), dažniau pasitaiko kepenų funkcijos sutrikimų, todėl turi būti taikomas įprastinis jų būklės stebėjimas. Jeigu kepenų funkcija tokiems pacientams blogėja, turi būti apgalvotas laikinas ar visiškas gydymo nutraukimas.</w:t>
      </w:r>
    </w:p>
    <w:p w14:paraId="7106078A" w14:textId="77777777" w:rsidR="00DA70E6" w:rsidRPr="00DA70E6" w:rsidRDefault="00DA70E6" w:rsidP="00DA70E6">
      <w:pPr>
        <w:autoSpaceDE w:val="0"/>
        <w:autoSpaceDN w:val="0"/>
        <w:adjustRightInd w:val="0"/>
        <w:rPr>
          <w:rFonts w:eastAsia="TimesNewRoman"/>
        </w:rPr>
      </w:pPr>
    </w:p>
    <w:p w14:paraId="0F5C21F6" w14:textId="77777777" w:rsidR="00DA70E6" w:rsidRPr="00DA70E6" w:rsidRDefault="00DA70E6" w:rsidP="00DA70E6">
      <w:pPr>
        <w:autoSpaceDE w:val="0"/>
        <w:autoSpaceDN w:val="0"/>
        <w:adjustRightInd w:val="0"/>
        <w:rPr>
          <w:rFonts w:ascii="Calibri" w:eastAsia="TimesNewRoman" w:hAnsi="Calibri"/>
          <w:u w:val="single"/>
        </w:rPr>
      </w:pPr>
      <w:r w:rsidRPr="00DA70E6">
        <w:rPr>
          <w:rFonts w:eastAsia="TimesNewRoman"/>
          <w:u w:val="single"/>
        </w:rPr>
        <w:t>Poveikis suaugusiųjų inkstams ir kaulams</w:t>
      </w:r>
    </w:p>
    <w:p w14:paraId="5C8F9256" w14:textId="77777777" w:rsidR="00DA70E6" w:rsidRPr="00DA70E6" w:rsidRDefault="00DA70E6" w:rsidP="00DA70E6">
      <w:pPr>
        <w:autoSpaceDE w:val="0"/>
        <w:autoSpaceDN w:val="0"/>
        <w:adjustRightInd w:val="0"/>
        <w:rPr>
          <w:rFonts w:eastAsia="TimesNewRoman"/>
        </w:rPr>
      </w:pPr>
    </w:p>
    <w:p w14:paraId="0AEDE162" w14:textId="77777777" w:rsidR="00DA70E6" w:rsidRPr="00DA70E6" w:rsidRDefault="00DA70E6" w:rsidP="00DA70E6">
      <w:pPr>
        <w:autoSpaceDE w:val="0"/>
        <w:autoSpaceDN w:val="0"/>
        <w:adjustRightInd w:val="0"/>
        <w:rPr>
          <w:rFonts w:eastAsia="TimesNewRoman"/>
          <w:i/>
        </w:rPr>
      </w:pPr>
      <w:r w:rsidRPr="00DA70E6">
        <w:rPr>
          <w:rFonts w:eastAsia="TimesNewRoman"/>
          <w:i/>
        </w:rPr>
        <w:t>Poveikis inkstams</w:t>
      </w:r>
    </w:p>
    <w:p w14:paraId="62EC34E8"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Emtricitabinas ir tenofoviras visų pirma šalinami pro inkstus, glomerulų filtracijos ir aktyvios sekrecijos inkstų kanalėliuose būdu. Vartojant tenofoviro dizoproksilio buvo nustatyta inkstų funkcijos nepakankamumo, inkstų funkcijos sutrikimo, padidėjusio kreatinino kiekio, hipofosfatemijos ir proksimalinės tubulopatijos (įskaitant Fanconi sindromą) atvejų (žr. 4.8 skyrių).</w:t>
      </w:r>
    </w:p>
    <w:p w14:paraId="1AB68CFD" w14:textId="77777777" w:rsidR="00DA70E6" w:rsidRPr="00DA70E6" w:rsidRDefault="00DA70E6" w:rsidP="00DA70E6">
      <w:pPr>
        <w:autoSpaceDE w:val="0"/>
        <w:autoSpaceDN w:val="0"/>
        <w:adjustRightInd w:val="0"/>
        <w:rPr>
          <w:rFonts w:eastAsia="TimesNewRoman"/>
        </w:rPr>
      </w:pPr>
    </w:p>
    <w:p w14:paraId="684B7E2E" w14:textId="77777777" w:rsidR="00DA70E6" w:rsidRPr="00DA70E6" w:rsidRDefault="00DA70E6" w:rsidP="00DA70E6">
      <w:pPr>
        <w:autoSpaceDE w:val="0"/>
        <w:autoSpaceDN w:val="0"/>
        <w:adjustRightInd w:val="0"/>
        <w:rPr>
          <w:rFonts w:eastAsia="TimesNewRoman"/>
          <w:i/>
        </w:rPr>
      </w:pPr>
      <w:r w:rsidRPr="00DA70E6">
        <w:rPr>
          <w:rFonts w:eastAsia="TimesNewRoman"/>
          <w:i/>
        </w:rPr>
        <w:t>Inkstų funkcijos stebėjimas</w:t>
      </w:r>
    </w:p>
    <w:p w14:paraId="3334945C" w14:textId="76009444" w:rsidR="00DA70E6" w:rsidRPr="00DA70E6" w:rsidRDefault="00DA70E6" w:rsidP="00DA70E6">
      <w:pPr>
        <w:autoSpaceDE w:val="0"/>
        <w:autoSpaceDN w:val="0"/>
        <w:adjustRightInd w:val="0"/>
        <w:rPr>
          <w:rFonts w:ascii="Calibri" w:eastAsia="TimesNewRoman" w:hAnsi="Calibri"/>
        </w:rPr>
      </w:pPr>
      <w:r w:rsidRPr="00DA70E6">
        <w:rPr>
          <w:rFonts w:eastAsia="TimesNewRoman"/>
        </w:rPr>
        <w:t>Prieš pradedant vartoti Emtricitabine/Tenofovir disoproxil Sandoz ŽIV-1 infekcijai gydyti arba priešekspozicinei profilaktikai, rekomenduojama visiems asmenims apskaičiuoti kreatinino klirensą.</w:t>
      </w:r>
    </w:p>
    <w:p w14:paraId="032C6B9C" w14:textId="77777777" w:rsidR="00DA70E6" w:rsidRPr="00DA70E6" w:rsidRDefault="00DA70E6" w:rsidP="00DA70E6">
      <w:pPr>
        <w:autoSpaceDE w:val="0"/>
        <w:autoSpaceDN w:val="0"/>
        <w:adjustRightInd w:val="0"/>
        <w:rPr>
          <w:rFonts w:eastAsia="TimesNewRoman"/>
        </w:rPr>
      </w:pPr>
    </w:p>
    <w:p w14:paraId="5A28FF82"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Asmenims, kuriems nėra inkstų ligos rizikos veiksnių, rekomenduojama inkstų funkciją (kreatinino klirensą ir fosfatų kiekį serume) tirti po dviejų – keturių vartojimo savaičių, po trijų vartojimo mėnesių ir paskui kas tris – šešis mėnesius.</w:t>
      </w:r>
    </w:p>
    <w:p w14:paraId="71DF1523" w14:textId="77777777" w:rsidR="00DA70E6" w:rsidRPr="00DA70E6" w:rsidRDefault="00DA70E6" w:rsidP="00DA70E6">
      <w:pPr>
        <w:autoSpaceDE w:val="0"/>
        <w:autoSpaceDN w:val="0"/>
        <w:adjustRightInd w:val="0"/>
        <w:rPr>
          <w:rFonts w:eastAsia="TimesNewRoman"/>
        </w:rPr>
      </w:pPr>
    </w:p>
    <w:p w14:paraId="163ADAAD"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Asmenims, kuriems yra inkstų ligos rizikos veiksnių, reikalingas dažnesnis inkstų funkcijos stebėjimas.</w:t>
      </w:r>
    </w:p>
    <w:p w14:paraId="6AE3D52B" w14:textId="77777777" w:rsidR="00DA70E6" w:rsidRPr="00DA70E6" w:rsidRDefault="00DA70E6" w:rsidP="00DA70E6">
      <w:pPr>
        <w:autoSpaceDE w:val="0"/>
        <w:autoSpaceDN w:val="0"/>
        <w:adjustRightInd w:val="0"/>
        <w:rPr>
          <w:rFonts w:eastAsia="TimesNewRoman"/>
        </w:rPr>
      </w:pPr>
    </w:p>
    <w:p w14:paraId="4175C6E9"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Taip pat žr. toliau poskyrį „Vartojimas kartu su kitais vaistiniais preparatais“.</w:t>
      </w:r>
    </w:p>
    <w:p w14:paraId="5E5CAEE3" w14:textId="77777777" w:rsidR="00DA70E6" w:rsidRPr="00DA70E6" w:rsidRDefault="00DA70E6" w:rsidP="00DA70E6">
      <w:pPr>
        <w:autoSpaceDE w:val="0"/>
        <w:autoSpaceDN w:val="0"/>
        <w:adjustRightInd w:val="0"/>
        <w:rPr>
          <w:rFonts w:eastAsia="TimesNewRoman"/>
        </w:rPr>
      </w:pPr>
    </w:p>
    <w:p w14:paraId="24AE16EE" w14:textId="77777777" w:rsidR="00DA70E6" w:rsidRPr="00DA70E6" w:rsidRDefault="00DA70E6" w:rsidP="00DA70E6">
      <w:pPr>
        <w:autoSpaceDE w:val="0"/>
        <w:autoSpaceDN w:val="0"/>
        <w:adjustRightInd w:val="0"/>
        <w:rPr>
          <w:rFonts w:ascii="Calibri" w:eastAsia="TimesNewRoman" w:hAnsi="Calibri"/>
          <w:i/>
          <w:szCs w:val="22"/>
          <w:lang w:eastAsia="en-US"/>
        </w:rPr>
      </w:pPr>
      <w:r w:rsidRPr="00DA70E6">
        <w:rPr>
          <w:rFonts w:eastAsia="TimesNewRoman"/>
          <w:i/>
        </w:rPr>
        <w:t>Inkstų funkcijos valdymas ŽIV-1 infekuotiems pacientams</w:t>
      </w:r>
    </w:p>
    <w:p w14:paraId="45B2617B"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Jeigu bet kuriam emtricitabino ir tenofoviro dizoproksilio vartojančiam pacientui fosfatų kiekis serume yra &lt; 1,5 mg/dl (0,48 mmol/l) ar kreatinino klirensas sumažėja iki &lt; 50 ml/min., vienos savaitės laikotarpyje reikia pakartotinai ištirti inkstų funkciją, įskaitant ir gliukozės kiekio kraujyje, kalio kiekio kraujyje bei gliukozės koncentracijos šlapime matavimus (žr. 4.8 skyrių apie proksimalinę tubulopatiją). Jeigu paciento kreatinino klirensas sumažėja iki &lt; 50 ml/min. ar fosfatų kiekis serume sumažėja iki &lt; 1,0 mg/dl (0,32 mmol/l), reikia nuspręsti dėl poreikio nutraukti gydymą Emtricitabine/Tenofovir disoproxil Sandoz. Gydymo Emtricitabine/Tenofovir disoproxil Sandoz nutraukimas taip pat turi būti apsvarstytas esant progresuojančiam inkstų funkcijos silpnėjimui, jeigu nenustatyta jokia kita priežastis.</w:t>
      </w:r>
    </w:p>
    <w:p w14:paraId="67528E4A" w14:textId="77777777" w:rsidR="00DA70E6" w:rsidRPr="00DA70E6" w:rsidRDefault="00DA70E6" w:rsidP="00DA70E6">
      <w:pPr>
        <w:autoSpaceDE w:val="0"/>
        <w:autoSpaceDN w:val="0"/>
        <w:adjustRightInd w:val="0"/>
        <w:rPr>
          <w:rFonts w:eastAsia="TimesNewRoman"/>
        </w:rPr>
      </w:pPr>
    </w:p>
    <w:p w14:paraId="65298838" w14:textId="77777777" w:rsidR="00DA70E6" w:rsidRPr="00DA70E6" w:rsidRDefault="00DA70E6" w:rsidP="00DA70E6">
      <w:pPr>
        <w:autoSpaceDE w:val="0"/>
        <w:autoSpaceDN w:val="0"/>
        <w:adjustRightInd w:val="0"/>
      </w:pPr>
      <w:r w:rsidRPr="00DA70E6">
        <w:rPr>
          <w:color w:val="000000"/>
        </w:rPr>
        <w:t>Emtricitabino ir tenofoviro</w:t>
      </w:r>
      <w:r w:rsidRPr="00DA70E6">
        <w:rPr>
          <w:color w:val="000000"/>
          <w:szCs w:val="24"/>
          <w:lang w:eastAsia="sl-SI"/>
        </w:rPr>
        <w:t xml:space="preserve"> </w:t>
      </w:r>
      <w:r w:rsidRPr="00DA70E6">
        <w:rPr>
          <w:rFonts w:eastAsia="TimesNewRoman"/>
        </w:rPr>
        <w:t>dizoproksilio</w:t>
      </w:r>
      <w:r w:rsidRPr="00DA70E6">
        <w:rPr>
          <w:color w:val="000000"/>
        </w:rPr>
        <w:t xml:space="preserve"> saugumas inkstams buvo tiriamas tik labai nedideliu mastu ŽIV-1 infekuotiems pacientams, kurių inkstų funkcija sutrikusi (kreatinino klirensas &lt; 80 ml/min.). ŽIV-1 infekuotiems pacientams, kurių kreatinino klirensas 30–49 ml/min., rekomenduojama koreguoti dozavimo intervalą (žr. 4.2 skyrių). Riboti klinikinių tyrimų duomenys rodo, kad ilgesnis dozavimo intervalas nėra </w:t>
      </w:r>
      <w:r w:rsidRPr="00DA70E6">
        <w:t xml:space="preserve">optimalus ir gali sukelti toksiškumo padidėjimą ir galbūt netinkamą atsaką. Be to, atliekant nedidelį klinikinį tyrimą pacientų, </w:t>
      </w:r>
      <w:r w:rsidRPr="00DA70E6">
        <w:rPr>
          <w:color w:val="000000"/>
        </w:rPr>
        <w:t>kurių kreatinino klirensas 50–60 ml/min,</w:t>
      </w:r>
      <w:r w:rsidRPr="00DA70E6">
        <w:t xml:space="preserve"> pogrupyje tiriamiesiems tenofoviro dizoproksilio bei emtricitabino derinys buvo skiriamas kas 24 valandas, nustatyta 2–4 kartus didesnė tenofoviro ekspozicija ir inkstų funkcijos pablogėjimas (žr. 5.2 skyrių). Todėl atvejais, kai </w:t>
      </w:r>
      <w:r w:rsidRPr="00DA70E6">
        <w:rPr>
          <w:color w:val="000000"/>
        </w:rPr>
        <w:t>emtricitabino ir tenofoviro</w:t>
      </w:r>
      <w:r w:rsidRPr="00DA70E6">
        <w:t xml:space="preserve"> </w:t>
      </w:r>
      <w:r w:rsidRPr="00DA70E6">
        <w:rPr>
          <w:rFonts w:eastAsia="TimesNewRoman"/>
        </w:rPr>
        <w:t xml:space="preserve">dizoproksilio </w:t>
      </w:r>
      <w:r w:rsidRPr="00DA70E6">
        <w:t xml:space="preserve">skiriama pacientams, kurių kreatinino klirensas yra &lt; 60 ml/min., reikia nuodugniai įvertinti naudos ir rizikos santykį bei atidžiai stebėti inkstų funkciją. Be to, reikia atidžiai stebėti klinikinį atsaką į gydymą tiems </w:t>
      </w:r>
      <w:r w:rsidRPr="00DA70E6">
        <w:rPr>
          <w:rFonts w:eastAsia="TimesNewRoman"/>
          <w:color w:val="000000"/>
        </w:rPr>
        <w:t>Emtricitabine/Tenofovir disoproxil Sandoz</w:t>
      </w:r>
      <w:r w:rsidRPr="00DA70E6">
        <w:t xml:space="preserve"> gydomiems pacientams, kuriems dozavimo intervalas yra prailgintas. </w:t>
      </w:r>
      <w:r w:rsidRPr="00DA70E6">
        <w:rPr>
          <w:rFonts w:eastAsia="TimesNewRoman"/>
          <w:color w:val="000000"/>
        </w:rPr>
        <w:t>Emtricitabino ir tenofoviro</w:t>
      </w:r>
      <w:r w:rsidRPr="00DA70E6">
        <w:rPr>
          <w:szCs w:val="24"/>
          <w:lang w:eastAsia="sl-SI"/>
        </w:rPr>
        <w:t xml:space="preserve"> </w:t>
      </w:r>
      <w:r w:rsidRPr="00DA70E6">
        <w:rPr>
          <w:rFonts w:eastAsia="TimesNewRoman"/>
        </w:rPr>
        <w:t xml:space="preserve">dizoproksilio </w:t>
      </w:r>
      <w:r w:rsidRPr="00DA70E6">
        <w:t xml:space="preserve">nerekomenduojama vartoti pacientams, kuriems yra sunkus inkstų funkcijos sutrikimas (kreatinino klirensas &lt; 30 ml/min.), bei pacientams, kuriems reikalinga hemodializė, nes vartojant sudėtinę tabletę negalima tinkamai sumažinti dozės (žr. 4.2 ir 5.2 skyrius). </w:t>
      </w:r>
    </w:p>
    <w:p w14:paraId="055BB64C" w14:textId="77777777" w:rsidR="00DA70E6" w:rsidRPr="00DA70E6" w:rsidRDefault="00DA70E6" w:rsidP="00DA70E6">
      <w:pPr>
        <w:autoSpaceDE w:val="0"/>
        <w:autoSpaceDN w:val="0"/>
        <w:adjustRightInd w:val="0"/>
        <w:rPr>
          <w:i/>
        </w:rPr>
      </w:pPr>
    </w:p>
    <w:p w14:paraId="2A6D2EF1" w14:textId="0F44FA74" w:rsidR="003E1605" w:rsidRPr="007F6D1C" w:rsidRDefault="00DA70E6" w:rsidP="00DA70E6">
      <w:pPr>
        <w:autoSpaceDE w:val="0"/>
        <w:autoSpaceDN w:val="0"/>
        <w:adjustRightInd w:val="0"/>
        <w:rPr>
          <w:i/>
          <w:szCs w:val="22"/>
          <w:lang w:eastAsia="sl-SI"/>
        </w:rPr>
      </w:pPr>
      <w:r w:rsidRPr="005C0E81">
        <w:rPr>
          <w:rFonts w:eastAsia="TimesNewRoman"/>
          <w:i/>
          <w:color w:val="000000"/>
        </w:rPr>
        <w:t>Inkstų funkcijos valdymas taikant priešekspozicinę profilaktiką</w:t>
      </w:r>
    </w:p>
    <w:p w14:paraId="39AEA945" w14:textId="77777777" w:rsidR="00DA70E6" w:rsidRPr="00DA70E6" w:rsidRDefault="00DA70E6" w:rsidP="00DA70E6">
      <w:pPr>
        <w:autoSpaceDE w:val="0"/>
        <w:autoSpaceDN w:val="0"/>
        <w:adjustRightInd w:val="0"/>
        <w:rPr>
          <w:rFonts w:ascii="Calibri" w:eastAsia="Calibri" w:hAnsi="Calibri"/>
        </w:rPr>
      </w:pPr>
      <w:r w:rsidRPr="00DA70E6">
        <w:rPr>
          <w:rFonts w:eastAsia="TimesNewRoman"/>
        </w:rPr>
        <w:t>Emtricitabino ir tenofoviro</w:t>
      </w:r>
      <w:r w:rsidRPr="00DA70E6">
        <w:t xml:space="preserve"> </w:t>
      </w:r>
      <w:r w:rsidRPr="00DA70E6">
        <w:rPr>
          <w:rFonts w:eastAsia="TimesNewRoman"/>
        </w:rPr>
        <w:t xml:space="preserve">dizoproksilio </w:t>
      </w:r>
      <w:r w:rsidRPr="00DA70E6">
        <w:t xml:space="preserve">tyrimų su ŽIV-1 neinfekuotais asmenimis, kurių kreatinino klirensas yra &lt; 60 ml/min., neatlikta, todėl šios populiacijos žmonėms jo vartoti nerekomenduojama. Jeigu fosfato kiekis serume yra &lt; 1,5 mg/dl (0,48 mmol/l) ar kreatinino klirensas sumažėja iki &lt; 60 ml/min. bet kuriam asmeniui, vartojančiam </w:t>
      </w:r>
      <w:r w:rsidRPr="00DA70E6">
        <w:rPr>
          <w:rFonts w:eastAsia="TimesNewRoman"/>
        </w:rPr>
        <w:t>emtricitabino ir tenofoviro</w:t>
      </w:r>
      <w:r w:rsidRPr="00DA70E6">
        <w:t xml:space="preserve"> </w:t>
      </w:r>
      <w:r w:rsidRPr="00DA70E6">
        <w:rPr>
          <w:rFonts w:eastAsia="TimesNewRoman"/>
        </w:rPr>
        <w:t xml:space="preserve">dizoproksilio </w:t>
      </w:r>
      <w:r w:rsidRPr="00DA70E6">
        <w:t xml:space="preserve">priešekspozicinei profilaktikai, vienos savaitės laikotarpiu reikia pakartotinai ištirti inkstų funkciją, įskaitant gliukozės, kalio kraujyje ir gliukozės šlapime koncentracijų matavimus (žr. 4.8 skyrių apie proksimalinę tubulopatiją). Jeigu asmens kreatinino klirensas sumažėja iki &lt; 60 ml/min. ar fosfato kiekis serume sumažėja iki &lt; 1,0 mg/dl (0,32 mmol/l), turi būti apsvarstyta, ar nereikia nutraukti </w:t>
      </w:r>
      <w:r w:rsidRPr="00DA70E6">
        <w:rPr>
          <w:rFonts w:eastAsia="TimesNewRoman"/>
        </w:rPr>
        <w:t>emtricitabino ir tenofoviro dizoproksilio vartojimą</w:t>
      </w:r>
      <w:r w:rsidRPr="00DA70E6">
        <w:t xml:space="preserve">. Taip pat turi būti apsvarstyta, ar nereikia nutraukti </w:t>
      </w:r>
      <w:r w:rsidRPr="00DA70E6">
        <w:rPr>
          <w:rFonts w:eastAsia="TimesNewRoman"/>
        </w:rPr>
        <w:t>Emtricitabine/Tenofovir disoproxil Sandoz vartojimą</w:t>
      </w:r>
      <w:r w:rsidRPr="00DA70E6">
        <w:t xml:space="preserve"> esant progresuojančiam inkstų funkcijos silpnėjimui, kai nenustatyta jokia kita priežastis.</w:t>
      </w:r>
    </w:p>
    <w:p w14:paraId="7CA08E1C" w14:textId="77777777" w:rsidR="00DA70E6" w:rsidRPr="00DA70E6" w:rsidRDefault="00DA70E6" w:rsidP="00DA70E6">
      <w:pPr>
        <w:autoSpaceDE w:val="0"/>
        <w:autoSpaceDN w:val="0"/>
        <w:adjustRightInd w:val="0"/>
      </w:pPr>
    </w:p>
    <w:p w14:paraId="3678C467" w14:textId="77777777" w:rsidR="00DA70E6" w:rsidRPr="00DA70E6" w:rsidRDefault="00DA70E6" w:rsidP="00DA70E6">
      <w:pPr>
        <w:autoSpaceDE w:val="0"/>
        <w:autoSpaceDN w:val="0"/>
        <w:adjustRightInd w:val="0"/>
        <w:rPr>
          <w:u w:val="single"/>
        </w:rPr>
      </w:pPr>
      <w:r w:rsidRPr="00DA70E6">
        <w:rPr>
          <w:color w:val="000000"/>
          <w:u w:val="single"/>
        </w:rPr>
        <w:t xml:space="preserve">Poveikis kaulams </w:t>
      </w:r>
    </w:p>
    <w:p w14:paraId="5213838D" w14:textId="77777777" w:rsidR="00DA70E6" w:rsidRPr="00DA70E6" w:rsidRDefault="00DA70E6" w:rsidP="00DA70E6">
      <w:pPr>
        <w:autoSpaceDE w:val="0"/>
        <w:autoSpaceDN w:val="0"/>
        <w:adjustRightInd w:val="0"/>
      </w:pPr>
    </w:p>
    <w:p w14:paraId="1F2E1595" w14:textId="77777777" w:rsidR="003E40D1" w:rsidRDefault="006814F3" w:rsidP="00DA3E63">
      <w:pPr>
        <w:autoSpaceDE w:val="0"/>
        <w:autoSpaceDN w:val="0"/>
        <w:adjustRightInd w:val="0"/>
        <w:rPr>
          <w:szCs w:val="22"/>
        </w:rPr>
      </w:pPr>
      <w:r w:rsidRPr="00A0725F">
        <w:rPr>
          <w:szCs w:val="22"/>
        </w:rPr>
        <w:t>Kaulų pokyčiai, pavyzdžiui, osteomaliacija, galinti pasireikšti nuolatiniu ar stiprėjančiu kaulų skausmu ir retais atvejais prisidėti prie kaulų lūžių, gali būti susiję su tenofoviro dizoproksilio sukelta proksimaline inkstų tubulopatija (žr. 4.8 skyrių).</w:t>
      </w:r>
    </w:p>
    <w:p w14:paraId="280FB1DE" w14:textId="732CF7DF" w:rsidR="006814F3" w:rsidRPr="00A0725F" w:rsidRDefault="006814F3" w:rsidP="00DA3E63">
      <w:pPr>
        <w:autoSpaceDE w:val="0"/>
        <w:autoSpaceDN w:val="0"/>
        <w:adjustRightInd w:val="0"/>
        <w:rPr>
          <w:szCs w:val="22"/>
        </w:rPr>
      </w:pPr>
      <w:r w:rsidRPr="00A0725F">
        <w:rPr>
          <w:szCs w:val="22"/>
        </w:rPr>
        <w:t xml:space="preserve"> </w:t>
      </w:r>
    </w:p>
    <w:p w14:paraId="27AEDF62" w14:textId="5CE0FD26" w:rsidR="00406149" w:rsidRPr="00406149" w:rsidRDefault="00406149" w:rsidP="00DA3E63">
      <w:pPr>
        <w:autoSpaceDE w:val="0"/>
        <w:autoSpaceDN w:val="0"/>
        <w:adjustRightInd w:val="0"/>
        <w:rPr>
          <w:szCs w:val="22"/>
        </w:rPr>
      </w:pPr>
      <w:r w:rsidRPr="00A0725F">
        <w:rPr>
          <w:rFonts w:ascii="TimesNewRomanPSMT" w:hAnsi="TimesNewRomanPSMT" w:cs="TimesNewRomanPSMT"/>
          <w:szCs w:val="22"/>
          <w:lang w:eastAsia="en-US"/>
        </w:rPr>
        <w:t>Jeigu įtariami arba nustatomi kaulų pokyčiai, reikia kreiptis į atitinkamą specialistą patarimo.</w:t>
      </w:r>
    </w:p>
    <w:p w14:paraId="14DA8EED" w14:textId="0EF2E017" w:rsidR="00DA70E6" w:rsidRPr="002872CD" w:rsidRDefault="00DA70E6" w:rsidP="00DA70E6">
      <w:pPr>
        <w:autoSpaceDE w:val="0"/>
        <w:autoSpaceDN w:val="0"/>
        <w:adjustRightInd w:val="0"/>
        <w:rPr>
          <w:i/>
        </w:rPr>
      </w:pPr>
      <w:r w:rsidRPr="002872CD">
        <w:rPr>
          <w:color w:val="000000"/>
        </w:rPr>
        <w:lastRenderedPageBreak/>
        <w:t xml:space="preserve"> </w:t>
      </w:r>
    </w:p>
    <w:p w14:paraId="1FA9CA94" w14:textId="77777777" w:rsidR="00DA3E63" w:rsidRDefault="00DA70E6" w:rsidP="00DA70E6">
      <w:pPr>
        <w:autoSpaceDE w:val="0"/>
        <w:autoSpaceDN w:val="0"/>
        <w:adjustRightInd w:val="0"/>
        <w:rPr>
          <w:i/>
          <w:color w:val="000000"/>
        </w:rPr>
      </w:pPr>
      <w:r w:rsidRPr="002872CD">
        <w:rPr>
          <w:i/>
          <w:color w:val="000000"/>
        </w:rPr>
        <w:t>ŽIV-1 infekcij</w:t>
      </w:r>
      <w:r w:rsidR="00643574" w:rsidRPr="002872CD">
        <w:rPr>
          <w:i/>
          <w:color w:val="000000"/>
        </w:rPr>
        <w:t>os gydymas</w:t>
      </w:r>
    </w:p>
    <w:p w14:paraId="24BB1776" w14:textId="77777777" w:rsidR="00406149" w:rsidRPr="00A0725F" w:rsidRDefault="00406149" w:rsidP="00406149">
      <w:pPr>
        <w:autoSpaceDE w:val="0"/>
        <w:autoSpaceDN w:val="0"/>
        <w:adjustRightInd w:val="0"/>
        <w:rPr>
          <w:rFonts w:ascii="TimesNewRomanPSMT" w:hAnsi="TimesNewRomanPSMT" w:cs="TimesNewRomanPSMT"/>
          <w:szCs w:val="22"/>
          <w:lang w:eastAsia="en-US"/>
        </w:rPr>
      </w:pPr>
      <w:r w:rsidRPr="00A0725F">
        <w:rPr>
          <w:rFonts w:ascii="TimesNewRomanPSMT" w:hAnsi="TimesNewRomanPSMT" w:cs="TimesNewRomanPSMT"/>
          <w:szCs w:val="22"/>
          <w:lang w:eastAsia="en-US"/>
        </w:rPr>
        <w:t>Atsitiktinių imčių kontroliuojamuose klinikiniuose tyrimuose, kurie truko iki 144 savaičių, skiriant</w:t>
      </w:r>
    </w:p>
    <w:p w14:paraId="387FD792" w14:textId="77777777" w:rsidR="00406149" w:rsidRPr="00A0725F" w:rsidRDefault="00406149" w:rsidP="00406149">
      <w:pPr>
        <w:autoSpaceDE w:val="0"/>
        <w:autoSpaceDN w:val="0"/>
        <w:adjustRightInd w:val="0"/>
        <w:rPr>
          <w:rFonts w:ascii="TimesNewRomanPSMT" w:hAnsi="TimesNewRomanPSMT" w:cs="TimesNewRomanPSMT"/>
          <w:szCs w:val="22"/>
          <w:lang w:eastAsia="en-US"/>
        </w:rPr>
      </w:pPr>
      <w:r w:rsidRPr="00A0725F">
        <w:rPr>
          <w:rFonts w:ascii="TimesNewRomanPSMT" w:hAnsi="TimesNewRomanPSMT" w:cs="TimesNewRomanPSMT"/>
          <w:szCs w:val="22"/>
          <w:lang w:eastAsia="en-US"/>
        </w:rPr>
        <w:t>tenofovirą dizoproksilį ŽIV arba HBV infekuotiems pacientams, stebėtas kaulų mineralinio tankio</w:t>
      </w:r>
    </w:p>
    <w:p w14:paraId="360BF364" w14:textId="1B7DBD61" w:rsidR="00406149" w:rsidRPr="00406149" w:rsidRDefault="00406149" w:rsidP="00406149">
      <w:pPr>
        <w:autoSpaceDE w:val="0"/>
        <w:autoSpaceDN w:val="0"/>
        <w:adjustRightInd w:val="0"/>
        <w:rPr>
          <w:i/>
          <w:color w:val="000000"/>
        </w:rPr>
      </w:pPr>
      <w:r w:rsidRPr="00A0725F">
        <w:rPr>
          <w:rFonts w:ascii="TimesNewRomanPSMT" w:hAnsi="TimesNewRomanPSMT" w:cs="TimesNewRomanPSMT"/>
          <w:szCs w:val="22"/>
          <w:lang w:eastAsia="en-US"/>
        </w:rPr>
        <w:t>(KMT) sumažėjimas. Šis KMT sumažėjimas paprastai pagerėdavo, nutraukus gydymą.</w:t>
      </w:r>
    </w:p>
    <w:p w14:paraId="6D558F5C" w14:textId="77777777" w:rsidR="00DA70E6" w:rsidRPr="002872CD" w:rsidRDefault="00DA70E6" w:rsidP="00DA70E6">
      <w:pPr>
        <w:autoSpaceDE w:val="0"/>
        <w:autoSpaceDN w:val="0"/>
        <w:adjustRightInd w:val="0"/>
      </w:pPr>
    </w:p>
    <w:p w14:paraId="0669A1F4" w14:textId="2E0CCE5D" w:rsidR="00DA3E63" w:rsidRPr="00D80526" w:rsidRDefault="00DA70E6" w:rsidP="00DA3E63">
      <w:pPr>
        <w:autoSpaceDE w:val="0"/>
        <w:autoSpaceDN w:val="0"/>
        <w:adjustRightInd w:val="0"/>
        <w:rPr>
          <w:szCs w:val="22"/>
        </w:rPr>
      </w:pPr>
      <w:r w:rsidRPr="002872CD">
        <w:rPr>
          <w:color w:val="000000"/>
        </w:rPr>
        <w:t xml:space="preserve">Atliekant kitus tyrimus (perspektyvinius ir momentinius), didžiausias KMT sumažėjimas nustatytas pacientams, kuriems buvo skiriamas gydymas tenofoviro dizoproksiliu kaip dalis gydymo schemos, kurios sudėtyje buvo sustiprinto proteazės inhibitoriaus. </w:t>
      </w:r>
      <w:r w:rsidR="00DA3E63" w:rsidRPr="007727FA">
        <w:rPr>
          <w:szCs w:val="22"/>
        </w:rPr>
        <w:t xml:space="preserve">Apskritai, atsižvelgiant į su tenofoviru dizoproksiliu siejamus kaulų </w:t>
      </w:r>
      <w:r w:rsidR="006814F3">
        <w:rPr>
          <w:szCs w:val="22"/>
        </w:rPr>
        <w:t>pokyčius</w:t>
      </w:r>
      <w:r w:rsidR="00DA3E63" w:rsidRPr="007727FA">
        <w:rPr>
          <w:szCs w:val="22"/>
        </w:rPr>
        <w:t xml:space="preserve"> ir tai, kad ilgalaikių duomenų apie tenofoviro dizoproksilio įtaką kaulų sveikatai ir lūžių rizikai nepakanka, osteoporoze sergantiems pacientams</w:t>
      </w:r>
      <w:r w:rsidR="006B5F38">
        <w:rPr>
          <w:szCs w:val="22"/>
        </w:rPr>
        <w:t xml:space="preserve"> </w:t>
      </w:r>
      <w:r w:rsidR="006B5F38">
        <w:t xml:space="preserve">arba kaulų lūžių patyrusiems pacientams </w:t>
      </w:r>
      <w:r w:rsidR="006814F3">
        <w:rPr>
          <w:szCs w:val="22"/>
        </w:rPr>
        <w:t xml:space="preserve">reikia </w:t>
      </w:r>
      <w:r w:rsidR="00DA3E63" w:rsidRPr="007727FA">
        <w:rPr>
          <w:szCs w:val="22"/>
        </w:rPr>
        <w:t xml:space="preserve">apsvarstyti </w:t>
      </w:r>
      <w:r w:rsidR="006814F3">
        <w:rPr>
          <w:szCs w:val="22"/>
        </w:rPr>
        <w:t>galimybę taikyti kitą gydymą.</w:t>
      </w:r>
    </w:p>
    <w:p w14:paraId="7093654A" w14:textId="77777777" w:rsidR="00DA70E6" w:rsidRPr="00DA70E6" w:rsidRDefault="00DA70E6" w:rsidP="00DA70E6">
      <w:pPr>
        <w:autoSpaceDE w:val="0"/>
        <w:autoSpaceDN w:val="0"/>
        <w:adjustRightInd w:val="0"/>
      </w:pPr>
    </w:p>
    <w:p w14:paraId="61A1CC6E" w14:textId="0E59136C" w:rsidR="00DA70E6" w:rsidRPr="007F6D1C" w:rsidRDefault="00643574" w:rsidP="00DA70E6">
      <w:pPr>
        <w:autoSpaceDE w:val="0"/>
        <w:autoSpaceDN w:val="0"/>
        <w:adjustRightInd w:val="0"/>
      </w:pPr>
      <w:r w:rsidRPr="005C0E81">
        <w:rPr>
          <w:rFonts w:eastAsia="TimesNewRoman"/>
          <w:i/>
          <w:color w:val="000000"/>
        </w:rPr>
        <w:t>P</w:t>
      </w:r>
      <w:r w:rsidR="00DA70E6" w:rsidRPr="005C0E81">
        <w:rPr>
          <w:i/>
        </w:rPr>
        <w:t>r</w:t>
      </w:r>
      <w:r w:rsidR="00273DB3">
        <w:rPr>
          <w:i/>
        </w:rPr>
        <w:t>ee</w:t>
      </w:r>
      <w:r w:rsidR="00DA70E6" w:rsidRPr="005C0E81">
        <w:rPr>
          <w:i/>
        </w:rPr>
        <w:t>kspozicin</w:t>
      </w:r>
      <w:r w:rsidRPr="005C0E81">
        <w:rPr>
          <w:i/>
        </w:rPr>
        <w:t>ė</w:t>
      </w:r>
      <w:r w:rsidR="00DA70E6" w:rsidRPr="005C0E81">
        <w:rPr>
          <w:i/>
        </w:rPr>
        <w:t xml:space="preserve"> profilaktika</w:t>
      </w:r>
      <w:r w:rsidR="00DA70E6" w:rsidRPr="007F6D1C">
        <w:rPr>
          <w:i/>
          <w:color w:val="000000"/>
        </w:rPr>
        <w:t xml:space="preserve"> </w:t>
      </w:r>
    </w:p>
    <w:p w14:paraId="172C7E3E" w14:textId="77777777" w:rsidR="00DA70E6" w:rsidRPr="007F6D1C" w:rsidRDefault="00DA70E6" w:rsidP="00DA70E6">
      <w:pPr>
        <w:autoSpaceDE w:val="0"/>
        <w:autoSpaceDN w:val="0"/>
        <w:adjustRightInd w:val="0"/>
      </w:pPr>
      <w:r w:rsidRPr="00E1395D">
        <w:rPr>
          <w:color w:val="000000"/>
        </w:rPr>
        <w:t>Klinikiniuose tyrimuose, kuriuose dalyvavo ŽIV</w:t>
      </w:r>
      <w:r w:rsidRPr="00DA70E6">
        <w:rPr>
          <w:color w:val="000000"/>
        </w:rPr>
        <w:t xml:space="preserve">-1 neinfekuoti asmenys, nustatytas nedidelis KMT sumažėjimas. Tyrime, kuriame dalyvavo 498 vyrai, pacientams, kasdien profilaktiškai vartojusiems emtricitabino ir tenofoviro </w:t>
      </w:r>
      <w:r w:rsidRPr="00DA70E6">
        <w:rPr>
          <w:rFonts w:eastAsia="TimesNewRoman"/>
        </w:rPr>
        <w:t xml:space="preserve">dizoproksilio </w:t>
      </w:r>
      <w:r w:rsidRPr="00DA70E6">
        <w:rPr>
          <w:color w:val="000000"/>
        </w:rPr>
        <w:t>(n = 247), vidutinis klubų, stuburo, šlaunikaulio kaklelio ir šlaunikaulio gūbrio KMT pokytis nuo pradinio įvertinimo iki 24 savaitės siekė nuo -0,4 % iki -1,0 %, palyginti su placebu (n </w:t>
      </w:r>
      <w:r w:rsidRPr="007F6D1C">
        <w:rPr>
          <w:color w:val="000000"/>
        </w:rPr>
        <w:t xml:space="preserve">= 251). </w:t>
      </w:r>
    </w:p>
    <w:p w14:paraId="20F3C1AE" w14:textId="77777777" w:rsidR="00DA70E6" w:rsidRPr="00E1395D" w:rsidRDefault="00DA70E6" w:rsidP="00DA70E6">
      <w:pPr>
        <w:autoSpaceDE w:val="0"/>
        <w:autoSpaceDN w:val="0"/>
        <w:adjustRightInd w:val="0"/>
        <w:rPr>
          <w:color w:val="000000"/>
          <w:szCs w:val="22"/>
          <w:lang w:eastAsia="sl-SI"/>
        </w:rPr>
      </w:pPr>
    </w:p>
    <w:p w14:paraId="4259E9AE" w14:textId="77777777" w:rsidR="00DA70E6" w:rsidRPr="005C0E81" w:rsidRDefault="00DA70E6" w:rsidP="00DA70E6">
      <w:pPr>
        <w:autoSpaceDE w:val="0"/>
        <w:autoSpaceDN w:val="0"/>
        <w:adjustRightInd w:val="0"/>
        <w:rPr>
          <w:i/>
          <w:color w:val="000000"/>
        </w:rPr>
      </w:pPr>
      <w:r w:rsidRPr="005C0E81">
        <w:rPr>
          <w:i/>
          <w:color w:val="000000"/>
        </w:rPr>
        <w:t>Poveikis inkstams ir kaulams vaikų populiacijoje</w:t>
      </w:r>
    </w:p>
    <w:p w14:paraId="0E669E44" w14:textId="77777777" w:rsidR="009A41DD" w:rsidRPr="005C0E81" w:rsidRDefault="009A41DD" w:rsidP="009A41DD">
      <w:pPr>
        <w:autoSpaceDE w:val="0"/>
        <w:autoSpaceDN w:val="0"/>
        <w:adjustRightInd w:val="0"/>
      </w:pPr>
      <w:r w:rsidRPr="005C0E81">
        <w:t>Yra tam tikrų abejonių, susijusių su ilgalaikiu tenofoviro dizoproksilio poveikiu inkstams ir kaulams gydant ŽIV-1 infekciją vaikų populiacijoje. Duomenų apie ilgalaikį emtricitabino ir tenofoviro dizoproksilio derinio poveikį inkstams ir kaulams, kai jo vartojama neinfekuotiems paaugliams priešekspozicinei profilaktikai, nėra (žr. 5.1 skyrių). Be to, negalima ligi galo išsiaiškinti, ar toksinis poveikis inkstams išnyks nutraukus tenofoviro dizoproksilio vartojimą ŽIV-1 gydymui arba nutraukus emtricitabino ir tenofoviro dizoproksilio derinio vartojimą priešekspozicinei profilaktikai.</w:t>
      </w:r>
    </w:p>
    <w:p w14:paraId="11D25951" w14:textId="77777777" w:rsidR="00DA70E6" w:rsidRPr="00202CF6" w:rsidRDefault="00DC74D7" w:rsidP="009A41DD">
      <w:pPr>
        <w:autoSpaceDE w:val="0"/>
        <w:autoSpaceDN w:val="0"/>
        <w:adjustRightInd w:val="0"/>
        <w:rPr>
          <w:color w:val="000000"/>
          <w:szCs w:val="22"/>
          <w:lang w:eastAsia="sl-SI"/>
        </w:rPr>
      </w:pPr>
      <w:r w:rsidRPr="005C0E81">
        <w:t>Įvertinant</w:t>
      </w:r>
      <w:r w:rsidR="009A41DD" w:rsidRPr="005C0E81">
        <w:t xml:space="preserve"> emtricitabino ir tenofoviro dizoproksilio derinio vartojimo ŽIV-1 infekcijos gydymui arba priešekspozicinei profilaktikai naudos ir rizikos santykį, par</w:t>
      </w:r>
      <w:r w:rsidRPr="005C0E81">
        <w:t>enkant</w:t>
      </w:r>
      <w:r w:rsidR="009A41DD" w:rsidRPr="005C0E81">
        <w:t xml:space="preserve"> tinkamą stebėjimą gydymo metu (įskaitant sprendimą nutraukti gydymą) ir svarstant papildomo gydymo poreikį konkrečiu atveju, rekomenduojama taikyti</w:t>
      </w:r>
      <w:r w:rsidRPr="005C0E81">
        <w:t xml:space="preserve"> </w:t>
      </w:r>
      <w:r w:rsidR="009A41DD" w:rsidRPr="005C0E81">
        <w:t>daugiadalykį metodą.</w:t>
      </w:r>
      <w:r w:rsidRPr="005C0E81">
        <w:t xml:space="preserve"> </w:t>
      </w:r>
      <w:r w:rsidR="009A41DD" w:rsidRPr="005C0E81">
        <w:t xml:space="preserve">Vartojant </w:t>
      </w:r>
      <w:r w:rsidRPr="005C0E81">
        <w:t>emtricitabino ir tenofoviro dizoproksilio derinį</w:t>
      </w:r>
      <w:r w:rsidR="009A41DD" w:rsidRPr="005C0E81">
        <w:t xml:space="preserve"> priešekspozicinei profilaktikai, per kiekvieną vizitą reikia iš naujo įvertinti, ar</w:t>
      </w:r>
      <w:r w:rsidRPr="005C0E81">
        <w:t xml:space="preserve"> </w:t>
      </w:r>
      <w:r w:rsidR="009A41DD" w:rsidRPr="005C0E81">
        <w:t>asmenims vis dar yra didelė ŽIV-1 infekcijos rizika. Būtina palyginti ŽIV-1 infekcijos riziką ir galimą</w:t>
      </w:r>
      <w:r w:rsidRPr="005C0E81">
        <w:t xml:space="preserve"> </w:t>
      </w:r>
      <w:r w:rsidR="009A41DD" w:rsidRPr="005C0E81">
        <w:t xml:space="preserve">poveikį inkstams bei kaulams vartojant </w:t>
      </w:r>
      <w:r w:rsidRPr="005C0E81">
        <w:t>emtricitabino ir tenofoviro dizoproksilio derinio</w:t>
      </w:r>
      <w:r w:rsidR="009A41DD" w:rsidRPr="005C0E81">
        <w:t xml:space="preserve"> ilgą laiką.</w:t>
      </w:r>
      <w:r w:rsidR="009A41DD" w:rsidRPr="005C0E81">
        <w:rPr>
          <w:color w:val="000000"/>
        </w:rPr>
        <w:t xml:space="preserve"> </w:t>
      </w:r>
    </w:p>
    <w:p w14:paraId="4DB93E42" w14:textId="77777777" w:rsidR="00DA70E6" w:rsidRPr="0057496C" w:rsidRDefault="00DA70E6" w:rsidP="00DA70E6">
      <w:pPr>
        <w:autoSpaceDE w:val="0"/>
        <w:autoSpaceDN w:val="0"/>
        <w:adjustRightInd w:val="0"/>
        <w:rPr>
          <w:color w:val="000000"/>
          <w:szCs w:val="22"/>
          <w:lang w:eastAsia="sl-SI"/>
        </w:rPr>
      </w:pPr>
    </w:p>
    <w:p w14:paraId="56964EE7" w14:textId="77777777" w:rsidR="00DA70E6" w:rsidRPr="00DA70E6" w:rsidRDefault="00DA70E6" w:rsidP="00DA70E6">
      <w:pPr>
        <w:autoSpaceDE w:val="0"/>
        <w:autoSpaceDN w:val="0"/>
        <w:adjustRightInd w:val="0"/>
        <w:rPr>
          <w:i/>
          <w:color w:val="000000"/>
          <w:szCs w:val="22"/>
          <w:lang w:eastAsia="sl-SI"/>
        </w:rPr>
      </w:pPr>
      <w:r w:rsidRPr="00DA70E6">
        <w:rPr>
          <w:i/>
          <w:color w:val="000000"/>
          <w:szCs w:val="22"/>
          <w:lang w:eastAsia="sl-SI"/>
        </w:rPr>
        <w:t>Poveikis inkstams</w:t>
      </w:r>
    </w:p>
    <w:p w14:paraId="5F5DE775" w14:textId="77777777" w:rsidR="00DA70E6" w:rsidRPr="00E1395D" w:rsidRDefault="00DA70E6" w:rsidP="00DA70E6">
      <w:pPr>
        <w:autoSpaceDE w:val="0"/>
        <w:autoSpaceDN w:val="0"/>
        <w:adjustRightInd w:val="0"/>
        <w:rPr>
          <w:color w:val="000000"/>
          <w:szCs w:val="22"/>
          <w:lang w:eastAsia="sl-SI"/>
        </w:rPr>
      </w:pPr>
      <w:r w:rsidRPr="00DA70E6">
        <w:rPr>
          <w:color w:val="000000"/>
          <w:szCs w:val="22"/>
          <w:lang w:eastAsia="sl-SI"/>
        </w:rPr>
        <w:t xml:space="preserve">GS-US-104-0352 klinikinio tyrimo metu gauta pranešimų apie nepageidaujamas inkstų reakcijas, atitinkančias </w:t>
      </w:r>
      <w:r w:rsidRPr="007F6D1C">
        <w:rPr>
          <w:color w:val="000000"/>
          <w:szCs w:val="22"/>
          <w:lang w:eastAsia="sl-SI"/>
        </w:rPr>
        <w:t>proksimalinę inkstų tubulopatiją, ŽIV-1 infekuotiems nuo 2 iki &lt; 12 metų amžiaus vaikams (žr. 4.8 ir 5.1 skyrius).</w:t>
      </w:r>
    </w:p>
    <w:p w14:paraId="308550CA" w14:textId="77777777" w:rsidR="00DA70E6" w:rsidRPr="00613B1F" w:rsidRDefault="00DA70E6" w:rsidP="00DA70E6">
      <w:pPr>
        <w:autoSpaceDE w:val="0"/>
        <w:autoSpaceDN w:val="0"/>
        <w:adjustRightInd w:val="0"/>
        <w:rPr>
          <w:color w:val="000000"/>
          <w:szCs w:val="22"/>
          <w:lang w:eastAsia="sl-SI"/>
        </w:rPr>
      </w:pPr>
    </w:p>
    <w:p w14:paraId="057934B2" w14:textId="77777777" w:rsidR="00DA70E6" w:rsidRPr="00613B1F" w:rsidRDefault="00DA70E6" w:rsidP="00DA70E6">
      <w:pPr>
        <w:autoSpaceDE w:val="0"/>
        <w:autoSpaceDN w:val="0"/>
        <w:adjustRightInd w:val="0"/>
        <w:rPr>
          <w:i/>
          <w:color w:val="000000"/>
          <w:szCs w:val="22"/>
          <w:lang w:eastAsia="sl-SI"/>
        </w:rPr>
      </w:pPr>
      <w:r w:rsidRPr="00613B1F">
        <w:rPr>
          <w:i/>
          <w:color w:val="000000"/>
          <w:szCs w:val="22"/>
          <w:lang w:eastAsia="sl-SI"/>
        </w:rPr>
        <w:t>Inkstų funkcijos stebėjimas</w:t>
      </w:r>
    </w:p>
    <w:p w14:paraId="15E745F1" w14:textId="77777777" w:rsidR="00DA70E6" w:rsidRPr="007F6D1C" w:rsidRDefault="00DC74D7" w:rsidP="00202CF6">
      <w:pPr>
        <w:autoSpaceDE w:val="0"/>
        <w:autoSpaceDN w:val="0"/>
        <w:adjustRightInd w:val="0"/>
        <w:rPr>
          <w:color w:val="000000"/>
          <w:szCs w:val="22"/>
          <w:lang w:eastAsia="sl-SI"/>
        </w:rPr>
      </w:pPr>
      <w:r w:rsidRPr="005C0E81">
        <w:t>Prieš pradedant vartoti emtricitabino ir tenofoviro dizoproksilio derinio ŽIV-1 gydymui arba priešekspozicinei profilaktikai reikia įvertinti inkstų funkciją (kreatinino klirensą ir fosfatų kiekį serume) ir ją stebėti vaist</w:t>
      </w:r>
      <w:r w:rsidR="00FB1753" w:rsidRPr="005C0E81">
        <w:t xml:space="preserve">inio </w:t>
      </w:r>
      <w:r w:rsidR="00FB1753" w:rsidRPr="00613B1F">
        <w:rPr>
          <w:szCs w:val="22"/>
        </w:rPr>
        <w:t>preparat</w:t>
      </w:r>
      <w:r w:rsidRPr="00613B1F">
        <w:rPr>
          <w:szCs w:val="22"/>
        </w:rPr>
        <w:t>o</w:t>
      </w:r>
      <w:r w:rsidRPr="005C0E81">
        <w:t xml:space="preserve"> vartojimo metu, </w:t>
      </w:r>
      <w:r w:rsidR="00DA70E6" w:rsidRPr="005C0E81">
        <w:rPr>
          <w:color w:val="000000"/>
        </w:rPr>
        <w:t>kaip ŽIV-1 infekuotiems suaugusiesiems (žr. aukščiau).</w:t>
      </w:r>
    </w:p>
    <w:p w14:paraId="6472E7A5" w14:textId="77777777" w:rsidR="00DA70E6" w:rsidRPr="00E1395D" w:rsidRDefault="00DA70E6" w:rsidP="00DA70E6">
      <w:pPr>
        <w:autoSpaceDE w:val="0"/>
        <w:autoSpaceDN w:val="0"/>
        <w:adjustRightInd w:val="0"/>
        <w:rPr>
          <w:color w:val="000000"/>
          <w:szCs w:val="22"/>
          <w:lang w:eastAsia="sl-SI"/>
        </w:rPr>
      </w:pPr>
    </w:p>
    <w:p w14:paraId="272D8E84" w14:textId="77777777" w:rsidR="00DA70E6" w:rsidRPr="00613B1F" w:rsidRDefault="00DA70E6" w:rsidP="00DA70E6">
      <w:pPr>
        <w:autoSpaceDE w:val="0"/>
        <w:autoSpaceDN w:val="0"/>
        <w:adjustRightInd w:val="0"/>
        <w:rPr>
          <w:i/>
          <w:color w:val="000000"/>
          <w:szCs w:val="22"/>
          <w:lang w:eastAsia="sl-SI"/>
        </w:rPr>
      </w:pPr>
      <w:r w:rsidRPr="00613B1F">
        <w:rPr>
          <w:i/>
          <w:color w:val="000000"/>
          <w:szCs w:val="22"/>
          <w:lang w:eastAsia="sl-SI"/>
        </w:rPr>
        <w:t>Inkstų funkcijos valdymas</w:t>
      </w:r>
    </w:p>
    <w:p w14:paraId="19C1352C" w14:textId="77777777" w:rsidR="00DA70E6" w:rsidRPr="00DA70E6" w:rsidRDefault="00DA70E6" w:rsidP="00DA70E6">
      <w:pPr>
        <w:autoSpaceDE w:val="0"/>
        <w:autoSpaceDN w:val="0"/>
        <w:adjustRightInd w:val="0"/>
        <w:rPr>
          <w:color w:val="000000"/>
          <w:szCs w:val="22"/>
          <w:lang w:eastAsia="sl-SI"/>
        </w:rPr>
      </w:pPr>
      <w:r w:rsidRPr="00613B1F">
        <w:rPr>
          <w:color w:val="000000"/>
          <w:szCs w:val="22"/>
          <w:lang w:eastAsia="sl-SI"/>
        </w:rPr>
        <w:t xml:space="preserve">Patvirtinus, kad fosfato kiekis serume yra &lt; 3,0 mg/dl (0,96 mmol/l), bet kuriam pacientui vaikui, vartojančiam emtricitabino ir tenofoviro </w:t>
      </w:r>
      <w:r w:rsidRPr="00613B1F">
        <w:rPr>
          <w:rFonts w:eastAsia="TimesNewRoman"/>
        </w:rPr>
        <w:t xml:space="preserve">dizoproksilio </w:t>
      </w:r>
      <w:r w:rsidRPr="00613B1F">
        <w:rPr>
          <w:color w:val="000000"/>
          <w:szCs w:val="22"/>
          <w:lang w:eastAsia="sl-SI"/>
        </w:rPr>
        <w:t xml:space="preserve">derinio, vienos savaitės laikotarpiu reikia pakartotinai ištirti inkstų funkciją, įskaitant gliukozės kraujyje, kalio kraujyje ir gliukozės šlapime koncentracijų matavimus (žr. 4.8 skyrių apie proksimalinę tubulopatiją). Jeigu įtariama arba nustatoma inkstų nenormalumų, reikia pasikonsultuoti su </w:t>
      </w:r>
      <w:r w:rsidRPr="005C0E81">
        <w:rPr>
          <w:color w:val="000000"/>
        </w:rPr>
        <w:t xml:space="preserve">nefrologu dėl </w:t>
      </w:r>
      <w:r w:rsidR="00FB1753" w:rsidRPr="005C0E81">
        <w:rPr>
          <w:color w:val="000000"/>
        </w:rPr>
        <w:t xml:space="preserve">emtricitabino ir tenofoviro </w:t>
      </w:r>
      <w:r w:rsidR="00FB1753" w:rsidRPr="005C0E81">
        <w:rPr>
          <w:rFonts w:eastAsia="TimesNewRoman"/>
        </w:rPr>
        <w:t xml:space="preserve">dizoproksilio </w:t>
      </w:r>
      <w:r w:rsidR="00FB1753" w:rsidRPr="005C0E81">
        <w:rPr>
          <w:color w:val="000000"/>
        </w:rPr>
        <w:t>derinio vartojimo</w:t>
      </w:r>
      <w:r w:rsidRPr="005C0E81">
        <w:rPr>
          <w:color w:val="000000"/>
        </w:rPr>
        <w:t xml:space="preserve"> nutraukimo</w:t>
      </w:r>
      <w:r w:rsidRPr="007F6D1C">
        <w:rPr>
          <w:color w:val="000000"/>
          <w:szCs w:val="22"/>
          <w:lang w:eastAsia="sl-SI"/>
        </w:rPr>
        <w:t xml:space="preserve">. </w:t>
      </w:r>
      <w:r w:rsidR="00FB1753" w:rsidRPr="005C0E81">
        <w:rPr>
          <w:color w:val="000000"/>
        </w:rPr>
        <w:t>E</w:t>
      </w:r>
      <w:r w:rsidRPr="005C0E81">
        <w:rPr>
          <w:color w:val="000000"/>
        </w:rPr>
        <w:t xml:space="preserve">mtricitabino ir tenofoviro </w:t>
      </w:r>
      <w:r w:rsidRPr="005C0E81">
        <w:rPr>
          <w:rFonts w:eastAsia="TimesNewRoman"/>
        </w:rPr>
        <w:t xml:space="preserve">dizoproksilio </w:t>
      </w:r>
      <w:r w:rsidR="00FB1753" w:rsidRPr="005C0E81">
        <w:rPr>
          <w:color w:val="000000"/>
        </w:rPr>
        <w:t xml:space="preserve">derinio vartojimo </w:t>
      </w:r>
      <w:r w:rsidRPr="005C0E81">
        <w:rPr>
          <w:color w:val="000000"/>
        </w:rPr>
        <w:t>nutraukimas</w:t>
      </w:r>
      <w:r w:rsidRPr="007F6D1C">
        <w:rPr>
          <w:color w:val="000000"/>
          <w:szCs w:val="22"/>
          <w:lang w:eastAsia="sl-SI"/>
        </w:rPr>
        <w:t xml:space="preserve"> taip pat turi būti apsvarstytas progresuojančio inkstų funkcijos silpnėjimo atveju, jeigu nenustatyta kita priežastis.</w:t>
      </w:r>
    </w:p>
    <w:p w14:paraId="24219CF2" w14:textId="77777777" w:rsidR="00DA70E6" w:rsidRPr="00DA70E6" w:rsidRDefault="00DA70E6" w:rsidP="00DA70E6">
      <w:pPr>
        <w:autoSpaceDE w:val="0"/>
        <w:autoSpaceDN w:val="0"/>
        <w:adjustRightInd w:val="0"/>
        <w:rPr>
          <w:color w:val="000000"/>
          <w:szCs w:val="22"/>
          <w:lang w:eastAsia="sl-SI"/>
        </w:rPr>
      </w:pPr>
    </w:p>
    <w:p w14:paraId="388EC017" w14:textId="77777777" w:rsidR="00DA70E6" w:rsidRPr="00DA70E6" w:rsidRDefault="00DA70E6" w:rsidP="00DA70E6">
      <w:pPr>
        <w:autoSpaceDE w:val="0"/>
        <w:autoSpaceDN w:val="0"/>
        <w:adjustRightInd w:val="0"/>
        <w:rPr>
          <w:i/>
          <w:color w:val="000000"/>
          <w:szCs w:val="22"/>
          <w:lang w:eastAsia="sl-SI"/>
        </w:rPr>
      </w:pPr>
      <w:r w:rsidRPr="00DA70E6">
        <w:rPr>
          <w:i/>
          <w:color w:val="000000"/>
          <w:szCs w:val="22"/>
          <w:lang w:eastAsia="sl-SI"/>
        </w:rPr>
        <w:t>Skyrimas kartu ir toksinio poveikio inkstams rizika</w:t>
      </w:r>
    </w:p>
    <w:p w14:paraId="576BF378" w14:textId="77777777" w:rsidR="00DA70E6" w:rsidRPr="00DA70E6" w:rsidRDefault="00DA70E6" w:rsidP="00DA70E6">
      <w:pPr>
        <w:autoSpaceDE w:val="0"/>
        <w:autoSpaceDN w:val="0"/>
        <w:adjustRightInd w:val="0"/>
        <w:rPr>
          <w:color w:val="000000"/>
          <w:szCs w:val="22"/>
          <w:lang w:eastAsia="sl-SI"/>
        </w:rPr>
      </w:pPr>
      <w:r w:rsidRPr="00DA70E6">
        <w:rPr>
          <w:color w:val="000000"/>
          <w:szCs w:val="22"/>
          <w:lang w:eastAsia="sl-SI"/>
        </w:rPr>
        <w:lastRenderedPageBreak/>
        <w:t>Taikomos tokios pačios rekomendacijos kaip suaugusiesiems (žr. poskyrį „Vartojimas kartu su kitais vaistiniais preparatais“ toliau).</w:t>
      </w:r>
    </w:p>
    <w:p w14:paraId="63681683" w14:textId="77777777" w:rsidR="00DA70E6" w:rsidRPr="00DA70E6" w:rsidRDefault="00DA70E6" w:rsidP="00DA70E6">
      <w:pPr>
        <w:autoSpaceDE w:val="0"/>
        <w:autoSpaceDN w:val="0"/>
        <w:adjustRightInd w:val="0"/>
        <w:rPr>
          <w:color w:val="000000"/>
          <w:szCs w:val="22"/>
          <w:lang w:eastAsia="sl-SI"/>
        </w:rPr>
      </w:pPr>
    </w:p>
    <w:p w14:paraId="2B348A37" w14:textId="77777777" w:rsidR="00DA70E6" w:rsidRPr="007F6D1C" w:rsidRDefault="00DA70E6" w:rsidP="00DA70E6">
      <w:pPr>
        <w:autoSpaceDE w:val="0"/>
        <w:autoSpaceDN w:val="0"/>
        <w:adjustRightInd w:val="0"/>
        <w:rPr>
          <w:i/>
          <w:color w:val="000000"/>
          <w:szCs w:val="22"/>
          <w:lang w:eastAsia="sl-SI"/>
        </w:rPr>
      </w:pPr>
      <w:r w:rsidRPr="007F6D1C">
        <w:rPr>
          <w:i/>
          <w:color w:val="000000"/>
          <w:szCs w:val="22"/>
          <w:lang w:eastAsia="sl-SI"/>
        </w:rPr>
        <w:t>Inkstų funkcijos sutrikimas</w:t>
      </w:r>
    </w:p>
    <w:p w14:paraId="19A725AB" w14:textId="77777777" w:rsidR="00DA70E6" w:rsidRPr="007F6D1C" w:rsidRDefault="00FB1753" w:rsidP="00DA70E6">
      <w:pPr>
        <w:autoSpaceDE w:val="0"/>
        <w:autoSpaceDN w:val="0"/>
        <w:adjustRightInd w:val="0"/>
        <w:rPr>
          <w:color w:val="000000"/>
          <w:szCs w:val="22"/>
          <w:lang w:eastAsia="sl-SI"/>
        </w:rPr>
      </w:pPr>
      <w:r w:rsidRPr="005C0E81">
        <w:rPr>
          <w:color w:val="000000"/>
        </w:rPr>
        <w:t>Jaunesniems kaip 18 metų amžiaus asmenims</w:t>
      </w:r>
      <w:r w:rsidR="00DA70E6" w:rsidRPr="007F6D1C">
        <w:rPr>
          <w:color w:val="000000"/>
          <w:szCs w:val="22"/>
          <w:lang w:eastAsia="sl-SI"/>
        </w:rPr>
        <w:t xml:space="preserve">, kurių inkstų funkcija sutrikusi, vartoti emtricitabino ir tenofoviro </w:t>
      </w:r>
      <w:r w:rsidR="00DA70E6" w:rsidRPr="007F6D1C">
        <w:rPr>
          <w:rFonts w:eastAsia="TimesNewRoman"/>
        </w:rPr>
        <w:t xml:space="preserve">dizoproksilio </w:t>
      </w:r>
      <w:r w:rsidR="00DA70E6" w:rsidRPr="007F6D1C">
        <w:rPr>
          <w:color w:val="000000"/>
          <w:szCs w:val="22"/>
          <w:lang w:eastAsia="sl-SI"/>
        </w:rPr>
        <w:t xml:space="preserve">derinio nerekomenduojama (žr. 4.2 skyrių). Gydymo emtricitabino ir tenofoviro </w:t>
      </w:r>
      <w:r w:rsidR="00DA70E6" w:rsidRPr="00E1395D">
        <w:rPr>
          <w:rFonts w:eastAsia="TimesNewRoman"/>
        </w:rPr>
        <w:t xml:space="preserve">dizoproksilio </w:t>
      </w:r>
      <w:r w:rsidR="00DA70E6" w:rsidRPr="00E1395D">
        <w:rPr>
          <w:color w:val="000000"/>
          <w:szCs w:val="22"/>
          <w:lang w:eastAsia="sl-SI"/>
        </w:rPr>
        <w:t xml:space="preserve">deriniu negalima pradėti pacientams vaikams, kurių inkstų funkcija sutrikusi, ir reikia nutraukti pacientams vaikams, kurių inkstų funkcija sutriko </w:t>
      </w:r>
      <w:r w:rsidR="00DA70E6" w:rsidRPr="005C0E81">
        <w:rPr>
          <w:color w:val="000000"/>
        </w:rPr>
        <w:t xml:space="preserve">emtricitabino ir tenofoviro </w:t>
      </w:r>
      <w:r w:rsidRPr="005C0E81">
        <w:rPr>
          <w:color w:val="000000"/>
        </w:rPr>
        <w:t xml:space="preserve">derinio vartojimo </w:t>
      </w:r>
      <w:r w:rsidR="00DA70E6" w:rsidRPr="005C0E81">
        <w:rPr>
          <w:color w:val="000000"/>
        </w:rPr>
        <w:t>metu</w:t>
      </w:r>
      <w:r w:rsidR="00DA70E6" w:rsidRPr="007F6D1C">
        <w:rPr>
          <w:color w:val="000000"/>
          <w:szCs w:val="22"/>
          <w:lang w:eastAsia="sl-SI"/>
        </w:rPr>
        <w:t>.</w:t>
      </w:r>
    </w:p>
    <w:p w14:paraId="3C5CC1C0" w14:textId="77777777" w:rsidR="00DA70E6" w:rsidRPr="00E1395D" w:rsidRDefault="00DA70E6" w:rsidP="00DA70E6">
      <w:pPr>
        <w:autoSpaceDE w:val="0"/>
        <w:autoSpaceDN w:val="0"/>
        <w:adjustRightInd w:val="0"/>
        <w:rPr>
          <w:color w:val="000000"/>
          <w:szCs w:val="22"/>
          <w:lang w:eastAsia="sl-SI"/>
        </w:rPr>
      </w:pPr>
    </w:p>
    <w:p w14:paraId="4D81B82B" w14:textId="77777777" w:rsidR="00DA70E6" w:rsidRPr="00613B1F" w:rsidRDefault="00DA70E6" w:rsidP="00DA70E6">
      <w:pPr>
        <w:autoSpaceDE w:val="0"/>
        <w:autoSpaceDN w:val="0"/>
        <w:adjustRightInd w:val="0"/>
        <w:rPr>
          <w:i/>
          <w:color w:val="000000"/>
          <w:szCs w:val="22"/>
          <w:lang w:eastAsia="sl-SI"/>
        </w:rPr>
      </w:pPr>
      <w:r w:rsidRPr="00613B1F">
        <w:rPr>
          <w:i/>
          <w:color w:val="000000"/>
          <w:szCs w:val="22"/>
          <w:lang w:eastAsia="sl-SI"/>
        </w:rPr>
        <w:t>Poveikis kaulams</w:t>
      </w:r>
    </w:p>
    <w:p w14:paraId="04832629" w14:textId="38B8E813" w:rsidR="00DA70E6" w:rsidRPr="007727FA" w:rsidRDefault="00D94211" w:rsidP="00DA70E6">
      <w:pPr>
        <w:autoSpaceDE w:val="0"/>
        <w:autoSpaceDN w:val="0"/>
        <w:adjustRightInd w:val="0"/>
        <w:rPr>
          <w:color w:val="000000"/>
        </w:rPr>
      </w:pPr>
      <w:r w:rsidRPr="007727FA">
        <w:rPr>
          <w:color w:val="000000"/>
        </w:rPr>
        <w:t xml:space="preserve">Tenofoviras dizoproksilis gali sukelti KMT sumažėjimą. Tenofoviro dizoproksilio sukeltų KMT pokyčių poveikis ilgalaikei kaulų būklei ir lūžių rizikai ateityje nėra aiškus (žr. 5.1 skyrių). </w:t>
      </w:r>
    </w:p>
    <w:p w14:paraId="365BB2E2" w14:textId="77777777" w:rsidR="00DA70E6" w:rsidRPr="007727FA" w:rsidRDefault="00DA70E6" w:rsidP="00DA70E6">
      <w:pPr>
        <w:autoSpaceDE w:val="0"/>
        <w:autoSpaceDN w:val="0"/>
        <w:adjustRightInd w:val="0"/>
        <w:rPr>
          <w:color w:val="000000"/>
        </w:rPr>
      </w:pPr>
    </w:p>
    <w:p w14:paraId="76EA6695" w14:textId="77777777" w:rsidR="00DA70E6" w:rsidRPr="00E1395D" w:rsidRDefault="00DA70E6" w:rsidP="00DA70E6">
      <w:pPr>
        <w:autoSpaceDE w:val="0"/>
        <w:autoSpaceDN w:val="0"/>
        <w:adjustRightInd w:val="0"/>
        <w:rPr>
          <w:color w:val="000000"/>
          <w:szCs w:val="22"/>
          <w:lang w:eastAsia="sl-SI"/>
        </w:rPr>
      </w:pPr>
      <w:r w:rsidRPr="005C0E81">
        <w:rPr>
          <w:color w:val="000000"/>
        </w:rPr>
        <w:t xml:space="preserve">Jeigu </w:t>
      </w:r>
      <w:r w:rsidR="00FB1753" w:rsidRPr="005C0E81">
        <w:rPr>
          <w:color w:val="000000"/>
        </w:rPr>
        <w:t xml:space="preserve">emtricitabino ir tenofoviro derinio vartojimo metu </w:t>
      </w:r>
      <w:r w:rsidRPr="005C0E81">
        <w:rPr>
          <w:color w:val="000000"/>
        </w:rPr>
        <w:t xml:space="preserve">įtariama arba nustatoma kaulų pokyčių </w:t>
      </w:r>
      <w:r w:rsidR="00FB1753" w:rsidRPr="005C0E81">
        <w:rPr>
          <w:color w:val="000000"/>
        </w:rPr>
        <w:t xml:space="preserve">bet kuriems pediatriniams </w:t>
      </w:r>
      <w:r w:rsidRPr="005C0E81">
        <w:rPr>
          <w:color w:val="000000"/>
        </w:rPr>
        <w:t>pacientams</w:t>
      </w:r>
      <w:r w:rsidRPr="007F6D1C">
        <w:rPr>
          <w:color w:val="000000"/>
          <w:szCs w:val="22"/>
          <w:lang w:eastAsia="sl-SI"/>
        </w:rPr>
        <w:t>, reikalinga endokrinologo ir (arba) nefrologo konsultacija.</w:t>
      </w:r>
    </w:p>
    <w:p w14:paraId="196E6435" w14:textId="77777777" w:rsidR="00DA70E6" w:rsidRPr="00613B1F" w:rsidRDefault="00DA70E6" w:rsidP="00DA70E6">
      <w:pPr>
        <w:autoSpaceDE w:val="0"/>
        <w:autoSpaceDN w:val="0"/>
        <w:adjustRightInd w:val="0"/>
      </w:pPr>
    </w:p>
    <w:p w14:paraId="3B070551" w14:textId="77777777" w:rsidR="00DA70E6" w:rsidRPr="00DA70E6" w:rsidRDefault="00DA70E6" w:rsidP="00DA70E6">
      <w:pPr>
        <w:autoSpaceDE w:val="0"/>
        <w:autoSpaceDN w:val="0"/>
        <w:adjustRightInd w:val="0"/>
        <w:rPr>
          <w:u w:val="single"/>
        </w:rPr>
      </w:pPr>
      <w:r w:rsidRPr="00613B1F">
        <w:rPr>
          <w:color w:val="000000"/>
          <w:u w:val="single"/>
        </w:rPr>
        <w:t>Kūno masės ir metabolizmo rodmenys</w:t>
      </w:r>
      <w:r w:rsidRPr="00DA70E6">
        <w:rPr>
          <w:color w:val="000000"/>
          <w:u w:val="single"/>
        </w:rPr>
        <w:t xml:space="preserve"> </w:t>
      </w:r>
    </w:p>
    <w:p w14:paraId="1763D9E2" w14:textId="77777777" w:rsidR="00DA70E6" w:rsidRPr="00DA70E6" w:rsidRDefault="00DA70E6" w:rsidP="00DA70E6">
      <w:pPr>
        <w:autoSpaceDE w:val="0"/>
        <w:autoSpaceDN w:val="0"/>
        <w:adjustRightInd w:val="0"/>
      </w:pPr>
    </w:p>
    <w:p w14:paraId="6CAA6454" w14:textId="77777777" w:rsidR="00DA70E6" w:rsidRPr="00DA70E6" w:rsidRDefault="00DA70E6" w:rsidP="00DA70E6">
      <w:pPr>
        <w:autoSpaceDE w:val="0"/>
        <w:autoSpaceDN w:val="0"/>
        <w:adjustRightInd w:val="0"/>
      </w:pPr>
      <w:r w:rsidRPr="00DA70E6">
        <w:t xml:space="preserve">Gydymo antiretrovirusiniais preparatais metu gali padidėti kūno masė ir lipidų bei gliukozės kiekiai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Lipidų ir gliukozės kiekio kraujyje stebėjimą reikia atlikti vadovaujantis nustatytomis ŽIV gydymo gairėmis. Lipidų sutrikimai turi būti gydomi, jeigu kliniškai reikalinga. </w:t>
      </w:r>
    </w:p>
    <w:p w14:paraId="5FD7D151" w14:textId="77777777" w:rsidR="00DA70E6" w:rsidRPr="00DA70E6" w:rsidRDefault="00DA70E6" w:rsidP="00DA70E6">
      <w:pPr>
        <w:autoSpaceDE w:val="0"/>
        <w:autoSpaceDN w:val="0"/>
        <w:adjustRightInd w:val="0"/>
      </w:pPr>
    </w:p>
    <w:p w14:paraId="7585F25B" w14:textId="77777777" w:rsidR="00DA70E6" w:rsidRPr="00DA70E6" w:rsidRDefault="00DA70E6" w:rsidP="00DA70E6">
      <w:pPr>
        <w:autoSpaceDE w:val="0"/>
        <w:autoSpaceDN w:val="0"/>
        <w:adjustRightInd w:val="0"/>
        <w:rPr>
          <w:u w:val="single"/>
        </w:rPr>
      </w:pPr>
      <w:r w:rsidRPr="00DA70E6">
        <w:rPr>
          <w:color w:val="000000"/>
          <w:u w:val="single"/>
        </w:rPr>
        <w:t xml:space="preserve">Mitochondrijų funkcijos sutrikimas po gimdoje esančio vaisiaus ekspozicijos </w:t>
      </w:r>
    </w:p>
    <w:p w14:paraId="2EAF7669" w14:textId="77777777" w:rsidR="00DA70E6" w:rsidRPr="00DA70E6" w:rsidRDefault="00DA70E6" w:rsidP="00DA70E6">
      <w:pPr>
        <w:autoSpaceDE w:val="0"/>
        <w:autoSpaceDN w:val="0"/>
        <w:adjustRightInd w:val="0"/>
        <w:rPr>
          <w:u w:val="single"/>
        </w:rPr>
      </w:pPr>
    </w:p>
    <w:p w14:paraId="1C5E5C9C" w14:textId="77777777" w:rsidR="00DA70E6" w:rsidRPr="00DA70E6" w:rsidRDefault="00DA70E6" w:rsidP="00DA70E6">
      <w:pPr>
        <w:autoSpaceDE w:val="0"/>
        <w:autoSpaceDN w:val="0"/>
        <w:adjustRightInd w:val="0"/>
      </w:pPr>
      <w:r w:rsidRPr="00DA70E6">
        <w:rPr>
          <w:color w:val="000000"/>
        </w:rPr>
        <w:t xml:space="preserve">Nukleozidų / nukleotidų analogai gali įvairiu laipsniu paveikti mitochondrijų funkciją, šis poveikis ryškiausias būna vartojant stavudino, didanozino ir zidovudino. Kai kuriems ŽIV neužkrėstiems kūdikiams, paveiktiems nukleozidų analogais prieš gimimą ir (arba) po jo, pasireiškė mitochondrijų disfunkcija; šie atvejai daugiausia buvo susiję su gydymo režimų, kurių sudėtyje yra zidovudino, taikymu. Svarbiausios nepageidaujamos reakcijos, apie kurias gauta pranešimų, buvo hematologiniai (anemija, neutropenija) ir metaboliniai (hiperlaktatemija, hiperlipazemija) sutrikimai. Šie reiškiniai dažnai būdavo laikini. Retai gauta pranešimų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reiškinių, ypač neurologinių reiškinių. Dėl šių duomenų šalyje galiojančių nacionalinių rekomendacijų skirti antiretrovirusinių vaistinių preparatų nėščioms moterims, kad būtų išvengta vaisiaus užkrėtimo ŽIV, keisti nereikia. </w:t>
      </w:r>
    </w:p>
    <w:p w14:paraId="6B138491" w14:textId="77777777" w:rsidR="00DA70E6" w:rsidRPr="00DA70E6" w:rsidRDefault="00DA70E6" w:rsidP="00DA70E6">
      <w:pPr>
        <w:autoSpaceDE w:val="0"/>
        <w:autoSpaceDN w:val="0"/>
        <w:adjustRightInd w:val="0"/>
      </w:pPr>
    </w:p>
    <w:p w14:paraId="66D19BD8" w14:textId="77777777" w:rsidR="00DA70E6" w:rsidRPr="00DA70E6" w:rsidRDefault="00DA70E6" w:rsidP="00DA70E6">
      <w:pPr>
        <w:autoSpaceDE w:val="0"/>
        <w:autoSpaceDN w:val="0"/>
        <w:adjustRightInd w:val="0"/>
        <w:rPr>
          <w:u w:val="single"/>
        </w:rPr>
      </w:pPr>
      <w:r w:rsidRPr="00DA70E6">
        <w:rPr>
          <w:color w:val="000000"/>
          <w:u w:val="single"/>
        </w:rPr>
        <w:t xml:space="preserve">Imuninės reaktyvacijos sindromas </w:t>
      </w:r>
    </w:p>
    <w:p w14:paraId="1254A056" w14:textId="77777777" w:rsidR="00DA70E6" w:rsidRPr="00DA70E6" w:rsidRDefault="00DA70E6" w:rsidP="00DA70E6">
      <w:pPr>
        <w:autoSpaceDE w:val="0"/>
        <w:autoSpaceDN w:val="0"/>
        <w:adjustRightInd w:val="0"/>
      </w:pPr>
    </w:p>
    <w:p w14:paraId="5397C82D" w14:textId="77777777" w:rsidR="00DA70E6" w:rsidRPr="00DA70E6" w:rsidRDefault="00DA70E6" w:rsidP="00DA70E6">
      <w:pPr>
        <w:autoSpaceDE w:val="0"/>
        <w:autoSpaceDN w:val="0"/>
        <w:adjustRightInd w:val="0"/>
      </w:pPr>
      <w:r w:rsidRPr="00DA70E6">
        <w:rPr>
          <w:color w:val="000000"/>
        </w:rPr>
        <w:t xml:space="preserve">ŽIV infekuotiems pacientams, kuriems yra didelis imuninės sistemos deficitas, pradėjus KARG, gali išsivystyti uždegiminė reakcija į besimptomius arba likusius sąlyginai patogeniškus ligų sukėlėjus ir sukelti sunkias klinikines būkles ar simptomų pablogėjimą. Paprastai tokios reakcijos stebėtos pirmosiomis KARG savaitėmis ar mėnesiais. Tai gali būti citomegalovirusinis retinitas, generalizuotos ir (arba) židininės mikobakterinės infekcijos ir </w:t>
      </w:r>
      <w:r w:rsidRPr="00DA70E6">
        <w:rPr>
          <w:i/>
          <w:color w:val="000000"/>
        </w:rPr>
        <w:t xml:space="preserve">Pneumocystis jirovecii </w:t>
      </w:r>
      <w:r w:rsidRPr="00DA70E6">
        <w:rPr>
          <w:color w:val="000000"/>
        </w:rPr>
        <w:t>pneumonija. Reikia įvertinti bet kokius uždegimo simptomus ir, kai būtina, pradėti gydyti. Buvo pranešta, kad autoimuniniai sutrikimai (pvz., Greivso liga</w:t>
      </w:r>
      <w:r>
        <w:rPr>
          <w:color w:val="000000"/>
        </w:rPr>
        <w:t xml:space="preserve"> ir autoimuninis hepatitas</w:t>
      </w:r>
      <w:r w:rsidRPr="00DA70E6">
        <w:rPr>
          <w:color w:val="000000"/>
        </w:rPr>
        <w:t xml:space="preserve">) pasireiškia ir imuninės reaktyvacijos metu, tačiau praneštas jų pradžios laikas yra labiau kintamas ir šie reiškiniai gali pasireikšti po daugelio mėnesių nuo gydymo pradžios. </w:t>
      </w:r>
    </w:p>
    <w:p w14:paraId="00E74463" w14:textId="77777777" w:rsidR="00DA70E6" w:rsidRPr="00DA70E6" w:rsidRDefault="00DA70E6" w:rsidP="00DA70E6">
      <w:pPr>
        <w:autoSpaceDE w:val="0"/>
        <w:autoSpaceDN w:val="0"/>
        <w:adjustRightInd w:val="0"/>
      </w:pPr>
    </w:p>
    <w:p w14:paraId="43373BDE" w14:textId="77777777" w:rsidR="00DA70E6" w:rsidRPr="00DA70E6" w:rsidRDefault="00DA70E6" w:rsidP="00DA70E6">
      <w:pPr>
        <w:autoSpaceDE w:val="0"/>
        <w:autoSpaceDN w:val="0"/>
        <w:adjustRightInd w:val="0"/>
        <w:rPr>
          <w:u w:val="single"/>
        </w:rPr>
      </w:pPr>
      <w:r w:rsidRPr="00DA70E6">
        <w:rPr>
          <w:color w:val="000000"/>
          <w:u w:val="single"/>
        </w:rPr>
        <w:t xml:space="preserve">Oportunistinės infekcijos </w:t>
      </w:r>
    </w:p>
    <w:p w14:paraId="39008C71" w14:textId="77777777" w:rsidR="00DA70E6" w:rsidRPr="00DA70E6" w:rsidRDefault="00DA70E6" w:rsidP="00DA70E6">
      <w:pPr>
        <w:autoSpaceDE w:val="0"/>
        <w:autoSpaceDN w:val="0"/>
        <w:adjustRightInd w:val="0"/>
      </w:pPr>
    </w:p>
    <w:p w14:paraId="6518935B" w14:textId="77777777" w:rsidR="00DA70E6" w:rsidRPr="00DA70E6" w:rsidRDefault="00DA70E6" w:rsidP="00DA70E6">
      <w:pPr>
        <w:autoSpaceDE w:val="0"/>
        <w:autoSpaceDN w:val="0"/>
        <w:adjustRightInd w:val="0"/>
      </w:pPr>
      <w:r w:rsidRPr="00DA70E6">
        <w:rPr>
          <w:color w:val="000000"/>
        </w:rPr>
        <w:lastRenderedPageBreak/>
        <w:t xml:space="preserve">ŽIV-1 infekuotiems pacientams, vartojantiems </w:t>
      </w:r>
      <w:r w:rsidRPr="00DA70E6">
        <w:rPr>
          <w:rFonts w:eastAsia="TimesNewRoman"/>
          <w:color w:val="000000"/>
        </w:rPr>
        <w:t>Emtricitabine/Tenofovir disoproxil Sandoz</w:t>
      </w:r>
      <w:r w:rsidRPr="00DA70E6">
        <w:rPr>
          <w:color w:val="000000"/>
        </w:rPr>
        <w:t xml:space="preserve"> ar bet kokio kito antiretrovirusinio vaistinio preparato, gali ir toliau vystytis oportunistinės infekcijos ar kitos ŽIV infekcijos komplikacijos. Todėl tokių pacientų klinikinę būklę turi atidžiai stebėti gydytojas, turintis patirties gydant pacientus, sergančius su ŽIV infekcija susijusiomis ligomis. </w:t>
      </w:r>
    </w:p>
    <w:p w14:paraId="7AD9EEC2" w14:textId="77777777" w:rsidR="00DA70E6" w:rsidRPr="00DA70E6" w:rsidRDefault="00DA70E6" w:rsidP="00DA70E6">
      <w:pPr>
        <w:autoSpaceDE w:val="0"/>
        <w:autoSpaceDN w:val="0"/>
        <w:adjustRightInd w:val="0"/>
      </w:pPr>
    </w:p>
    <w:p w14:paraId="15A98D7A" w14:textId="77777777" w:rsidR="00DA70E6" w:rsidRPr="00DA70E6" w:rsidRDefault="00DA70E6" w:rsidP="00DA70E6">
      <w:pPr>
        <w:autoSpaceDE w:val="0"/>
        <w:autoSpaceDN w:val="0"/>
        <w:adjustRightInd w:val="0"/>
        <w:rPr>
          <w:u w:val="single"/>
        </w:rPr>
      </w:pPr>
      <w:r w:rsidRPr="00DA70E6">
        <w:rPr>
          <w:color w:val="000000"/>
          <w:u w:val="single"/>
        </w:rPr>
        <w:t xml:space="preserve">Kaulų nekrozė </w:t>
      </w:r>
    </w:p>
    <w:p w14:paraId="24A544AF" w14:textId="77777777" w:rsidR="00DA70E6" w:rsidRPr="00DA70E6" w:rsidRDefault="00DA70E6" w:rsidP="00DA70E6">
      <w:pPr>
        <w:autoSpaceDE w:val="0"/>
        <w:autoSpaceDN w:val="0"/>
        <w:adjustRightInd w:val="0"/>
      </w:pPr>
    </w:p>
    <w:p w14:paraId="7348AC5C" w14:textId="77777777" w:rsidR="00DA70E6" w:rsidRPr="00DA70E6" w:rsidRDefault="00DA70E6" w:rsidP="00DA70E6">
      <w:pPr>
        <w:autoSpaceDE w:val="0"/>
        <w:autoSpaceDN w:val="0"/>
        <w:adjustRightInd w:val="0"/>
      </w:pPr>
      <w:r w:rsidRPr="00DA70E6">
        <w:rPr>
          <w:color w:val="000000"/>
        </w:rPr>
        <w:t xml:space="preserve">Nepaisant to, kad kaulų nekrozės etiologijoje dalyvauja daug veiksnių (įskaitant kortikosteroidų vartojimą, piktnaudžiavimą alkoholiu, sunkią imunosupresiją, padidėjusį kūno masės indeksą), ypač daug jos atvejų aprašyta pacientams, sergantiems toli pažengusia ŽIV liga, ir (arba) ilgai gydomiems KARG. Pacientai turi būti informuoti, kad reikia kreiptis į gydytoją, jeigu jaučiamas sąnarių skausmas, sustingimas arba tampa sunku judėti. </w:t>
      </w:r>
    </w:p>
    <w:p w14:paraId="46094DDE" w14:textId="77777777" w:rsidR="00DA70E6" w:rsidRPr="00DA70E6" w:rsidRDefault="00DA70E6" w:rsidP="00DA70E6">
      <w:pPr>
        <w:autoSpaceDE w:val="0"/>
        <w:autoSpaceDN w:val="0"/>
        <w:adjustRightInd w:val="0"/>
      </w:pPr>
    </w:p>
    <w:p w14:paraId="6DFD0EA5" w14:textId="77777777" w:rsidR="00DA70E6" w:rsidRPr="00DA70E6" w:rsidRDefault="00DA70E6" w:rsidP="00DA70E6">
      <w:pPr>
        <w:autoSpaceDE w:val="0"/>
        <w:autoSpaceDN w:val="0"/>
        <w:adjustRightInd w:val="0"/>
        <w:rPr>
          <w:u w:val="single"/>
        </w:rPr>
      </w:pPr>
      <w:r w:rsidRPr="00DA70E6">
        <w:rPr>
          <w:color w:val="000000"/>
          <w:u w:val="single"/>
        </w:rPr>
        <w:t xml:space="preserve">Vartojimas kartu su kitais vaistiniais preparatais </w:t>
      </w:r>
    </w:p>
    <w:p w14:paraId="2027B758" w14:textId="77777777" w:rsidR="00DA70E6" w:rsidRPr="00DA70E6" w:rsidRDefault="00DA70E6" w:rsidP="00DA70E6">
      <w:pPr>
        <w:autoSpaceDE w:val="0"/>
        <w:autoSpaceDN w:val="0"/>
        <w:adjustRightInd w:val="0"/>
      </w:pPr>
    </w:p>
    <w:p w14:paraId="2EB177EC" w14:textId="77777777" w:rsidR="00DA70E6" w:rsidRPr="00E1395D" w:rsidRDefault="00DA70E6" w:rsidP="00DA70E6">
      <w:pPr>
        <w:autoSpaceDE w:val="0"/>
        <w:autoSpaceDN w:val="0"/>
        <w:adjustRightInd w:val="0"/>
      </w:pPr>
      <w:r w:rsidRPr="00DA70E6">
        <w:rPr>
          <w:color w:val="000000"/>
        </w:rPr>
        <w:t xml:space="preserve">Reikia vengti vartoti </w:t>
      </w:r>
      <w:r w:rsidRPr="00DA70E6">
        <w:rPr>
          <w:rFonts w:eastAsia="TimesNewRoman"/>
          <w:color w:val="000000"/>
        </w:rPr>
        <w:t>Emtricitabine/Tenofovir disoproxil Sandoz</w:t>
      </w:r>
      <w:r w:rsidRPr="00DA70E6">
        <w:rPr>
          <w:color w:val="000000"/>
        </w:rPr>
        <w:t xml:space="preserve"> kartu su nefrotoksiniais vaistiniais preparatais arba jeigu jų buvo neseniai vartota (žr</w:t>
      </w:r>
      <w:r w:rsidRPr="007F6D1C">
        <w:rPr>
          <w:color w:val="000000"/>
        </w:rPr>
        <w:t xml:space="preserve">. 4.5 skyrių). Jeigu </w:t>
      </w:r>
      <w:r w:rsidR="005C27CB" w:rsidRPr="005C0E81">
        <w:rPr>
          <w:rFonts w:eastAsia="TimesNewRoman"/>
          <w:color w:val="000000"/>
        </w:rPr>
        <w:t>neišvengiama</w:t>
      </w:r>
      <w:r w:rsidRPr="005C0E81">
        <w:rPr>
          <w:color w:val="000000"/>
        </w:rPr>
        <w:t xml:space="preserve"> </w:t>
      </w:r>
      <w:r w:rsidR="005C27CB" w:rsidRPr="005C0E81">
        <w:rPr>
          <w:color w:val="000000"/>
        </w:rPr>
        <w:t>vartoti</w:t>
      </w:r>
      <w:r w:rsidR="005C27CB" w:rsidRPr="007F6D1C">
        <w:rPr>
          <w:color w:val="000000"/>
        </w:rPr>
        <w:t xml:space="preserve"> </w:t>
      </w:r>
      <w:r w:rsidRPr="007F6D1C">
        <w:rPr>
          <w:color w:val="000000"/>
        </w:rPr>
        <w:t xml:space="preserve">kartu su nefrotoksiškomis medžiagomis, inkstų funkciją reikia stebėti kas savaitę. </w:t>
      </w:r>
    </w:p>
    <w:p w14:paraId="6952611D" w14:textId="77777777" w:rsidR="00DA70E6" w:rsidRPr="00613B1F" w:rsidRDefault="00DA70E6" w:rsidP="00DA70E6">
      <w:pPr>
        <w:autoSpaceDE w:val="0"/>
        <w:autoSpaceDN w:val="0"/>
        <w:adjustRightInd w:val="0"/>
      </w:pPr>
    </w:p>
    <w:p w14:paraId="18648136" w14:textId="77777777" w:rsidR="00DA70E6" w:rsidRPr="00DA70E6" w:rsidRDefault="00DA70E6" w:rsidP="00DA70E6">
      <w:pPr>
        <w:autoSpaceDE w:val="0"/>
        <w:autoSpaceDN w:val="0"/>
        <w:adjustRightInd w:val="0"/>
      </w:pPr>
      <w:r w:rsidRPr="00613B1F">
        <w:t>Pradėjus skirti didelėmis dozėmis arba kartotinai vartojamų nesteroidinių vaistinių preparatų nuo uždegimo (NVNU) ŽIV-1 infekuotiems pacientams, kurie</w:t>
      </w:r>
      <w:r w:rsidRPr="00DA70E6">
        <w:t xml:space="preserve"> buvo gydomi tenofoviro dizoproksiliu ir kuriems yra inkstų funkcijos sutrikimo rizikos veiksnių, buvo pranešta apie ūminio inkstų nepakankamumo atvejus. Jei </w:t>
      </w:r>
      <w:r w:rsidRPr="00DA70E6">
        <w:rPr>
          <w:rFonts w:eastAsia="TimesNewRoman"/>
        </w:rPr>
        <w:t>Emtricitabine/Tenofovir disoproxil Sandoz</w:t>
      </w:r>
      <w:r w:rsidRPr="00DA70E6">
        <w:t xml:space="preserve"> skiriamas kartu su NVNU, turi būti tinkamas inkstų funkcijos stebėjimas.</w:t>
      </w:r>
    </w:p>
    <w:p w14:paraId="62BDA8C4" w14:textId="77777777" w:rsidR="00DA70E6" w:rsidRPr="00DA70E6" w:rsidRDefault="00DA70E6" w:rsidP="00DA70E6">
      <w:pPr>
        <w:autoSpaceDE w:val="0"/>
        <w:autoSpaceDN w:val="0"/>
        <w:adjustRightInd w:val="0"/>
      </w:pPr>
    </w:p>
    <w:p w14:paraId="2100513B" w14:textId="77777777" w:rsidR="00DA70E6" w:rsidRPr="00DA70E6" w:rsidRDefault="00DA70E6" w:rsidP="00DA70E6">
      <w:pPr>
        <w:autoSpaceDE w:val="0"/>
        <w:autoSpaceDN w:val="0"/>
        <w:adjustRightInd w:val="0"/>
      </w:pPr>
      <w:r w:rsidRPr="00DA70E6">
        <w:rPr>
          <w:color w:val="000000"/>
        </w:rPr>
        <w:t>Didesnė inkstų funkcijos sutrikimo rizika nustatyta ŽIV-1 infekuotiems pacientams, vartojantiems tenofoviro dizoproksilio kartu su ritonaviru arba kobicistatu, sustiprintais proteazės inhibitoriumi. Šiems pacientams reikia atidžiai stebėti inkstų funkciją (žr. 4.5 skyrių). ŽIV-1 infekuotiems pacientams, kuriems yra inkstų funkcijos sutrikimo rizikos veiksnių, tenofoviro dizoproksilio vartojimas kartu su sustiprintu proteazės inhibitoriumi turi būti atidžiai įvertintas.</w:t>
      </w:r>
    </w:p>
    <w:p w14:paraId="2438F8BC" w14:textId="77777777" w:rsidR="00DA70E6" w:rsidRPr="00DA70E6" w:rsidRDefault="00DA70E6" w:rsidP="00DA70E6">
      <w:pPr>
        <w:autoSpaceDE w:val="0"/>
        <w:autoSpaceDN w:val="0"/>
        <w:adjustRightInd w:val="0"/>
      </w:pPr>
    </w:p>
    <w:p w14:paraId="38AB15E5" w14:textId="77777777" w:rsidR="00DA70E6" w:rsidRPr="007F6D1C" w:rsidRDefault="00DA70E6" w:rsidP="00DA70E6">
      <w:pPr>
        <w:autoSpaceDE w:val="0"/>
        <w:autoSpaceDN w:val="0"/>
        <w:adjustRightInd w:val="0"/>
      </w:pPr>
      <w:r w:rsidRPr="00DA70E6">
        <w:rPr>
          <w:rFonts w:eastAsia="TimesNewRoman"/>
          <w:color w:val="000000"/>
        </w:rPr>
        <w:t>Emtricitabine/Tenofovir disoproxil Sandoz</w:t>
      </w:r>
      <w:r w:rsidRPr="00DA70E6">
        <w:rPr>
          <w:color w:val="000000"/>
        </w:rPr>
        <w:t xml:space="preserve"> turi būti nevartojamas kartu su kitais vaistiniais preparatais, kurių sudėtyje yra emtricitabino, tenofoviro dizoproksilio, tenofoviro alafenamido ar kitų citidino analogų, tokių kaip lamivudinas (žr. 4.5 skyrių). </w:t>
      </w:r>
      <w:r w:rsidRPr="00DA70E6">
        <w:rPr>
          <w:rFonts w:eastAsia="TimesNewRoman"/>
          <w:color w:val="000000"/>
        </w:rPr>
        <w:t>Emtricitabine/Tenofovir disoproxil Sandoz</w:t>
      </w:r>
      <w:r w:rsidRPr="00DA70E6">
        <w:rPr>
          <w:color w:val="000000"/>
        </w:rPr>
        <w:t xml:space="preserve"> turi būti nevartojamas </w:t>
      </w:r>
      <w:r w:rsidRPr="007F6D1C">
        <w:rPr>
          <w:color w:val="000000"/>
        </w:rPr>
        <w:t xml:space="preserve">kartu su adefoviro dipivoksiliu. </w:t>
      </w:r>
    </w:p>
    <w:p w14:paraId="1673C49E" w14:textId="77777777" w:rsidR="00DA70E6" w:rsidRPr="00E1395D" w:rsidRDefault="00DA70E6" w:rsidP="00DA70E6">
      <w:pPr>
        <w:autoSpaceDE w:val="0"/>
        <w:autoSpaceDN w:val="0"/>
        <w:adjustRightInd w:val="0"/>
        <w:rPr>
          <w:i/>
        </w:rPr>
      </w:pPr>
    </w:p>
    <w:p w14:paraId="724A8D61" w14:textId="77777777" w:rsidR="00DA70E6" w:rsidRPr="007F6D1C" w:rsidRDefault="00DA70E6" w:rsidP="00DA70E6">
      <w:pPr>
        <w:autoSpaceDE w:val="0"/>
        <w:autoSpaceDN w:val="0"/>
        <w:adjustRightInd w:val="0"/>
      </w:pPr>
      <w:r w:rsidRPr="00E1395D">
        <w:rPr>
          <w:i/>
          <w:color w:val="000000"/>
        </w:rPr>
        <w:t>Vartojimas kartu su ledipasviru ir sofosbuviru</w:t>
      </w:r>
      <w:r w:rsidR="005C27CB" w:rsidRPr="00E1395D">
        <w:rPr>
          <w:i/>
          <w:color w:val="000000"/>
          <w:szCs w:val="24"/>
          <w:lang w:eastAsia="sl-SI"/>
        </w:rPr>
        <w:t>,</w:t>
      </w:r>
      <w:r w:rsidR="005C27CB" w:rsidRPr="00613B1F">
        <w:rPr>
          <w:i/>
          <w:color w:val="000000"/>
          <w:szCs w:val="24"/>
          <w:lang w:eastAsia="sl-SI"/>
        </w:rPr>
        <w:t xml:space="preserve"> </w:t>
      </w:r>
      <w:r w:rsidRPr="00613B1F">
        <w:rPr>
          <w:i/>
          <w:color w:val="000000"/>
          <w:szCs w:val="24"/>
          <w:lang w:eastAsia="sl-SI"/>
        </w:rPr>
        <w:t>sofosbuviru ir velpatasviru</w:t>
      </w:r>
      <w:r w:rsidR="005C27CB" w:rsidRPr="00613B1F">
        <w:rPr>
          <w:i/>
          <w:color w:val="000000"/>
          <w:szCs w:val="24"/>
          <w:lang w:eastAsia="sl-SI"/>
        </w:rPr>
        <w:t xml:space="preserve"> arba kartu </w:t>
      </w:r>
      <w:r w:rsidR="005C27CB" w:rsidRPr="005C0E81">
        <w:rPr>
          <w:i/>
          <w:color w:val="000000"/>
        </w:rPr>
        <w:t>su sofosbuviru, velpatasviru ir voksilapreviru</w:t>
      </w:r>
    </w:p>
    <w:p w14:paraId="311EB3FB" w14:textId="77777777" w:rsidR="00DA70E6" w:rsidRPr="007F6D1C" w:rsidRDefault="00DA70E6" w:rsidP="00DA70E6">
      <w:pPr>
        <w:autoSpaceDE w:val="0"/>
        <w:autoSpaceDN w:val="0"/>
        <w:adjustRightInd w:val="0"/>
      </w:pPr>
      <w:r w:rsidRPr="00E1395D">
        <w:rPr>
          <w:color w:val="000000"/>
        </w:rPr>
        <w:t xml:space="preserve">Nustatyta, kad vartojant tenofoviro dizoproksilio kartu su ledipasviru </w:t>
      </w:r>
      <w:r w:rsidR="005C27CB" w:rsidRPr="00E1395D">
        <w:rPr>
          <w:color w:val="000000"/>
          <w:szCs w:val="24"/>
          <w:lang w:eastAsia="sl-SI"/>
        </w:rPr>
        <w:t>/</w:t>
      </w:r>
      <w:r w:rsidR="005C27CB" w:rsidRPr="00E1395D">
        <w:rPr>
          <w:color w:val="000000"/>
        </w:rPr>
        <w:t xml:space="preserve"> </w:t>
      </w:r>
      <w:r w:rsidRPr="00613B1F">
        <w:rPr>
          <w:color w:val="000000"/>
        </w:rPr>
        <w:t>sofosbuviru</w:t>
      </w:r>
      <w:r w:rsidRPr="00613B1F">
        <w:t xml:space="preserve"> </w:t>
      </w:r>
      <w:r w:rsidRPr="00613B1F">
        <w:rPr>
          <w:color w:val="000000"/>
          <w:szCs w:val="24"/>
          <w:lang w:eastAsia="sl-SI"/>
        </w:rPr>
        <w:t xml:space="preserve">arba sofosbuviru </w:t>
      </w:r>
      <w:r w:rsidR="005C27CB" w:rsidRPr="00613B1F">
        <w:rPr>
          <w:color w:val="000000"/>
          <w:szCs w:val="24"/>
          <w:lang w:eastAsia="sl-SI"/>
        </w:rPr>
        <w:t xml:space="preserve">/ </w:t>
      </w:r>
      <w:r w:rsidRPr="00613B1F">
        <w:rPr>
          <w:color w:val="000000"/>
          <w:szCs w:val="24"/>
          <w:lang w:eastAsia="sl-SI"/>
        </w:rPr>
        <w:t>velpatasviru</w:t>
      </w:r>
      <w:r w:rsidR="005C27CB" w:rsidRPr="00613B1F">
        <w:rPr>
          <w:color w:val="000000"/>
          <w:szCs w:val="24"/>
          <w:lang w:eastAsia="sl-SI"/>
        </w:rPr>
        <w:t xml:space="preserve"> arba </w:t>
      </w:r>
      <w:r w:rsidR="005C27CB" w:rsidRPr="005C0E81">
        <w:rPr>
          <w:color w:val="000000"/>
        </w:rPr>
        <w:t>sofosbuviru / velpatasviru / voksilapreviru</w:t>
      </w:r>
      <w:r w:rsidRPr="007F6D1C">
        <w:rPr>
          <w:color w:val="000000"/>
        </w:rPr>
        <w:t xml:space="preserve"> padidėja tenofoviro koncentracijos plazmoje, ypač kartu taikant ŽIV gydymo schemą, kurios sudėtyje yra tenofoviro dizoproksilio ir farmakokinetinis stiprintojas (ritonaviras arba kobicistatas). </w:t>
      </w:r>
    </w:p>
    <w:p w14:paraId="01EB73D6" w14:textId="77777777" w:rsidR="00DA70E6" w:rsidRPr="00E1395D" w:rsidRDefault="00DA70E6" w:rsidP="00DA70E6">
      <w:pPr>
        <w:autoSpaceDE w:val="0"/>
        <w:autoSpaceDN w:val="0"/>
        <w:adjustRightInd w:val="0"/>
      </w:pPr>
    </w:p>
    <w:p w14:paraId="40C78F71" w14:textId="77777777" w:rsidR="00DA70E6" w:rsidRPr="00613B1F" w:rsidRDefault="00DA70E6" w:rsidP="00DA70E6">
      <w:pPr>
        <w:autoSpaceDE w:val="0"/>
        <w:autoSpaceDN w:val="0"/>
        <w:adjustRightInd w:val="0"/>
      </w:pPr>
      <w:r w:rsidRPr="00613B1F">
        <w:rPr>
          <w:color w:val="000000"/>
        </w:rPr>
        <w:t>Tenofoviro dizoproksilio saugumas kartu vartojant ledipasviro / sofosbuviro</w:t>
      </w:r>
      <w:r w:rsidR="005C27CB" w:rsidRPr="00613B1F">
        <w:rPr>
          <w:color w:val="000000"/>
        </w:rPr>
        <w:t>,</w:t>
      </w:r>
      <w:r w:rsidRPr="00613B1F">
        <w:rPr>
          <w:color w:val="000000"/>
          <w:szCs w:val="24"/>
          <w:lang w:eastAsia="sl-SI"/>
        </w:rPr>
        <w:t xml:space="preserve"> sofosbuviro </w:t>
      </w:r>
      <w:r w:rsidR="005C27CB" w:rsidRPr="00613B1F">
        <w:rPr>
          <w:color w:val="000000"/>
          <w:szCs w:val="24"/>
          <w:lang w:eastAsia="sl-SI"/>
        </w:rPr>
        <w:t xml:space="preserve">/ </w:t>
      </w:r>
      <w:r w:rsidRPr="00613B1F">
        <w:rPr>
          <w:color w:val="000000"/>
          <w:szCs w:val="24"/>
          <w:lang w:eastAsia="sl-SI"/>
        </w:rPr>
        <w:t xml:space="preserve">velpatasviro </w:t>
      </w:r>
      <w:r w:rsidR="005C27CB" w:rsidRPr="005C0E81">
        <w:rPr>
          <w:color w:val="000000"/>
        </w:rPr>
        <w:t>arba sofosbuviro / velpatasviro / voksilapreviro</w:t>
      </w:r>
      <w:r w:rsidR="005C27CB" w:rsidRPr="007F6D1C">
        <w:rPr>
          <w:color w:val="000000"/>
          <w:szCs w:val="24"/>
          <w:lang w:eastAsia="sl-SI"/>
        </w:rPr>
        <w:t xml:space="preserve"> </w:t>
      </w:r>
      <w:r w:rsidRPr="007F6D1C">
        <w:rPr>
          <w:color w:val="000000"/>
          <w:szCs w:val="24"/>
          <w:lang w:eastAsia="sl-SI"/>
        </w:rPr>
        <w:t>bei</w:t>
      </w:r>
      <w:r w:rsidRPr="007F6D1C">
        <w:rPr>
          <w:color w:val="000000"/>
        </w:rPr>
        <w:t xml:space="preserve"> farmakokinetinio stiprintojo neištirtas. Reikia apsvarstyti galimą riziką ir naudą, susijusią su vartojimu kartu, ypač pacientams, kuriems yra padidėjusi inkstų funkcijos sutrikimo rizika. Reikia stebėti, ar pacientams, vartojantiems ledipasviro / sofosbuviro</w:t>
      </w:r>
      <w:r w:rsidR="005C27CB" w:rsidRPr="007F6D1C">
        <w:rPr>
          <w:color w:val="000000"/>
        </w:rPr>
        <w:t>,</w:t>
      </w:r>
      <w:r w:rsidRPr="007F6D1C">
        <w:rPr>
          <w:color w:val="000000"/>
          <w:szCs w:val="24"/>
          <w:lang w:eastAsia="sl-SI"/>
        </w:rPr>
        <w:t xml:space="preserve"> </w:t>
      </w:r>
      <w:r w:rsidRPr="00613B1F">
        <w:rPr>
          <w:color w:val="000000"/>
          <w:szCs w:val="24"/>
          <w:lang w:eastAsia="sl-SI"/>
        </w:rPr>
        <w:t xml:space="preserve">sofosbuviro </w:t>
      </w:r>
      <w:r w:rsidR="005C27CB" w:rsidRPr="00613B1F">
        <w:rPr>
          <w:color w:val="000000"/>
          <w:szCs w:val="24"/>
          <w:lang w:eastAsia="sl-SI"/>
        </w:rPr>
        <w:t xml:space="preserve">/ </w:t>
      </w:r>
      <w:r w:rsidRPr="00613B1F">
        <w:rPr>
          <w:color w:val="000000"/>
          <w:szCs w:val="24"/>
          <w:lang w:eastAsia="sl-SI"/>
        </w:rPr>
        <w:t>velpatasviro</w:t>
      </w:r>
      <w:r w:rsidR="005C27CB" w:rsidRPr="00613B1F">
        <w:rPr>
          <w:color w:val="000000"/>
          <w:szCs w:val="24"/>
          <w:lang w:eastAsia="sl-SI"/>
        </w:rPr>
        <w:t xml:space="preserve"> arba</w:t>
      </w:r>
      <w:r w:rsidRPr="00613B1F">
        <w:rPr>
          <w:color w:val="000000"/>
        </w:rPr>
        <w:t xml:space="preserve"> </w:t>
      </w:r>
      <w:r w:rsidR="005C27CB" w:rsidRPr="005C0E81">
        <w:rPr>
          <w:color w:val="000000"/>
        </w:rPr>
        <w:t>sofosbuviro / velpatasviro / voksilapreviro</w:t>
      </w:r>
      <w:r w:rsidR="005C27CB" w:rsidRPr="00613B1F">
        <w:rPr>
          <w:color w:val="000000"/>
          <w:szCs w:val="24"/>
          <w:lang w:eastAsia="sl-SI"/>
        </w:rPr>
        <w:t xml:space="preserve"> </w:t>
      </w:r>
      <w:r w:rsidRPr="00613B1F">
        <w:rPr>
          <w:color w:val="000000"/>
        </w:rPr>
        <w:t xml:space="preserve">kartu su tenofoviro dizoproksiliu ir sustiprintu ŽIV proteazės inhibitoriumi, nepasireiškia nepageidaujamų reakcijų, susijusių su tenofoviro dizoproksiliu. </w:t>
      </w:r>
    </w:p>
    <w:p w14:paraId="42D6AC75" w14:textId="77777777" w:rsidR="00DA70E6" w:rsidRPr="00613B1F" w:rsidRDefault="00DA70E6" w:rsidP="00DA70E6">
      <w:pPr>
        <w:autoSpaceDE w:val="0"/>
        <w:autoSpaceDN w:val="0"/>
        <w:adjustRightInd w:val="0"/>
        <w:rPr>
          <w:i/>
        </w:rPr>
      </w:pPr>
    </w:p>
    <w:p w14:paraId="40A2DD25" w14:textId="77777777" w:rsidR="00DA70E6" w:rsidRDefault="00DA70E6" w:rsidP="00DA70E6">
      <w:pPr>
        <w:autoSpaceDE w:val="0"/>
        <w:autoSpaceDN w:val="0"/>
        <w:adjustRightInd w:val="0"/>
        <w:rPr>
          <w:i/>
          <w:color w:val="000000"/>
        </w:rPr>
      </w:pPr>
      <w:r w:rsidRPr="005C0E81">
        <w:rPr>
          <w:i/>
          <w:color w:val="000000"/>
        </w:rPr>
        <w:t>Tenofovir</w:t>
      </w:r>
      <w:r w:rsidR="0057496C" w:rsidRPr="005C0E81">
        <w:rPr>
          <w:i/>
          <w:color w:val="000000"/>
        </w:rPr>
        <w:t>o dizoproksilio</w:t>
      </w:r>
      <w:r w:rsidRPr="005C0E81">
        <w:rPr>
          <w:i/>
          <w:color w:val="000000"/>
        </w:rPr>
        <w:t xml:space="preserve"> </w:t>
      </w:r>
      <w:r w:rsidRPr="007F6D1C">
        <w:rPr>
          <w:i/>
          <w:color w:val="000000"/>
        </w:rPr>
        <w:t xml:space="preserve">vartojimas kartu </w:t>
      </w:r>
      <w:r w:rsidRPr="005C0E81">
        <w:rPr>
          <w:i/>
          <w:color w:val="000000"/>
        </w:rPr>
        <w:t>su didanozinu</w:t>
      </w:r>
      <w:r w:rsidR="009E77C3">
        <w:rPr>
          <w:i/>
          <w:color w:val="000000"/>
        </w:rPr>
        <w:t>:</w:t>
      </w:r>
    </w:p>
    <w:p w14:paraId="430AA9B6" w14:textId="7D0C6181" w:rsidR="009E77C3" w:rsidRPr="00DA70E6" w:rsidRDefault="00D80526" w:rsidP="009E77C3">
      <w:pPr>
        <w:autoSpaceDE w:val="0"/>
        <w:autoSpaceDN w:val="0"/>
        <w:adjustRightInd w:val="0"/>
      </w:pPr>
      <w:r w:rsidRPr="00D80526">
        <w:rPr>
          <w:color w:val="000000"/>
        </w:rPr>
        <w:t xml:space="preserve">Tenofoviro dizoproksilio vartojimas kartu su didanozinu </w:t>
      </w:r>
      <w:r w:rsidR="009E77C3" w:rsidRPr="00DA70E6">
        <w:rPr>
          <w:color w:val="000000"/>
        </w:rPr>
        <w:t xml:space="preserve"> nere</w:t>
      </w:r>
      <w:r w:rsidR="009E77C3">
        <w:rPr>
          <w:color w:val="000000"/>
        </w:rPr>
        <w:t xml:space="preserve">komenduojamas (žr. 4.5 skyrių </w:t>
      </w:r>
      <w:r w:rsidR="009E77C3" w:rsidRPr="00DA70E6">
        <w:rPr>
          <w:color w:val="000000"/>
        </w:rPr>
        <w:t xml:space="preserve">). </w:t>
      </w:r>
    </w:p>
    <w:p w14:paraId="0B1D79B8" w14:textId="77777777" w:rsidR="009E77C3" w:rsidRPr="007F6D1C" w:rsidRDefault="009E77C3" w:rsidP="00DA70E6">
      <w:pPr>
        <w:autoSpaceDE w:val="0"/>
        <w:autoSpaceDN w:val="0"/>
        <w:adjustRightInd w:val="0"/>
      </w:pPr>
    </w:p>
    <w:p w14:paraId="04D35014" w14:textId="77777777" w:rsidR="00DA70E6" w:rsidRPr="00DA70E6" w:rsidRDefault="00DA70E6" w:rsidP="00DA70E6">
      <w:pPr>
        <w:autoSpaceDE w:val="0"/>
        <w:autoSpaceDN w:val="0"/>
        <w:adjustRightInd w:val="0"/>
      </w:pPr>
    </w:p>
    <w:p w14:paraId="39B3C6A3" w14:textId="77777777" w:rsidR="00DA70E6" w:rsidRPr="00DA70E6" w:rsidRDefault="00DA70E6" w:rsidP="00DA70E6">
      <w:pPr>
        <w:autoSpaceDE w:val="0"/>
        <w:autoSpaceDN w:val="0"/>
        <w:adjustRightInd w:val="0"/>
        <w:rPr>
          <w:u w:val="single"/>
        </w:rPr>
      </w:pPr>
      <w:r w:rsidRPr="00DA70E6">
        <w:rPr>
          <w:color w:val="000000"/>
          <w:u w:val="single"/>
        </w:rPr>
        <w:t xml:space="preserve">Gydymas trimis nukleozidais </w:t>
      </w:r>
    </w:p>
    <w:p w14:paraId="40D83DF8" w14:textId="77777777" w:rsidR="00DA70E6" w:rsidRPr="00DA70E6" w:rsidRDefault="00DA70E6" w:rsidP="00DA70E6">
      <w:pPr>
        <w:autoSpaceDE w:val="0"/>
        <w:autoSpaceDN w:val="0"/>
        <w:adjustRightInd w:val="0"/>
      </w:pPr>
    </w:p>
    <w:p w14:paraId="42CE3C5E" w14:textId="77777777" w:rsidR="00DA70E6" w:rsidRPr="00DA70E6" w:rsidRDefault="00DA70E6" w:rsidP="00DA70E6">
      <w:pPr>
        <w:autoSpaceDE w:val="0"/>
        <w:autoSpaceDN w:val="0"/>
        <w:adjustRightInd w:val="0"/>
      </w:pPr>
      <w:r w:rsidRPr="00DA70E6">
        <w:rPr>
          <w:color w:val="000000"/>
        </w:rPr>
        <w:lastRenderedPageBreak/>
        <w:t>Esama pranešimų apie dažno virusologinio gydymo neveiksmingumo ir atsparumo atsiradimo ankstyvoje stadijoje atvejus, gydant ŽIV-1 infekuotus pacientus tenofoviro dizoproksiliu kartu su lamivudinu ir abakaviru, taip pat kartu su lamivudinu ir didanozino, vartojamais</w:t>
      </w:r>
      <w:r w:rsidRPr="00DA70E6">
        <w:rPr>
          <w:color w:val="000000"/>
          <w:sz w:val="24"/>
        </w:rPr>
        <w:t xml:space="preserve"> </w:t>
      </w:r>
      <w:r w:rsidRPr="00DA70E6">
        <w:rPr>
          <w:color w:val="000000"/>
        </w:rPr>
        <w:t xml:space="preserve">vieną kartą per parą. Lamivudinas ir emtricitabinas struktūriškai labai panašūs, taip pat panaši šių dviejų medžiagų farmakokinetika ir farmakodinamika. Todėl tos pačios problemos galimos ir vartojant </w:t>
      </w:r>
      <w:r w:rsidRPr="00DA70E6">
        <w:rPr>
          <w:rFonts w:eastAsia="TimesNewRoman"/>
          <w:color w:val="000000"/>
        </w:rPr>
        <w:t>Emtricitabine/Tenofovir disoproxil Sandoz</w:t>
      </w:r>
      <w:r w:rsidRPr="00DA70E6">
        <w:rPr>
          <w:color w:val="000000"/>
        </w:rPr>
        <w:t xml:space="preserve"> kartu su trečiuoju nukleozidų analogu. </w:t>
      </w:r>
    </w:p>
    <w:p w14:paraId="7CEEC3DA" w14:textId="77777777" w:rsidR="00DA70E6" w:rsidRPr="00DA70E6" w:rsidRDefault="00DA70E6" w:rsidP="00DA70E6">
      <w:pPr>
        <w:autoSpaceDE w:val="0"/>
        <w:autoSpaceDN w:val="0"/>
        <w:adjustRightInd w:val="0"/>
      </w:pPr>
    </w:p>
    <w:p w14:paraId="6EDC7D00" w14:textId="77777777" w:rsidR="00DA70E6" w:rsidRPr="00DA70E6" w:rsidRDefault="00DA70E6" w:rsidP="00DA70E6">
      <w:pPr>
        <w:autoSpaceDE w:val="0"/>
        <w:autoSpaceDN w:val="0"/>
        <w:adjustRightInd w:val="0"/>
        <w:rPr>
          <w:u w:val="single"/>
        </w:rPr>
      </w:pPr>
      <w:r w:rsidRPr="00DA70E6">
        <w:rPr>
          <w:color w:val="000000"/>
          <w:u w:val="single"/>
        </w:rPr>
        <w:t xml:space="preserve">Senyvi pacientai </w:t>
      </w:r>
    </w:p>
    <w:p w14:paraId="1BB45E1E" w14:textId="77777777" w:rsidR="00DA70E6" w:rsidRPr="00DA70E6" w:rsidRDefault="00DA70E6" w:rsidP="00DA70E6">
      <w:pPr>
        <w:autoSpaceDE w:val="0"/>
        <w:autoSpaceDN w:val="0"/>
        <w:adjustRightInd w:val="0"/>
      </w:pPr>
    </w:p>
    <w:p w14:paraId="718B54C6" w14:textId="77777777" w:rsidR="00DA70E6" w:rsidRPr="00DA70E6" w:rsidRDefault="00DA70E6" w:rsidP="00DA70E6">
      <w:pPr>
        <w:autoSpaceDE w:val="0"/>
        <w:autoSpaceDN w:val="0"/>
        <w:adjustRightInd w:val="0"/>
      </w:pPr>
      <w:r w:rsidRPr="00DA70E6">
        <w:rPr>
          <w:color w:val="000000"/>
        </w:rPr>
        <w:t>Emtricitabino ir tenofoviro</w:t>
      </w:r>
      <w:r w:rsidRPr="00DA70E6">
        <w:rPr>
          <w:color w:val="000000"/>
          <w:szCs w:val="24"/>
          <w:lang w:eastAsia="sl-SI"/>
        </w:rPr>
        <w:t xml:space="preserve"> </w:t>
      </w:r>
      <w:r w:rsidRPr="00DA70E6">
        <w:rPr>
          <w:rFonts w:eastAsia="TimesNewRoman"/>
        </w:rPr>
        <w:t xml:space="preserve">dizoproksilio </w:t>
      </w:r>
      <w:r w:rsidRPr="00DA70E6">
        <w:rPr>
          <w:color w:val="000000"/>
        </w:rPr>
        <w:t xml:space="preserve">poveikis vyresniems nei 65 metų amžiaus asmenims netirtas. Vyresniems nei 65 metų amžiaus asmenims dažniau gali būti sutrikusi inkstų funkcija, todėl skiriant </w:t>
      </w:r>
      <w:r w:rsidRPr="00DA70E6">
        <w:rPr>
          <w:rFonts w:eastAsia="TimesNewRoman"/>
          <w:color w:val="000000"/>
        </w:rPr>
        <w:t>Emtricitabine/Tenofovir disoproxil Sandoz</w:t>
      </w:r>
      <w:r w:rsidRPr="00DA70E6">
        <w:rPr>
          <w:color w:val="000000"/>
        </w:rPr>
        <w:t xml:space="preserve"> skirti senyviems asmenims reikia laikytis atsargumo. </w:t>
      </w:r>
    </w:p>
    <w:p w14:paraId="094032C2" w14:textId="77777777" w:rsidR="00DA70E6" w:rsidRPr="00DA70E6" w:rsidRDefault="00DA70E6" w:rsidP="00DA70E6">
      <w:pPr>
        <w:autoSpaceDE w:val="0"/>
        <w:autoSpaceDN w:val="0"/>
        <w:adjustRightInd w:val="0"/>
      </w:pPr>
    </w:p>
    <w:p w14:paraId="7EE7F5A5" w14:textId="77777777" w:rsidR="00DA70E6" w:rsidRPr="00613B1F" w:rsidRDefault="00DA70E6" w:rsidP="00DA70E6">
      <w:pPr>
        <w:autoSpaceDE w:val="0"/>
        <w:autoSpaceDN w:val="0"/>
        <w:adjustRightInd w:val="0"/>
        <w:rPr>
          <w:u w:val="single"/>
        </w:rPr>
      </w:pPr>
      <w:r w:rsidRPr="00613B1F">
        <w:rPr>
          <w:color w:val="000000"/>
          <w:u w:val="single"/>
        </w:rPr>
        <w:t xml:space="preserve">Pagalbinės medžiagos </w:t>
      </w:r>
    </w:p>
    <w:p w14:paraId="23C7AB7C" w14:textId="77777777" w:rsidR="00DA70E6" w:rsidRPr="00DA70E6" w:rsidRDefault="00DA70E6" w:rsidP="00DA70E6">
      <w:pPr>
        <w:autoSpaceDE w:val="0"/>
        <w:autoSpaceDN w:val="0"/>
        <w:adjustRightInd w:val="0"/>
      </w:pPr>
    </w:p>
    <w:p w14:paraId="3E0A874B" w14:textId="77777777" w:rsidR="00DA70E6" w:rsidRPr="00DA70E6" w:rsidRDefault="00DA70E6" w:rsidP="00DA70E6">
      <w:pPr>
        <w:autoSpaceDE w:val="0"/>
        <w:autoSpaceDN w:val="0"/>
        <w:adjustRightInd w:val="0"/>
        <w:rPr>
          <w:rFonts w:ascii="Calibri" w:eastAsia="Calibri" w:hAnsi="Calibri"/>
        </w:rPr>
      </w:pPr>
      <w:r w:rsidRPr="00DA70E6">
        <w:rPr>
          <w:rFonts w:eastAsia="TimesNewRoman"/>
        </w:rPr>
        <w:t>Emtricitabine/Tenofovir disoproxil Sandoz</w:t>
      </w:r>
      <w:r w:rsidRPr="00DA70E6">
        <w:t xml:space="preserve"> sudėtyje yra </w:t>
      </w:r>
      <w:r w:rsidR="00273DB3">
        <w:t xml:space="preserve">natrio ir </w:t>
      </w:r>
      <w:r w:rsidRPr="00DA70E6">
        <w:t xml:space="preserve">laktozės monohidrato. Šio vaistinio preparato negalima vartoti pacientams, kuriems nustatytas retas paveldimas sutrikimas – galaktozės netoleravimas, </w:t>
      </w:r>
      <w:r w:rsidR="003E1605" w:rsidRPr="000407E7">
        <w:t>visiškas</w:t>
      </w:r>
      <w:r w:rsidR="003E1605" w:rsidRPr="00DA70E6">
        <w:t xml:space="preserve"> </w:t>
      </w:r>
      <w:r w:rsidRPr="00DA70E6">
        <w:t>laktazės stygius arba gliukozės ir galaktozės malabsorbcija.</w:t>
      </w:r>
    </w:p>
    <w:p w14:paraId="34F51A85" w14:textId="77777777" w:rsidR="00DA70E6" w:rsidRDefault="00DA70E6" w:rsidP="00DA70E6"/>
    <w:p w14:paraId="3A0724BA" w14:textId="74AA3D5F" w:rsidR="005C27CB" w:rsidRDefault="005C27CB" w:rsidP="00DA70E6">
      <w:r w:rsidRPr="005C27CB">
        <w:t>Šio vaist</w:t>
      </w:r>
      <w:r w:rsidR="00A83AE6">
        <w:t>inio preparato tabletėje</w:t>
      </w:r>
      <w:r w:rsidRPr="005C27CB">
        <w:t xml:space="preserve"> yra mažiau kaip 1</w:t>
      </w:r>
      <w:r w:rsidR="00D80526">
        <w:t> </w:t>
      </w:r>
      <w:r w:rsidRPr="005C27CB">
        <w:t>mmol (23</w:t>
      </w:r>
      <w:r w:rsidR="00D80526">
        <w:t> </w:t>
      </w:r>
      <w:r w:rsidRPr="005C27CB">
        <w:t>mg) natrio, t.y. jis beveik neturi reikšmės.</w:t>
      </w:r>
    </w:p>
    <w:p w14:paraId="3F18C731" w14:textId="77777777" w:rsidR="005C27CB" w:rsidRPr="00DA70E6" w:rsidRDefault="005C27CB" w:rsidP="00DA70E6"/>
    <w:p w14:paraId="349E718D" w14:textId="77777777" w:rsidR="00DA70E6" w:rsidRPr="00DA70E6" w:rsidRDefault="00DA70E6" w:rsidP="00DA70E6">
      <w:pPr>
        <w:ind w:left="567" w:hanging="567"/>
        <w:rPr>
          <w:b/>
          <w:i/>
        </w:rPr>
      </w:pPr>
      <w:r w:rsidRPr="00DA70E6">
        <w:rPr>
          <w:b/>
        </w:rPr>
        <w:t>4.5</w:t>
      </w:r>
      <w:r w:rsidRPr="00DA70E6">
        <w:rPr>
          <w:b/>
        </w:rPr>
        <w:tab/>
        <w:t>Sąveika su kitais vaistiniais preparatais ir kitokia sąveika</w:t>
      </w:r>
    </w:p>
    <w:p w14:paraId="3D770464" w14:textId="77777777" w:rsidR="00DA70E6" w:rsidRPr="00DA70E6" w:rsidRDefault="00DA70E6" w:rsidP="00DA70E6"/>
    <w:p w14:paraId="19F045D3" w14:textId="77777777" w:rsidR="00DA70E6" w:rsidRPr="00DA70E6" w:rsidRDefault="00DA70E6" w:rsidP="00DA70E6">
      <w:pPr>
        <w:autoSpaceDE w:val="0"/>
        <w:autoSpaceDN w:val="0"/>
        <w:adjustRightInd w:val="0"/>
        <w:rPr>
          <w:rFonts w:eastAsia="TimesNewRoman"/>
          <w:color w:val="000000"/>
          <w:szCs w:val="24"/>
          <w:lang w:eastAsia="sl-SI"/>
        </w:rPr>
      </w:pPr>
      <w:r w:rsidRPr="00DA70E6">
        <w:rPr>
          <w:rFonts w:eastAsia="TimesNewRoman"/>
          <w:color w:val="000000"/>
          <w:szCs w:val="24"/>
          <w:lang w:eastAsia="sl-SI"/>
        </w:rPr>
        <w:t>Sąveikos tyrimai atlikti tik suaugusiesiems.</w:t>
      </w:r>
    </w:p>
    <w:p w14:paraId="31B36CCC" w14:textId="77777777" w:rsidR="00DA70E6" w:rsidRPr="00DA70E6" w:rsidRDefault="00DA70E6" w:rsidP="00DA70E6">
      <w:pPr>
        <w:autoSpaceDE w:val="0"/>
        <w:autoSpaceDN w:val="0"/>
        <w:adjustRightInd w:val="0"/>
        <w:rPr>
          <w:rFonts w:eastAsia="TimesNewRoman"/>
          <w:color w:val="000000"/>
          <w:szCs w:val="24"/>
          <w:lang w:eastAsia="sl-SI"/>
        </w:rPr>
      </w:pPr>
    </w:p>
    <w:p w14:paraId="4B6189FA" w14:textId="77777777" w:rsidR="00DA70E6" w:rsidRPr="00DA70E6" w:rsidRDefault="00DA70E6" w:rsidP="00DA70E6">
      <w:pPr>
        <w:autoSpaceDE w:val="0"/>
        <w:autoSpaceDN w:val="0"/>
        <w:adjustRightInd w:val="0"/>
      </w:pPr>
      <w:r w:rsidRPr="00DA70E6">
        <w:rPr>
          <w:rFonts w:eastAsia="TimesNewRoman"/>
          <w:color w:val="000000"/>
        </w:rPr>
        <w:t>Emtricitabine/Tenofovir disoproxil Sandoz</w:t>
      </w:r>
      <w:r w:rsidRPr="00DA70E6">
        <w:rPr>
          <w:color w:val="000000"/>
        </w:rPr>
        <w:t xml:space="preserve"> sudėtyje yra emtricitabino ir tenofoviro dizoproksilio, todėl visos sąveikos, nustatytos kiekvienai iš šių medžiagų atskirai, gali pasireikšti ir vartojant </w:t>
      </w:r>
      <w:r w:rsidRPr="00DA70E6">
        <w:rPr>
          <w:rFonts w:eastAsia="TimesNewRoman"/>
          <w:color w:val="000000"/>
        </w:rPr>
        <w:t>Emtricitabine/Tenofovir disoproxil Sandoz</w:t>
      </w:r>
      <w:r w:rsidRPr="00DA70E6">
        <w:rPr>
          <w:color w:val="000000"/>
        </w:rPr>
        <w:t xml:space="preserve">. Sąveikos tyrimai atlikti tik suaugusiesiems. </w:t>
      </w:r>
    </w:p>
    <w:p w14:paraId="77F71AAD" w14:textId="77777777" w:rsidR="00DA70E6" w:rsidRPr="00DA70E6" w:rsidRDefault="00DA70E6" w:rsidP="00DA70E6">
      <w:pPr>
        <w:autoSpaceDE w:val="0"/>
        <w:autoSpaceDN w:val="0"/>
        <w:adjustRightInd w:val="0"/>
      </w:pPr>
    </w:p>
    <w:p w14:paraId="5DC75D66" w14:textId="77777777" w:rsidR="00DA70E6" w:rsidRPr="00DA70E6" w:rsidRDefault="00DA70E6" w:rsidP="00DA70E6">
      <w:pPr>
        <w:autoSpaceDE w:val="0"/>
        <w:autoSpaceDN w:val="0"/>
        <w:adjustRightInd w:val="0"/>
      </w:pPr>
      <w:r w:rsidRPr="00DA70E6">
        <w:rPr>
          <w:color w:val="000000"/>
        </w:rPr>
        <w:t>Vartojamų kartu emtricitabino ir tenofoviro</w:t>
      </w:r>
      <w:r w:rsidRPr="00DA70E6">
        <w:rPr>
          <w:color w:val="000000"/>
          <w:szCs w:val="24"/>
          <w:lang w:eastAsia="sl-SI"/>
        </w:rPr>
        <w:t xml:space="preserve"> </w:t>
      </w:r>
      <w:r w:rsidRPr="00DA70E6">
        <w:rPr>
          <w:rFonts w:eastAsia="TimesNewRoman"/>
        </w:rPr>
        <w:t>dizoproksilio</w:t>
      </w:r>
      <w:r w:rsidRPr="00DA70E6">
        <w:rPr>
          <w:color w:val="000000"/>
        </w:rPr>
        <w:t xml:space="preserve">, lyginant su vartojamais atskirai, farmakokinetikos pokyčių nusistovėjus pusiausvyrinei apykaitai nebuvo. </w:t>
      </w:r>
    </w:p>
    <w:p w14:paraId="44570A51" w14:textId="77777777" w:rsidR="00DA70E6" w:rsidRPr="00DA70E6" w:rsidRDefault="00DA70E6" w:rsidP="00DA70E6">
      <w:pPr>
        <w:autoSpaceDE w:val="0"/>
        <w:autoSpaceDN w:val="0"/>
        <w:adjustRightInd w:val="0"/>
        <w:rPr>
          <w:i/>
        </w:rPr>
      </w:pPr>
    </w:p>
    <w:p w14:paraId="5A338D5B" w14:textId="77777777" w:rsidR="00DA70E6" w:rsidRPr="00DA70E6" w:rsidRDefault="00DA70E6" w:rsidP="00DA70E6">
      <w:pPr>
        <w:autoSpaceDE w:val="0"/>
        <w:autoSpaceDN w:val="0"/>
        <w:adjustRightInd w:val="0"/>
      </w:pPr>
      <w:r w:rsidRPr="00DA70E6">
        <w:rPr>
          <w:i/>
          <w:color w:val="000000"/>
        </w:rPr>
        <w:t xml:space="preserve">In vitro </w:t>
      </w:r>
      <w:r w:rsidRPr="00DA70E6">
        <w:rPr>
          <w:color w:val="000000"/>
        </w:rPr>
        <w:t xml:space="preserve">ir klinikiniai farmakokinetinės sąveikos tyrimų rezultatai parodė, kad su CYP450 veikimu susijusios emtricitabino ir tenofoviro dizoproksilio ir kitų vaistinių preparatų sąveikos galimybė yra maža. </w:t>
      </w:r>
    </w:p>
    <w:p w14:paraId="06C2C44A" w14:textId="77777777" w:rsidR="00DA70E6" w:rsidRPr="00DA70E6" w:rsidRDefault="00DA70E6" w:rsidP="00DA70E6">
      <w:pPr>
        <w:autoSpaceDE w:val="0"/>
        <w:autoSpaceDN w:val="0"/>
        <w:adjustRightInd w:val="0"/>
      </w:pPr>
    </w:p>
    <w:p w14:paraId="78F0F165" w14:textId="77777777" w:rsidR="00DA70E6" w:rsidRPr="00DA70E6" w:rsidRDefault="00DA70E6" w:rsidP="00DA70E6">
      <w:pPr>
        <w:autoSpaceDE w:val="0"/>
        <w:autoSpaceDN w:val="0"/>
        <w:adjustRightInd w:val="0"/>
        <w:rPr>
          <w:u w:val="single"/>
        </w:rPr>
      </w:pPr>
      <w:r w:rsidRPr="00DA70E6">
        <w:rPr>
          <w:color w:val="000000"/>
          <w:u w:val="single"/>
        </w:rPr>
        <w:t xml:space="preserve">Kartu vartoti nerekomenduojama </w:t>
      </w:r>
    </w:p>
    <w:p w14:paraId="4E699777" w14:textId="77777777" w:rsidR="00DA70E6" w:rsidRPr="00DA70E6" w:rsidRDefault="00DA70E6" w:rsidP="00DA70E6">
      <w:pPr>
        <w:autoSpaceDE w:val="0"/>
        <w:autoSpaceDN w:val="0"/>
        <w:adjustRightInd w:val="0"/>
      </w:pPr>
      <w:r w:rsidRPr="00DA70E6">
        <w:rPr>
          <w:rFonts w:eastAsia="TimesNewRoman"/>
          <w:color w:val="000000"/>
        </w:rPr>
        <w:t>Emtricitabine/Tenofovir disoproxil Sandoz turi būti nevartojamas</w:t>
      </w:r>
      <w:r w:rsidRPr="00DA70E6">
        <w:rPr>
          <w:color w:val="000000"/>
        </w:rPr>
        <w:t xml:space="preserve"> kartu su kitais vaistiniais preparatais, kurių sudėtyje yra emtricitabino, tenofoviro dizoproksilio, tenofoviro alafenamido arba su kitais citidino analogais, tokiais kaip lamivudinas (žr. 4.4 skyrių). </w:t>
      </w:r>
      <w:r w:rsidRPr="00DA70E6">
        <w:rPr>
          <w:rFonts w:eastAsia="TimesNewRoman"/>
          <w:color w:val="000000"/>
        </w:rPr>
        <w:t>Emtricitabine/Tenofovir disoproxil Sandoz turi būti nevartojamas</w:t>
      </w:r>
      <w:r w:rsidRPr="00DA70E6">
        <w:rPr>
          <w:color w:val="000000"/>
        </w:rPr>
        <w:t xml:space="preserve"> kartu su adefoviro dipivoksiliu. </w:t>
      </w:r>
    </w:p>
    <w:p w14:paraId="43E4A019" w14:textId="77777777" w:rsidR="00DA70E6" w:rsidRPr="00DA70E6" w:rsidRDefault="00DA70E6" w:rsidP="00DA70E6">
      <w:pPr>
        <w:autoSpaceDE w:val="0"/>
        <w:autoSpaceDN w:val="0"/>
        <w:adjustRightInd w:val="0"/>
        <w:rPr>
          <w:i/>
        </w:rPr>
      </w:pPr>
    </w:p>
    <w:p w14:paraId="34DEC031" w14:textId="77777777" w:rsidR="00DA70E6" w:rsidRPr="00DA70E6" w:rsidRDefault="00DA70E6" w:rsidP="00DA70E6">
      <w:pPr>
        <w:autoSpaceDE w:val="0"/>
        <w:autoSpaceDN w:val="0"/>
        <w:adjustRightInd w:val="0"/>
      </w:pPr>
      <w:r w:rsidRPr="00DA70E6">
        <w:rPr>
          <w:i/>
          <w:color w:val="000000"/>
        </w:rPr>
        <w:t xml:space="preserve">Didanozinas: </w:t>
      </w:r>
      <w:r w:rsidRPr="00DA70E6">
        <w:rPr>
          <w:rFonts w:eastAsia="TimesNewRoman"/>
          <w:color w:val="000000"/>
        </w:rPr>
        <w:t xml:space="preserve">Emtricitabine/Tenofovir disoproxil Sandoz </w:t>
      </w:r>
      <w:r w:rsidRPr="00DA70E6">
        <w:rPr>
          <w:color w:val="000000"/>
        </w:rPr>
        <w:t xml:space="preserve">ir didanozino vartojimas kartu nerekomenduojamas (žr. 4.4 skyrių ir 2 lentelę). </w:t>
      </w:r>
    </w:p>
    <w:p w14:paraId="607FDADC" w14:textId="77777777" w:rsidR="00DA70E6" w:rsidRPr="00DA70E6" w:rsidRDefault="00DA70E6" w:rsidP="00DA70E6">
      <w:pPr>
        <w:autoSpaceDE w:val="0"/>
        <w:autoSpaceDN w:val="0"/>
        <w:adjustRightInd w:val="0"/>
        <w:rPr>
          <w:i/>
        </w:rPr>
      </w:pPr>
    </w:p>
    <w:p w14:paraId="23FC1991" w14:textId="77777777" w:rsidR="00DA70E6" w:rsidRPr="00DA70E6" w:rsidRDefault="00DA70E6" w:rsidP="00DA70E6">
      <w:pPr>
        <w:autoSpaceDE w:val="0"/>
        <w:autoSpaceDN w:val="0"/>
        <w:adjustRightInd w:val="0"/>
      </w:pPr>
      <w:r w:rsidRPr="00DA70E6">
        <w:rPr>
          <w:i/>
          <w:color w:val="000000"/>
        </w:rPr>
        <w:t xml:space="preserve">Per inkstus šalinami vaistiniai preparatai: </w:t>
      </w:r>
      <w:r w:rsidRPr="00DA70E6">
        <w:rPr>
          <w:color w:val="000000"/>
        </w:rPr>
        <w:t xml:space="preserve">kadangi emtricitabinas ir tenofoviras pirmiausiai šalinami per inkstus, </w:t>
      </w:r>
      <w:r w:rsidRPr="00DA70E6">
        <w:rPr>
          <w:rFonts w:eastAsia="TimesNewRoman"/>
          <w:color w:val="000000"/>
        </w:rPr>
        <w:t xml:space="preserve">Emtricitabine/Tenofovir disoproxil Sandoz </w:t>
      </w:r>
      <w:r w:rsidRPr="00DA70E6">
        <w:rPr>
          <w:color w:val="000000"/>
        </w:rPr>
        <w:t xml:space="preserve">vartojimas kartu su inkstų funkciją slopinančiais ar dėl aktyvios kanalėlių sekrecijos konkuruojančiais vaistiniais preparatais (pvz., cidofoviru) gali padidinti emtricitabino, tenofoviro ir (arba) kartu vartojamų vaistinių preparatų koncentracijas serume. </w:t>
      </w:r>
    </w:p>
    <w:p w14:paraId="196D9BE1" w14:textId="77777777" w:rsidR="00DA70E6" w:rsidRPr="00DA70E6" w:rsidRDefault="00DA70E6" w:rsidP="00DA70E6">
      <w:pPr>
        <w:autoSpaceDE w:val="0"/>
        <w:autoSpaceDN w:val="0"/>
        <w:adjustRightInd w:val="0"/>
      </w:pPr>
    </w:p>
    <w:p w14:paraId="1D01D62A" w14:textId="77777777" w:rsidR="00DA70E6" w:rsidRPr="00DA70E6" w:rsidRDefault="00DA70E6" w:rsidP="00DA70E6">
      <w:pPr>
        <w:autoSpaceDE w:val="0"/>
        <w:autoSpaceDN w:val="0"/>
        <w:adjustRightInd w:val="0"/>
      </w:pPr>
      <w:r w:rsidRPr="00DA70E6">
        <w:rPr>
          <w:color w:val="000000"/>
        </w:rPr>
        <w:t xml:space="preserve">Turi būti vengiama vartoti </w:t>
      </w:r>
      <w:r w:rsidRPr="00DA70E6">
        <w:rPr>
          <w:rFonts w:eastAsia="TimesNewRoman"/>
          <w:color w:val="000000"/>
        </w:rPr>
        <w:t>Emtricitabine/Tenofovir disoproxil Sandoz</w:t>
      </w:r>
      <w:r w:rsidRPr="00DA70E6">
        <w:rPr>
          <w:color w:val="000000"/>
        </w:rPr>
        <w:t xml:space="preserve"> kartu su nefrotoksiniais vaistiniais preparatais arba jeigu jų buvo neseniai vartota. Kai kurie tokių vaistinių preparatų pavyzdžiai apima aminoglikozidus, amfotericiną B, foskarnetą, ganciklovirą, pentamidiną, vankomiciną, cidofovirą ar interleukiną-2, tačiau šis sąrašas nėra baigtinis (žr. 4.4 skyrių). </w:t>
      </w:r>
    </w:p>
    <w:p w14:paraId="6A81D169" w14:textId="77777777" w:rsidR="00DA70E6" w:rsidRPr="00DA70E6" w:rsidRDefault="00DA70E6" w:rsidP="00DA70E6">
      <w:pPr>
        <w:autoSpaceDE w:val="0"/>
        <w:autoSpaceDN w:val="0"/>
        <w:adjustRightInd w:val="0"/>
      </w:pPr>
    </w:p>
    <w:p w14:paraId="114BA647" w14:textId="77777777" w:rsidR="00DA70E6" w:rsidRPr="00DA70E6" w:rsidRDefault="00DA70E6" w:rsidP="00DA70E6">
      <w:pPr>
        <w:autoSpaceDE w:val="0"/>
        <w:autoSpaceDN w:val="0"/>
        <w:adjustRightInd w:val="0"/>
        <w:rPr>
          <w:u w:val="single"/>
        </w:rPr>
      </w:pPr>
      <w:r w:rsidRPr="00DA70E6">
        <w:rPr>
          <w:color w:val="000000"/>
          <w:u w:val="single"/>
        </w:rPr>
        <w:t>Kitos sąveikos</w:t>
      </w:r>
    </w:p>
    <w:p w14:paraId="1E36B24F" w14:textId="77777777" w:rsidR="00DA70E6" w:rsidRPr="00DA70E6" w:rsidRDefault="00DA70E6" w:rsidP="00DA70E6">
      <w:pPr>
        <w:autoSpaceDE w:val="0"/>
        <w:autoSpaceDN w:val="0"/>
        <w:adjustRightInd w:val="0"/>
      </w:pPr>
    </w:p>
    <w:p w14:paraId="3363433D" w14:textId="77777777" w:rsidR="00DA70E6" w:rsidRPr="00DA70E6" w:rsidRDefault="00DA70E6" w:rsidP="00DA70E6">
      <w:pPr>
        <w:rPr>
          <w:rFonts w:ascii="Calibri" w:eastAsia="Calibri" w:hAnsi="Calibri"/>
        </w:rPr>
      </w:pPr>
      <w:r w:rsidRPr="00DA70E6">
        <w:rPr>
          <w:rFonts w:eastAsia="TimesNewRoman"/>
        </w:rPr>
        <w:t>Emtricitabine/Tenofovir disoproxil Sandoz</w:t>
      </w:r>
      <w:r w:rsidRPr="00DA70E6">
        <w:t xml:space="preserve"> ar atskiros (-ų) jo sudedamosios (-ųjų) dalies (-ių) sąveikos su kitais vaistiniais preparatais yra išvardytos žemiau esančioje 2 lentelėje. Joje naudojamos santrumpos: padidėjimas - „↑“, sumažėjimas - „↓“, jei pokyčio nebuvo - „↔“, du kartus per parą „b.i.d.“ ir vieną kartą per parą - „q.d.“. Jeigu yra, skliausteliuose yra pateiktas 90 % pasikliautinasis intervalas.</w:t>
      </w:r>
    </w:p>
    <w:p w14:paraId="02173A07" w14:textId="77777777" w:rsidR="00DA70E6" w:rsidRPr="00DA70E6" w:rsidRDefault="00DA70E6" w:rsidP="00DA70E6"/>
    <w:p w14:paraId="5019E13A" w14:textId="77777777" w:rsidR="00DA70E6" w:rsidRPr="00DA70E6" w:rsidRDefault="00DA70E6" w:rsidP="00DA70E6">
      <w:pPr>
        <w:autoSpaceDE w:val="0"/>
        <w:autoSpaceDN w:val="0"/>
        <w:adjustRightInd w:val="0"/>
        <w:jc w:val="center"/>
      </w:pPr>
      <w:r w:rsidRPr="00DA70E6">
        <w:rPr>
          <w:b/>
        </w:rPr>
        <w:t xml:space="preserve">2 </w:t>
      </w:r>
      <w:r w:rsidRPr="00DA70E6">
        <w:rPr>
          <w:rFonts w:ascii="TimesNewRomanPS-BoldMT" w:hAnsi="TimesNewRomanPS-BoldMT" w:cs="TimesNewRomanPS-BoldMT"/>
          <w:b/>
          <w:bCs/>
          <w:szCs w:val="22"/>
        </w:rPr>
        <w:t xml:space="preserve">lentelė. </w:t>
      </w:r>
      <w:r w:rsidRPr="00DA70E6">
        <w:rPr>
          <w:b/>
        </w:rPr>
        <w:t>Emtricitabine/Tenofovir disoproxil Sandoz ar atskiros (-</w:t>
      </w:r>
      <w:r w:rsidRPr="00DA70E6">
        <w:rPr>
          <w:rFonts w:ascii="TimesNewRomanPS-BoldMT" w:hAnsi="TimesNewRomanPS-BoldMT" w:cs="TimesNewRomanPS-BoldMT"/>
          <w:b/>
          <w:bCs/>
          <w:szCs w:val="22"/>
        </w:rPr>
        <w:t xml:space="preserve">ų) </w:t>
      </w:r>
      <w:r w:rsidRPr="00DA70E6">
        <w:rPr>
          <w:b/>
        </w:rPr>
        <w:t>jo sudedamosios (-</w:t>
      </w:r>
      <w:r w:rsidRPr="00DA70E6">
        <w:rPr>
          <w:rFonts w:ascii="TimesNewRomanPS-BoldMT" w:hAnsi="TimesNewRomanPS-BoldMT" w:cs="TimesNewRomanPS-BoldMT"/>
          <w:b/>
          <w:bCs/>
          <w:szCs w:val="22"/>
        </w:rPr>
        <w:t xml:space="preserve">ųjų) </w:t>
      </w:r>
      <w:r w:rsidRPr="00DA70E6">
        <w:rPr>
          <w:b/>
        </w:rPr>
        <w:t>dalies (-</w:t>
      </w:r>
      <w:r w:rsidRPr="00DA70E6">
        <w:rPr>
          <w:rFonts w:ascii="TimesNewRomanPS-BoldMT" w:hAnsi="TimesNewRomanPS-BoldMT" w:cs="TimesNewRomanPS-BoldMT"/>
          <w:b/>
          <w:bCs/>
          <w:szCs w:val="22"/>
        </w:rPr>
        <w:t xml:space="preserve">ių) sąveikos </w:t>
      </w:r>
      <w:r w:rsidRPr="00DA70E6">
        <w:rPr>
          <w:b/>
        </w:rPr>
        <w:t>su kitais vaistiniais preparatais</w:t>
      </w:r>
    </w:p>
    <w:p w14:paraId="0BE2613E" w14:textId="77777777" w:rsidR="00DA70E6" w:rsidRPr="00DA70E6" w:rsidRDefault="00DA70E6" w:rsidP="00DA70E6">
      <w:pPr>
        <w:autoSpaceDE w:val="0"/>
        <w:autoSpaceDN w:val="0"/>
        <w:adjustRightInd w:val="0"/>
        <w:rPr>
          <w:rFonts w:eastAsia="TimesNewRoman"/>
        </w:rPr>
      </w:pPr>
    </w:p>
    <w:tbl>
      <w:tblPr>
        <w:tblW w:w="0" w:type="auto"/>
        <w:tblInd w:w="95" w:type="dxa"/>
        <w:tblLayout w:type="fixed"/>
        <w:tblCellMar>
          <w:left w:w="0" w:type="dxa"/>
          <w:right w:w="0" w:type="dxa"/>
        </w:tblCellMar>
        <w:tblLook w:val="01E0" w:firstRow="1" w:lastRow="1" w:firstColumn="1" w:lastColumn="1" w:noHBand="0" w:noVBand="0"/>
      </w:tblPr>
      <w:tblGrid>
        <w:gridCol w:w="3312"/>
        <w:gridCol w:w="18"/>
        <w:gridCol w:w="3060"/>
        <w:gridCol w:w="2592"/>
      </w:tblGrid>
      <w:tr w:rsidR="00DA70E6" w:rsidRPr="00DA70E6" w14:paraId="21C5B9F3" w14:textId="77777777" w:rsidTr="00613B1F">
        <w:trPr>
          <w:trHeight w:val="20"/>
        </w:trPr>
        <w:tc>
          <w:tcPr>
            <w:tcW w:w="3330" w:type="dxa"/>
            <w:gridSpan w:val="2"/>
            <w:tcBorders>
              <w:top w:val="single" w:sz="4" w:space="0" w:color="000000"/>
              <w:left w:val="single" w:sz="4" w:space="0" w:color="000000"/>
              <w:bottom w:val="single" w:sz="4" w:space="0" w:color="000000"/>
              <w:right w:val="single" w:sz="4" w:space="0" w:color="000000"/>
            </w:tcBorders>
          </w:tcPr>
          <w:p w14:paraId="06B9329C" w14:textId="77777777" w:rsidR="00DA70E6" w:rsidRPr="00DA70E6" w:rsidRDefault="00DA70E6" w:rsidP="00DA70E6">
            <w:pPr>
              <w:widowControl w:val="0"/>
              <w:ind w:left="57" w:right="57"/>
            </w:pPr>
            <w:r w:rsidRPr="00DA70E6">
              <w:rPr>
                <w:b/>
              </w:rPr>
              <w:t>Vaistiniai preparatai pagal terapines grupes</w:t>
            </w:r>
          </w:p>
        </w:tc>
        <w:tc>
          <w:tcPr>
            <w:tcW w:w="3060" w:type="dxa"/>
            <w:tcBorders>
              <w:top w:val="single" w:sz="4" w:space="0" w:color="000000"/>
              <w:left w:val="single" w:sz="4" w:space="0" w:color="000000"/>
              <w:bottom w:val="single" w:sz="4" w:space="0" w:color="000000"/>
              <w:right w:val="single" w:sz="4" w:space="0" w:color="000000"/>
            </w:tcBorders>
          </w:tcPr>
          <w:p w14:paraId="09D74F29" w14:textId="77777777" w:rsidR="00DA70E6" w:rsidRPr="00DA70E6" w:rsidRDefault="00DA70E6" w:rsidP="00DA70E6">
            <w:pPr>
              <w:widowControl w:val="0"/>
              <w:ind w:left="57" w:right="57"/>
              <w:jc w:val="center"/>
              <w:rPr>
                <w:b/>
              </w:rPr>
            </w:pPr>
            <w:r w:rsidRPr="00DA70E6">
              <w:rPr>
                <w:rFonts w:ascii="TimesNewRomanPS-BoldMT" w:hAnsi="TimesNewRomanPS-BoldMT" w:cs="TimesNewRomanPS-BoldMT"/>
                <w:b/>
                <w:bCs/>
                <w:szCs w:val="22"/>
              </w:rPr>
              <w:t xml:space="preserve">Poveikiai vaistinių preparatų </w:t>
            </w:r>
            <w:r w:rsidRPr="00DA70E6">
              <w:rPr>
                <w:b/>
              </w:rPr>
              <w:t>koncentracijoms</w:t>
            </w:r>
          </w:p>
          <w:p w14:paraId="24048C1F" w14:textId="77777777" w:rsidR="00DA70E6" w:rsidRPr="00DA70E6" w:rsidRDefault="00DA70E6" w:rsidP="00DA70E6">
            <w:pPr>
              <w:widowControl w:val="0"/>
              <w:ind w:left="57" w:right="57"/>
              <w:jc w:val="center"/>
              <w:rPr>
                <w:b/>
              </w:rPr>
            </w:pPr>
            <w:r w:rsidRPr="00DA70E6">
              <w:rPr>
                <w:b/>
              </w:rPr>
              <w:t>AUC, C</w:t>
            </w:r>
            <w:r w:rsidRPr="00DA70E6">
              <w:rPr>
                <w:b/>
                <w:sz w:val="14"/>
              </w:rPr>
              <w:t>max</w:t>
            </w:r>
            <w:r w:rsidRPr="00DA70E6">
              <w:rPr>
                <w:b/>
              </w:rPr>
              <w:t>, C</w:t>
            </w:r>
            <w:r w:rsidRPr="00DA70E6">
              <w:rPr>
                <w:b/>
                <w:sz w:val="14"/>
              </w:rPr>
              <w:t xml:space="preserve">min </w:t>
            </w:r>
            <w:r w:rsidRPr="00DA70E6">
              <w:rPr>
                <w:b/>
              </w:rPr>
              <w:t xml:space="preserve">vidutinis procentinis pokytis ir 90 % pasikliautinasis intervalas (jeigu yra žinomas) </w:t>
            </w:r>
          </w:p>
          <w:p w14:paraId="5D804BE4" w14:textId="77777777" w:rsidR="00DA70E6" w:rsidRPr="00DA70E6" w:rsidRDefault="00DA70E6" w:rsidP="00DA70E6">
            <w:pPr>
              <w:widowControl w:val="0"/>
              <w:ind w:left="57" w:right="57"/>
              <w:jc w:val="center"/>
            </w:pPr>
            <w:r w:rsidRPr="00DA70E6">
              <w:rPr>
                <w:b/>
              </w:rPr>
              <w:t>(mechanizmas)</w:t>
            </w:r>
          </w:p>
        </w:tc>
        <w:tc>
          <w:tcPr>
            <w:tcW w:w="2592" w:type="dxa"/>
            <w:tcBorders>
              <w:top w:val="single" w:sz="4" w:space="0" w:color="000000"/>
              <w:left w:val="single" w:sz="4" w:space="0" w:color="000000"/>
              <w:bottom w:val="single" w:sz="4" w:space="0" w:color="000000"/>
              <w:right w:val="single" w:sz="4" w:space="0" w:color="000000"/>
            </w:tcBorders>
          </w:tcPr>
          <w:p w14:paraId="1DEC405F" w14:textId="77777777" w:rsidR="00DA70E6" w:rsidRPr="00DA70E6" w:rsidRDefault="00DA70E6" w:rsidP="00DA70E6">
            <w:pPr>
              <w:autoSpaceDE w:val="0"/>
              <w:autoSpaceDN w:val="0"/>
              <w:adjustRightInd w:val="0"/>
              <w:jc w:val="center"/>
              <w:rPr>
                <w:b/>
              </w:rPr>
            </w:pPr>
            <w:r w:rsidRPr="00DA70E6">
              <w:rPr>
                <w:b/>
              </w:rPr>
              <w:t>Rekomendacijos, kaip vartoti kartu su Emtricitabine/Tenofovir disoproxil Sandoz</w:t>
            </w:r>
          </w:p>
          <w:p w14:paraId="0B6E4E7D" w14:textId="77777777" w:rsidR="00DA70E6" w:rsidRPr="00DA70E6" w:rsidRDefault="00DA70E6" w:rsidP="00DA70E6">
            <w:pPr>
              <w:widowControl w:val="0"/>
              <w:ind w:left="57" w:right="57"/>
              <w:jc w:val="center"/>
            </w:pPr>
            <w:r w:rsidRPr="00DA70E6">
              <w:rPr>
                <w:b/>
              </w:rPr>
              <w:t>(200 mg emtricitabino, 245 mg tenofoviro dizoproksilio</w:t>
            </w:r>
            <w:r w:rsidRPr="00DA70E6">
              <w:rPr>
                <w:rFonts w:ascii="TimesNewRomanPS-BoldMT" w:hAnsi="TimesNewRomanPS-BoldMT" w:cs="TimesNewRomanPS-BoldMT"/>
                <w:b/>
                <w:bCs/>
                <w:szCs w:val="22"/>
              </w:rPr>
              <w:t>)</w:t>
            </w:r>
          </w:p>
        </w:tc>
      </w:tr>
      <w:tr w:rsidR="00DA70E6" w:rsidRPr="00DA70E6" w14:paraId="4CAC5611"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397B5D05" w14:textId="77777777" w:rsidR="00DA70E6" w:rsidRPr="00DA70E6" w:rsidRDefault="00DA70E6" w:rsidP="00DA70E6">
            <w:pPr>
              <w:widowControl w:val="0"/>
              <w:ind w:left="57" w:right="57"/>
              <w:rPr>
                <w:rFonts w:eastAsia="TimesNewRoman,Bold"/>
                <w:b/>
                <w:i/>
              </w:rPr>
            </w:pPr>
            <w:r w:rsidRPr="00DA70E6">
              <w:rPr>
                <w:rFonts w:eastAsia="TimesNewRoman,Bold"/>
                <w:b/>
                <w:i/>
              </w:rPr>
              <w:t>ANTIINFEKCINIAI VAISTINIAI PREPARATAI</w:t>
            </w:r>
          </w:p>
        </w:tc>
      </w:tr>
      <w:tr w:rsidR="00DA70E6" w:rsidRPr="00DA70E6" w14:paraId="53268D26"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0A6EAE6F" w14:textId="77777777" w:rsidR="00DA70E6" w:rsidRPr="00DA70E6" w:rsidRDefault="00DA70E6" w:rsidP="00DA70E6">
            <w:pPr>
              <w:widowControl w:val="0"/>
              <w:ind w:left="57" w:right="57"/>
            </w:pPr>
            <w:r w:rsidRPr="00DA70E6">
              <w:rPr>
                <w:rFonts w:eastAsia="TimesNewRoman,Bold"/>
                <w:b/>
              </w:rPr>
              <w:t>Antiretrovirusiniai vaistiniai preparatai</w:t>
            </w:r>
          </w:p>
        </w:tc>
      </w:tr>
      <w:tr w:rsidR="00DA70E6" w:rsidRPr="00DA70E6" w14:paraId="24351BDD"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0901C6D2" w14:textId="77777777" w:rsidR="00DA70E6" w:rsidRPr="00DA70E6" w:rsidRDefault="00DA70E6" w:rsidP="00DA70E6">
            <w:pPr>
              <w:widowControl w:val="0"/>
              <w:ind w:left="57" w:right="57"/>
            </w:pPr>
            <w:r w:rsidRPr="00DA70E6">
              <w:rPr>
                <w:b/>
                <w:i/>
              </w:rPr>
              <w:t>Proteazės inhibitoriai</w:t>
            </w:r>
          </w:p>
        </w:tc>
      </w:tr>
      <w:tr w:rsidR="00DA70E6" w:rsidRPr="00DA70E6" w14:paraId="207907F2"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247AC241" w14:textId="77777777" w:rsidR="00DA70E6" w:rsidRPr="00DA70E6" w:rsidRDefault="00DA70E6" w:rsidP="00DA70E6">
            <w:pPr>
              <w:autoSpaceDE w:val="0"/>
              <w:autoSpaceDN w:val="0"/>
              <w:adjustRightInd w:val="0"/>
            </w:pPr>
            <w:r w:rsidRPr="00DA70E6">
              <w:rPr>
                <w:color w:val="000000"/>
              </w:rPr>
              <w:t xml:space="preserve">Atazanaviras/ ritonaviras/ </w:t>
            </w:r>
            <w:r w:rsidR="00C32308" w:rsidRPr="00310E5F">
              <w:rPr>
                <w:color w:val="000000"/>
              </w:rPr>
              <w:t>tenofoviro</w:t>
            </w:r>
            <w:r w:rsidR="00A977CA" w:rsidRPr="00DA70E6">
              <w:rPr>
                <w:color w:val="000000"/>
              </w:rPr>
              <w:t xml:space="preserve"> </w:t>
            </w:r>
            <w:r w:rsidRPr="00DA70E6">
              <w:rPr>
                <w:color w:val="000000"/>
              </w:rPr>
              <w:t xml:space="preserve">dizoproksilis </w:t>
            </w:r>
          </w:p>
          <w:p w14:paraId="147B10B5" w14:textId="77777777" w:rsidR="00DA70E6" w:rsidRPr="00DA70E6" w:rsidRDefault="00DA70E6" w:rsidP="00DA70E6">
            <w:pPr>
              <w:widowControl w:val="0"/>
              <w:ind w:left="57" w:right="57"/>
            </w:pPr>
            <w:r w:rsidRPr="00DA70E6">
              <w:t>(300 mg q.d./100 mg q.d./245 mg q.d.)</w:t>
            </w:r>
            <w:r w:rsidRPr="00DA70E6">
              <w:rPr>
                <w:sz w:val="20"/>
              </w:rPr>
              <w:t xml:space="preserve"> </w:t>
            </w:r>
          </w:p>
        </w:tc>
        <w:tc>
          <w:tcPr>
            <w:tcW w:w="3078" w:type="dxa"/>
            <w:gridSpan w:val="2"/>
            <w:tcBorders>
              <w:top w:val="single" w:sz="4" w:space="0" w:color="000000"/>
              <w:left w:val="single" w:sz="4" w:space="0" w:color="000000"/>
              <w:bottom w:val="single" w:sz="4" w:space="0" w:color="000000"/>
              <w:right w:val="single" w:sz="4" w:space="0" w:color="000000"/>
            </w:tcBorders>
          </w:tcPr>
          <w:p w14:paraId="503CA21B" w14:textId="77777777" w:rsidR="00DA70E6" w:rsidRPr="00DA70E6" w:rsidRDefault="00DA70E6" w:rsidP="00DA70E6">
            <w:pPr>
              <w:autoSpaceDE w:val="0"/>
              <w:autoSpaceDN w:val="0"/>
              <w:adjustRightInd w:val="0"/>
            </w:pPr>
            <w:r w:rsidRPr="00DA70E6">
              <w:rPr>
                <w:color w:val="000000"/>
              </w:rPr>
              <w:t xml:space="preserve">Atazanaviras: </w:t>
            </w:r>
          </w:p>
          <w:p w14:paraId="4123C20C" w14:textId="77777777" w:rsidR="00DA70E6" w:rsidRPr="00DA70E6" w:rsidRDefault="00DA70E6" w:rsidP="00DA70E6">
            <w:pPr>
              <w:autoSpaceDE w:val="0"/>
              <w:autoSpaceDN w:val="0"/>
              <w:adjustRightInd w:val="0"/>
            </w:pPr>
            <w:r w:rsidRPr="00DA70E6">
              <w:rPr>
                <w:color w:val="000000"/>
              </w:rPr>
              <w:t xml:space="preserve">AUC: ↓ 25 % (↓ 42 iki ↓ 3) </w:t>
            </w:r>
          </w:p>
          <w:p w14:paraId="13D810D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28 % (↓ 50 iki ↑ 5) </w:t>
            </w:r>
          </w:p>
          <w:p w14:paraId="630AD0B6"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w:t>
            </w:r>
            <w:r w:rsidRPr="00DA70E6">
              <w:rPr>
                <w:color w:val="000000"/>
                <w:vertAlign w:val="subscript"/>
              </w:rPr>
              <w:t xml:space="preserve"> </w:t>
            </w:r>
            <w:r w:rsidRPr="00DA70E6">
              <w:rPr>
                <w:color w:val="000000"/>
              </w:rPr>
              <w:t xml:space="preserve">↓ 26 % (↓ 46 iki ↑ 10) </w:t>
            </w:r>
          </w:p>
          <w:p w14:paraId="30F5B055" w14:textId="77777777" w:rsidR="00DA70E6" w:rsidRPr="00DA70E6" w:rsidRDefault="00DA70E6" w:rsidP="00DA70E6">
            <w:pPr>
              <w:autoSpaceDE w:val="0"/>
              <w:autoSpaceDN w:val="0"/>
              <w:adjustRightInd w:val="0"/>
            </w:pPr>
          </w:p>
          <w:p w14:paraId="5C7A7B07" w14:textId="77777777" w:rsidR="00DA70E6" w:rsidRPr="00DA70E6" w:rsidRDefault="00DA70E6" w:rsidP="00DA70E6">
            <w:pPr>
              <w:autoSpaceDE w:val="0"/>
              <w:autoSpaceDN w:val="0"/>
              <w:adjustRightInd w:val="0"/>
            </w:pPr>
            <w:r w:rsidRPr="00DA70E6">
              <w:rPr>
                <w:color w:val="000000"/>
              </w:rPr>
              <w:t xml:space="preserve">Tenofoviras: </w:t>
            </w:r>
          </w:p>
          <w:p w14:paraId="61CEA6B0" w14:textId="77777777" w:rsidR="00DA70E6" w:rsidRPr="00DA70E6" w:rsidRDefault="00DA70E6" w:rsidP="00DA70E6">
            <w:pPr>
              <w:autoSpaceDE w:val="0"/>
              <w:autoSpaceDN w:val="0"/>
              <w:adjustRightInd w:val="0"/>
            </w:pPr>
            <w:r w:rsidRPr="00DA70E6">
              <w:rPr>
                <w:color w:val="000000"/>
              </w:rPr>
              <w:t xml:space="preserve">AUC: ↑ 37 % </w:t>
            </w:r>
          </w:p>
          <w:p w14:paraId="4FDDA466"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w:t>
            </w:r>
            <w:r w:rsidRPr="00DA70E6">
              <w:rPr>
                <w:color w:val="000000"/>
                <w:vertAlign w:val="subscript"/>
              </w:rPr>
              <w:t xml:space="preserve"> </w:t>
            </w:r>
            <w:r w:rsidRPr="00DA70E6">
              <w:rPr>
                <w:color w:val="000000"/>
              </w:rPr>
              <w:t xml:space="preserve">↑ 34 % </w:t>
            </w:r>
          </w:p>
          <w:p w14:paraId="04F8BD91" w14:textId="77777777" w:rsidR="00DA70E6" w:rsidRPr="00DA70E6" w:rsidRDefault="00DA70E6" w:rsidP="00DA70E6">
            <w:pPr>
              <w:autoSpaceDE w:val="0"/>
              <w:autoSpaceDN w:val="0"/>
              <w:adjustRightInd w:val="0"/>
              <w:rPr>
                <w:sz w:val="20"/>
              </w:rPr>
            </w:pPr>
            <w:r w:rsidRPr="00DA70E6">
              <w:rPr>
                <w:color w:val="000000"/>
              </w:rPr>
              <w:t>C</w:t>
            </w:r>
            <w:r w:rsidRPr="00DA70E6">
              <w:rPr>
                <w:color w:val="000000"/>
                <w:vertAlign w:val="subscript"/>
              </w:rPr>
              <w:t>min</w:t>
            </w:r>
            <w:r w:rsidRPr="00DA70E6">
              <w:rPr>
                <w:color w:val="000000"/>
              </w:rPr>
              <w:t>:</w:t>
            </w:r>
            <w:r w:rsidRPr="00DA70E6">
              <w:rPr>
                <w:color w:val="000000"/>
                <w:vertAlign w:val="subscript"/>
              </w:rPr>
              <w:t xml:space="preserve"> </w:t>
            </w:r>
            <w:r w:rsidRPr="00DA70E6">
              <w:rPr>
                <w:color w:val="000000"/>
              </w:rPr>
              <w:t>↑ 29 %</w:t>
            </w:r>
            <w:r w:rsidRPr="00DA70E6">
              <w:rPr>
                <w:color w:val="000000"/>
                <w:sz w:val="20"/>
              </w:rPr>
              <w:t xml:space="preserve"> </w:t>
            </w:r>
          </w:p>
        </w:tc>
        <w:tc>
          <w:tcPr>
            <w:tcW w:w="2592" w:type="dxa"/>
            <w:tcBorders>
              <w:top w:val="single" w:sz="4" w:space="0" w:color="000000"/>
              <w:left w:val="single" w:sz="4" w:space="0" w:color="000000"/>
              <w:right w:val="single" w:sz="4" w:space="0" w:color="000000"/>
            </w:tcBorders>
          </w:tcPr>
          <w:p w14:paraId="558D155A" w14:textId="77777777" w:rsidR="00DA70E6" w:rsidRPr="00DA70E6" w:rsidRDefault="00DA70E6" w:rsidP="00DA70E6">
            <w:pPr>
              <w:autoSpaceDE w:val="0"/>
              <w:autoSpaceDN w:val="0"/>
              <w:adjustRightInd w:val="0"/>
              <w:ind w:left="180"/>
            </w:pPr>
            <w:r w:rsidRPr="00DA70E6">
              <w:rPr>
                <w:color w:val="000000"/>
              </w:rPr>
              <w:t>Dozės koreguoti nereikia. Didesnės tenofoviro koncentracijos gali stiprinti su tenofoviru susijusius nepageidaujamus reiškinius, įskaitant inkstų sutrikimus. Reikia atidžiai stebėti inkstų funkciją (žr. 4.4 skyrių).</w:t>
            </w:r>
          </w:p>
        </w:tc>
      </w:tr>
      <w:tr w:rsidR="00DA70E6" w:rsidRPr="00DA70E6" w14:paraId="07E6C25C"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5E32981E" w14:textId="77777777" w:rsidR="00DA70E6" w:rsidRPr="00DA70E6" w:rsidRDefault="00DA70E6" w:rsidP="00DA70E6">
            <w:pPr>
              <w:widowControl w:val="0"/>
              <w:ind w:left="57" w:right="57"/>
            </w:pPr>
            <w:r w:rsidRPr="00DA70E6">
              <w:t>Atazanaviras/ritonaviras/ emtricitabinas</w:t>
            </w:r>
          </w:p>
        </w:tc>
        <w:tc>
          <w:tcPr>
            <w:tcW w:w="3078" w:type="dxa"/>
            <w:gridSpan w:val="2"/>
            <w:tcBorders>
              <w:top w:val="single" w:sz="4" w:space="0" w:color="000000"/>
              <w:left w:val="single" w:sz="4" w:space="0" w:color="000000"/>
              <w:bottom w:val="single" w:sz="4" w:space="0" w:color="000000"/>
              <w:right w:val="single" w:sz="4" w:space="0" w:color="auto"/>
            </w:tcBorders>
          </w:tcPr>
          <w:p w14:paraId="5602A27F" w14:textId="77777777" w:rsidR="00DA70E6" w:rsidRPr="00DA70E6" w:rsidRDefault="00DA70E6" w:rsidP="00DA70E6">
            <w:pPr>
              <w:widowControl w:val="0"/>
              <w:ind w:left="57" w:right="57"/>
            </w:pPr>
            <w:r w:rsidRPr="00DA70E6">
              <w:t>Sąveika netirta.</w:t>
            </w:r>
          </w:p>
        </w:tc>
        <w:tc>
          <w:tcPr>
            <w:tcW w:w="2592" w:type="dxa"/>
            <w:tcBorders>
              <w:left w:val="single" w:sz="4" w:space="0" w:color="auto"/>
              <w:bottom w:val="single" w:sz="4" w:space="0" w:color="auto"/>
              <w:right w:val="single" w:sz="4" w:space="0" w:color="auto"/>
            </w:tcBorders>
          </w:tcPr>
          <w:p w14:paraId="3E20B5AF" w14:textId="77777777" w:rsidR="00DA70E6" w:rsidRPr="00DA70E6" w:rsidRDefault="00DA70E6" w:rsidP="00DA70E6">
            <w:pPr>
              <w:autoSpaceDE w:val="0"/>
              <w:autoSpaceDN w:val="0"/>
              <w:adjustRightInd w:val="0"/>
              <w:rPr>
                <w:rFonts w:eastAsia="TimesNewRoman"/>
              </w:rPr>
            </w:pPr>
          </w:p>
        </w:tc>
      </w:tr>
      <w:tr w:rsidR="00DA70E6" w:rsidRPr="00DA70E6" w14:paraId="5CBF4769"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3ABAF759" w14:textId="77777777" w:rsidR="00DA70E6" w:rsidRPr="00DA70E6" w:rsidRDefault="00DA70E6" w:rsidP="00DA70E6">
            <w:pPr>
              <w:autoSpaceDE w:val="0"/>
              <w:autoSpaceDN w:val="0"/>
              <w:adjustRightInd w:val="0"/>
            </w:pPr>
            <w:r w:rsidRPr="00DA70E6">
              <w:rPr>
                <w:color w:val="000000"/>
              </w:rPr>
              <w:t>Darunaviras/ritonaviras/</w:t>
            </w:r>
            <w:r w:rsidR="00C32308" w:rsidRPr="00310E5F">
              <w:rPr>
                <w:color w:val="000000"/>
              </w:rPr>
              <w:t>tenofoviro</w:t>
            </w:r>
            <w:r w:rsidR="00A977CA" w:rsidRPr="00DA70E6">
              <w:rPr>
                <w:color w:val="000000"/>
              </w:rPr>
              <w:t xml:space="preserve"> </w:t>
            </w:r>
            <w:r w:rsidRPr="00DA70E6">
              <w:rPr>
                <w:color w:val="000000"/>
              </w:rPr>
              <w:t xml:space="preserve">dizoproksilis </w:t>
            </w:r>
          </w:p>
          <w:p w14:paraId="31AFE674" w14:textId="77777777" w:rsidR="00DA70E6" w:rsidRPr="00DA70E6" w:rsidRDefault="00DA70E6" w:rsidP="00DA70E6">
            <w:pPr>
              <w:widowControl w:val="0"/>
              <w:ind w:left="57" w:right="57"/>
            </w:pPr>
            <w:r w:rsidRPr="00DA70E6">
              <w:t>(300 mg q.d./100 mg q.d./245 mg q.d.)</w:t>
            </w:r>
            <w:r w:rsidRPr="00DA70E6">
              <w:rPr>
                <w:sz w:val="20"/>
              </w:rPr>
              <w:t xml:space="preserve"> </w:t>
            </w:r>
          </w:p>
        </w:tc>
        <w:tc>
          <w:tcPr>
            <w:tcW w:w="3078" w:type="dxa"/>
            <w:gridSpan w:val="2"/>
            <w:tcBorders>
              <w:top w:val="single" w:sz="4" w:space="0" w:color="000000"/>
              <w:left w:val="single" w:sz="4" w:space="0" w:color="000000"/>
              <w:bottom w:val="single" w:sz="4" w:space="0" w:color="000000"/>
              <w:right w:val="single" w:sz="4" w:space="0" w:color="000000"/>
            </w:tcBorders>
          </w:tcPr>
          <w:p w14:paraId="4428B0CE" w14:textId="77777777" w:rsidR="00DA70E6" w:rsidRPr="00DA70E6" w:rsidRDefault="00DA70E6" w:rsidP="00DA70E6">
            <w:pPr>
              <w:autoSpaceDE w:val="0"/>
              <w:autoSpaceDN w:val="0"/>
              <w:adjustRightInd w:val="0"/>
            </w:pPr>
            <w:r w:rsidRPr="00DA70E6">
              <w:rPr>
                <w:color w:val="000000"/>
              </w:rPr>
              <w:t xml:space="preserve">Darunaviras: </w:t>
            </w:r>
          </w:p>
          <w:p w14:paraId="68139F4F" w14:textId="77777777" w:rsidR="00DA70E6" w:rsidRPr="00DA70E6" w:rsidRDefault="00DA70E6" w:rsidP="00DA70E6">
            <w:pPr>
              <w:autoSpaceDE w:val="0"/>
              <w:autoSpaceDN w:val="0"/>
              <w:adjustRightInd w:val="0"/>
            </w:pPr>
            <w:r w:rsidRPr="00DA70E6">
              <w:rPr>
                <w:color w:val="000000"/>
              </w:rPr>
              <w:t xml:space="preserve">AUC: ↔ </w:t>
            </w:r>
          </w:p>
          <w:p w14:paraId="53D376AF"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727D015F" w14:textId="77777777" w:rsidR="00DA70E6" w:rsidRPr="00DA70E6" w:rsidRDefault="00DA70E6" w:rsidP="00DA70E6">
            <w:pPr>
              <w:autoSpaceDE w:val="0"/>
              <w:autoSpaceDN w:val="0"/>
              <w:adjustRightInd w:val="0"/>
            </w:pPr>
          </w:p>
          <w:p w14:paraId="40AA85A2" w14:textId="77777777" w:rsidR="00DA70E6" w:rsidRPr="00DA70E6" w:rsidRDefault="00DA70E6" w:rsidP="00DA70E6">
            <w:pPr>
              <w:autoSpaceDE w:val="0"/>
              <w:autoSpaceDN w:val="0"/>
              <w:adjustRightInd w:val="0"/>
            </w:pPr>
            <w:r w:rsidRPr="00DA70E6">
              <w:rPr>
                <w:color w:val="000000"/>
              </w:rPr>
              <w:t xml:space="preserve">Tenofoviras: </w:t>
            </w:r>
          </w:p>
          <w:p w14:paraId="68D575E2" w14:textId="77777777" w:rsidR="00DA70E6" w:rsidRPr="00DA70E6" w:rsidRDefault="00DA70E6" w:rsidP="00DA70E6">
            <w:pPr>
              <w:autoSpaceDE w:val="0"/>
              <w:autoSpaceDN w:val="0"/>
              <w:adjustRightInd w:val="0"/>
            </w:pPr>
            <w:r w:rsidRPr="00DA70E6">
              <w:rPr>
                <w:color w:val="000000"/>
              </w:rPr>
              <w:t xml:space="preserve">AUC: ↑ 22 % </w:t>
            </w:r>
          </w:p>
          <w:p w14:paraId="60185DBB" w14:textId="77777777" w:rsidR="00DA70E6" w:rsidRPr="00DA70E6" w:rsidRDefault="00DA70E6" w:rsidP="00DA70E6">
            <w:pPr>
              <w:autoSpaceDE w:val="0"/>
              <w:autoSpaceDN w:val="0"/>
              <w:adjustRightInd w:val="0"/>
              <w:rPr>
                <w:sz w:val="20"/>
              </w:rPr>
            </w:pPr>
            <w:r w:rsidRPr="00DA70E6">
              <w:rPr>
                <w:color w:val="000000"/>
              </w:rPr>
              <w:t>C</w:t>
            </w:r>
            <w:r w:rsidRPr="00DA70E6">
              <w:rPr>
                <w:color w:val="000000"/>
                <w:vertAlign w:val="subscript"/>
              </w:rPr>
              <w:t>min</w:t>
            </w:r>
            <w:r w:rsidRPr="00DA70E6">
              <w:rPr>
                <w:color w:val="000000"/>
              </w:rPr>
              <w:t>: ↑ 37 %</w:t>
            </w:r>
            <w:r w:rsidRPr="00DA70E6">
              <w:rPr>
                <w:color w:val="000000"/>
                <w:sz w:val="20"/>
              </w:rPr>
              <w:t xml:space="preserve"> </w:t>
            </w:r>
          </w:p>
        </w:tc>
        <w:tc>
          <w:tcPr>
            <w:tcW w:w="2592" w:type="dxa"/>
            <w:tcBorders>
              <w:top w:val="single" w:sz="4" w:space="0" w:color="auto"/>
              <w:left w:val="single" w:sz="4" w:space="0" w:color="000000"/>
              <w:right w:val="single" w:sz="4" w:space="0" w:color="000000"/>
            </w:tcBorders>
          </w:tcPr>
          <w:p w14:paraId="21D0A7BA" w14:textId="77777777" w:rsidR="00DA70E6" w:rsidRPr="00DA70E6" w:rsidRDefault="00DA70E6" w:rsidP="00DA70E6">
            <w:pPr>
              <w:autoSpaceDE w:val="0"/>
              <w:autoSpaceDN w:val="0"/>
              <w:adjustRightInd w:val="0"/>
              <w:ind w:left="180"/>
            </w:pPr>
            <w:r w:rsidRPr="00DA70E6">
              <w:rPr>
                <w:color w:val="000000"/>
              </w:rPr>
              <w:t xml:space="preserve">Dozės koreguoti nereikia. Didesnės tenofoviro koncentracijos gali stiprinti su tenofoviru susijusius nepageidaujamus reiškinius, įskaitant inkstų sutrikimus. Reikia atidžiai stebėti inkstų funkciją (žr. 4.4 skyrių). </w:t>
            </w:r>
          </w:p>
        </w:tc>
      </w:tr>
      <w:tr w:rsidR="00DA70E6" w:rsidRPr="00DA70E6" w14:paraId="6E75F39E"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312373DE" w14:textId="77777777" w:rsidR="00DA70E6" w:rsidRPr="00DA70E6" w:rsidRDefault="00DA70E6" w:rsidP="00DA70E6">
            <w:pPr>
              <w:widowControl w:val="0"/>
              <w:ind w:left="57" w:right="57"/>
            </w:pPr>
            <w:r w:rsidRPr="00DA70E6">
              <w:t xml:space="preserve">Darunaviras/ritonaviras/emtricitabinas </w:t>
            </w:r>
          </w:p>
        </w:tc>
        <w:tc>
          <w:tcPr>
            <w:tcW w:w="3078" w:type="dxa"/>
            <w:gridSpan w:val="2"/>
            <w:tcBorders>
              <w:top w:val="single" w:sz="4" w:space="0" w:color="000000"/>
              <w:left w:val="single" w:sz="4" w:space="0" w:color="000000"/>
              <w:bottom w:val="single" w:sz="4" w:space="0" w:color="000000"/>
              <w:right w:val="single" w:sz="4" w:space="0" w:color="auto"/>
            </w:tcBorders>
          </w:tcPr>
          <w:p w14:paraId="3820D4A1" w14:textId="77777777" w:rsidR="00DA70E6" w:rsidRPr="00DA70E6" w:rsidRDefault="00DA70E6" w:rsidP="00DA70E6">
            <w:pPr>
              <w:widowControl w:val="0"/>
              <w:ind w:left="57" w:right="57"/>
            </w:pPr>
            <w:r w:rsidRPr="00DA70E6">
              <w:t>Sąveika netirta</w:t>
            </w:r>
          </w:p>
        </w:tc>
        <w:tc>
          <w:tcPr>
            <w:tcW w:w="2592" w:type="dxa"/>
            <w:tcBorders>
              <w:left w:val="single" w:sz="4" w:space="0" w:color="auto"/>
              <w:bottom w:val="single" w:sz="4" w:space="0" w:color="auto"/>
              <w:right w:val="single" w:sz="4" w:space="0" w:color="auto"/>
            </w:tcBorders>
          </w:tcPr>
          <w:p w14:paraId="5E89FB2E" w14:textId="77777777" w:rsidR="00DA70E6" w:rsidRPr="00DA70E6" w:rsidRDefault="00DA70E6" w:rsidP="00DA70E6">
            <w:pPr>
              <w:autoSpaceDE w:val="0"/>
              <w:autoSpaceDN w:val="0"/>
              <w:adjustRightInd w:val="0"/>
              <w:rPr>
                <w:rFonts w:eastAsia="TimesNewRoman"/>
              </w:rPr>
            </w:pPr>
          </w:p>
        </w:tc>
      </w:tr>
      <w:tr w:rsidR="00DA70E6" w:rsidRPr="00DA70E6" w14:paraId="76980D01"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3E0FE16B" w14:textId="77777777" w:rsidR="00DA70E6" w:rsidRPr="00DA70E6" w:rsidRDefault="00DA70E6" w:rsidP="00DA70E6">
            <w:pPr>
              <w:autoSpaceDE w:val="0"/>
              <w:autoSpaceDN w:val="0"/>
              <w:adjustRightInd w:val="0"/>
            </w:pPr>
            <w:r w:rsidRPr="00DA70E6">
              <w:rPr>
                <w:color w:val="000000"/>
              </w:rPr>
              <w:t>Lopinaviras/ritonaviras/</w:t>
            </w:r>
            <w:r w:rsidR="00C32308" w:rsidRPr="00310E5F">
              <w:rPr>
                <w:color w:val="000000"/>
              </w:rPr>
              <w:t>tenofoviro</w:t>
            </w:r>
            <w:r w:rsidR="00A977CA" w:rsidRPr="00DA70E6">
              <w:rPr>
                <w:color w:val="000000"/>
              </w:rPr>
              <w:t xml:space="preserve"> </w:t>
            </w:r>
            <w:r w:rsidRPr="00DA70E6">
              <w:rPr>
                <w:color w:val="000000"/>
              </w:rPr>
              <w:t xml:space="preserve">dizoproksilis </w:t>
            </w:r>
          </w:p>
          <w:p w14:paraId="0247AACE" w14:textId="77777777" w:rsidR="00DA70E6" w:rsidRPr="00DA70E6" w:rsidRDefault="00DA70E6" w:rsidP="00DA70E6">
            <w:pPr>
              <w:autoSpaceDE w:val="0"/>
              <w:autoSpaceDN w:val="0"/>
              <w:adjustRightInd w:val="0"/>
            </w:pPr>
            <w:r w:rsidRPr="00DA70E6">
              <w:rPr>
                <w:color w:val="000000"/>
              </w:rPr>
              <w:t>(400 mg b.i.d./100 mg b.i.d./245 mg q.d.)</w:t>
            </w:r>
            <w:r w:rsidRPr="00DA70E6">
              <w:rPr>
                <w:color w:val="000000"/>
                <w:sz w:val="20"/>
              </w:rPr>
              <w:t xml:space="preserve"> </w:t>
            </w:r>
          </w:p>
        </w:tc>
        <w:tc>
          <w:tcPr>
            <w:tcW w:w="3078" w:type="dxa"/>
            <w:gridSpan w:val="2"/>
            <w:tcBorders>
              <w:top w:val="single" w:sz="4" w:space="0" w:color="000000"/>
              <w:left w:val="single" w:sz="4" w:space="0" w:color="000000"/>
              <w:bottom w:val="single" w:sz="4" w:space="0" w:color="000000"/>
              <w:right w:val="single" w:sz="4" w:space="0" w:color="000000"/>
            </w:tcBorders>
          </w:tcPr>
          <w:p w14:paraId="127047A7" w14:textId="77777777" w:rsidR="00DA70E6" w:rsidRPr="00DA70E6" w:rsidRDefault="00DA70E6" w:rsidP="00DA70E6">
            <w:pPr>
              <w:autoSpaceDE w:val="0"/>
              <w:autoSpaceDN w:val="0"/>
              <w:adjustRightInd w:val="0"/>
            </w:pPr>
            <w:r w:rsidRPr="00DA70E6">
              <w:rPr>
                <w:color w:val="000000"/>
              </w:rPr>
              <w:t xml:space="preserve">Lopinaviras/ritonaviras: </w:t>
            </w:r>
          </w:p>
          <w:p w14:paraId="78798897" w14:textId="77777777" w:rsidR="00DA70E6" w:rsidRPr="00DA70E6" w:rsidRDefault="00DA70E6" w:rsidP="00DA70E6">
            <w:pPr>
              <w:autoSpaceDE w:val="0"/>
              <w:autoSpaceDN w:val="0"/>
              <w:adjustRightInd w:val="0"/>
            </w:pPr>
            <w:r w:rsidRPr="00DA70E6">
              <w:rPr>
                <w:color w:val="000000"/>
              </w:rPr>
              <w:t xml:space="preserve">AUC: ↔ </w:t>
            </w:r>
          </w:p>
          <w:p w14:paraId="6979FF2A"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83EE74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703B02F4" w14:textId="77777777" w:rsidR="00DA70E6" w:rsidRPr="00DA70E6" w:rsidRDefault="00DA70E6" w:rsidP="00DA70E6">
            <w:pPr>
              <w:autoSpaceDE w:val="0"/>
              <w:autoSpaceDN w:val="0"/>
              <w:adjustRightInd w:val="0"/>
            </w:pPr>
          </w:p>
          <w:p w14:paraId="22ED3005" w14:textId="77777777" w:rsidR="00DA70E6" w:rsidRPr="00DA70E6" w:rsidRDefault="00DA70E6" w:rsidP="00DA70E6">
            <w:pPr>
              <w:autoSpaceDE w:val="0"/>
              <w:autoSpaceDN w:val="0"/>
              <w:adjustRightInd w:val="0"/>
            </w:pPr>
            <w:r w:rsidRPr="00DA70E6">
              <w:rPr>
                <w:color w:val="000000"/>
              </w:rPr>
              <w:t xml:space="preserve">Tenofoviras: </w:t>
            </w:r>
          </w:p>
          <w:p w14:paraId="00580085" w14:textId="77777777" w:rsidR="00DA70E6" w:rsidRPr="00DA70E6" w:rsidRDefault="00DA70E6" w:rsidP="00DA70E6">
            <w:pPr>
              <w:autoSpaceDE w:val="0"/>
              <w:autoSpaceDN w:val="0"/>
              <w:adjustRightInd w:val="0"/>
            </w:pPr>
            <w:r w:rsidRPr="00DA70E6">
              <w:rPr>
                <w:color w:val="000000"/>
              </w:rPr>
              <w:t xml:space="preserve">AUC: ↑ 32 % (nuo ↑ 25 iki ↑ 38) </w:t>
            </w:r>
          </w:p>
          <w:p w14:paraId="4B18937B"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8DEB320" w14:textId="77777777" w:rsidR="00DA70E6" w:rsidRPr="00DA70E6" w:rsidRDefault="00DA70E6" w:rsidP="00DA70E6">
            <w:pPr>
              <w:autoSpaceDE w:val="0"/>
              <w:autoSpaceDN w:val="0"/>
              <w:adjustRightInd w:val="0"/>
              <w:rPr>
                <w:sz w:val="20"/>
              </w:rPr>
            </w:pPr>
            <w:r w:rsidRPr="00DA70E6">
              <w:rPr>
                <w:color w:val="000000"/>
              </w:rPr>
              <w:t>C</w:t>
            </w:r>
            <w:r w:rsidRPr="00DA70E6">
              <w:rPr>
                <w:color w:val="000000"/>
                <w:vertAlign w:val="subscript"/>
              </w:rPr>
              <w:t>min</w:t>
            </w:r>
            <w:r w:rsidRPr="00DA70E6">
              <w:rPr>
                <w:color w:val="000000"/>
              </w:rPr>
              <w:t>: ↑ 51 % (nuo ↑ 37 iki ↑ 66)</w:t>
            </w:r>
            <w:r w:rsidRPr="00DA70E6">
              <w:rPr>
                <w:color w:val="000000"/>
                <w:sz w:val="20"/>
              </w:rPr>
              <w:t xml:space="preserve"> </w:t>
            </w:r>
          </w:p>
        </w:tc>
        <w:tc>
          <w:tcPr>
            <w:tcW w:w="2592" w:type="dxa"/>
            <w:tcBorders>
              <w:top w:val="single" w:sz="4" w:space="0" w:color="auto"/>
              <w:left w:val="single" w:sz="4" w:space="0" w:color="000000"/>
              <w:right w:val="single" w:sz="4" w:space="0" w:color="000000"/>
            </w:tcBorders>
          </w:tcPr>
          <w:p w14:paraId="628A8187" w14:textId="77777777" w:rsidR="00DA70E6" w:rsidRPr="00DA70E6" w:rsidRDefault="00DA70E6" w:rsidP="00DA70E6">
            <w:pPr>
              <w:autoSpaceDE w:val="0"/>
              <w:autoSpaceDN w:val="0"/>
              <w:adjustRightInd w:val="0"/>
            </w:pPr>
            <w:r w:rsidRPr="00DA70E6">
              <w:rPr>
                <w:color w:val="000000"/>
              </w:rPr>
              <w:t xml:space="preserve">Dozės koreguoti nereikia. Didesnės tenofoviro koncentracijos gali stiprinti su tenofoviru susijusius nepageidaujamus reiškinius, įskaitant inkstų sutrikimus. Reikia atidžiai stebėti inkstų funkciją (žr. 4.4 skyrių). </w:t>
            </w:r>
          </w:p>
        </w:tc>
      </w:tr>
      <w:tr w:rsidR="00DA70E6" w:rsidRPr="00DA70E6" w14:paraId="516341EE"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4237CDF5" w14:textId="77777777" w:rsidR="00DA70E6" w:rsidRPr="00DA70E6" w:rsidRDefault="00DA70E6" w:rsidP="00DA70E6">
            <w:pPr>
              <w:widowControl w:val="0"/>
              <w:ind w:left="57" w:right="57"/>
            </w:pPr>
            <w:r w:rsidRPr="00DA70E6">
              <w:t xml:space="preserve">Lopinaviras/ritonaviras/emtricitabinas </w:t>
            </w:r>
          </w:p>
        </w:tc>
        <w:tc>
          <w:tcPr>
            <w:tcW w:w="3078" w:type="dxa"/>
            <w:gridSpan w:val="2"/>
            <w:tcBorders>
              <w:top w:val="single" w:sz="4" w:space="0" w:color="000000"/>
              <w:left w:val="single" w:sz="4" w:space="0" w:color="000000"/>
              <w:bottom w:val="single" w:sz="4" w:space="0" w:color="000000"/>
              <w:right w:val="single" w:sz="4" w:space="0" w:color="auto"/>
            </w:tcBorders>
          </w:tcPr>
          <w:p w14:paraId="71E50DBD" w14:textId="77777777" w:rsidR="00DA70E6" w:rsidRPr="00DA70E6" w:rsidRDefault="00DA70E6" w:rsidP="00DA70E6">
            <w:pPr>
              <w:widowControl w:val="0"/>
              <w:ind w:left="57" w:right="57"/>
            </w:pPr>
            <w:r w:rsidRPr="00DA70E6">
              <w:t>Sąveika netirta.</w:t>
            </w:r>
          </w:p>
        </w:tc>
        <w:tc>
          <w:tcPr>
            <w:tcW w:w="2592" w:type="dxa"/>
            <w:tcBorders>
              <w:left w:val="single" w:sz="4" w:space="0" w:color="auto"/>
              <w:bottom w:val="single" w:sz="4" w:space="0" w:color="auto"/>
              <w:right w:val="single" w:sz="4" w:space="0" w:color="auto"/>
            </w:tcBorders>
          </w:tcPr>
          <w:p w14:paraId="7B4CEE6A" w14:textId="77777777" w:rsidR="00DA70E6" w:rsidRPr="00DA70E6" w:rsidRDefault="00DA70E6" w:rsidP="00DA70E6">
            <w:pPr>
              <w:autoSpaceDE w:val="0"/>
              <w:autoSpaceDN w:val="0"/>
              <w:adjustRightInd w:val="0"/>
              <w:rPr>
                <w:rFonts w:eastAsia="TimesNewRoman"/>
              </w:rPr>
            </w:pPr>
          </w:p>
        </w:tc>
      </w:tr>
      <w:tr w:rsidR="00DA70E6" w:rsidRPr="00DA70E6" w14:paraId="5F82B2E1"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67E5372D" w14:textId="77777777" w:rsidR="00DA70E6" w:rsidRPr="00DA70E6" w:rsidRDefault="00DA70E6" w:rsidP="00DA70E6">
            <w:pPr>
              <w:widowControl w:val="0"/>
              <w:ind w:left="57" w:right="57"/>
            </w:pPr>
            <w:r w:rsidRPr="00DA70E6">
              <w:rPr>
                <w:rFonts w:eastAsia="TimesNewRoman,Bold"/>
                <w:b/>
              </w:rPr>
              <w:t>NATI-ai</w:t>
            </w:r>
          </w:p>
        </w:tc>
      </w:tr>
      <w:tr w:rsidR="00DA70E6" w:rsidRPr="00DA70E6" w14:paraId="49F8CAD1"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34155368" w14:textId="77777777" w:rsidR="00DA70E6" w:rsidRPr="00DA70E6" w:rsidRDefault="0057496C" w:rsidP="0057496C">
            <w:pPr>
              <w:autoSpaceDE w:val="0"/>
              <w:autoSpaceDN w:val="0"/>
              <w:adjustRightInd w:val="0"/>
            </w:pPr>
            <w:r>
              <w:rPr>
                <w:color w:val="000000"/>
              </w:rPr>
              <w:lastRenderedPageBreak/>
              <w:t>Didanozinas</w:t>
            </w:r>
            <w:r w:rsidR="00DA70E6" w:rsidRPr="00DA70E6">
              <w:rPr>
                <w:color w:val="000000"/>
              </w:rPr>
              <w:t>/</w:t>
            </w:r>
            <w:r w:rsidR="00C32308" w:rsidRPr="00310E5F">
              <w:rPr>
                <w:color w:val="000000"/>
              </w:rPr>
              <w:t>tenofoviro</w:t>
            </w:r>
            <w:r w:rsidR="00A977CA" w:rsidRPr="00DA70E6">
              <w:rPr>
                <w:color w:val="000000"/>
              </w:rPr>
              <w:t xml:space="preserve"> </w:t>
            </w:r>
            <w:r w:rsidR="00DA70E6" w:rsidRPr="00DA70E6">
              <w:rPr>
                <w:color w:val="000000"/>
              </w:rPr>
              <w:t xml:space="preserve">dizoproksilis </w:t>
            </w:r>
          </w:p>
        </w:tc>
        <w:tc>
          <w:tcPr>
            <w:tcW w:w="3078" w:type="dxa"/>
            <w:gridSpan w:val="2"/>
            <w:tcBorders>
              <w:top w:val="single" w:sz="4" w:space="0" w:color="000000"/>
              <w:left w:val="single" w:sz="4" w:space="0" w:color="000000"/>
              <w:bottom w:val="single" w:sz="4" w:space="0" w:color="000000"/>
              <w:right w:val="single" w:sz="4" w:space="0" w:color="000000"/>
            </w:tcBorders>
          </w:tcPr>
          <w:p w14:paraId="312D8550" w14:textId="77777777" w:rsidR="00DA70E6" w:rsidRPr="00DA70E6" w:rsidRDefault="00DA70E6" w:rsidP="009E77C3">
            <w:pPr>
              <w:autoSpaceDE w:val="0"/>
              <w:autoSpaceDN w:val="0"/>
              <w:adjustRightInd w:val="0"/>
            </w:pPr>
            <w:r w:rsidRPr="00DA70E6">
              <w:rPr>
                <w:color w:val="000000"/>
              </w:rPr>
              <w:t xml:space="preserve">Kartu vartojant tenofoviro dizoproksilio ir didanozino, 40-60 % padidėja sisteminė didanozino ekspozicija. </w:t>
            </w:r>
          </w:p>
        </w:tc>
        <w:tc>
          <w:tcPr>
            <w:tcW w:w="2592" w:type="dxa"/>
            <w:tcBorders>
              <w:top w:val="single" w:sz="4" w:space="0" w:color="auto"/>
              <w:left w:val="single" w:sz="4" w:space="0" w:color="000000"/>
              <w:right w:val="single" w:sz="4" w:space="0" w:color="000000"/>
            </w:tcBorders>
          </w:tcPr>
          <w:p w14:paraId="3A60214F" w14:textId="77777777" w:rsidR="009E77C3" w:rsidRPr="00DA70E6" w:rsidRDefault="00DA70E6" w:rsidP="00DA70E6">
            <w:pPr>
              <w:autoSpaceDE w:val="0"/>
              <w:autoSpaceDN w:val="0"/>
              <w:adjustRightInd w:val="0"/>
            </w:pPr>
            <w:r w:rsidRPr="00DA70E6">
              <w:rPr>
                <w:color w:val="000000"/>
              </w:rPr>
              <w:t xml:space="preserve">Nerekomenduojama kartu vartoti </w:t>
            </w:r>
            <w:r w:rsidRPr="00DA70E6">
              <w:rPr>
                <w:rFonts w:eastAsia="TimesNewRoman"/>
                <w:color w:val="000000"/>
              </w:rPr>
              <w:t>Emtricitabine/Tenofovir disoproxil Sandoz</w:t>
            </w:r>
            <w:r w:rsidRPr="00DA70E6">
              <w:rPr>
                <w:color w:val="000000"/>
              </w:rPr>
              <w:t xml:space="preserve"> ir didanozino (žr. 4.4 skyrių). </w:t>
            </w:r>
          </w:p>
          <w:p w14:paraId="14EAA5F9" w14:textId="77777777" w:rsidR="009E77C3" w:rsidRPr="0042560B" w:rsidRDefault="009E77C3" w:rsidP="009E77C3">
            <w:pPr>
              <w:pStyle w:val="Default"/>
              <w:rPr>
                <w:szCs w:val="22"/>
              </w:rPr>
            </w:pPr>
            <w:r w:rsidRPr="007A5A93">
              <w:rPr>
                <w:bCs/>
                <w:sz w:val="22"/>
                <w:szCs w:val="22"/>
              </w:rPr>
              <w:t xml:space="preserve">Dėl padidėjusios sisteminės didanozino ekspozicijos gali padaugėti su didanozinu susijusių nepageidaujamų reakcijų. Retai buvo gauta pranešimų apie pankreatito ir laktatacidozės atvejus, kurie kartais buvo mirtini. Tenofoviro dizoproksilio ir 400 mg didanozino dozės per parą vartojimas buvo susijęs su reikšmingu CD4 ląstelių kiekio sumažėjimu, galimai dėl intraląstelinės sąveikos, dėl kurios padaugėja fosforilinto (t. y. aktyvaus) didanozino. Iki 250 mg sumažintų didanozino dozių vartojimas kartu su tenofoviro dizoproksilio terapija buvo susijęs su dažnu virusologinio gydymo neveiksmingumu, kai buvo vartojami keli ištirti ŽIV-1 infekcijos gydymui skirtų vaistinių preparatų deriniai </w:t>
            </w:r>
          </w:p>
          <w:p w14:paraId="08EE05DF" w14:textId="77777777" w:rsidR="0057496C" w:rsidRPr="007A5A93" w:rsidRDefault="0057496C" w:rsidP="00DA70E6">
            <w:pPr>
              <w:autoSpaceDE w:val="0"/>
              <w:autoSpaceDN w:val="0"/>
              <w:adjustRightInd w:val="0"/>
              <w:rPr>
                <w:lang w:val="sl-SI"/>
              </w:rPr>
            </w:pPr>
          </w:p>
          <w:p w14:paraId="2E63E945" w14:textId="77777777" w:rsidR="00DA70E6" w:rsidRPr="00DA70E6" w:rsidRDefault="00DA70E6" w:rsidP="00DA70E6">
            <w:pPr>
              <w:autoSpaceDE w:val="0"/>
              <w:autoSpaceDN w:val="0"/>
              <w:adjustRightInd w:val="0"/>
            </w:pPr>
          </w:p>
        </w:tc>
      </w:tr>
      <w:tr w:rsidR="00DA70E6" w:rsidRPr="00DA70E6" w14:paraId="3E8EC67E"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68898A17" w14:textId="77777777" w:rsidR="00DA70E6" w:rsidRPr="00DA70E6" w:rsidRDefault="00DA70E6" w:rsidP="00DA70E6">
            <w:pPr>
              <w:widowControl w:val="0"/>
              <w:ind w:left="57" w:right="57"/>
            </w:pPr>
            <w:r w:rsidRPr="00DA70E6">
              <w:t xml:space="preserve">Didanozinas/emtricitabinas </w:t>
            </w:r>
          </w:p>
        </w:tc>
        <w:tc>
          <w:tcPr>
            <w:tcW w:w="3078" w:type="dxa"/>
            <w:gridSpan w:val="2"/>
            <w:tcBorders>
              <w:top w:val="single" w:sz="4" w:space="0" w:color="000000"/>
              <w:left w:val="single" w:sz="4" w:space="0" w:color="000000"/>
              <w:bottom w:val="single" w:sz="4" w:space="0" w:color="000000"/>
              <w:right w:val="single" w:sz="4" w:space="0" w:color="auto"/>
            </w:tcBorders>
          </w:tcPr>
          <w:p w14:paraId="7F839035" w14:textId="77777777" w:rsidR="00DA70E6" w:rsidRPr="00DA70E6" w:rsidRDefault="00DA70E6" w:rsidP="00DA70E6">
            <w:pPr>
              <w:widowControl w:val="0"/>
              <w:ind w:left="57" w:right="57"/>
            </w:pPr>
            <w:r w:rsidRPr="00DA70E6">
              <w:t>Sąveika netirta.</w:t>
            </w:r>
          </w:p>
        </w:tc>
        <w:tc>
          <w:tcPr>
            <w:tcW w:w="2592" w:type="dxa"/>
            <w:tcBorders>
              <w:left w:val="single" w:sz="4" w:space="0" w:color="auto"/>
              <w:bottom w:val="single" w:sz="4" w:space="0" w:color="auto"/>
              <w:right w:val="single" w:sz="4" w:space="0" w:color="auto"/>
            </w:tcBorders>
          </w:tcPr>
          <w:p w14:paraId="75404B1E" w14:textId="77777777" w:rsidR="00DA70E6" w:rsidRPr="00DA70E6" w:rsidRDefault="00DA70E6" w:rsidP="00DA70E6">
            <w:pPr>
              <w:autoSpaceDE w:val="0"/>
              <w:autoSpaceDN w:val="0"/>
              <w:adjustRightInd w:val="0"/>
              <w:rPr>
                <w:rFonts w:eastAsia="TimesNewRoman"/>
              </w:rPr>
            </w:pPr>
          </w:p>
        </w:tc>
      </w:tr>
      <w:tr w:rsidR="00DA70E6" w:rsidRPr="00DA70E6" w14:paraId="50F6AD6A"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0661AEB6" w14:textId="77777777" w:rsidR="00DA70E6" w:rsidRPr="00DA70E6" w:rsidRDefault="00DA70E6" w:rsidP="00A977CA">
            <w:pPr>
              <w:widowControl w:val="0"/>
              <w:ind w:left="57" w:right="57"/>
            </w:pPr>
            <w:r w:rsidRPr="00DA70E6">
              <w:t xml:space="preserve">Lamivudinas / </w:t>
            </w:r>
            <w:r w:rsidR="00C32308" w:rsidRPr="002023C7">
              <w:t>tenofoviro</w:t>
            </w:r>
            <w:r w:rsidR="00A977CA" w:rsidRPr="00DA70E6">
              <w:t xml:space="preserve"> </w:t>
            </w:r>
            <w:r w:rsidRPr="00DA70E6">
              <w:t xml:space="preserve">dizoproksilis </w:t>
            </w:r>
          </w:p>
        </w:tc>
        <w:tc>
          <w:tcPr>
            <w:tcW w:w="3078" w:type="dxa"/>
            <w:gridSpan w:val="2"/>
            <w:tcBorders>
              <w:top w:val="single" w:sz="4" w:space="0" w:color="000000"/>
              <w:left w:val="single" w:sz="4" w:space="0" w:color="000000"/>
              <w:bottom w:val="single" w:sz="4" w:space="0" w:color="000000"/>
              <w:right w:val="single" w:sz="4" w:space="0" w:color="000000"/>
            </w:tcBorders>
          </w:tcPr>
          <w:p w14:paraId="6C7834E9" w14:textId="77777777" w:rsidR="00DA70E6" w:rsidRPr="00DA70E6" w:rsidRDefault="00DA70E6" w:rsidP="00DA70E6">
            <w:pPr>
              <w:autoSpaceDE w:val="0"/>
              <w:autoSpaceDN w:val="0"/>
              <w:adjustRightInd w:val="0"/>
            </w:pPr>
            <w:r w:rsidRPr="00DA70E6">
              <w:rPr>
                <w:color w:val="000000"/>
              </w:rPr>
              <w:t xml:space="preserve">Lamivudinas: </w:t>
            </w:r>
          </w:p>
          <w:p w14:paraId="5A92C2B5" w14:textId="77777777" w:rsidR="00DA70E6" w:rsidRPr="00DA70E6" w:rsidRDefault="00DA70E6" w:rsidP="00DA70E6">
            <w:pPr>
              <w:autoSpaceDE w:val="0"/>
              <w:autoSpaceDN w:val="0"/>
              <w:adjustRightInd w:val="0"/>
            </w:pPr>
            <w:r w:rsidRPr="00DA70E6">
              <w:rPr>
                <w:color w:val="000000"/>
              </w:rPr>
              <w:t xml:space="preserve">AUC: ↓ 3 % (nuo ↓ 8 iki ↑ 15) </w:t>
            </w:r>
          </w:p>
          <w:p w14:paraId="4B44818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24 % (nuo ↓ 44 iki ↓ 12) </w:t>
            </w:r>
          </w:p>
          <w:p w14:paraId="1E2A07D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4D7B76E1" w14:textId="77777777" w:rsidR="00DA70E6" w:rsidRPr="00DA70E6" w:rsidRDefault="00DA70E6" w:rsidP="00DA70E6">
            <w:pPr>
              <w:autoSpaceDE w:val="0"/>
              <w:autoSpaceDN w:val="0"/>
              <w:adjustRightInd w:val="0"/>
            </w:pPr>
          </w:p>
          <w:p w14:paraId="148C8349" w14:textId="77777777" w:rsidR="00DA70E6" w:rsidRPr="00DA70E6" w:rsidRDefault="00DA70E6" w:rsidP="00DA70E6">
            <w:pPr>
              <w:autoSpaceDE w:val="0"/>
              <w:autoSpaceDN w:val="0"/>
              <w:adjustRightInd w:val="0"/>
            </w:pPr>
            <w:r w:rsidRPr="00DA70E6">
              <w:rPr>
                <w:color w:val="000000"/>
              </w:rPr>
              <w:t xml:space="preserve">Tenofoviras: </w:t>
            </w:r>
          </w:p>
          <w:p w14:paraId="6D95506C" w14:textId="77777777" w:rsidR="00DA70E6" w:rsidRPr="00DA70E6" w:rsidRDefault="00DA70E6" w:rsidP="00DA70E6">
            <w:pPr>
              <w:autoSpaceDE w:val="0"/>
              <w:autoSpaceDN w:val="0"/>
              <w:adjustRightInd w:val="0"/>
            </w:pPr>
            <w:r w:rsidRPr="00DA70E6">
              <w:rPr>
                <w:color w:val="000000"/>
              </w:rPr>
              <w:t xml:space="preserve">AUC: ↓ 4 % (nuo ↓ 15 iki ↑ 8) </w:t>
            </w:r>
          </w:p>
          <w:p w14:paraId="143B3553"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102 % (nuo ↓ 96 iki ↑ 108) </w:t>
            </w:r>
          </w:p>
          <w:p w14:paraId="3E796ED2"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539D3492" w14:textId="77777777" w:rsidR="00DA70E6" w:rsidRPr="00DA70E6" w:rsidRDefault="00DA70E6" w:rsidP="00DA70E6">
            <w:pPr>
              <w:autoSpaceDE w:val="0"/>
              <w:autoSpaceDN w:val="0"/>
              <w:adjustRightInd w:val="0"/>
            </w:pPr>
            <w:r w:rsidRPr="00DA70E6">
              <w:rPr>
                <w:color w:val="000000"/>
              </w:rPr>
              <w:t xml:space="preserve">Lamivudino ir </w:t>
            </w:r>
            <w:r w:rsidRPr="00DA70E6">
              <w:rPr>
                <w:rFonts w:eastAsia="TimesNewRoman"/>
                <w:color w:val="000000"/>
              </w:rPr>
              <w:t>Emtricitabine/Tenofovir disoproxil Sandoz</w:t>
            </w:r>
            <w:r w:rsidRPr="00DA70E6">
              <w:rPr>
                <w:color w:val="000000"/>
              </w:rPr>
              <w:t xml:space="preserve"> kartu turi būti nevartojama (žr. 4.4 skyrių).</w:t>
            </w:r>
          </w:p>
        </w:tc>
      </w:tr>
      <w:tr w:rsidR="00DA70E6" w:rsidRPr="00DA70E6" w14:paraId="56A53AE6"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22679653" w14:textId="77777777" w:rsidR="00DA70E6" w:rsidRPr="00DA70E6" w:rsidRDefault="00DA70E6" w:rsidP="00A977CA">
            <w:pPr>
              <w:widowControl w:val="0"/>
              <w:ind w:left="57" w:right="57"/>
            </w:pPr>
            <w:r w:rsidRPr="00DA70E6">
              <w:t xml:space="preserve">Efavirenzas / </w:t>
            </w:r>
            <w:r w:rsidR="00C32308" w:rsidRPr="002023C7">
              <w:t>tenofoviro</w:t>
            </w:r>
            <w:r w:rsidR="00A977CA" w:rsidRPr="00DA70E6">
              <w:t xml:space="preserve"> </w:t>
            </w:r>
            <w:r w:rsidRPr="00DA70E6">
              <w:t>dizoproksilis</w:t>
            </w:r>
          </w:p>
        </w:tc>
        <w:tc>
          <w:tcPr>
            <w:tcW w:w="3078" w:type="dxa"/>
            <w:gridSpan w:val="2"/>
            <w:tcBorders>
              <w:top w:val="single" w:sz="4" w:space="0" w:color="000000"/>
              <w:left w:val="single" w:sz="4" w:space="0" w:color="000000"/>
              <w:bottom w:val="single" w:sz="4" w:space="0" w:color="000000"/>
              <w:right w:val="single" w:sz="4" w:space="0" w:color="000000"/>
            </w:tcBorders>
          </w:tcPr>
          <w:p w14:paraId="7AFEA752" w14:textId="77777777" w:rsidR="00DA70E6" w:rsidRPr="00DA70E6" w:rsidRDefault="00DA70E6" w:rsidP="00DA70E6">
            <w:pPr>
              <w:autoSpaceDE w:val="0"/>
              <w:autoSpaceDN w:val="0"/>
              <w:adjustRightInd w:val="0"/>
            </w:pPr>
            <w:r w:rsidRPr="00DA70E6">
              <w:rPr>
                <w:color w:val="000000"/>
              </w:rPr>
              <w:t xml:space="preserve">Efavirenzas: </w:t>
            </w:r>
          </w:p>
          <w:p w14:paraId="1665E556" w14:textId="77777777" w:rsidR="00DA70E6" w:rsidRPr="00DA70E6" w:rsidRDefault="00DA70E6" w:rsidP="00DA70E6">
            <w:pPr>
              <w:autoSpaceDE w:val="0"/>
              <w:autoSpaceDN w:val="0"/>
              <w:adjustRightInd w:val="0"/>
            </w:pPr>
            <w:r w:rsidRPr="00DA70E6">
              <w:rPr>
                <w:color w:val="000000"/>
              </w:rPr>
              <w:t xml:space="preserve">AUC: ↓ 4 % (nuo ↓ 7 iki ↓ 1) </w:t>
            </w:r>
          </w:p>
          <w:p w14:paraId="5E1BC11F"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4 % (nuo ↓ 9 iki ↑ 2) </w:t>
            </w:r>
          </w:p>
          <w:p w14:paraId="69CCBAE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6E2ACDF6" w14:textId="77777777" w:rsidR="00DA70E6" w:rsidRPr="00DA70E6" w:rsidRDefault="00DA70E6" w:rsidP="00DA70E6">
            <w:pPr>
              <w:autoSpaceDE w:val="0"/>
              <w:autoSpaceDN w:val="0"/>
              <w:adjustRightInd w:val="0"/>
            </w:pPr>
          </w:p>
          <w:p w14:paraId="7B2C5059" w14:textId="77777777" w:rsidR="00DA70E6" w:rsidRPr="00DA70E6" w:rsidRDefault="00DA70E6" w:rsidP="00DA70E6">
            <w:pPr>
              <w:autoSpaceDE w:val="0"/>
              <w:autoSpaceDN w:val="0"/>
              <w:adjustRightInd w:val="0"/>
            </w:pPr>
            <w:r w:rsidRPr="00DA70E6">
              <w:rPr>
                <w:color w:val="000000"/>
              </w:rPr>
              <w:t xml:space="preserve">Tenofoviras: </w:t>
            </w:r>
          </w:p>
          <w:p w14:paraId="6E135B71" w14:textId="77777777" w:rsidR="00DA70E6" w:rsidRPr="00DA70E6" w:rsidRDefault="00DA70E6" w:rsidP="00DA70E6">
            <w:pPr>
              <w:autoSpaceDE w:val="0"/>
              <w:autoSpaceDN w:val="0"/>
              <w:adjustRightInd w:val="0"/>
            </w:pPr>
            <w:r w:rsidRPr="00DA70E6">
              <w:rPr>
                <w:color w:val="000000"/>
              </w:rPr>
              <w:t xml:space="preserve">AUC: ↓ 1 % (nuo ↓ 8 iki ↑ 6) </w:t>
            </w:r>
          </w:p>
          <w:p w14:paraId="77A7FAA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7 % (nuo ↓ 6 iki ↑ 22) </w:t>
            </w:r>
          </w:p>
          <w:p w14:paraId="0247DB92" w14:textId="77777777" w:rsidR="00DA70E6" w:rsidRPr="00DA70E6" w:rsidRDefault="00DA70E6" w:rsidP="00DA70E6">
            <w:pPr>
              <w:widowControl w:val="0"/>
              <w:ind w:left="57" w:right="57"/>
            </w:pPr>
            <w:r w:rsidRPr="00DA70E6">
              <w:t>C</w:t>
            </w:r>
            <w:r w:rsidRPr="00DA70E6">
              <w:rPr>
                <w:vertAlign w:val="subscript"/>
              </w:rPr>
              <w:t>min</w:t>
            </w:r>
            <w:r w:rsidRPr="00DA70E6">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19BF301B" w14:textId="77777777" w:rsidR="00DA70E6" w:rsidRPr="00DA70E6" w:rsidRDefault="00DA70E6" w:rsidP="00DA70E6">
            <w:pPr>
              <w:autoSpaceDE w:val="0"/>
              <w:autoSpaceDN w:val="0"/>
              <w:adjustRightInd w:val="0"/>
            </w:pPr>
            <w:r w:rsidRPr="00DA70E6">
              <w:rPr>
                <w:color w:val="000000"/>
              </w:rPr>
              <w:t xml:space="preserve">Efavirenzo dozės koreguoti nereikia. </w:t>
            </w:r>
          </w:p>
        </w:tc>
      </w:tr>
      <w:tr w:rsidR="00DA70E6" w:rsidRPr="00DA70E6" w14:paraId="4DFB278A" w14:textId="77777777" w:rsidTr="00E1395D">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1BD17827" w14:textId="77777777" w:rsidR="00DA70E6" w:rsidRPr="00DA70E6" w:rsidRDefault="00DA70E6" w:rsidP="00DA70E6">
            <w:pPr>
              <w:widowControl w:val="0"/>
              <w:ind w:left="57" w:right="57"/>
              <w:rPr>
                <w:b/>
                <w:i/>
              </w:rPr>
            </w:pPr>
            <w:r w:rsidRPr="00DA70E6">
              <w:rPr>
                <w:b/>
                <w:i/>
              </w:rPr>
              <w:t>ANTIINFEKCINIAI VAISTINIAI PREPARATAI</w:t>
            </w:r>
          </w:p>
        </w:tc>
      </w:tr>
      <w:tr w:rsidR="00DA70E6" w:rsidRPr="00DA70E6" w14:paraId="30BCDCBE" w14:textId="77777777" w:rsidTr="00E1395D">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3728BBE4" w14:textId="77777777" w:rsidR="00DA70E6" w:rsidRPr="00DA70E6" w:rsidRDefault="00DA70E6" w:rsidP="00DA70E6">
            <w:pPr>
              <w:widowControl w:val="0"/>
              <w:ind w:left="57" w:right="57"/>
            </w:pPr>
            <w:r w:rsidRPr="00DA70E6">
              <w:rPr>
                <w:b/>
              </w:rPr>
              <w:t xml:space="preserve">Antivirusinės medžiagos nuo hepatito B viruso (HBV) </w:t>
            </w:r>
          </w:p>
        </w:tc>
      </w:tr>
      <w:tr w:rsidR="00DA70E6" w:rsidRPr="00DA70E6" w14:paraId="66EB5406"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586D205E" w14:textId="77777777" w:rsidR="00DA70E6" w:rsidRPr="00DA70E6" w:rsidRDefault="00DA70E6" w:rsidP="00DA70E6">
            <w:pPr>
              <w:autoSpaceDE w:val="0"/>
              <w:autoSpaceDN w:val="0"/>
              <w:adjustRightInd w:val="0"/>
            </w:pPr>
            <w:r w:rsidRPr="00DA70E6">
              <w:rPr>
                <w:color w:val="000000"/>
              </w:rPr>
              <w:t xml:space="preserve">Adefoviras dipivoksilis / </w:t>
            </w:r>
            <w:r w:rsidR="00C32308" w:rsidRPr="00310E5F">
              <w:rPr>
                <w:color w:val="000000"/>
              </w:rPr>
              <w:t>tenofoviro</w:t>
            </w:r>
            <w:r w:rsidR="00A977CA" w:rsidRPr="00DA70E6">
              <w:rPr>
                <w:color w:val="000000"/>
              </w:rPr>
              <w:t xml:space="preserve"> </w:t>
            </w:r>
            <w:r w:rsidRPr="00DA70E6">
              <w:rPr>
                <w:color w:val="000000"/>
              </w:rPr>
              <w:t xml:space="preserve">dizoproksilis </w:t>
            </w:r>
          </w:p>
          <w:p w14:paraId="6D7F8A97" w14:textId="77777777" w:rsidR="00DA70E6" w:rsidRPr="00DA70E6" w:rsidRDefault="00DA70E6" w:rsidP="00DA70E6">
            <w:pPr>
              <w:widowControl w:val="0"/>
              <w:ind w:left="57" w:right="57"/>
            </w:pPr>
          </w:p>
        </w:tc>
        <w:tc>
          <w:tcPr>
            <w:tcW w:w="3078" w:type="dxa"/>
            <w:gridSpan w:val="2"/>
            <w:tcBorders>
              <w:top w:val="single" w:sz="4" w:space="0" w:color="000000"/>
              <w:left w:val="single" w:sz="4" w:space="0" w:color="000000"/>
              <w:bottom w:val="single" w:sz="4" w:space="0" w:color="000000"/>
              <w:right w:val="single" w:sz="4" w:space="0" w:color="000000"/>
            </w:tcBorders>
          </w:tcPr>
          <w:p w14:paraId="50F4B7E5" w14:textId="77777777" w:rsidR="00DA70E6" w:rsidRPr="00DA70E6" w:rsidRDefault="00DA70E6" w:rsidP="00DA70E6">
            <w:pPr>
              <w:autoSpaceDE w:val="0"/>
              <w:autoSpaceDN w:val="0"/>
              <w:adjustRightInd w:val="0"/>
            </w:pPr>
            <w:r w:rsidRPr="00DA70E6">
              <w:rPr>
                <w:color w:val="000000"/>
              </w:rPr>
              <w:lastRenderedPageBreak/>
              <w:t xml:space="preserve">Adefoviras dipivoksilis: </w:t>
            </w:r>
          </w:p>
          <w:p w14:paraId="573F9B8A" w14:textId="77777777" w:rsidR="00DA70E6" w:rsidRPr="00DA70E6" w:rsidRDefault="00DA70E6" w:rsidP="00DA70E6">
            <w:pPr>
              <w:autoSpaceDE w:val="0"/>
              <w:autoSpaceDN w:val="0"/>
              <w:adjustRightInd w:val="0"/>
            </w:pPr>
            <w:r w:rsidRPr="00DA70E6">
              <w:rPr>
                <w:color w:val="000000"/>
              </w:rPr>
              <w:t xml:space="preserve">AUC: ↓ 11 % (nuo ↓ 14 iki ↓ 7) </w:t>
            </w:r>
          </w:p>
          <w:p w14:paraId="3E3EE4AF" w14:textId="77777777" w:rsidR="00DA70E6" w:rsidRPr="00DA70E6" w:rsidRDefault="00DA70E6" w:rsidP="00DA70E6">
            <w:pPr>
              <w:autoSpaceDE w:val="0"/>
              <w:autoSpaceDN w:val="0"/>
              <w:adjustRightInd w:val="0"/>
            </w:pPr>
            <w:r w:rsidRPr="00DA70E6">
              <w:rPr>
                <w:color w:val="000000"/>
              </w:rPr>
              <w:lastRenderedPageBreak/>
              <w:t>C</w:t>
            </w:r>
            <w:r w:rsidRPr="00DA70E6">
              <w:rPr>
                <w:color w:val="000000"/>
                <w:vertAlign w:val="subscript"/>
              </w:rPr>
              <w:t>max</w:t>
            </w:r>
            <w:r w:rsidRPr="00DA70E6">
              <w:rPr>
                <w:color w:val="000000"/>
              </w:rPr>
              <w:t xml:space="preserve">: ↓ 7 % (nuo ↓ 13 iki ↓ 0) </w:t>
            </w:r>
          </w:p>
          <w:p w14:paraId="0DD7E87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2EFDDD5F" w14:textId="77777777" w:rsidR="00DA70E6" w:rsidRPr="00DA70E6" w:rsidRDefault="00DA70E6" w:rsidP="00DA70E6">
            <w:pPr>
              <w:autoSpaceDE w:val="0"/>
              <w:autoSpaceDN w:val="0"/>
              <w:adjustRightInd w:val="0"/>
            </w:pPr>
          </w:p>
          <w:p w14:paraId="5C224B91" w14:textId="77777777" w:rsidR="00DA70E6" w:rsidRPr="00DA70E6" w:rsidRDefault="00DA70E6" w:rsidP="00DA70E6">
            <w:pPr>
              <w:autoSpaceDE w:val="0"/>
              <w:autoSpaceDN w:val="0"/>
              <w:adjustRightInd w:val="0"/>
            </w:pPr>
            <w:r w:rsidRPr="00DA70E6">
              <w:rPr>
                <w:color w:val="000000"/>
              </w:rPr>
              <w:t xml:space="preserve">Tenofoviras: </w:t>
            </w:r>
          </w:p>
          <w:p w14:paraId="2AB9F383" w14:textId="77777777" w:rsidR="00DA70E6" w:rsidRPr="00DA70E6" w:rsidRDefault="00DA70E6" w:rsidP="00DA70E6">
            <w:pPr>
              <w:autoSpaceDE w:val="0"/>
              <w:autoSpaceDN w:val="0"/>
              <w:adjustRightInd w:val="0"/>
            </w:pPr>
            <w:r w:rsidRPr="00DA70E6">
              <w:rPr>
                <w:color w:val="000000"/>
              </w:rPr>
              <w:t xml:space="preserve">AUC: ↓ 2 % (nuo ↓ 5 iki ↑ 0) </w:t>
            </w:r>
          </w:p>
          <w:p w14:paraId="3ABFA96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1 % (nuo ↓ 7 iki ↑ 6) </w:t>
            </w:r>
          </w:p>
          <w:p w14:paraId="65D2B2D3" w14:textId="77777777" w:rsidR="00DA70E6" w:rsidRPr="00DA70E6" w:rsidRDefault="00DA70E6" w:rsidP="00DA70E6">
            <w:pPr>
              <w:widowControl w:val="0"/>
              <w:spacing w:before="9"/>
              <w:ind w:left="57" w:right="57"/>
            </w:pPr>
            <w:r w:rsidRPr="00DA70E6">
              <w:t>C</w:t>
            </w:r>
            <w:r w:rsidRPr="00DA70E6">
              <w:rPr>
                <w:vertAlign w:val="subscript"/>
              </w:rPr>
              <w:t>min</w:t>
            </w:r>
            <w:r w:rsidRPr="00DA70E6">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5F2343C2" w14:textId="77777777" w:rsidR="00DA70E6" w:rsidRPr="00DA70E6" w:rsidRDefault="00DA70E6" w:rsidP="00DA70E6">
            <w:pPr>
              <w:widowControl w:val="0"/>
              <w:ind w:left="57" w:right="57"/>
            </w:pPr>
            <w:r w:rsidRPr="00DA70E6">
              <w:lastRenderedPageBreak/>
              <w:t xml:space="preserve">Adefoviro dipivoksilio ir </w:t>
            </w:r>
            <w:r w:rsidRPr="00DA70E6">
              <w:rPr>
                <w:rFonts w:eastAsia="TimesNewRoman"/>
              </w:rPr>
              <w:t xml:space="preserve">Emtricitabine/Tenofovir </w:t>
            </w:r>
            <w:r w:rsidRPr="00DA70E6">
              <w:rPr>
                <w:rFonts w:eastAsia="TimesNewRoman"/>
              </w:rPr>
              <w:lastRenderedPageBreak/>
              <w:t>disoproxil Sandoz</w:t>
            </w:r>
            <w:r w:rsidRPr="00DA70E6">
              <w:t xml:space="preserve"> kartu turi būti nevartojama (žr. 4.4 skyrių). </w:t>
            </w:r>
          </w:p>
        </w:tc>
      </w:tr>
      <w:tr w:rsidR="00DA70E6" w:rsidRPr="00DA70E6" w14:paraId="33047217" w14:textId="77777777" w:rsidTr="00E1395D">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6D034F41" w14:textId="77777777" w:rsidR="00DA70E6" w:rsidRPr="00DA70E6" w:rsidRDefault="00DA70E6" w:rsidP="00DA70E6">
            <w:pPr>
              <w:widowControl w:val="0"/>
              <w:ind w:left="57" w:right="57"/>
            </w:pPr>
            <w:r w:rsidRPr="00DA70E6">
              <w:rPr>
                <w:b/>
              </w:rPr>
              <w:lastRenderedPageBreak/>
              <w:t xml:space="preserve">Antivirusinės medžiagos nuo hepatito C viruso (HBV) </w:t>
            </w:r>
          </w:p>
        </w:tc>
      </w:tr>
      <w:tr w:rsidR="00DA70E6" w:rsidRPr="00DA70E6" w14:paraId="2E0D9397"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4C99B166" w14:textId="77777777" w:rsidR="00DA70E6" w:rsidRPr="00DA70E6" w:rsidRDefault="00DA70E6" w:rsidP="00DA70E6">
            <w:pPr>
              <w:autoSpaceDE w:val="0"/>
              <w:autoSpaceDN w:val="0"/>
              <w:adjustRightInd w:val="0"/>
            </w:pPr>
            <w:r w:rsidRPr="00DA70E6">
              <w:rPr>
                <w:color w:val="000000"/>
              </w:rPr>
              <w:t xml:space="preserve">Ledipasviras / sofosbuviras </w:t>
            </w:r>
          </w:p>
          <w:p w14:paraId="3F37761D" w14:textId="77777777" w:rsidR="00DA70E6" w:rsidRPr="00DA70E6" w:rsidRDefault="00DA70E6" w:rsidP="00DA70E6">
            <w:pPr>
              <w:autoSpaceDE w:val="0"/>
              <w:autoSpaceDN w:val="0"/>
              <w:adjustRightInd w:val="0"/>
            </w:pPr>
            <w:r w:rsidRPr="00DA70E6">
              <w:rPr>
                <w:color w:val="000000"/>
              </w:rPr>
              <w:t xml:space="preserve">(90 mg / 400 mg q.d.) + </w:t>
            </w:r>
          </w:p>
          <w:p w14:paraId="4DBB0B21" w14:textId="77777777" w:rsidR="00DA70E6" w:rsidRPr="00DA70E6" w:rsidRDefault="00DA70E6" w:rsidP="00DA70E6">
            <w:pPr>
              <w:autoSpaceDE w:val="0"/>
              <w:autoSpaceDN w:val="0"/>
              <w:adjustRightInd w:val="0"/>
            </w:pPr>
            <w:r w:rsidRPr="00DA70E6">
              <w:rPr>
                <w:color w:val="000000"/>
              </w:rPr>
              <w:t xml:space="preserve">atazanaviras / ritonaviras </w:t>
            </w:r>
          </w:p>
          <w:p w14:paraId="1BA6CD9A" w14:textId="77777777" w:rsidR="00DA70E6" w:rsidRPr="00DA70E6" w:rsidRDefault="00DA70E6" w:rsidP="00DA70E6">
            <w:pPr>
              <w:autoSpaceDE w:val="0"/>
              <w:autoSpaceDN w:val="0"/>
              <w:adjustRightInd w:val="0"/>
            </w:pPr>
            <w:r w:rsidRPr="00DA70E6">
              <w:rPr>
                <w:color w:val="000000"/>
              </w:rPr>
              <w:t xml:space="preserve">(300 mg q.d. / 100 mg q.d.) + </w:t>
            </w:r>
          </w:p>
          <w:p w14:paraId="692A53E6" w14:textId="77777777" w:rsidR="00DA70E6" w:rsidRPr="00DA70E6" w:rsidRDefault="00DA70E6" w:rsidP="00DA70E6">
            <w:pPr>
              <w:autoSpaceDE w:val="0"/>
              <w:autoSpaceDN w:val="0"/>
              <w:adjustRightInd w:val="0"/>
            </w:pPr>
            <w:r w:rsidRPr="00DA70E6">
              <w:rPr>
                <w:color w:val="000000"/>
              </w:rPr>
              <w:t xml:space="preserve">emtricitabinas / </w:t>
            </w:r>
            <w:r w:rsidR="00C32308" w:rsidRPr="00310E5F">
              <w:rPr>
                <w:color w:val="000000"/>
              </w:rPr>
              <w:t>tenofoviro</w:t>
            </w:r>
            <w:r w:rsidR="00A977CA" w:rsidRPr="00DA70E6">
              <w:rPr>
                <w:color w:val="000000"/>
              </w:rPr>
              <w:t xml:space="preserve"> </w:t>
            </w:r>
            <w:r w:rsidRPr="00DA70E6">
              <w:rPr>
                <w:color w:val="000000"/>
              </w:rPr>
              <w:t>dizoproksilis (200 mg / 245 mg q.d.)</w:t>
            </w:r>
            <w:r w:rsidRPr="00DA70E6">
              <w:rPr>
                <w:color w:val="000000"/>
                <w:vertAlign w:val="superscript"/>
              </w:rPr>
              <w:t>1</w:t>
            </w:r>
          </w:p>
          <w:p w14:paraId="17E19F49" w14:textId="77777777" w:rsidR="00DA70E6" w:rsidRPr="00DA70E6" w:rsidRDefault="00DA70E6" w:rsidP="00DA70E6">
            <w:pPr>
              <w:widowControl w:val="0"/>
              <w:ind w:left="57" w:right="57"/>
            </w:pPr>
          </w:p>
        </w:tc>
        <w:tc>
          <w:tcPr>
            <w:tcW w:w="3078" w:type="dxa"/>
            <w:gridSpan w:val="2"/>
            <w:tcBorders>
              <w:top w:val="single" w:sz="4" w:space="0" w:color="000000"/>
              <w:left w:val="single" w:sz="4" w:space="0" w:color="000000"/>
              <w:bottom w:val="single" w:sz="4" w:space="0" w:color="000000"/>
              <w:right w:val="single" w:sz="4" w:space="0" w:color="000000"/>
            </w:tcBorders>
          </w:tcPr>
          <w:p w14:paraId="45A8693E" w14:textId="77777777" w:rsidR="00DA70E6" w:rsidRPr="00DA70E6" w:rsidRDefault="00DA70E6" w:rsidP="00DA70E6">
            <w:pPr>
              <w:autoSpaceDE w:val="0"/>
              <w:autoSpaceDN w:val="0"/>
              <w:adjustRightInd w:val="0"/>
            </w:pPr>
            <w:r w:rsidRPr="00DA70E6">
              <w:rPr>
                <w:color w:val="000000"/>
              </w:rPr>
              <w:t xml:space="preserve">Ledipasviras: </w:t>
            </w:r>
          </w:p>
          <w:p w14:paraId="68DA526D" w14:textId="77777777" w:rsidR="00DA70E6" w:rsidRPr="00DA70E6" w:rsidRDefault="00DA70E6" w:rsidP="00DA70E6">
            <w:pPr>
              <w:autoSpaceDE w:val="0"/>
              <w:autoSpaceDN w:val="0"/>
              <w:adjustRightInd w:val="0"/>
            </w:pPr>
            <w:r w:rsidRPr="00DA70E6">
              <w:rPr>
                <w:color w:val="000000"/>
              </w:rPr>
              <w:t xml:space="preserve">AUC: ↑ 96 % (nuo ↑ 74 iki ↑ 121) </w:t>
            </w:r>
          </w:p>
          <w:p w14:paraId="1A9916D0"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68 % (nuo ↑ 54 iki ↑ 84) </w:t>
            </w:r>
          </w:p>
          <w:p w14:paraId="7E0CDCA9"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118 % (nuo ↑ 91 iki ↑ 150) </w:t>
            </w:r>
          </w:p>
          <w:p w14:paraId="4E7A3AF3" w14:textId="77777777" w:rsidR="00DA70E6" w:rsidRPr="00DA70E6" w:rsidRDefault="00DA70E6" w:rsidP="00DA70E6">
            <w:pPr>
              <w:autoSpaceDE w:val="0"/>
              <w:autoSpaceDN w:val="0"/>
              <w:adjustRightInd w:val="0"/>
            </w:pPr>
          </w:p>
          <w:p w14:paraId="42346A59" w14:textId="77777777" w:rsidR="00DA70E6" w:rsidRPr="00DA70E6" w:rsidRDefault="00DA70E6" w:rsidP="00DA70E6">
            <w:pPr>
              <w:autoSpaceDE w:val="0"/>
              <w:autoSpaceDN w:val="0"/>
              <w:adjustRightInd w:val="0"/>
            </w:pPr>
            <w:r w:rsidRPr="00DA70E6">
              <w:rPr>
                <w:color w:val="000000"/>
              </w:rPr>
              <w:t xml:space="preserve">Sofosbuviras: </w:t>
            </w:r>
          </w:p>
          <w:p w14:paraId="6FE0ABA6" w14:textId="77777777" w:rsidR="00DA70E6" w:rsidRPr="00DA70E6" w:rsidRDefault="00DA70E6" w:rsidP="00DA70E6">
            <w:pPr>
              <w:autoSpaceDE w:val="0"/>
              <w:autoSpaceDN w:val="0"/>
              <w:adjustRightInd w:val="0"/>
            </w:pPr>
            <w:r w:rsidRPr="00DA70E6">
              <w:rPr>
                <w:color w:val="000000"/>
              </w:rPr>
              <w:t xml:space="preserve">AUC: ↔ </w:t>
            </w:r>
          </w:p>
          <w:p w14:paraId="1925FEE9"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61B0F102" w14:textId="77777777" w:rsidR="00DA70E6" w:rsidRPr="00DA70E6" w:rsidRDefault="00DA70E6" w:rsidP="00DA70E6">
            <w:pPr>
              <w:autoSpaceDE w:val="0"/>
              <w:autoSpaceDN w:val="0"/>
              <w:adjustRightInd w:val="0"/>
            </w:pPr>
          </w:p>
          <w:p w14:paraId="5C1AB4B0" w14:textId="77777777" w:rsidR="00DA70E6" w:rsidRPr="00DA70E6" w:rsidRDefault="00DA70E6" w:rsidP="00DA70E6">
            <w:pPr>
              <w:autoSpaceDE w:val="0"/>
              <w:autoSpaceDN w:val="0"/>
              <w:adjustRightInd w:val="0"/>
            </w:pPr>
            <w:r w:rsidRPr="00DA70E6">
              <w:rPr>
                <w:color w:val="000000"/>
              </w:rPr>
              <w:t>GS-331007</w:t>
            </w:r>
            <w:r w:rsidRPr="00DA70E6">
              <w:rPr>
                <w:color w:val="000000"/>
                <w:vertAlign w:val="superscript"/>
              </w:rPr>
              <w:t>2</w:t>
            </w:r>
            <w:r w:rsidRPr="00DA70E6">
              <w:rPr>
                <w:color w:val="000000"/>
              </w:rPr>
              <w:t xml:space="preserve">: </w:t>
            </w:r>
          </w:p>
          <w:p w14:paraId="0792B169" w14:textId="77777777" w:rsidR="00DA70E6" w:rsidRPr="00DA70E6" w:rsidRDefault="00DA70E6" w:rsidP="00DA70E6">
            <w:pPr>
              <w:autoSpaceDE w:val="0"/>
              <w:autoSpaceDN w:val="0"/>
              <w:adjustRightInd w:val="0"/>
            </w:pPr>
            <w:r w:rsidRPr="00DA70E6">
              <w:rPr>
                <w:color w:val="000000"/>
              </w:rPr>
              <w:t xml:space="preserve">AUC: ↔ </w:t>
            </w:r>
          </w:p>
          <w:p w14:paraId="21ACCB1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7CF7B87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42 % (nuo ↑ 34 iki ↑ 49) </w:t>
            </w:r>
          </w:p>
          <w:p w14:paraId="466CDD9D" w14:textId="77777777" w:rsidR="00DA70E6" w:rsidRPr="00DA70E6" w:rsidRDefault="00DA70E6" w:rsidP="00DA70E6">
            <w:pPr>
              <w:autoSpaceDE w:val="0"/>
              <w:autoSpaceDN w:val="0"/>
              <w:adjustRightInd w:val="0"/>
            </w:pPr>
          </w:p>
          <w:p w14:paraId="597E99FD" w14:textId="77777777" w:rsidR="00DA70E6" w:rsidRPr="00DA70E6" w:rsidRDefault="00DA70E6" w:rsidP="00DA70E6">
            <w:pPr>
              <w:autoSpaceDE w:val="0"/>
              <w:autoSpaceDN w:val="0"/>
              <w:adjustRightInd w:val="0"/>
            </w:pPr>
            <w:r w:rsidRPr="00DA70E6">
              <w:rPr>
                <w:color w:val="000000"/>
              </w:rPr>
              <w:t xml:space="preserve">Atazanaviras: </w:t>
            </w:r>
          </w:p>
          <w:p w14:paraId="68E66376" w14:textId="77777777" w:rsidR="00DA70E6" w:rsidRPr="00DA70E6" w:rsidRDefault="00DA70E6" w:rsidP="00DA70E6">
            <w:pPr>
              <w:autoSpaceDE w:val="0"/>
              <w:autoSpaceDN w:val="0"/>
              <w:adjustRightInd w:val="0"/>
            </w:pPr>
            <w:r w:rsidRPr="00DA70E6">
              <w:rPr>
                <w:color w:val="000000"/>
              </w:rPr>
              <w:t xml:space="preserve">AUC: ↔ </w:t>
            </w:r>
          </w:p>
          <w:p w14:paraId="69829CED"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52CB21FD"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63 % (nuo ↑ 45 iki ↑ 84) </w:t>
            </w:r>
          </w:p>
          <w:p w14:paraId="55E3C458" w14:textId="77777777" w:rsidR="00DA70E6" w:rsidRPr="00DA70E6" w:rsidRDefault="00DA70E6" w:rsidP="00DA70E6">
            <w:pPr>
              <w:autoSpaceDE w:val="0"/>
              <w:autoSpaceDN w:val="0"/>
              <w:adjustRightInd w:val="0"/>
            </w:pPr>
          </w:p>
          <w:p w14:paraId="1DF05137" w14:textId="77777777" w:rsidR="00DA70E6" w:rsidRPr="00DA70E6" w:rsidRDefault="00DA70E6" w:rsidP="00DA70E6">
            <w:pPr>
              <w:autoSpaceDE w:val="0"/>
              <w:autoSpaceDN w:val="0"/>
              <w:adjustRightInd w:val="0"/>
            </w:pPr>
            <w:r w:rsidRPr="00DA70E6">
              <w:rPr>
                <w:color w:val="000000"/>
              </w:rPr>
              <w:t xml:space="preserve">Ritonaviras: </w:t>
            </w:r>
          </w:p>
          <w:p w14:paraId="27687E61" w14:textId="77777777" w:rsidR="00DA70E6" w:rsidRPr="00DA70E6" w:rsidRDefault="00DA70E6" w:rsidP="00DA70E6">
            <w:pPr>
              <w:autoSpaceDE w:val="0"/>
              <w:autoSpaceDN w:val="0"/>
              <w:adjustRightInd w:val="0"/>
            </w:pPr>
            <w:r w:rsidRPr="00DA70E6">
              <w:rPr>
                <w:color w:val="000000"/>
              </w:rPr>
              <w:t xml:space="preserve">AUC: ↔ </w:t>
            </w:r>
          </w:p>
          <w:p w14:paraId="6EC5091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17FA4D2A"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45 % (nuo ↑ 27 iki ↑ 64) </w:t>
            </w:r>
          </w:p>
          <w:p w14:paraId="786EF256" w14:textId="77777777" w:rsidR="00DA70E6" w:rsidRPr="00DA70E6" w:rsidRDefault="00DA70E6" w:rsidP="00DA70E6">
            <w:pPr>
              <w:autoSpaceDE w:val="0"/>
              <w:autoSpaceDN w:val="0"/>
              <w:adjustRightInd w:val="0"/>
            </w:pPr>
          </w:p>
          <w:p w14:paraId="5353C248" w14:textId="77777777" w:rsidR="00DA70E6" w:rsidRPr="00DA70E6" w:rsidRDefault="00DA70E6" w:rsidP="00DA70E6">
            <w:pPr>
              <w:autoSpaceDE w:val="0"/>
              <w:autoSpaceDN w:val="0"/>
              <w:adjustRightInd w:val="0"/>
            </w:pPr>
            <w:r w:rsidRPr="00DA70E6">
              <w:rPr>
                <w:color w:val="000000"/>
              </w:rPr>
              <w:t xml:space="preserve">Emtricitabinas: </w:t>
            </w:r>
          </w:p>
          <w:p w14:paraId="4F511381" w14:textId="77777777" w:rsidR="00DA70E6" w:rsidRPr="00DA70E6" w:rsidRDefault="00DA70E6" w:rsidP="00DA70E6">
            <w:pPr>
              <w:autoSpaceDE w:val="0"/>
              <w:autoSpaceDN w:val="0"/>
              <w:adjustRightInd w:val="0"/>
            </w:pPr>
            <w:r w:rsidRPr="00DA70E6">
              <w:rPr>
                <w:color w:val="000000"/>
              </w:rPr>
              <w:t xml:space="preserve">AUC: ↔ </w:t>
            </w:r>
          </w:p>
          <w:p w14:paraId="74662369"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D697466"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21A32D45" w14:textId="77777777" w:rsidR="00DA70E6" w:rsidRPr="00DA70E6" w:rsidRDefault="00DA70E6" w:rsidP="00DA70E6">
            <w:pPr>
              <w:autoSpaceDE w:val="0"/>
              <w:autoSpaceDN w:val="0"/>
              <w:adjustRightInd w:val="0"/>
            </w:pPr>
          </w:p>
          <w:p w14:paraId="0C0C7D19" w14:textId="77777777" w:rsidR="00DA70E6" w:rsidRPr="00DA70E6" w:rsidRDefault="00DA70E6" w:rsidP="00DA70E6">
            <w:pPr>
              <w:autoSpaceDE w:val="0"/>
              <w:autoSpaceDN w:val="0"/>
              <w:adjustRightInd w:val="0"/>
            </w:pPr>
            <w:r w:rsidRPr="00DA70E6">
              <w:rPr>
                <w:color w:val="000000"/>
              </w:rPr>
              <w:t xml:space="preserve">Tenofoviras: </w:t>
            </w:r>
          </w:p>
          <w:p w14:paraId="5627D111" w14:textId="77777777" w:rsidR="00DA70E6" w:rsidRPr="00DA70E6" w:rsidRDefault="00DA70E6" w:rsidP="00DA70E6">
            <w:pPr>
              <w:autoSpaceDE w:val="0"/>
              <w:autoSpaceDN w:val="0"/>
              <w:adjustRightInd w:val="0"/>
            </w:pPr>
            <w:r w:rsidRPr="00DA70E6">
              <w:rPr>
                <w:color w:val="000000"/>
              </w:rPr>
              <w:t xml:space="preserve">AUC: ↔ </w:t>
            </w:r>
          </w:p>
          <w:p w14:paraId="508C60BA"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47 % (nuo ↑ 37 iki ↑ 58) </w:t>
            </w:r>
          </w:p>
          <w:p w14:paraId="34679A76" w14:textId="77777777" w:rsidR="00DA70E6" w:rsidRPr="00DA70E6" w:rsidRDefault="00DA70E6" w:rsidP="00DA70E6">
            <w:pPr>
              <w:widowControl w:val="0"/>
              <w:ind w:left="57" w:right="57"/>
            </w:pPr>
            <w:r w:rsidRPr="00DA70E6">
              <w:t>C</w:t>
            </w:r>
            <w:r w:rsidRPr="00DA70E6">
              <w:rPr>
                <w:vertAlign w:val="subscript"/>
              </w:rPr>
              <w:t>min</w:t>
            </w:r>
            <w:r w:rsidRPr="00DA70E6">
              <w:t xml:space="preserve">: ↑ 47 % (nuo ↑ 38 iki ↑ 57) </w:t>
            </w:r>
          </w:p>
        </w:tc>
        <w:tc>
          <w:tcPr>
            <w:tcW w:w="2592" w:type="dxa"/>
            <w:tcBorders>
              <w:top w:val="single" w:sz="4" w:space="0" w:color="000000"/>
              <w:left w:val="single" w:sz="4" w:space="0" w:color="000000"/>
              <w:bottom w:val="single" w:sz="4" w:space="0" w:color="000000"/>
              <w:right w:val="single" w:sz="4" w:space="0" w:color="000000"/>
            </w:tcBorders>
          </w:tcPr>
          <w:p w14:paraId="059D6102" w14:textId="77777777" w:rsidR="00DA70E6" w:rsidRPr="00DA70E6" w:rsidRDefault="00DA70E6" w:rsidP="00DA70E6">
            <w:pPr>
              <w:autoSpaceDE w:val="0"/>
              <w:autoSpaceDN w:val="0"/>
              <w:adjustRightInd w:val="0"/>
            </w:pPr>
            <w:r w:rsidRPr="00DA70E6">
              <w:rPr>
                <w:color w:val="000000"/>
              </w:rPr>
              <w:t xml:space="preserve">Dėl tenofoviro dizoproksilio, ledipasviro / sofosbuviro ir atazanaviro / ritonaviro vartojimo kartu padidėjusi tenofoviro koncentracija plazmoje gali padidinti su tenofoviro dizoproksiliu susijusias nepageidaujamas reakcijas, įskaitant inkstų sutrikimus. Tenofoviro dizoproksilio saugumas vartojant kartu su ledipasviru / sofosbuviru ir farmakokinetiniu stiprintoju (pvz., ritonaviru arba kobicistatu) neištirtas. </w:t>
            </w:r>
          </w:p>
          <w:p w14:paraId="019F4FCA" w14:textId="77777777" w:rsidR="00DA70E6" w:rsidRPr="00DA70E6" w:rsidRDefault="00DA70E6" w:rsidP="00DA70E6">
            <w:pPr>
              <w:widowControl w:val="0"/>
              <w:ind w:left="57" w:right="57"/>
            </w:pPr>
          </w:p>
          <w:p w14:paraId="57C4A57D" w14:textId="77777777" w:rsidR="00DA70E6" w:rsidRPr="00DA70E6" w:rsidRDefault="00DA70E6" w:rsidP="00DA70E6">
            <w:pPr>
              <w:widowControl w:val="0"/>
              <w:ind w:left="57" w:right="57"/>
            </w:pPr>
            <w:r w:rsidRPr="00DA70E6">
              <w:t>Jei kitų alternatyvų nėra, tokį derinį reikia vartoti atsargiai, dažnai tikrinant inkstų veiklą (žr. 4.4 skyrių).</w:t>
            </w:r>
          </w:p>
        </w:tc>
      </w:tr>
      <w:tr w:rsidR="00DA70E6" w:rsidRPr="00DA70E6" w14:paraId="6936001E"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59E3CB5D" w14:textId="77777777" w:rsidR="00DA70E6" w:rsidRPr="00DA70E6" w:rsidRDefault="00DA70E6" w:rsidP="00DA70E6">
            <w:pPr>
              <w:autoSpaceDE w:val="0"/>
              <w:autoSpaceDN w:val="0"/>
              <w:adjustRightInd w:val="0"/>
            </w:pPr>
            <w:r w:rsidRPr="00DA70E6">
              <w:rPr>
                <w:color w:val="000000"/>
              </w:rPr>
              <w:t xml:space="preserve">Ledipasviras / sofosbuviras </w:t>
            </w:r>
          </w:p>
          <w:p w14:paraId="12FDA1E1" w14:textId="77777777" w:rsidR="00DA70E6" w:rsidRPr="00DA70E6" w:rsidRDefault="00DA70E6" w:rsidP="00DA70E6">
            <w:pPr>
              <w:autoSpaceDE w:val="0"/>
              <w:autoSpaceDN w:val="0"/>
              <w:adjustRightInd w:val="0"/>
            </w:pPr>
            <w:r w:rsidRPr="00DA70E6">
              <w:rPr>
                <w:color w:val="000000"/>
              </w:rPr>
              <w:t xml:space="preserve">(90 mg / 400 mg q.d.) + </w:t>
            </w:r>
          </w:p>
          <w:p w14:paraId="2737E837" w14:textId="77777777" w:rsidR="00DA70E6" w:rsidRPr="00DA70E6" w:rsidRDefault="00DA70E6" w:rsidP="00DA70E6">
            <w:pPr>
              <w:autoSpaceDE w:val="0"/>
              <w:autoSpaceDN w:val="0"/>
              <w:adjustRightInd w:val="0"/>
            </w:pPr>
            <w:r w:rsidRPr="00DA70E6">
              <w:rPr>
                <w:color w:val="000000"/>
              </w:rPr>
              <w:t xml:space="preserve">darunaviras / ritonaviras </w:t>
            </w:r>
          </w:p>
          <w:p w14:paraId="26D457A7" w14:textId="77777777" w:rsidR="00DA70E6" w:rsidRPr="00DA70E6" w:rsidRDefault="00DA70E6" w:rsidP="00DA70E6">
            <w:pPr>
              <w:autoSpaceDE w:val="0"/>
              <w:autoSpaceDN w:val="0"/>
              <w:adjustRightInd w:val="0"/>
            </w:pPr>
            <w:r w:rsidRPr="00DA70E6">
              <w:rPr>
                <w:color w:val="000000"/>
              </w:rPr>
              <w:t xml:space="preserve">(800 mg q.d. / 100 mg q.d.) + </w:t>
            </w:r>
          </w:p>
          <w:p w14:paraId="3B337B0F" w14:textId="77777777" w:rsidR="00DA70E6" w:rsidRPr="00DA70E6" w:rsidRDefault="00DA70E6" w:rsidP="00DA70E6">
            <w:pPr>
              <w:autoSpaceDE w:val="0"/>
              <w:autoSpaceDN w:val="0"/>
              <w:adjustRightInd w:val="0"/>
            </w:pPr>
            <w:r w:rsidRPr="00DA70E6">
              <w:rPr>
                <w:color w:val="000000"/>
              </w:rPr>
              <w:t xml:space="preserve">emtricitabinas / </w:t>
            </w:r>
            <w:r w:rsidR="00C32308" w:rsidRPr="00310E5F">
              <w:rPr>
                <w:color w:val="000000"/>
              </w:rPr>
              <w:t>tenofoviro</w:t>
            </w:r>
            <w:r w:rsidR="00A977CA" w:rsidRPr="00DA70E6">
              <w:rPr>
                <w:color w:val="000000"/>
              </w:rPr>
              <w:t xml:space="preserve"> </w:t>
            </w:r>
            <w:r w:rsidRPr="00DA70E6">
              <w:rPr>
                <w:color w:val="000000"/>
              </w:rPr>
              <w:t xml:space="preserve">dizoproksilis </w:t>
            </w:r>
          </w:p>
          <w:p w14:paraId="4104BCAD" w14:textId="77777777" w:rsidR="00DA70E6" w:rsidRPr="00DA70E6" w:rsidRDefault="00DA70E6" w:rsidP="00DA70E6">
            <w:pPr>
              <w:widowControl w:val="0"/>
              <w:ind w:left="57" w:right="57"/>
            </w:pPr>
            <w:r w:rsidRPr="00DA70E6">
              <w:t>(200 mg / 245 mg q.d.)</w:t>
            </w:r>
            <w:r w:rsidRPr="00DA70E6">
              <w:rPr>
                <w:vertAlign w:val="superscript"/>
              </w:rPr>
              <w:t>1</w:t>
            </w:r>
          </w:p>
        </w:tc>
        <w:tc>
          <w:tcPr>
            <w:tcW w:w="3078" w:type="dxa"/>
            <w:gridSpan w:val="2"/>
            <w:tcBorders>
              <w:top w:val="single" w:sz="4" w:space="0" w:color="000000"/>
              <w:left w:val="single" w:sz="4" w:space="0" w:color="000000"/>
              <w:bottom w:val="single" w:sz="4" w:space="0" w:color="000000"/>
              <w:right w:val="single" w:sz="4" w:space="0" w:color="000000"/>
            </w:tcBorders>
          </w:tcPr>
          <w:p w14:paraId="6DC70499" w14:textId="77777777" w:rsidR="00DA70E6" w:rsidRPr="00DA70E6" w:rsidRDefault="00DA70E6" w:rsidP="00DA70E6">
            <w:pPr>
              <w:autoSpaceDE w:val="0"/>
              <w:autoSpaceDN w:val="0"/>
              <w:adjustRightInd w:val="0"/>
            </w:pPr>
            <w:r w:rsidRPr="00DA70E6">
              <w:rPr>
                <w:color w:val="000000"/>
              </w:rPr>
              <w:t xml:space="preserve">Ledipasviras: </w:t>
            </w:r>
          </w:p>
          <w:p w14:paraId="070853ED" w14:textId="77777777" w:rsidR="00DA70E6" w:rsidRPr="00DA70E6" w:rsidRDefault="00DA70E6" w:rsidP="00DA70E6">
            <w:pPr>
              <w:autoSpaceDE w:val="0"/>
              <w:autoSpaceDN w:val="0"/>
              <w:adjustRightInd w:val="0"/>
            </w:pPr>
            <w:r w:rsidRPr="00DA70E6">
              <w:rPr>
                <w:color w:val="000000"/>
              </w:rPr>
              <w:t xml:space="preserve">AUC: ↔ </w:t>
            </w:r>
          </w:p>
          <w:p w14:paraId="658865C4"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3CB4F2A9"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04CE0ACD" w14:textId="77777777" w:rsidR="00DA70E6" w:rsidRPr="00DA70E6" w:rsidRDefault="00DA70E6" w:rsidP="00DA70E6">
            <w:pPr>
              <w:autoSpaceDE w:val="0"/>
              <w:autoSpaceDN w:val="0"/>
              <w:adjustRightInd w:val="0"/>
            </w:pPr>
          </w:p>
          <w:p w14:paraId="6F80FFEF" w14:textId="77777777" w:rsidR="00DA70E6" w:rsidRPr="00DA70E6" w:rsidRDefault="00DA70E6" w:rsidP="00DA70E6">
            <w:pPr>
              <w:autoSpaceDE w:val="0"/>
              <w:autoSpaceDN w:val="0"/>
              <w:adjustRightInd w:val="0"/>
            </w:pPr>
            <w:r w:rsidRPr="00DA70E6">
              <w:rPr>
                <w:color w:val="000000"/>
              </w:rPr>
              <w:t xml:space="preserve">Sofosbuviras: </w:t>
            </w:r>
          </w:p>
          <w:p w14:paraId="42E76D22" w14:textId="77777777" w:rsidR="00DA70E6" w:rsidRPr="00DA70E6" w:rsidRDefault="00DA70E6" w:rsidP="00DA70E6">
            <w:pPr>
              <w:autoSpaceDE w:val="0"/>
              <w:autoSpaceDN w:val="0"/>
              <w:adjustRightInd w:val="0"/>
            </w:pPr>
            <w:r w:rsidRPr="00DA70E6">
              <w:rPr>
                <w:color w:val="000000"/>
              </w:rPr>
              <w:t xml:space="preserve">AUC: ↓ 27 % (nuo ↓ 35 iki ↓ 18) </w:t>
            </w:r>
          </w:p>
          <w:p w14:paraId="43528E30"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37 % (nuo ↓ 48 iki ↓ 25) </w:t>
            </w:r>
          </w:p>
          <w:p w14:paraId="5125A34D" w14:textId="77777777" w:rsidR="00DA70E6" w:rsidRPr="00DA70E6" w:rsidRDefault="00DA70E6" w:rsidP="00DA70E6">
            <w:pPr>
              <w:autoSpaceDE w:val="0"/>
              <w:autoSpaceDN w:val="0"/>
              <w:adjustRightInd w:val="0"/>
            </w:pPr>
          </w:p>
          <w:p w14:paraId="2BF68EF9" w14:textId="77777777" w:rsidR="00DA70E6" w:rsidRPr="00DA70E6" w:rsidRDefault="00DA70E6" w:rsidP="00DA70E6">
            <w:pPr>
              <w:autoSpaceDE w:val="0"/>
              <w:autoSpaceDN w:val="0"/>
              <w:adjustRightInd w:val="0"/>
            </w:pPr>
            <w:r w:rsidRPr="00DA70E6">
              <w:rPr>
                <w:color w:val="000000"/>
              </w:rPr>
              <w:t>GS-331007</w:t>
            </w:r>
            <w:r w:rsidRPr="00DA70E6">
              <w:rPr>
                <w:color w:val="000000"/>
                <w:vertAlign w:val="superscript"/>
              </w:rPr>
              <w:t>2</w:t>
            </w:r>
            <w:r w:rsidRPr="00DA70E6">
              <w:rPr>
                <w:color w:val="000000"/>
              </w:rPr>
              <w:t xml:space="preserve">: </w:t>
            </w:r>
          </w:p>
          <w:p w14:paraId="2CD7C3AB" w14:textId="77777777" w:rsidR="00DA70E6" w:rsidRPr="00DA70E6" w:rsidRDefault="00DA70E6" w:rsidP="00DA70E6">
            <w:pPr>
              <w:autoSpaceDE w:val="0"/>
              <w:autoSpaceDN w:val="0"/>
              <w:adjustRightInd w:val="0"/>
            </w:pPr>
            <w:r w:rsidRPr="00DA70E6">
              <w:rPr>
                <w:color w:val="000000"/>
              </w:rPr>
              <w:t xml:space="preserve">AUC: ↔ </w:t>
            </w:r>
          </w:p>
          <w:p w14:paraId="6C7A4F76"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2B4741A1"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67AD765B" w14:textId="77777777" w:rsidR="00DA70E6" w:rsidRPr="00DA70E6" w:rsidRDefault="00DA70E6" w:rsidP="00DA70E6">
            <w:pPr>
              <w:autoSpaceDE w:val="0"/>
              <w:autoSpaceDN w:val="0"/>
              <w:adjustRightInd w:val="0"/>
            </w:pPr>
          </w:p>
          <w:p w14:paraId="04A27C18" w14:textId="77777777" w:rsidR="00DA70E6" w:rsidRPr="00DA70E6" w:rsidRDefault="00DA70E6" w:rsidP="00DA70E6">
            <w:pPr>
              <w:autoSpaceDE w:val="0"/>
              <w:autoSpaceDN w:val="0"/>
              <w:adjustRightInd w:val="0"/>
            </w:pPr>
            <w:r w:rsidRPr="00DA70E6">
              <w:rPr>
                <w:color w:val="000000"/>
              </w:rPr>
              <w:t xml:space="preserve">Darunaviras: </w:t>
            </w:r>
          </w:p>
          <w:p w14:paraId="687F61EF" w14:textId="77777777" w:rsidR="00DA70E6" w:rsidRPr="00DA70E6" w:rsidRDefault="00DA70E6" w:rsidP="00DA70E6">
            <w:pPr>
              <w:autoSpaceDE w:val="0"/>
              <w:autoSpaceDN w:val="0"/>
              <w:adjustRightInd w:val="0"/>
            </w:pPr>
            <w:r w:rsidRPr="00DA70E6">
              <w:rPr>
                <w:color w:val="000000"/>
              </w:rPr>
              <w:t xml:space="preserve">AUC: ↔ </w:t>
            </w:r>
          </w:p>
          <w:p w14:paraId="79DCF705" w14:textId="77777777" w:rsidR="00DA70E6" w:rsidRPr="00DA70E6" w:rsidRDefault="00DA70E6" w:rsidP="00DA70E6">
            <w:pPr>
              <w:autoSpaceDE w:val="0"/>
              <w:autoSpaceDN w:val="0"/>
              <w:adjustRightInd w:val="0"/>
            </w:pPr>
            <w:r w:rsidRPr="00DA70E6">
              <w:rPr>
                <w:color w:val="000000"/>
              </w:rPr>
              <w:lastRenderedPageBreak/>
              <w:t>C</w:t>
            </w:r>
            <w:r w:rsidRPr="00DA70E6">
              <w:rPr>
                <w:color w:val="000000"/>
                <w:vertAlign w:val="subscript"/>
              </w:rPr>
              <w:t>max</w:t>
            </w:r>
            <w:r w:rsidRPr="00DA70E6">
              <w:rPr>
                <w:color w:val="000000"/>
              </w:rPr>
              <w:t xml:space="preserve">: ↔ </w:t>
            </w:r>
          </w:p>
          <w:p w14:paraId="2CFD7BEB"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1387BF04" w14:textId="77777777" w:rsidR="00DA70E6" w:rsidRPr="00DA70E6" w:rsidRDefault="00DA70E6" w:rsidP="00DA70E6">
            <w:pPr>
              <w:autoSpaceDE w:val="0"/>
              <w:autoSpaceDN w:val="0"/>
              <w:adjustRightInd w:val="0"/>
            </w:pPr>
          </w:p>
          <w:p w14:paraId="59B7AB5B" w14:textId="77777777" w:rsidR="00DA70E6" w:rsidRPr="00DA70E6" w:rsidRDefault="00DA70E6" w:rsidP="00DA70E6">
            <w:pPr>
              <w:autoSpaceDE w:val="0"/>
              <w:autoSpaceDN w:val="0"/>
              <w:adjustRightInd w:val="0"/>
            </w:pPr>
            <w:r w:rsidRPr="00DA70E6">
              <w:rPr>
                <w:color w:val="000000"/>
              </w:rPr>
              <w:t xml:space="preserve">Ritonaviras: </w:t>
            </w:r>
          </w:p>
          <w:p w14:paraId="7635B705" w14:textId="77777777" w:rsidR="00DA70E6" w:rsidRPr="00DA70E6" w:rsidRDefault="00DA70E6" w:rsidP="00DA70E6">
            <w:pPr>
              <w:autoSpaceDE w:val="0"/>
              <w:autoSpaceDN w:val="0"/>
              <w:adjustRightInd w:val="0"/>
            </w:pPr>
            <w:r w:rsidRPr="00DA70E6">
              <w:rPr>
                <w:color w:val="000000"/>
              </w:rPr>
              <w:t xml:space="preserve">AUC: ↔ </w:t>
            </w:r>
          </w:p>
          <w:p w14:paraId="05BB296A"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78307EE0"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48 % (nuo ↑ 34 iki ↑ 63) </w:t>
            </w:r>
          </w:p>
          <w:p w14:paraId="7780607E" w14:textId="77777777" w:rsidR="00DA70E6" w:rsidRPr="00DA70E6" w:rsidRDefault="00DA70E6" w:rsidP="00DA70E6">
            <w:pPr>
              <w:autoSpaceDE w:val="0"/>
              <w:autoSpaceDN w:val="0"/>
              <w:adjustRightInd w:val="0"/>
            </w:pPr>
            <w:r w:rsidRPr="00DA70E6">
              <w:rPr>
                <w:color w:val="000000"/>
              </w:rPr>
              <w:t xml:space="preserve">Emtricitabinas: </w:t>
            </w:r>
          </w:p>
          <w:p w14:paraId="1302AB33" w14:textId="77777777" w:rsidR="00DA70E6" w:rsidRPr="00DA70E6" w:rsidRDefault="00DA70E6" w:rsidP="00DA70E6">
            <w:pPr>
              <w:autoSpaceDE w:val="0"/>
              <w:autoSpaceDN w:val="0"/>
              <w:adjustRightInd w:val="0"/>
            </w:pPr>
            <w:r w:rsidRPr="00DA70E6">
              <w:rPr>
                <w:color w:val="000000"/>
              </w:rPr>
              <w:t xml:space="preserve">AUC: ↔ </w:t>
            </w:r>
          </w:p>
          <w:p w14:paraId="686E8CE1"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741F8D4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797B81BB" w14:textId="77777777" w:rsidR="00DA70E6" w:rsidRPr="00DA70E6" w:rsidRDefault="00DA70E6" w:rsidP="00DA70E6">
            <w:pPr>
              <w:autoSpaceDE w:val="0"/>
              <w:autoSpaceDN w:val="0"/>
              <w:adjustRightInd w:val="0"/>
            </w:pPr>
          </w:p>
          <w:p w14:paraId="122CD1E8" w14:textId="77777777" w:rsidR="00DA70E6" w:rsidRPr="00DA70E6" w:rsidRDefault="00DA70E6" w:rsidP="00DA70E6">
            <w:pPr>
              <w:autoSpaceDE w:val="0"/>
              <w:autoSpaceDN w:val="0"/>
              <w:adjustRightInd w:val="0"/>
            </w:pPr>
            <w:r w:rsidRPr="00DA70E6">
              <w:rPr>
                <w:color w:val="000000"/>
              </w:rPr>
              <w:t xml:space="preserve">Tenofoviras: </w:t>
            </w:r>
          </w:p>
          <w:p w14:paraId="5C7D6535" w14:textId="77777777" w:rsidR="00DA70E6" w:rsidRPr="00DA70E6" w:rsidRDefault="00DA70E6" w:rsidP="00DA70E6">
            <w:pPr>
              <w:autoSpaceDE w:val="0"/>
              <w:autoSpaceDN w:val="0"/>
              <w:adjustRightInd w:val="0"/>
            </w:pPr>
            <w:r w:rsidRPr="00DA70E6">
              <w:rPr>
                <w:color w:val="000000"/>
              </w:rPr>
              <w:t xml:space="preserve">AUC: ↑ 50 % (nuo ↑ 42 iki ↑ 59) </w:t>
            </w:r>
          </w:p>
          <w:p w14:paraId="51A0775F"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64 % (nuo ↑ 54 iki ↑ 74) </w:t>
            </w:r>
          </w:p>
          <w:p w14:paraId="14105E8B" w14:textId="77777777" w:rsidR="00DA70E6" w:rsidRPr="00DA70E6" w:rsidRDefault="00DA70E6" w:rsidP="00DA70E6">
            <w:pPr>
              <w:autoSpaceDE w:val="0"/>
              <w:autoSpaceDN w:val="0"/>
              <w:adjustRightInd w:val="0"/>
              <w:rPr>
                <w:rFonts w:eastAsia="TimesNewRoman"/>
              </w:rPr>
            </w:pPr>
            <w:r w:rsidRPr="00DA70E6">
              <w:t>C</w:t>
            </w:r>
            <w:r w:rsidRPr="00DA70E6">
              <w:rPr>
                <w:vertAlign w:val="subscript"/>
              </w:rPr>
              <w:t>min</w:t>
            </w:r>
            <w:r w:rsidRPr="00DA70E6">
              <w:t>: ↑ 59 % (nuo ↑ 49 iki ↑ 70)</w:t>
            </w:r>
            <w:r w:rsidRPr="00DA70E6">
              <w:rPr>
                <w:sz w:val="20"/>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307A49B" w14:textId="77777777" w:rsidR="00DA70E6" w:rsidRPr="00DA70E6" w:rsidRDefault="00DA70E6" w:rsidP="00DA70E6">
            <w:pPr>
              <w:autoSpaceDE w:val="0"/>
              <w:autoSpaceDN w:val="0"/>
              <w:adjustRightInd w:val="0"/>
            </w:pPr>
            <w:r w:rsidRPr="00DA70E6">
              <w:rPr>
                <w:color w:val="000000"/>
              </w:rPr>
              <w:lastRenderedPageBreak/>
              <w:t xml:space="preserve">Dėl tenofoviro dizoproksilio, ledipasviro / sofosbuviro ir darunaviro / ritonaviro vartojimo kartu padidėjusi tenofoviro koncentracija plazmoje gali padidinti su tenofoviro dizoproksiliu susijusias nepageidaujamas reakcijas, įskaitant inkstų sutrikimus. Tenofoviro dizoproksilio saugumas vartojant kartu su ledipasviru / sofosbuviru ir farmakokinetiniu stiprintoju (pvz., ritonaviru arba kobicistatu) neištirtas. </w:t>
            </w:r>
          </w:p>
          <w:p w14:paraId="6742AB4B" w14:textId="77777777" w:rsidR="00DA70E6" w:rsidRPr="00DA70E6" w:rsidRDefault="00DA70E6" w:rsidP="00DA70E6">
            <w:pPr>
              <w:autoSpaceDE w:val="0"/>
              <w:autoSpaceDN w:val="0"/>
              <w:adjustRightInd w:val="0"/>
            </w:pPr>
          </w:p>
          <w:p w14:paraId="03B2460D" w14:textId="77777777" w:rsidR="00DA70E6" w:rsidRPr="00DA70E6" w:rsidRDefault="00DA70E6" w:rsidP="00DA70E6">
            <w:pPr>
              <w:autoSpaceDE w:val="0"/>
              <w:autoSpaceDN w:val="0"/>
              <w:adjustRightInd w:val="0"/>
              <w:rPr>
                <w:rFonts w:eastAsia="TimesNewRoman"/>
              </w:rPr>
            </w:pPr>
            <w:r w:rsidRPr="00DA70E6">
              <w:t>Jei kitų alternatyvų nėra, tokį derinį reikia vartoti atsargiai, dažnai tikrinant inkstų veiklą (žr. 4.4 skyrių).</w:t>
            </w:r>
          </w:p>
        </w:tc>
      </w:tr>
      <w:tr w:rsidR="00DA70E6" w:rsidRPr="00DA70E6" w14:paraId="2EDBB58A"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57AF5CDB" w14:textId="77777777" w:rsidR="00DA70E6" w:rsidRPr="00DA70E6" w:rsidRDefault="00DA70E6" w:rsidP="00DA70E6">
            <w:pPr>
              <w:autoSpaceDE w:val="0"/>
              <w:autoSpaceDN w:val="0"/>
              <w:adjustRightInd w:val="0"/>
            </w:pPr>
            <w:r w:rsidRPr="00DA70E6">
              <w:rPr>
                <w:color w:val="000000"/>
              </w:rPr>
              <w:lastRenderedPageBreak/>
              <w:t xml:space="preserve">Ledipasviras / sofosbuviras </w:t>
            </w:r>
          </w:p>
          <w:p w14:paraId="7D8A3537" w14:textId="77777777" w:rsidR="00DA70E6" w:rsidRPr="00DA70E6" w:rsidRDefault="00DA70E6" w:rsidP="00DA70E6">
            <w:pPr>
              <w:autoSpaceDE w:val="0"/>
              <w:autoSpaceDN w:val="0"/>
              <w:adjustRightInd w:val="0"/>
            </w:pPr>
            <w:r w:rsidRPr="00DA70E6">
              <w:rPr>
                <w:color w:val="000000"/>
              </w:rPr>
              <w:t xml:space="preserve">(90 mg / 400 mg q.d.) + </w:t>
            </w:r>
          </w:p>
          <w:p w14:paraId="3A288241" w14:textId="77777777" w:rsidR="00DA70E6" w:rsidRPr="00DA70E6" w:rsidRDefault="00DA70E6" w:rsidP="00DA70E6">
            <w:pPr>
              <w:autoSpaceDE w:val="0"/>
              <w:autoSpaceDN w:val="0"/>
              <w:adjustRightInd w:val="0"/>
            </w:pPr>
            <w:r w:rsidRPr="00DA70E6">
              <w:rPr>
                <w:color w:val="000000"/>
              </w:rPr>
              <w:t xml:space="preserve">efavirenzas / emtricitabinas / </w:t>
            </w:r>
            <w:r w:rsidR="00C32308" w:rsidRPr="00310E5F">
              <w:rPr>
                <w:color w:val="000000"/>
              </w:rPr>
              <w:t>tenofoviro</w:t>
            </w:r>
            <w:r w:rsidR="00A977CA" w:rsidRPr="00DA70E6">
              <w:rPr>
                <w:color w:val="000000"/>
              </w:rPr>
              <w:t xml:space="preserve"> </w:t>
            </w:r>
            <w:r w:rsidRPr="00DA70E6">
              <w:rPr>
                <w:color w:val="000000"/>
              </w:rPr>
              <w:t xml:space="preserve">dizoproksilis </w:t>
            </w:r>
          </w:p>
          <w:p w14:paraId="3F19DA72" w14:textId="77777777" w:rsidR="00DA70E6" w:rsidRPr="00DA70E6" w:rsidRDefault="00DA70E6" w:rsidP="00DA70E6">
            <w:pPr>
              <w:widowControl w:val="0"/>
              <w:ind w:left="57" w:right="57"/>
            </w:pPr>
            <w:r w:rsidRPr="00DA70E6">
              <w:t xml:space="preserve">(600 mg / 200 mg / 245 mg q.d.) </w:t>
            </w:r>
          </w:p>
        </w:tc>
        <w:tc>
          <w:tcPr>
            <w:tcW w:w="3078" w:type="dxa"/>
            <w:gridSpan w:val="2"/>
            <w:tcBorders>
              <w:top w:val="single" w:sz="4" w:space="0" w:color="000000"/>
              <w:left w:val="single" w:sz="4" w:space="0" w:color="000000"/>
              <w:bottom w:val="single" w:sz="4" w:space="0" w:color="000000"/>
              <w:right w:val="single" w:sz="4" w:space="0" w:color="000000"/>
            </w:tcBorders>
          </w:tcPr>
          <w:p w14:paraId="5DDE114B" w14:textId="77777777" w:rsidR="00DA70E6" w:rsidRPr="00DA70E6" w:rsidRDefault="00DA70E6" w:rsidP="00DA70E6">
            <w:pPr>
              <w:autoSpaceDE w:val="0"/>
              <w:autoSpaceDN w:val="0"/>
              <w:adjustRightInd w:val="0"/>
            </w:pPr>
            <w:r w:rsidRPr="00DA70E6">
              <w:rPr>
                <w:color w:val="000000"/>
              </w:rPr>
              <w:t xml:space="preserve">Ledipasviras: </w:t>
            </w:r>
          </w:p>
          <w:p w14:paraId="2B4A47D5" w14:textId="77777777" w:rsidR="00DA70E6" w:rsidRPr="00DA70E6" w:rsidRDefault="00DA70E6" w:rsidP="00DA70E6">
            <w:pPr>
              <w:autoSpaceDE w:val="0"/>
              <w:autoSpaceDN w:val="0"/>
              <w:adjustRightInd w:val="0"/>
            </w:pPr>
            <w:r w:rsidRPr="00DA70E6">
              <w:rPr>
                <w:color w:val="000000"/>
              </w:rPr>
              <w:t xml:space="preserve">AUC: ↓ 34 % (nuo ↓ 41 iki ↓ 25) </w:t>
            </w:r>
          </w:p>
          <w:p w14:paraId="5BB28B32"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34 % (nuo ↓ 41 iki ↑ 25) </w:t>
            </w:r>
          </w:p>
          <w:p w14:paraId="6B92EEAE"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34 % (nuo ↓ 43 iki ↑ 24) </w:t>
            </w:r>
          </w:p>
          <w:p w14:paraId="7EDB6A2A" w14:textId="77777777" w:rsidR="00DA70E6" w:rsidRPr="00DA70E6" w:rsidRDefault="00DA70E6" w:rsidP="00DA70E6">
            <w:pPr>
              <w:autoSpaceDE w:val="0"/>
              <w:autoSpaceDN w:val="0"/>
              <w:adjustRightInd w:val="0"/>
            </w:pPr>
          </w:p>
          <w:p w14:paraId="4284CF42" w14:textId="77777777" w:rsidR="00DA70E6" w:rsidRPr="00DA70E6" w:rsidRDefault="00DA70E6" w:rsidP="00DA70E6">
            <w:pPr>
              <w:autoSpaceDE w:val="0"/>
              <w:autoSpaceDN w:val="0"/>
              <w:adjustRightInd w:val="0"/>
            </w:pPr>
            <w:r w:rsidRPr="00DA70E6">
              <w:rPr>
                <w:color w:val="000000"/>
              </w:rPr>
              <w:t xml:space="preserve">Sofosbuviras: </w:t>
            </w:r>
          </w:p>
          <w:p w14:paraId="7C0FF682" w14:textId="77777777" w:rsidR="00DA70E6" w:rsidRPr="00DA70E6" w:rsidRDefault="00DA70E6" w:rsidP="00DA70E6">
            <w:pPr>
              <w:autoSpaceDE w:val="0"/>
              <w:autoSpaceDN w:val="0"/>
              <w:adjustRightInd w:val="0"/>
            </w:pPr>
            <w:r w:rsidRPr="00DA70E6">
              <w:rPr>
                <w:color w:val="000000"/>
              </w:rPr>
              <w:t xml:space="preserve">AUC: ↔ </w:t>
            </w:r>
          </w:p>
          <w:p w14:paraId="0B70C9C6"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0F95DD1" w14:textId="77777777" w:rsidR="00DA70E6" w:rsidRPr="00DA70E6" w:rsidRDefault="00DA70E6" w:rsidP="00DA70E6">
            <w:pPr>
              <w:autoSpaceDE w:val="0"/>
              <w:autoSpaceDN w:val="0"/>
              <w:adjustRightInd w:val="0"/>
            </w:pPr>
          </w:p>
          <w:p w14:paraId="7990C6D5" w14:textId="77777777" w:rsidR="00DA70E6" w:rsidRPr="00DA70E6" w:rsidRDefault="00DA70E6" w:rsidP="00DA70E6">
            <w:pPr>
              <w:autoSpaceDE w:val="0"/>
              <w:autoSpaceDN w:val="0"/>
              <w:adjustRightInd w:val="0"/>
            </w:pPr>
            <w:r w:rsidRPr="00DA70E6">
              <w:rPr>
                <w:color w:val="000000"/>
              </w:rPr>
              <w:t>GS-331007</w:t>
            </w:r>
            <w:r w:rsidRPr="00DA70E6">
              <w:rPr>
                <w:color w:val="000000"/>
                <w:vertAlign w:val="superscript"/>
              </w:rPr>
              <w:t>2</w:t>
            </w:r>
            <w:r w:rsidRPr="00DA70E6">
              <w:rPr>
                <w:color w:val="000000"/>
              </w:rPr>
              <w:t xml:space="preserve">: </w:t>
            </w:r>
          </w:p>
          <w:p w14:paraId="4228C427" w14:textId="77777777" w:rsidR="00DA70E6" w:rsidRPr="00DA70E6" w:rsidRDefault="00DA70E6" w:rsidP="00DA70E6">
            <w:pPr>
              <w:autoSpaceDE w:val="0"/>
              <w:autoSpaceDN w:val="0"/>
              <w:adjustRightInd w:val="0"/>
            </w:pPr>
            <w:r w:rsidRPr="00DA70E6">
              <w:rPr>
                <w:color w:val="000000"/>
              </w:rPr>
              <w:t xml:space="preserve">AUC: ↔ </w:t>
            </w:r>
          </w:p>
          <w:p w14:paraId="30F9EB6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7EC8A31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72256692" w14:textId="77777777" w:rsidR="00DA70E6" w:rsidRPr="00DA70E6" w:rsidRDefault="00DA70E6" w:rsidP="00DA70E6">
            <w:pPr>
              <w:autoSpaceDE w:val="0"/>
              <w:autoSpaceDN w:val="0"/>
              <w:adjustRightInd w:val="0"/>
            </w:pPr>
          </w:p>
          <w:p w14:paraId="1FDCD851" w14:textId="77777777" w:rsidR="00DA70E6" w:rsidRPr="00DA70E6" w:rsidRDefault="00DA70E6" w:rsidP="00DA70E6">
            <w:pPr>
              <w:autoSpaceDE w:val="0"/>
              <w:autoSpaceDN w:val="0"/>
              <w:adjustRightInd w:val="0"/>
            </w:pPr>
            <w:r w:rsidRPr="00DA70E6">
              <w:rPr>
                <w:color w:val="000000"/>
              </w:rPr>
              <w:t xml:space="preserve">Efavirenzas: </w:t>
            </w:r>
          </w:p>
          <w:p w14:paraId="766356D7" w14:textId="77777777" w:rsidR="00DA70E6" w:rsidRPr="00DA70E6" w:rsidRDefault="00DA70E6" w:rsidP="00DA70E6">
            <w:pPr>
              <w:autoSpaceDE w:val="0"/>
              <w:autoSpaceDN w:val="0"/>
              <w:adjustRightInd w:val="0"/>
            </w:pPr>
            <w:r w:rsidRPr="00DA70E6">
              <w:rPr>
                <w:color w:val="000000"/>
              </w:rPr>
              <w:t xml:space="preserve">AUC: ↔ </w:t>
            </w:r>
          </w:p>
          <w:p w14:paraId="5C0777E1"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258EE3A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75C0739A" w14:textId="77777777" w:rsidR="00DA70E6" w:rsidRPr="00DA70E6" w:rsidRDefault="00DA70E6" w:rsidP="00DA70E6">
            <w:pPr>
              <w:autoSpaceDE w:val="0"/>
              <w:autoSpaceDN w:val="0"/>
              <w:adjustRightInd w:val="0"/>
            </w:pPr>
          </w:p>
          <w:p w14:paraId="731FD766" w14:textId="77777777" w:rsidR="00DA70E6" w:rsidRPr="00DA70E6" w:rsidRDefault="00DA70E6" w:rsidP="00DA70E6">
            <w:pPr>
              <w:autoSpaceDE w:val="0"/>
              <w:autoSpaceDN w:val="0"/>
              <w:adjustRightInd w:val="0"/>
            </w:pPr>
            <w:r w:rsidRPr="00DA70E6">
              <w:rPr>
                <w:color w:val="000000"/>
              </w:rPr>
              <w:t xml:space="preserve">Emtricitabinas: </w:t>
            </w:r>
          </w:p>
          <w:p w14:paraId="27975905" w14:textId="77777777" w:rsidR="00DA70E6" w:rsidRPr="00DA70E6" w:rsidRDefault="00DA70E6" w:rsidP="00DA70E6">
            <w:pPr>
              <w:autoSpaceDE w:val="0"/>
              <w:autoSpaceDN w:val="0"/>
              <w:adjustRightInd w:val="0"/>
            </w:pPr>
            <w:r w:rsidRPr="00DA70E6">
              <w:rPr>
                <w:color w:val="000000"/>
              </w:rPr>
              <w:t xml:space="preserve">AUC: ↔ </w:t>
            </w:r>
          </w:p>
          <w:p w14:paraId="743EDD1F"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2AB5D2F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1C6B2C5E" w14:textId="77777777" w:rsidR="00DA70E6" w:rsidRPr="00DA70E6" w:rsidRDefault="00DA70E6" w:rsidP="00DA70E6">
            <w:pPr>
              <w:autoSpaceDE w:val="0"/>
              <w:autoSpaceDN w:val="0"/>
              <w:adjustRightInd w:val="0"/>
            </w:pPr>
          </w:p>
          <w:p w14:paraId="5691D56F" w14:textId="77777777" w:rsidR="00DA70E6" w:rsidRPr="00DA70E6" w:rsidRDefault="00DA70E6" w:rsidP="00DA70E6">
            <w:pPr>
              <w:autoSpaceDE w:val="0"/>
              <w:autoSpaceDN w:val="0"/>
              <w:adjustRightInd w:val="0"/>
            </w:pPr>
            <w:r w:rsidRPr="00DA70E6">
              <w:rPr>
                <w:color w:val="000000"/>
              </w:rPr>
              <w:t xml:space="preserve">Tenofoviras: </w:t>
            </w:r>
          </w:p>
          <w:p w14:paraId="33B5E183" w14:textId="77777777" w:rsidR="00DA70E6" w:rsidRPr="00DA70E6" w:rsidRDefault="00DA70E6" w:rsidP="00DA70E6">
            <w:pPr>
              <w:autoSpaceDE w:val="0"/>
              <w:autoSpaceDN w:val="0"/>
              <w:adjustRightInd w:val="0"/>
            </w:pPr>
            <w:r w:rsidRPr="00DA70E6">
              <w:rPr>
                <w:color w:val="000000"/>
              </w:rPr>
              <w:t xml:space="preserve">AUC: ↑ 98 % (nuo ↑ 77 iki ↑ 123) </w:t>
            </w:r>
          </w:p>
          <w:p w14:paraId="63991E6D"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79 % (nuo ↑ 56 iki ↑ 104) </w:t>
            </w:r>
          </w:p>
          <w:p w14:paraId="04313283" w14:textId="77777777" w:rsidR="00DA70E6" w:rsidRPr="00DA70E6" w:rsidRDefault="00DA70E6" w:rsidP="00DA70E6">
            <w:pPr>
              <w:widowControl w:val="0"/>
              <w:ind w:left="57" w:right="57"/>
            </w:pPr>
            <w:r w:rsidRPr="00DA70E6">
              <w:t>C</w:t>
            </w:r>
            <w:r w:rsidRPr="00DA70E6">
              <w:rPr>
                <w:vertAlign w:val="subscript"/>
              </w:rPr>
              <w:t>min</w:t>
            </w:r>
            <w:r w:rsidRPr="00DA70E6">
              <w:t xml:space="preserve">: ↑ 163 % (nuo ↑ 137 iki ↑ 197) </w:t>
            </w:r>
          </w:p>
        </w:tc>
        <w:tc>
          <w:tcPr>
            <w:tcW w:w="2592" w:type="dxa"/>
            <w:tcBorders>
              <w:top w:val="single" w:sz="4" w:space="0" w:color="000000"/>
              <w:left w:val="single" w:sz="4" w:space="0" w:color="000000"/>
              <w:bottom w:val="single" w:sz="4" w:space="0" w:color="000000"/>
              <w:right w:val="single" w:sz="4" w:space="0" w:color="000000"/>
            </w:tcBorders>
          </w:tcPr>
          <w:p w14:paraId="6E6B892E" w14:textId="77777777" w:rsidR="00DA70E6" w:rsidRPr="00DA70E6" w:rsidRDefault="00DA70E6" w:rsidP="00DA70E6">
            <w:pPr>
              <w:autoSpaceDE w:val="0"/>
              <w:autoSpaceDN w:val="0"/>
              <w:adjustRightInd w:val="0"/>
            </w:pPr>
            <w:r w:rsidRPr="00DA70E6">
              <w:rPr>
                <w:color w:val="000000"/>
              </w:rPr>
              <w:t>Dozės koreguoti nerekomenduojama. Padidėjus tenofoviro ekspozicijai</w:t>
            </w:r>
            <w:r w:rsidRPr="00DA70E6">
              <w:rPr>
                <w:color w:val="000000"/>
                <w:szCs w:val="24"/>
                <w:lang w:eastAsia="sl-SI"/>
              </w:rPr>
              <w:t>,</w:t>
            </w:r>
            <w:r w:rsidRPr="00DA70E6">
              <w:rPr>
                <w:color w:val="000000"/>
              </w:rPr>
              <w:t xml:space="preserve"> gali sustiprėti su tenofoviro dizoproksiliu susijusios nepageidaujamos reakcijos, įskaitant inkstų sutrikimus. Reikia atidžiai stebėti inkstų funkciją (žr. 4.4 skyrių). </w:t>
            </w:r>
          </w:p>
          <w:p w14:paraId="2E7A8F64" w14:textId="77777777" w:rsidR="00DA70E6" w:rsidRPr="00DA70E6" w:rsidRDefault="00DA70E6" w:rsidP="00DA70E6">
            <w:pPr>
              <w:widowControl w:val="0"/>
              <w:ind w:left="57" w:right="57"/>
            </w:pPr>
          </w:p>
        </w:tc>
      </w:tr>
      <w:tr w:rsidR="00DA70E6" w:rsidRPr="00DA70E6" w14:paraId="584B1DDD"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3DD02A2D" w14:textId="77777777" w:rsidR="00DA70E6" w:rsidRPr="00DA70E6" w:rsidRDefault="00DA70E6" w:rsidP="00DA70E6">
            <w:pPr>
              <w:autoSpaceDE w:val="0"/>
              <w:autoSpaceDN w:val="0"/>
              <w:adjustRightInd w:val="0"/>
            </w:pPr>
            <w:r w:rsidRPr="00DA70E6">
              <w:rPr>
                <w:color w:val="000000"/>
              </w:rPr>
              <w:t xml:space="preserve">Ledipasviras / sofosbuviras </w:t>
            </w:r>
          </w:p>
          <w:p w14:paraId="75EEDF47" w14:textId="77777777" w:rsidR="00DA70E6" w:rsidRPr="00DA70E6" w:rsidRDefault="00DA70E6" w:rsidP="00DA70E6">
            <w:pPr>
              <w:autoSpaceDE w:val="0"/>
              <w:autoSpaceDN w:val="0"/>
              <w:adjustRightInd w:val="0"/>
            </w:pPr>
            <w:r w:rsidRPr="00DA70E6">
              <w:rPr>
                <w:color w:val="000000"/>
              </w:rPr>
              <w:t xml:space="preserve">(90 mg / 400 mg q.d.) + </w:t>
            </w:r>
          </w:p>
          <w:p w14:paraId="67F8AC50" w14:textId="77777777" w:rsidR="00DA70E6" w:rsidRPr="00DA70E6" w:rsidRDefault="00DA70E6" w:rsidP="00DA70E6">
            <w:pPr>
              <w:autoSpaceDE w:val="0"/>
              <w:autoSpaceDN w:val="0"/>
              <w:adjustRightInd w:val="0"/>
            </w:pPr>
            <w:r w:rsidRPr="00DA70E6">
              <w:rPr>
                <w:color w:val="000000"/>
              </w:rPr>
              <w:t xml:space="preserve">emtricitabinas / rilpivirinas / </w:t>
            </w:r>
          </w:p>
          <w:p w14:paraId="49F76D47" w14:textId="77777777" w:rsidR="00DA70E6" w:rsidRPr="00DA70E6" w:rsidRDefault="00C32308" w:rsidP="00DA70E6">
            <w:pPr>
              <w:autoSpaceDE w:val="0"/>
              <w:autoSpaceDN w:val="0"/>
              <w:adjustRightInd w:val="0"/>
            </w:pPr>
            <w:r w:rsidRPr="00310E5F">
              <w:rPr>
                <w:color w:val="000000"/>
              </w:rPr>
              <w:t>tenofoviro</w:t>
            </w:r>
            <w:r w:rsidR="00A977CA" w:rsidRPr="00DA70E6">
              <w:rPr>
                <w:color w:val="000000"/>
              </w:rPr>
              <w:t xml:space="preserve"> </w:t>
            </w:r>
            <w:r w:rsidR="00DA70E6" w:rsidRPr="00DA70E6">
              <w:rPr>
                <w:color w:val="000000"/>
              </w:rPr>
              <w:t xml:space="preserve">dizoproksilis </w:t>
            </w:r>
          </w:p>
          <w:p w14:paraId="34280C11" w14:textId="77777777" w:rsidR="00DA70E6" w:rsidRPr="00DA70E6" w:rsidRDefault="00DA70E6" w:rsidP="00DA70E6">
            <w:pPr>
              <w:widowControl w:val="0"/>
              <w:ind w:left="57" w:right="57"/>
            </w:pPr>
            <w:r w:rsidRPr="00DA70E6">
              <w:t xml:space="preserve">(200 mg / 25 mg / 245 mg q.d.) </w:t>
            </w:r>
          </w:p>
        </w:tc>
        <w:tc>
          <w:tcPr>
            <w:tcW w:w="3078" w:type="dxa"/>
            <w:gridSpan w:val="2"/>
            <w:tcBorders>
              <w:top w:val="single" w:sz="4" w:space="0" w:color="000000"/>
              <w:left w:val="single" w:sz="4" w:space="0" w:color="000000"/>
              <w:bottom w:val="single" w:sz="4" w:space="0" w:color="000000"/>
              <w:right w:val="single" w:sz="4" w:space="0" w:color="000000"/>
            </w:tcBorders>
          </w:tcPr>
          <w:p w14:paraId="7F63C8C1" w14:textId="77777777" w:rsidR="00DA70E6" w:rsidRPr="00DA70E6" w:rsidRDefault="00DA70E6" w:rsidP="00DA70E6">
            <w:pPr>
              <w:autoSpaceDE w:val="0"/>
              <w:autoSpaceDN w:val="0"/>
              <w:adjustRightInd w:val="0"/>
            </w:pPr>
            <w:r w:rsidRPr="00DA70E6">
              <w:rPr>
                <w:color w:val="000000"/>
              </w:rPr>
              <w:t xml:space="preserve">Ledipasviras: </w:t>
            </w:r>
          </w:p>
          <w:p w14:paraId="3219997D" w14:textId="77777777" w:rsidR="00DA70E6" w:rsidRPr="00DA70E6" w:rsidRDefault="00DA70E6" w:rsidP="00DA70E6">
            <w:pPr>
              <w:autoSpaceDE w:val="0"/>
              <w:autoSpaceDN w:val="0"/>
              <w:adjustRightInd w:val="0"/>
            </w:pPr>
            <w:r w:rsidRPr="00DA70E6">
              <w:rPr>
                <w:color w:val="000000"/>
              </w:rPr>
              <w:t xml:space="preserve">AUC: ↔ </w:t>
            </w:r>
          </w:p>
          <w:p w14:paraId="1B22102D"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4D357EE"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3AE1072C" w14:textId="77777777" w:rsidR="00DA70E6" w:rsidRPr="00DA70E6" w:rsidRDefault="00DA70E6" w:rsidP="00DA70E6">
            <w:pPr>
              <w:autoSpaceDE w:val="0"/>
              <w:autoSpaceDN w:val="0"/>
              <w:adjustRightInd w:val="0"/>
            </w:pPr>
          </w:p>
          <w:p w14:paraId="65DD0849" w14:textId="77777777" w:rsidR="00DA70E6" w:rsidRPr="00DA70E6" w:rsidRDefault="00DA70E6" w:rsidP="00DA70E6">
            <w:pPr>
              <w:autoSpaceDE w:val="0"/>
              <w:autoSpaceDN w:val="0"/>
              <w:adjustRightInd w:val="0"/>
            </w:pPr>
            <w:r w:rsidRPr="00DA70E6">
              <w:rPr>
                <w:color w:val="000000"/>
              </w:rPr>
              <w:t xml:space="preserve">Sofosbuviras: </w:t>
            </w:r>
          </w:p>
          <w:p w14:paraId="6B93C889" w14:textId="77777777" w:rsidR="00DA70E6" w:rsidRPr="00DA70E6" w:rsidRDefault="00DA70E6" w:rsidP="00DA70E6">
            <w:pPr>
              <w:autoSpaceDE w:val="0"/>
              <w:autoSpaceDN w:val="0"/>
              <w:adjustRightInd w:val="0"/>
            </w:pPr>
            <w:r w:rsidRPr="00DA70E6">
              <w:rPr>
                <w:color w:val="000000"/>
              </w:rPr>
              <w:t xml:space="preserve">AUC: ↔ </w:t>
            </w:r>
          </w:p>
          <w:p w14:paraId="1F811ED1"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3787F2E5" w14:textId="77777777" w:rsidR="00DA70E6" w:rsidRPr="00DA70E6" w:rsidRDefault="00DA70E6" w:rsidP="00DA70E6">
            <w:pPr>
              <w:autoSpaceDE w:val="0"/>
              <w:autoSpaceDN w:val="0"/>
              <w:adjustRightInd w:val="0"/>
            </w:pPr>
          </w:p>
          <w:p w14:paraId="757E1327" w14:textId="77777777" w:rsidR="00DA70E6" w:rsidRPr="00DA70E6" w:rsidRDefault="00DA70E6" w:rsidP="00DA70E6">
            <w:pPr>
              <w:autoSpaceDE w:val="0"/>
              <w:autoSpaceDN w:val="0"/>
              <w:adjustRightInd w:val="0"/>
            </w:pPr>
            <w:r w:rsidRPr="00DA70E6">
              <w:rPr>
                <w:color w:val="000000"/>
              </w:rPr>
              <w:t>GS-331007</w:t>
            </w:r>
            <w:r w:rsidRPr="00DA70E6">
              <w:rPr>
                <w:color w:val="000000"/>
                <w:vertAlign w:val="superscript"/>
              </w:rPr>
              <w:t>2</w:t>
            </w:r>
            <w:r w:rsidRPr="00DA70E6">
              <w:rPr>
                <w:color w:val="000000"/>
              </w:rPr>
              <w:t xml:space="preserve">: </w:t>
            </w:r>
          </w:p>
          <w:p w14:paraId="00B1C8D1" w14:textId="77777777" w:rsidR="00DA70E6" w:rsidRPr="00DA70E6" w:rsidRDefault="00DA70E6" w:rsidP="00DA70E6">
            <w:pPr>
              <w:autoSpaceDE w:val="0"/>
              <w:autoSpaceDN w:val="0"/>
              <w:adjustRightInd w:val="0"/>
            </w:pPr>
            <w:r w:rsidRPr="00DA70E6">
              <w:rPr>
                <w:color w:val="000000"/>
              </w:rPr>
              <w:t xml:space="preserve">AUC: ↔ </w:t>
            </w:r>
          </w:p>
          <w:p w14:paraId="3F71A0F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538EF90" w14:textId="77777777" w:rsidR="00DA70E6" w:rsidRPr="00DA70E6" w:rsidRDefault="00DA70E6" w:rsidP="00DA70E6">
            <w:pPr>
              <w:autoSpaceDE w:val="0"/>
              <w:autoSpaceDN w:val="0"/>
              <w:adjustRightInd w:val="0"/>
            </w:pPr>
            <w:r w:rsidRPr="00DA70E6">
              <w:rPr>
                <w:color w:val="000000"/>
              </w:rPr>
              <w:lastRenderedPageBreak/>
              <w:t>C</w:t>
            </w:r>
            <w:r w:rsidRPr="00DA70E6">
              <w:rPr>
                <w:color w:val="000000"/>
                <w:vertAlign w:val="subscript"/>
              </w:rPr>
              <w:t>min</w:t>
            </w:r>
            <w:r w:rsidRPr="00DA70E6">
              <w:rPr>
                <w:color w:val="000000"/>
              </w:rPr>
              <w:t xml:space="preserve">: ↔ </w:t>
            </w:r>
          </w:p>
          <w:p w14:paraId="744B1F5B" w14:textId="77777777" w:rsidR="00DA70E6" w:rsidRPr="00DA70E6" w:rsidRDefault="00DA70E6" w:rsidP="00DA70E6">
            <w:pPr>
              <w:autoSpaceDE w:val="0"/>
              <w:autoSpaceDN w:val="0"/>
              <w:adjustRightInd w:val="0"/>
            </w:pPr>
          </w:p>
          <w:p w14:paraId="00FEE12C" w14:textId="77777777" w:rsidR="00DA70E6" w:rsidRPr="00DA70E6" w:rsidRDefault="00DA70E6" w:rsidP="00DA70E6">
            <w:pPr>
              <w:autoSpaceDE w:val="0"/>
              <w:autoSpaceDN w:val="0"/>
              <w:adjustRightInd w:val="0"/>
            </w:pPr>
            <w:r w:rsidRPr="00DA70E6">
              <w:rPr>
                <w:color w:val="000000"/>
              </w:rPr>
              <w:t xml:space="preserve">Emtricitabinas: </w:t>
            </w:r>
          </w:p>
          <w:p w14:paraId="4D10F2E1" w14:textId="77777777" w:rsidR="00DA70E6" w:rsidRPr="00DA70E6" w:rsidRDefault="00DA70E6" w:rsidP="00DA70E6">
            <w:pPr>
              <w:autoSpaceDE w:val="0"/>
              <w:autoSpaceDN w:val="0"/>
              <w:adjustRightInd w:val="0"/>
            </w:pPr>
            <w:r w:rsidRPr="00DA70E6">
              <w:rPr>
                <w:color w:val="000000"/>
              </w:rPr>
              <w:t xml:space="preserve">AUC: ↔ </w:t>
            </w:r>
          </w:p>
          <w:p w14:paraId="1E428DCA"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7A463A79"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733E27B8" w14:textId="77777777" w:rsidR="00DA70E6" w:rsidRPr="00DA70E6" w:rsidRDefault="00DA70E6" w:rsidP="00DA70E6">
            <w:pPr>
              <w:autoSpaceDE w:val="0"/>
              <w:autoSpaceDN w:val="0"/>
              <w:adjustRightInd w:val="0"/>
            </w:pPr>
          </w:p>
          <w:p w14:paraId="3286B01C" w14:textId="77777777" w:rsidR="00DA70E6" w:rsidRPr="00DA70E6" w:rsidRDefault="00DA70E6" w:rsidP="00DA70E6">
            <w:pPr>
              <w:autoSpaceDE w:val="0"/>
              <w:autoSpaceDN w:val="0"/>
              <w:adjustRightInd w:val="0"/>
            </w:pPr>
            <w:r w:rsidRPr="00DA70E6">
              <w:rPr>
                <w:color w:val="000000"/>
              </w:rPr>
              <w:t xml:space="preserve">Rilpivirinas: </w:t>
            </w:r>
          </w:p>
          <w:p w14:paraId="741EFC28" w14:textId="77777777" w:rsidR="00DA70E6" w:rsidRPr="00DA70E6" w:rsidRDefault="00DA70E6" w:rsidP="00DA70E6">
            <w:pPr>
              <w:autoSpaceDE w:val="0"/>
              <w:autoSpaceDN w:val="0"/>
              <w:adjustRightInd w:val="0"/>
            </w:pPr>
            <w:r w:rsidRPr="00DA70E6">
              <w:rPr>
                <w:color w:val="000000"/>
              </w:rPr>
              <w:t xml:space="preserve">AUC: ↔ </w:t>
            </w:r>
          </w:p>
          <w:p w14:paraId="63BC9080"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54007602"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30BC2011" w14:textId="77777777" w:rsidR="00DA70E6" w:rsidRPr="00DA70E6" w:rsidRDefault="00DA70E6" w:rsidP="00DA70E6">
            <w:pPr>
              <w:autoSpaceDE w:val="0"/>
              <w:autoSpaceDN w:val="0"/>
              <w:adjustRightInd w:val="0"/>
            </w:pPr>
          </w:p>
          <w:p w14:paraId="3C26F0E3" w14:textId="77777777" w:rsidR="00DA70E6" w:rsidRPr="00DA70E6" w:rsidRDefault="00DA70E6" w:rsidP="00DA70E6">
            <w:pPr>
              <w:autoSpaceDE w:val="0"/>
              <w:autoSpaceDN w:val="0"/>
              <w:adjustRightInd w:val="0"/>
            </w:pPr>
            <w:r w:rsidRPr="00DA70E6">
              <w:rPr>
                <w:color w:val="000000"/>
              </w:rPr>
              <w:t xml:space="preserve">Tenofoviras: </w:t>
            </w:r>
          </w:p>
          <w:p w14:paraId="3CF3FD98" w14:textId="77777777" w:rsidR="00DA70E6" w:rsidRPr="00DA70E6" w:rsidRDefault="00DA70E6" w:rsidP="00DA70E6">
            <w:pPr>
              <w:autoSpaceDE w:val="0"/>
              <w:autoSpaceDN w:val="0"/>
              <w:adjustRightInd w:val="0"/>
            </w:pPr>
            <w:r w:rsidRPr="00DA70E6">
              <w:rPr>
                <w:color w:val="000000"/>
              </w:rPr>
              <w:t xml:space="preserve">AUC: ↑ 40 % (nuo ↑ 31 iki ↑ 50) </w:t>
            </w:r>
          </w:p>
          <w:p w14:paraId="775494D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02DF2081" w14:textId="77777777" w:rsidR="00DA70E6" w:rsidRPr="00DA70E6" w:rsidRDefault="00DA70E6" w:rsidP="00DA70E6">
            <w:pPr>
              <w:widowControl w:val="0"/>
              <w:spacing w:before="9"/>
              <w:ind w:left="57" w:right="57"/>
            </w:pPr>
            <w:r w:rsidRPr="00DA70E6">
              <w:t>C</w:t>
            </w:r>
            <w:r w:rsidRPr="00DA70E6">
              <w:rPr>
                <w:vertAlign w:val="subscript"/>
              </w:rPr>
              <w:t>min</w:t>
            </w:r>
            <w:r w:rsidRPr="00DA70E6">
              <w:t xml:space="preserve">: ↑ 91 % (nuo ↑ 74 iki ↑ 110) </w:t>
            </w:r>
          </w:p>
        </w:tc>
        <w:tc>
          <w:tcPr>
            <w:tcW w:w="2592" w:type="dxa"/>
            <w:tcBorders>
              <w:top w:val="single" w:sz="4" w:space="0" w:color="000000"/>
              <w:left w:val="single" w:sz="4" w:space="0" w:color="000000"/>
              <w:bottom w:val="single" w:sz="4" w:space="0" w:color="000000"/>
              <w:right w:val="single" w:sz="4" w:space="0" w:color="000000"/>
            </w:tcBorders>
          </w:tcPr>
          <w:p w14:paraId="44EE960E" w14:textId="77777777" w:rsidR="00DA70E6" w:rsidRPr="00DA70E6" w:rsidRDefault="00DA70E6" w:rsidP="00DA70E6">
            <w:pPr>
              <w:autoSpaceDE w:val="0"/>
              <w:autoSpaceDN w:val="0"/>
              <w:adjustRightInd w:val="0"/>
            </w:pPr>
            <w:r w:rsidRPr="00DA70E6">
              <w:rPr>
                <w:color w:val="000000"/>
              </w:rPr>
              <w:lastRenderedPageBreak/>
              <w:t>Dozės koreguoti nerekomenduojama. Padidėjus tenofoviro ekspozicijai, gali sustiprėti su tenofoviro dizoproksiliu susijusios nepageidaujamos reakcijos, įskaitant inkstų sutrikimus. Reikia atidžiai stebėti inkstų funkciją (žr. 4.4 skyrių).</w:t>
            </w:r>
          </w:p>
          <w:p w14:paraId="0FFF82D7" w14:textId="77777777" w:rsidR="00DA70E6" w:rsidRPr="00DA70E6" w:rsidRDefault="00DA70E6" w:rsidP="00DA70E6">
            <w:pPr>
              <w:widowControl w:val="0"/>
              <w:ind w:left="57" w:right="57"/>
            </w:pPr>
          </w:p>
        </w:tc>
      </w:tr>
      <w:tr w:rsidR="00DA70E6" w:rsidRPr="00DA70E6" w14:paraId="55C6622F"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54C5841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Ledipasviras / sofosbuviras </w:t>
            </w:r>
          </w:p>
          <w:p w14:paraId="386A752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(90 mg/400 mg q.d.) + </w:t>
            </w:r>
          </w:p>
          <w:p w14:paraId="671C1AA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dolutegraviras (50 mg q.d.) + </w:t>
            </w:r>
          </w:p>
          <w:p w14:paraId="3C364956" w14:textId="77777777" w:rsidR="00DA70E6" w:rsidRPr="00DA70E6" w:rsidRDefault="00DA70E6" w:rsidP="00A977CA">
            <w:pPr>
              <w:autoSpaceDE w:val="0"/>
              <w:autoSpaceDN w:val="0"/>
              <w:adjustRightInd w:val="0"/>
              <w:rPr>
                <w:color w:val="000000"/>
                <w:szCs w:val="24"/>
                <w:lang w:eastAsia="sl-SI"/>
              </w:rPr>
            </w:pPr>
            <w:r w:rsidRPr="00DA70E6">
              <w:rPr>
                <w:color w:val="000000"/>
                <w:szCs w:val="24"/>
                <w:lang w:eastAsia="sl-SI"/>
              </w:rPr>
              <w:t xml:space="preserve">emtricitabinas / </w:t>
            </w:r>
            <w:r w:rsidR="00BA2B24"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(200 mg / 245 mg q.d.)</w:t>
            </w:r>
          </w:p>
        </w:tc>
        <w:tc>
          <w:tcPr>
            <w:tcW w:w="3078" w:type="dxa"/>
            <w:gridSpan w:val="2"/>
            <w:tcBorders>
              <w:top w:val="single" w:sz="4" w:space="0" w:color="000000"/>
              <w:left w:val="single" w:sz="4" w:space="0" w:color="000000"/>
              <w:bottom w:val="single" w:sz="4" w:space="0" w:color="000000"/>
              <w:right w:val="single" w:sz="4" w:space="0" w:color="000000"/>
            </w:tcBorders>
          </w:tcPr>
          <w:p w14:paraId="09A84096" w14:textId="77777777" w:rsidR="00DA70E6" w:rsidRPr="00DA70E6" w:rsidRDefault="00DA70E6" w:rsidP="00DA70E6">
            <w:pPr>
              <w:autoSpaceDE w:val="0"/>
              <w:autoSpaceDN w:val="0"/>
              <w:adjustRightInd w:val="0"/>
              <w:rPr>
                <w:szCs w:val="22"/>
              </w:rPr>
            </w:pPr>
            <w:r w:rsidRPr="00DA70E6">
              <w:rPr>
                <w:szCs w:val="22"/>
              </w:rPr>
              <w:t>Sofosbuviras:</w:t>
            </w:r>
          </w:p>
          <w:p w14:paraId="16C273E4" w14:textId="77777777" w:rsidR="00DA70E6" w:rsidRPr="00DA70E6" w:rsidRDefault="00DA70E6" w:rsidP="00DA70E6">
            <w:pPr>
              <w:autoSpaceDE w:val="0"/>
              <w:autoSpaceDN w:val="0"/>
              <w:adjustRightInd w:val="0"/>
              <w:rPr>
                <w:szCs w:val="22"/>
              </w:rPr>
            </w:pPr>
            <w:r w:rsidRPr="00DA70E6">
              <w:rPr>
                <w:szCs w:val="22"/>
              </w:rPr>
              <w:t>AUC: ↔</w:t>
            </w:r>
          </w:p>
          <w:p w14:paraId="3CE4AA8D"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max</w:t>
            </w:r>
            <w:r w:rsidRPr="00DA70E6">
              <w:rPr>
                <w:szCs w:val="22"/>
              </w:rPr>
              <w:t>: ↔</w:t>
            </w:r>
          </w:p>
          <w:p w14:paraId="2B6FA9F5" w14:textId="77777777" w:rsidR="00DA70E6" w:rsidRPr="00DA70E6" w:rsidRDefault="00DA70E6" w:rsidP="00DA70E6">
            <w:pPr>
              <w:autoSpaceDE w:val="0"/>
              <w:autoSpaceDN w:val="0"/>
              <w:adjustRightInd w:val="0"/>
              <w:rPr>
                <w:szCs w:val="22"/>
              </w:rPr>
            </w:pPr>
          </w:p>
          <w:p w14:paraId="75D7E176" w14:textId="77777777" w:rsidR="00DA70E6" w:rsidRPr="00DA70E6" w:rsidRDefault="00DA70E6" w:rsidP="00DA70E6">
            <w:pPr>
              <w:autoSpaceDE w:val="0"/>
              <w:autoSpaceDN w:val="0"/>
              <w:adjustRightInd w:val="0"/>
              <w:rPr>
                <w:szCs w:val="22"/>
              </w:rPr>
            </w:pPr>
            <w:r w:rsidRPr="00DA70E6">
              <w:rPr>
                <w:szCs w:val="22"/>
              </w:rPr>
              <w:t>GS-331007</w:t>
            </w:r>
            <w:r w:rsidRPr="00DA70E6">
              <w:rPr>
                <w:szCs w:val="22"/>
                <w:vertAlign w:val="superscript"/>
              </w:rPr>
              <w:t>2</w:t>
            </w:r>
          </w:p>
          <w:p w14:paraId="75F15450" w14:textId="77777777" w:rsidR="00DA70E6" w:rsidRPr="00DA70E6" w:rsidRDefault="00DA70E6" w:rsidP="00DA70E6">
            <w:pPr>
              <w:autoSpaceDE w:val="0"/>
              <w:autoSpaceDN w:val="0"/>
              <w:adjustRightInd w:val="0"/>
              <w:rPr>
                <w:szCs w:val="22"/>
              </w:rPr>
            </w:pPr>
            <w:r w:rsidRPr="00DA70E6">
              <w:rPr>
                <w:szCs w:val="22"/>
              </w:rPr>
              <w:t>AUC: ↔</w:t>
            </w:r>
          </w:p>
          <w:p w14:paraId="463C895B"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max</w:t>
            </w:r>
            <w:r w:rsidRPr="00DA70E6">
              <w:rPr>
                <w:szCs w:val="22"/>
              </w:rPr>
              <w:t>: ↔</w:t>
            </w:r>
          </w:p>
          <w:p w14:paraId="1B6E517C"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min</w:t>
            </w:r>
            <w:r w:rsidRPr="00DA70E6">
              <w:rPr>
                <w:szCs w:val="22"/>
              </w:rPr>
              <w:t>: ↔</w:t>
            </w:r>
          </w:p>
          <w:p w14:paraId="7238CB53" w14:textId="77777777" w:rsidR="00DA70E6" w:rsidRPr="00DA70E6" w:rsidRDefault="00DA70E6" w:rsidP="00DA70E6">
            <w:pPr>
              <w:autoSpaceDE w:val="0"/>
              <w:autoSpaceDN w:val="0"/>
              <w:adjustRightInd w:val="0"/>
              <w:rPr>
                <w:szCs w:val="22"/>
              </w:rPr>
            </w:pPr>
          </w:p>
          <w:p w14:paraId="07DD21B9" w14:textId="77777777" w:rsidR="00DA70E6" w:rsidRPr="00DA70E6" w:rsidRDefault="00DA70E6" w:rsidP="00DA70E6">
            <w:pPr>
              <w:autoSpaceDE w:val="0"/>
              <w:autoSpaceDN w:val="0"/>
              <w:adjustRightInd w:val="0"/>
              <w:rPr>
                <w:szCs w:val="22"/>
              </w:rPr>
            </w:pPr>
            <w:r w:rsidRPr="00DA70E6">
              <w:rPr>
                <w:szCs w:val="22"/>
              </w:rPr>
              <w:t>Ledipasviras:</w:t>
            </w:r>
          </w:p>
          <w:p w14:paraId="49635F58" w14:textId="77777777" w:rsidR="00DA70E6" w:rsidRPr="00DA70E6" w:rsidRDefault="00DA70E6" w:rsidP="00DA70E6">
            <w:pPr>
              <w:autoSpaceDE w:val="0"/>
              <w:autoSpaceDN w:val="0"/>
              <w:adjustRightInd w:val="0"/>
              <w:rPr>
                <w:szCs w:val="22"/>
              </w:rPr>
            </w:pPr>
            <w:r w:rsidRPr="00DA70E6">
              <w:rPr>
                <w:szCs w:val="22"/>
              </w:rPr>
              <w:t>AUC: ↔</w:t>
            </w:r>
          </w:p>
          <w:p w14:paraId="044D8219"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max</w:t>
            </w:r>
            <w:r w:rsidRPr="00DA70E6">
              <w:rPr>
                <w:szCs w:val="22"/>
              </w:rPr>
              <w:t>: ↔</w:t>
            </w:r>
          </w:p>
          <w:p w14:paraId="2C84A55E"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min</w:t>
            </w:r>
            <w:r w:rsidRPr="00DA70E6">
              <w:rPr>
                <w:szCs w:val="22"/>
              </w:rPr>
              <w:t>: ↔</w:t>
            </w:r>
          </w:p>
          <w:p w14:paraId="77C8C809" w14:textId="77777777" w:rsidR="00DA70E6" w:rsidRPr="00DA70E6" w:rsidRDefault="00DA70E6" w:rsidP="00DA70E6">
            <w:pPr>
              <w:autoSpaceDE w:val="0"/>
              <w:autoSpaceDN w:val="0"/>
              <w:adjustRightInd w:val="0"/>
              <w:rPr>
                <w:szCs w:val="22"/>
              </w:rPr>
            </w:pPr>
          </w:p>
          <w:p w14:paraId="6CAEE6A5" w14:textId="77777777" w:rsidR="00DA70E6" w:rsidRPr="00DA70E6" w:rsidRDefault="00DA70E6" w:rsidP="00DA70E6">
            <w:pPr>
              <w:autoSpaceDE w:val="0"/>
              <w:autoSpaceDN w:val="0"/>
              <w:adjustRightInd w:val="0"/>
              <w:rPr>
                <w:szCs w:val="22"/>
              </w:rPr>
            </w:pPr>
            <w:r w:rsidRPr="00DA70E6">
              <w:rPr>
                <w:szCs w:val="22"/>
              </w:rPr>
              <w:t>Dolutegraviras:</w:t>
            </w:r>
          </w:p>
          <w:p w14:paraId="0CD33F02" w14:textId="77777777" w:rsidR="00DA70E6" w:rsidRPr="00DA70E6" w:rsidRDefault="00DA70E6" w:rsidP="00DA70E6">
            <w:pPr>
              <w:autoSpaceDE w:val="0"/>
              <w:autoSpaceDN w:val="0"/>
              <w:adjustRightInd w:val="0"/>
              <w:rPr>
                <w:szCs w:val="22"/>
              </w:rPr>
            </w:pPr>
            <w:r w:rsidRPr="00DA70E6">
              <w:rPr>
                <w:szCs w:val="22"/>
              </w:rPr>
              <w:t>AUC: ↔</w:t>
            </w:r>
          </w:p>
          <w:p w14:paraId="1F24D4F8"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max</w:t>
            </w:r>
            <w:r w:rsidRPr="00DA70E6">
              <w:rPr>
                <w:szCs w:val="22"/>
              </w:rPr>
              <w:t>: ↔</w:t>
            </w:r>
          </w:p>
          <w:p w14:paraId="630AEC22"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min</w:t>
            </w:r>
            <w:r w:rsidRPr="00DA70E6">
              <w:rPr>
                <w:szCs w:val="22"/>
              </w:rPr>
              <w:t>: ↔</w:t>
            </w:r>
          </w:p>
          <w:p w14:paraId="3511BD7A" w14:textId="77777777" w:rsidR="00DA70E6" w:rsidRPr="00DA70E6" w:rsidRDefault="00DA70E6" w:rsidP="00DA70E6">
            <w:pPr>
              <w:autoSpaceDE w:val="0"/>
              <w:autoSpaceDN w:val="0"/>
              <w:adjustRightInd w:val="0"/>
              <w:rPr>
                <w:szCs w:val="22"/>
              </w:rPr>
            </w:pPr>
          </w:p>
          <w:p w14:paraId="049EC518" w14:textId="77777777" w:rsidR="00DA70E6" w:rsidRPr="00DA70E6" w:rsidRDefault="00DA70E6" w:rsidP="00DA70E6">
            <w:pPr>
              <w:autoSpaceDE w:val="0"/>
              <w:autoSpaceDN w:val="0"/>
              <w:adjustRightInd w:val="0"/>
              <w:rPr>
                <w:szCs w:val="22"/>
              </w:rPr>
            </w:pPr>
            <w:r w:rsidRPr="00DA70E6">
              <w:rPr>
                <w:szCs w:val="22"/>
              </w:rPr>
              <w:t>Emtricitabinas:</w:t>
            </w:r>
          </w:p>
          <w:p w14:paraId="59FBE00A" w14:textId="77777777" w:rsidR="00DA70E6" w:rsidRPr="00DA70E6" w:rsidRDefault="00DA70E6" w:rsidP="00DA70E6">
            <w:pPr>
              <w:autoSpaceDE w:val="0"/>
              <w:autoSpaceDN w:val="0"/>
              <w:adjustRightInd w:val="0"/>
              <w:rPr>
                <w:szCs w:val="22"/>
              </w:rPr>
            </w:pPr>
            <w:r w:rsidRPr="00DA70E6">
              <w:rPr>
                <w:szCs w:val="22"/>
              </w:rPr>
              <w:t>AUC: ↔</w:t>
            </w:r>
          </w:p>
          <w:p w14:paraId="2ECED3EC"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max</w:t>
            </w:r>
            <w:r w:rsidRPr="00DA70E6">
              <w:rPr>
                <w:szCs w:val="22"/>
              </w:rPr>
              <w:t>: ↔</w:t>
            </w:r>
          </w:p>
          <w:p w14:paraId="4FA4DAFA"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min</w:t>
            </w:r>
            <w:r w:rsidRPr="00DA70E6">
              <w:rPr>
                <w:szCs w:val="22"/>
              </w:rPr>
              <w:t>: ↔</w:t>
            </w:r>
          </w:p>
          <w:p w14:paraId="02718549" w14:textId="77777777" w:rsidR="00DA70E6" w:rsidRPr="00DA70E6" w:rsidRDefault="00DA70E6" w:rsidP="00DA70E6">
            <w:pPr>
              <w:autoSpaceDE w:val="0"/>
              <w:autoSpaceDN w:val="0"/>
              <w:adjustRightInd w:val="0"/>
              <w:rPr>
                <w:szCs w:val="22"/>
              </w:rPr>
            </w:pPr>
          </w:p>
          <w:p w14:paraId="5812FA8A" w14:textId="77777777" w:rsidR="00DA70E6" w:rsidRPr="00DA70E6" w:rsidRDefault="00DA70E6" w:rsidP="00DA70E6">
            <w:pPr>
              <w:autoSpaceDE w:val="0"/>
              <w:autoSpaceDN w:val="0"/>
              <w:adjustRightInd w:val="0"/>
              <w:rPr>
                <w:szCs w:val="22"/>
              </w:rPr>
            </w:pPr>
            <w:r w:rsidRPr="00DA70E6">
              <w:rPr>
                <w:szCs w:val="22"/>
              </w:rPr>
              <w:t>Tenofoviras:</w:t>
            </w:r>
          </w:p>
          <w:p w14:paraId="6B2262BD" w14:textId="77777777" w:rsidR="00DA70E6" w:rsidRPr="00DA70E6" w:rsidRDefault="00DA70E6" w:rsidP="00DA70E6">
            <w:pPr>
              <w:autoSpaceDE w:val="0"/>
              <w:autoSpaceDN w:val="0"/>
              <w:adjustRightInd w:val="0"/>
              <w:rPr>
                <w:szCs w:val="22"/>
              </w:rPr>
            </w:pPr>
            <w:r w:rsidRPr="00DA70E6">
              <w:rPr>
                <w:szCs w:val="22"/>
              </w:rPr>
              <w:t>AUC: ↑ 65 % (↑ 59 to ↑ 71)</w:t>
            </w:r>
          </w:p>
          <w:p w14:paraId="2132DF01" w14:textId="77777777" w:rsidR="00DA70E6" w:rsidRPr="00DA70E6" w:rsidRDefault="00DA70E6" w:rsidP="00DA70E6">
            <w:pPr>
              <w:autoSpaceDE w:val="0"/>
              <w:autoSpaceDN w:val="0"/>
              <w:adjustRightInd w:val="0"/>
              <w:rPr>
                <w:szCs w:val="22"/>
              </w:rPr>
            </w:pPr>
            <w:r w:rsidRPr="00DA70E6">
              <w:rPr>
                <w:szCs w:val="22"/>
              </w:rPr>
              <w:t>C</w:t>
            </w:r>
            <w:r w:rsidRPr="00DA70E6">
              <w:rPr>
                <w:szCs w:val="22"/>
                <w:vertAlign w:val="subscript"/>
              </w:rPr>
              <w:t>max</w:t>
            </w:r>
            <w:r w:rsidRPr="00DA70E6">
              <w:rPr>
                <w:szCs w:val="22"/>
              </w:rPr>
              <w:t>: ↑ 61 % (↑ 51 to ↑ 72)</w:t>
            </w:r>
          </w:p>
          <w:p w14:paraId="37A1E408" w14:textId="77777777" w:rsidR="00DA70E6" w:rsidRPr="00DA70E6" w:rsidRDefault="00DA70E6" w:rsidP="00DA70E6">
            <w:pPr>
              <w:autoSpaceDE w:val="0"/>
              <w:autoSpaceDN w:val="0"/>
              <w:adjustRightInd w:val="0"/>
              <w:rPr>
                <w:color w:val="000000"/>
                <w:szCs w:val="24"/>
                <w:lang w:eastAsia="sl-SI"/>
              </w:rPr>
            </w:pPr>
            <w:r w:rsidRPr="00DA70E6">
              <w:rPr>
                <w:szCs w:val="22"/>
              </w:rPr>
              <w:t>C</w:t>
            </w:r>
            <w:r w:rsidRPr="00DA70E6">
              <w:rPr>
                <w:szCs w:val="22"/>
                <w:vertAlign w:val="subscript"/>
              </w:rPr>
              <w:t>min</w:t>
            </w:r>
            <w:r w:rsidRPr="00DA70E6">
              <w:rPr>
                <w:szCs w:val="22"/>
              </w:rPr>
              <w:t>: ↑ 115 % (↑ 105 to ↑ 126)</w:t>
            </w:r>
          </w:p>
        </w:tc>
        <w:tc>
          <w:tcPr>
            <w:tcW w:w="2592" w:type="dxa"/>
            <w:tcBorders>
              <w:top w:val="single" w:sz="4" w:space="0" w:color="000000"/>
              <w:left w:val="single" w:sz="4" w:space="0" w:color="000000"/>
              <w:bottom w:val="single" w:sz="4" w:space="0" w:color="000000"/>
              <w:right w:val="single" w:sz="4" w:space="0" w:color="000000"/>
            </w:tcBorders>
          </w:tcPr>
          <w:p w14:paraId="58B5E95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Dozės koreguoti nereikia. Padidėjus tenofoviro ekspozicijai, gali sustiprėti su tenofoviro dizoproksiliu susijusios nepageidaujamos reakcijos, įskaitant inkstų sutrikimus. Reikia atidžiai stebėti inkstų funkciją (žr. 4.4 skyrių).</w:t>
            </w:r>
          </w:p>
        </w:tc>
      </w:tr>
      <w:tr w:rsidR="00DA70E6" w:rsidRPr="00DA70E6" w14:paraId="07FF02ED"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36B1974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 velpatasviras </w:t>
            </w:r>
          </w:p>
          <w:p w14:paraId="5604DEA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(400 mg / 100 mg q.d.) + </w:t>
            </w:r>
          </w:p>
          <w:p w14:paraId="13DE631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atazanaviras / ritonaviras </w:t>
            </w:r>
          </w:p>
          <w:p w14:paraId="558B581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(300 mg q.d. / 100 mg q.d.) + </w:t>
            </w:r>
          </w:p>
          <w:p w14:paraId="5DBE7CA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 </w:t>
            </w:r>
            <w:r w:rsidR="00841B57"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(200 mg / 245 mg q.d.)</w:t>
            </w:r>
          </w:p>
          <w:p w14:paraId="6FC13C3A" w14:textId="77777777" w:rsidR="00DA70E6" w:rsidRPr="00DA70E6" w:rsidRDefault="00DA70E6" w:rsidP="00DA70E6">
            <w:pPr>
              <w:autoSpaceDE w:val="0"/>
              <w:autoSpaceDN w:val="0"/>
              <w:adjustRightInd w:val="0"/>
              <w:rPr>
                <w:color w:val="000000"/>
                <w:szCs w:val="24"/>
                <w:lang w:eastAsia="sl-SI"/>
              </w:rPr>
            </w:pPr>
          </w:p>
        </w:tc>
        <w:tc>
          <w:tcPr>
            <w:tcW w:w="3078" w:type="dxa"/>
            <w:gridSpan w:val="2"/>
            <w:tcBorders>
              <w:top w:val="single" w:sz="4" w:space="0" w:color="000000"/>
              <w:left w:val="single" w:sz="4" w:space="0" w:color="000000"/>
              <w:bottom w:val="single" w:sz="4" w:space="0" w:color="000000"/>
              <w:right w:val="single" w:sz="4" w:space="0" w:color="000000"/>
            </w:tcBorders>
          </w:tcPr>
          <w:p w14:paraId="63307F4B"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w:t>
            </w:r>
          </w:p>
          <w:p w14:paraId="569054C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7A10819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6649A739" w14:textId="77777777" w:rsidR="00DA70E6" w:rsidRPr="00DA70E6" w:rsidRDefault="00DA70E6" w:rsidP="00DA70E6">
            <w:pPr>
              <w:autoSpaceDE w:val="0"/>
              <w:autoSpaceDN w:val="0"/>
              <w:adjustRightInd w:val="0"/>
              <w:rPr>
                <w:color w:val="000000"/>
                <w:szCs w:val="24"/>
                <w:lang w:eastAsia="sl-SI"/>
              </w:rPr>
            </w:pPr>
          </w:p>
          <w:p w14:paraId="32A1164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GS-331007</w:t>
            </w:r>
            <w:r w:rsidRPr="00DA70E6">
              <w:rPr>
                <w:color w:val="000000"/>
                <w:szCs w:val="24"/>
                <w:vertAlign w:val="superscript"/>
                <w:lang w:eastAsia="sl-SI"/>
              </w:rPr>
              <w:t>2</w:t>
            </w:r>
            <w:r w:rsidRPr="00DA70E6">
              <w:rPr>
                <w:color w:val="000000"/>
                <w:szCs w:val="24"/>
                <w:lang w:eastAsia="sl-SI"/>
              </w:rPr>
              <w:t xml:space="preserve">: </w:t>
            </w:r>
          </w:p>
          <w:p w14:paraId="68E0F3E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18F957F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w:t>
            </w:r>
            <w:r w:rsidRPr="00DA70E6">
              <w:rPr>
                <w:color w:val="000000"/>
                <w:szCs w:val="24"/>
                <w:vertAlign w:val="subscript"/>
                <w:lang w:eastAsia="sl-SI"/>
              </w:rPr>
              <w:t xml:space="preserve"> </w:t>
            </w:r>
            <w:r w:rsidRPr="00DA70E6">
              <w:rPr>
                <w:color w:val="000000"/>
                <w:szCs w:val="24"/>
                <w:lang w:eastAsia="sl-SI"/>
              </w:rPr>
              <w:t xml:space="preserve">↔ </w:t>
            </w:r>
          </w:p>
          <w:p w14:paraId="30B01B9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42 % (nuo ↑ 37 iki ↑ 49) </w:t>
            </w:r>
          </w:p>
          <w:p w14:paraId="6F1F0B34" w14:textId="77777777" w:rsidR="00DA70E6" w:rsidRPr="00DA70E6" w:rsidRDefault="00DA70E6" w:rsidP="00DA70E6">
            <w:pPr>
              <w:autoSpaceDE w:val="0"/>
              <w:autoSpaceDN w:val="0"/>
              <w:adjustRightInd w:val="0"/>
              <w:rPr>
                <w:color w:val="000000"/>
                <w:szCs w:val="24"/>
                <w:lang w:eastAsia="sl-SI"/>
              </w:rPr>
            </w:pPr>
          </w:p>
          <w:p w14:paraId="14FDAF3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Velpatasviras:</w:t>
            </w:r>
          </w:p>
          <w:p w14:paraId="6336DAD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142 % ( nuo ↑ 123 iki ↑ 164)</w:t>
            </w:r>
          </w:p>
          <w:p w14:paraId="4A7572F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55 % (nuo ↑ 41 iki ↑ 71)</w:t>
            </w:r>
          </w:p>
          <w:p w14:paraId="16C8754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C</w:t>
            </w:r>
            <w:r w:rsidRPr="00DA70E6">
              <w:rPr>
                <w:color w:val="000000"/>
                <w:szCs w:val="24"/>
                <w:vertAlign w:val="subscript"/>
                <w:lang w:eastAsia="sl-SI"/>
              </w:rPr>
              <w:t>min</w:t>
            </w:r>
            <w:r w:rsidRPr="00DA70E6">
              <w:rPr>
                <w:color w:val="000000"/>
                <w:szCs w:val="24"/>
                <w:lang w:eastAsia="sl-SI"/>
              </w:rPr>
              <w:t>: ↑ 301 % (nuo ↑ 257 iki ↑ 350)</w:t>
            </w:r>
          </w:p>
          <w:p w14:paraId="2347EED3" w14:textId="77777777" w:rsidR="00DA70E6" w:rsidRPr="00DA70E6" w:rsidRDefault="00DA70E6" w:rsidP="00DA70E6">
            <w:pPr>
              <w:autoSpaceDE w:val="0"/>
              <w:autoSpaceDN w:val="0"/>
              <w:adjustRightInd w:val="0"/>
              <w:rPr>
                <w:color w:val="000000"/>
                <w:szCs w:val="24"/>
                <w:lang w:eastAsia="sl-SI"/>
              </w:rPr>
            </w:pPr>
          </w:p>
          <w:p w14:paraId="19A1D9D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Atazanaviras: </w:t>
            </w:r>
          </w:p>
          <w:p w14:paraId="712DCD2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0523A9F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443CDC2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39 % (nuo ↑ 20 iki ↑ 61) </w:t>
            </w:r>
          </w:p>
          <w:p w14:paraId="6DD76397" w14:textId="77777777" w:rsidR="00DA70E6" w:rsidRPr="00DA70E6" w:rsidRDefault="00DA70E6" w:rsidP="00DA70E6">
            <w:pPr>
              <w:autoSpaceDE w:val="0"/>
              <w:autoSpaceDN w:val="0"/>
              <w:adjustRightInd w:val="0"/>
              <w:rPr>
                <w:color w:val="000000"/>
                <w:szCs w:val="24"/>
                <w:lang w:eastAsia="sl-SI"/>
              </w:rPr>
            </w:pPr>
          </w:p>
          <w:p w14:paraId="7B148F5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Ritonaviras: </w:t>
            </w:r>
          </w:p>
          <w:p w14:paraId="5ECCD83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738EE84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4C71DE2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29 % (nuo ↑ 15 iki ↑ 44) </w:t>
            </w:r>
          </w:p>
          <w:p w14:paraId="47639F62" w14:textId="77777777" w:rsidR="00DA70E6" w:rsidRPr="00DA70E6" w:rsidRDefault="00DA70E6" w:rsidP="00DA70E6">
            <w:pPr>
              <w:autoSpaceDE w:val="0"/>
              <w:autoSpaceDN w:val="0"/>
              <w:adjustRightInd w:val="0"/>
              <w:rPr>
                <w:color w:val="000000"/>
                <w:szCs w:val="24"/>
                <w:lang w:eastAsia="sl-SI"/>
              </w:rPr>
            </w:pPr>
          </w:p>
          <w:p w14:paraId="53E6550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w:t>
            </w:r>
          </w:p>
          <w:p w14:paraId="4659EDD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0306900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2DD0092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20FAED64" w14:textId="77777777" w:rsidR="00DA70E6" w:rsidRPr="00DA70E6" w:rsidRDefault="00DA70E6" w:rsidP="00DA70E6">
            <w:pPr>
              <w:autoSpaceDE w:val="0"/>
              <w:autoSpaceDN w:val="0"/>
              <w:adjustRightInd w:val="0"/>
              <w:rPr>
                <w:color w:val="000000"/>
                <w:szCs w:val="24"/>
                <w:lang w:eastAsia="sl-SI"/>
              </w:rPr>
            </w:pPr>
          </w:p>
          <w:p w14:paraId="5571DAD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Tenofoviras: </w:t>
            </w:r>
          </w:p>
          <w:p w14:paraId="0BE6195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1566FC4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55 % (nuo ↑ 43 iki ↑ 68) </w:t>
            </w:r>
          </w:p>
          <w:p w14:paraId="2AE8987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39 % (nuo ↑ 31 iki ↑ 48) </w:t>
            </w:r>
          </w:p>
        </w:tc>
        <w:tc>
          <w:tcPr>
            <w:tcW w:w="2592" w:type="dxa"/>
            <w:tcBorders>
              <w:top w:val="single" w:sz="4" w:space="0" w:color="000000"/>
              <w:left w:val="single" w:sz="4" w:space="0" w:color="000000"/>
              <w:bottom w:val="single" w:sz="4" w:space="0" w:color="000000"/>
              <w:right w:val="single" w:sz="4" w:space="0" w:color="000000"/>
            </w:tcBorders>
          </w:tcPr>
          <w:p w14:paraId="382EE0C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 xml:space="preserve">Dėl tenofoviro dizoproksilio, sofosbuviro / velpatasviro ir atazanaviro / ritonaviro vartojimo kartu padidėjusi tenofoviro koncentracija plazmoje gali padidinti su tenofoviro dizoproksiliu susijusias nepageidaujamas reakcijas, įskaitant inkstų sutrikimus. Tenofoviro dizoproksilio saugumas vartojant kartu su sofosbuviru / velpatasviru ir </w:t>
            </w:r>
            <w:r w:rsidRPr="00DA70E6">
              <w:rPr>
                <w:color w:val="000000"/>
                <w:szCs w:val="24"/>
                <w:lang w:eastAsia="sl-SI"/>
              </w:rPr>
              <w:lastRenderedPageBreak/>
              <w:t>farmakokinetiką stiprinančia medžiaga (pvz., ritonaviru arba kobicistatu) neištirtas.</w:t>
            </w:r>
          </w:p>
          <w:p w14:paraId="7973202A" w14:textId="77777777" w:rsidR="00DA70E6" w:rsidRPr="00DA70E6" w:rsidRDefault="00DA70E6" w:rsidP="00DA70E6">
            <w:pPr>
              <w:autoSpaceDE w:val="0"/>
              <w:autoSpaceDN w:val="0"/>
              <w:adjustRightInd w:val="0"/>
              <w:rPr>
                <w:color w:val="000000"/>
                <w:szCs w:val="24"/>
                <w:lang w:eastAsia="sl-SI"/>
              </w:rPr>
            </w:pPr>
          </w:p>
          <w:p w14:paraId="50A5E99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Tokio derinio turi būti vartojama  atsargiai, dažnai tikrinant inkstų funkciją (žr. 4.4 skyrių).</w:t>
            </w:r>
          </w:p>
        </w:tc>
      </w:tr>
      <w:tr w:rsidR="00DA70E6" w:rsidRPr="00DA70E6" w14:paraId="5C4E85F9"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5D1FF2F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 xml:space="preserve">Sofosbuviras / velpatasviras (400 mg / 100 mg q.d.) + darunaviras / ritonaviras </w:t>
            </w:r>
          </w:p>
          <w:p w14:paraId="2DBA039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(800 mg q.d. / 100 mg q.d.) + </w:t>
            </w:r>
          </w:p>
          <w:p w14:paraId="54299C3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 </w:t>
            </w:r>
            <w:r w:rsidR="00E82ADB"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(200 mg / 245 mg q.d.)</w:t>
            </w:r>
          </w:p>
          <w:p w14:paraId="5B5ABF53" w14:textId="77777777" w:rsidR="00DA70E6" w:rsidRPr="00DA70E6" w:rsidRDefault="00DA70E6" w:rsidP="00DA70E6">
            <w:pPr>
              <w:autoSpaceDE w:val="0"/>
              <w:autoSpaceDN w:val="0"/>
              <w:adjustRightInd w:val="0"/>
              <w:rPr>
                <w:color w:val="000000"/>
                <w:szCs w:val="24"/>
                <w:lang w:eastAsia="sl-SI"/>
              </w:rPr>
            </w:pPr>
          </w:p>
        </w:tc>
        <w:tc>
          <w:tcPr>
            <w:tcW w:w="3078" w:type="dxa"/>
            <w:gridSpan w:val="2"/>
            <w:tcBorders>
              <w:top w:val="single" w:sz="4" w:space="0" w:color="000000"/>
              <w:left w:val="single" w:sz="4" w:space="0" w:color="000000"/>
              <w:bottom w:val="single" w:sz="4" w:space="0" w:color="000000"/>
              <w:right w:val="single" w:sz="4" w:space="0" w:color="000000"/>
            </w:tcBorders>
          </w:tcPr>
          <w:p w14:paraId="436AA8B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w:t>
            </w:r>
          </w:p>
          <w:p w14:paraId="6DD7855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28 % (nuo ↓ 34 iki ↓ 20)</w:t>
            </w:r>
          </w:p>
          <w:p w14:paraId="0022528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38 % (nuo ↓ 46 iki ↓ 29)</w:t>
            </w:r>
          </w:p>
          <w:p w14:paraId="3FC53101" w14:textId="77777777" w:rsidR="00DA70E6" w:rsidRPr="00DA70E6" w:rsidRDefault="00DA70E6" w:rsidP="00DA70E6">
            <w:pPr>
              <w:autoSpaceDE w:val="0"/>
              <w:autoSpaceDN w:val="0"/>
              <w:adjustRightInd w:val="0"/>
              <w:rPr>
                <w:color w:val="000000"/>
                <w:szCs w:val="24"/>
                <w:lang w:eastAsia="sl-SI"/>
              </w:rPr>
            </w:pPr>
          </w:p>
          <w:p w14:paraId="0AF5C80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GS-331007</w:t>
            </w:r>
            <w:r w:rsidRPr="00DA70E6">
              <w:rPr>
                <w:color w:val="000000"/>
                <w:szCs w:val="24"/>
                <w:vertAlign w:val="superscript"/>
                <w:lang w:eastAsia="sl-SI"/>
              </w:rPr>
              <w:t>2</w:t>
            </w:r>
            <w:r w:rsidRPr="00DA70E6">
              <w:rPr>
                <w:color w:val="000000"/>
                <w:szCs w:val="24"/>
                <w:lang w:eastAsia="sl-SI"/>
              </w:rPr>
              <w:t xml:space="preserve">: </w:t>
            </w:r>
          </w:p>
          <w:p w14:paraId="1207CCE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504B6B6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w:t>
            </w:r>
            <w:r w:rsidRPr="00DA70E6">
              <w:rPr>
                <w:color w:val="000000"/>
                <w:szCs w:val="24"/>
                <w:vertAlign w:val="subscript"/>
                <w:lang w:eastAsia="sl-SI"/>
              </w:rPr>
              <w:t xml:space="preserve"> </w:t>
            </w:r>
            <w:r w:rsidRPr="00DA70E6">
              <w:rPr>
                <w:color w:val="000000"/>
                <w:szCs w:val="24"/>
                <w:lang w:eastAsia="sl-SI"/>
              </w:rPr>
              <w:t xml:space="preserve">↔ </w:t>
            </w:r>
          </w:p>
          <w:p w14:paraId="7864AAA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48F2DC9F" w14:textId="77777777" w:rsidR="00DA70E6" w:rsidRPr="00DA70E6" w:rsidRDefault="00DA70E6" w:rsidP="00DA70E6">
            <w:pPr>
              <w:autoSpaceDE w:val="0"/>
              <w:autoSpaceDN w:val="0"/>
              <w:adjustRightInd w:val="0"/>
              <w:rPr>
                <w:color w:val="000000"/>
                <w:szCs w:val="24"/>
                <w:lang w:eastAsia="sl-SI"/>
              </w:rPr>
            </w:pPr>
          </w:p>
          <w:p w14:paraId="28069C9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Velpatasviras:</w:t>
            </w:r>
          </w:p>
          <w:p w14:paraId="20B2757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7950646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24 % ( nuo ↓ 35 iki ↓ 11)</w:t>
            </w:r>
          </w:p>
          <w:p w14:paraId="1C2913B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6EE6522F" w14:textId="77777777" w:rsidR="00DA70E6" w:rsidRPr="00DA70E6" w:rsidRDefault="00DA70E6" w:rsidP="00DA70E6">
            <w:pPr>
              <w:autoSpaceDE w:val="0"/>
              <w:autoSpaceDN w:val="0"/>
              <w:adjustRightInd w:val="0"/>
              <w:rPr>
                <w:color w:val="000000"/>
                <w:szCs w:val="24"/>
                <w:lang w:eastAsia="sl-SI"/>
              </w:rPr>
            </w:pPr>
          </w:p>
          <w:p w14:paraId="14EBB4D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Darunaviras: </w:t>
            </w:r>
          </w:p>
          <w:p w14:paraId="31852E9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5D5A11B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636609F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5C99584B" w14:textId="77777777" w:rsidR="00DA70E6" w:rsidRPr="00DA70E6" w:rsidRDefault="00DA70E6" w:rsidP="00DA70E6">
            <w:pPr>
              <w:autoSpaceDE w:val="0"/>
              <w:autoSpaceDN w:val="0"/>
              <w:adjustRightInd w:val="0"/>
              <w:rPr>
                <w:color w:val="000000"/>
                <w:szCs w:val="24"/>
                <w:lang w:eastAsia="sl-SI"/>
              </w:rPr>
            </w:pPr>
          </w:p>
          <w:p w14:paraId="01DD0FF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Ritonaviras: </w:t>
            </w:r>
          </w:p>
          <w:p w14:paraId="18BB0F1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5B3F99D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31FD907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679C0A62" w14:textId="77777777" w:rsidR="00DA70E6" w:rsidRPr="00DA70E6" w:rsidRDefault="00DA70E6" w:rsidP="00DA70E6">
            <w:pPr>
              <w:autoSpaceDE w:val="0"/>
              <w:autoSpaceDN w:val="0"/>
              <w:adjustRightInd w:val="0"/>
              <w:rPr>
                <w:color w:val="000000"/>
                <w:szCs w:val="24"/>
                <w:lang w:eastAsia="sl-SI"/>
              </w:rPr>
            </w:pPr>
          </w:p>
          <w:p w14:paraId="684733A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w:t>
            </w:r>
          </w:p>
          <w:p w14:paraId="0E96918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4158959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7E6ED31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7CA5C78A" w14:textId="77777777" w:rsidR="00DA70E6" w:rsidRPr="00DA70E6" w:rsidRDefault="00DA70E6" w:rsidP="00DA70E6">
            <w:pPr>
              <w:autoSpaceDE w:val="0"/>
              <w:autoSpaceDN w:val="0"/>
              <w:adjustRightInd w:val="0"/>
              <w:rPr>
                <w:color w:val="000000"/>
                <w:szCs w:val="24"/>
                <w:lang w:eastAsia="sl-SI"/>
              </w:rPr>
            </w:pPr>
          </w:p>
          <w:p w14:paraId="7EE4E86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Tenofoviras: </w:t>
            </w:r>
          </w:p>
          <w:p w14:paraId="2EB4873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39 % (nuo ↑ 33 iki ↑ 44)</w:t>
            </w:r>
          </w:p>
          <w:p w14:paraId="5EB4340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55 % (nuo ↑ 45 iki ↑ 66) </w:t>
            </w:r>
          </w:p>
          <w:p w14:paraId="423DC63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52 % (nuo ↑ 45 iki ↑ 59) </w:t>
            </w:r>
          </w:p>
        </w:tc>
        <w:tc>
          <w:tcPr>
            <w:tcW w:w="2592" w:type="dxa"/>
            <w:tcBorders>
              <w:top w:val="single" w:sz="4" w:space="0" w:color="000000"/>
              <w:left w:val="single" w:sz="4" w:space="0" w:color="000000"/>
              <w:bottom w:val="single" w:sz="4" w:space="0" w:color="000000"/>
              <w:right w:val="single" w:sz="4" w:space="0" w:color="000000"/>
            </w:tcBorders>
          </w:tcPr>
          <w:p w14:paraId="56EA109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Dėl tenofoviro dizoproksilio, sofosbuviro / velpatasviro ir darunaviro / ritonaviro vartojimo kartu padidėjusi tenofoviro koncentracija plazmoje gali padidinti su tenofoviro dizoproksiliu susijusias nepageidaujamas reakcijas, įskaitant inkstų sutrikimus. Tenofoviro dizoproksilio saugumas vartojant kartu su sofosbuviru / velpatasviru ir farmakokinetiką stiprinančia medžiaga (pvz., ritonaviru arba kobicistatu) neištirtas.</w:t>
            </w:r>
          </w:p>
          <w:p w14:paraId="6C8C0856" w14:textId="77777777" w:rsidR="00DA70E6" w:rsidRPr="00DA70E6" w:rsidRDefault="00DA70E6" w:rsidP="00DA70E6">
            <w:pPr>
              <w:autoSpaceDE w:val="0"/>
              <w:autoSpaceDN w:val="0"/>
              <w:adjustRightInd w:val="0"/>
              <w:rPr>
                <w:color w:val="000000"/>
                <w:szCs w:val="24"/>
                <w:lang w:eastAsia="sl-SI"/>
              </w:rPr>
            </w:pPr>
          </w:p>
          <w:p w14:paraId="5328B90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Tokio derinio turi būti vartojama  atsargiai, dažnai tikrinant inkstų funkciją (žr. 4.4 skyrių).</w:t>
            </w:r>
          </w:p>
        </w:tc>
      </w:tr>
      <w:tr w:rsidR="00DA70E6" w:rsidRPr="00DA70E6" w14:paraId="74E9DFE8"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4B76922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 xml:space="preserve">Sofosbuviras / velpatasviras (400 mg / 100 mg q.d.) + lopinaviras / ritonaviras </w:t>
            </w:r>
          </w:p>
          <w:p w14:paraId="1ED19CD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(800 mg q.d. / 200 mg q.d.) + </w:t>
            </w:r>
          </w:p>
          <w:p w14:paraId="6A7AA03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 </w:t>
            </w:r>
            <w:r w:rsidR="00CD792B"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(200 mg / 245 mg q.d.)</w:t>
            </w:r>
          </w:p>
          <w:p w14:paraId="7D6091ED" w14:textId="77777777" w:rsidR="00DA70E6" w:rsidRPr="00DA70E6" w:rsidRDefault="00DA70E6" w:rsidP="00DA70E6">
            <w:pPr>
              <w:autoSpaceDE w:val="0"/>
              <w:autoSpaceDN w:val="0"/>
              <w:adjustRightInd w:val="0"/>
              <w:rPr>
                <w:color w:val="000000"/>
                <w:szCs w:val="24"/>
                <w:lang w:eastAsia="sl-SI"/>
              </w:rPr>
            </w:pPr>
          </w:p>
        </w:tc>
        <w:tc>
          <w:tcPr>
            <w:tcW w:w="3078" w:type="dxa"/>
            <w:gridSpan w:val="2"/>
            <w:tcBorders>
              <w:top w:val="single" w:sz="4" w:space="0" w:color="000000"/>
              <w:left w:val="single" w:sz="4" w:space="0" w:color="000000"/>
              <w:bottom w:val="single" w:sz="4" w:space="0" w:color="000000"/>
              <w:right w:val="single" w:sz="4" w:space="0" w:color="000000"/>
            </w:tcBorders>
          </w:tcPr>
          <w:p w14:paraId="7CCB234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w:t>
            </w:r>
          </w:p>
          <w:p w14:paraId="1815A0D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29 % (nuo ↓ 36 iki ↓ 22)</w:t>
            </w:r>
          </w:p>
          <w:p w14:paraId="10C7C1DB"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41 % (nuo ↓ 51 iki ↓ 29)</w:t>
            </w:r>
          </w:p>
          <w:p w14:paraId="5A64A40E" w14:textId="77777777" w:rsidR="00DA70E6" w:rsidRPr="00DA70E6" w:rsidRDefault="00DA70E6" w:rsidP="00DA70E6">
            <w:pPr>
              <w:autoSpaceDE w:val="0"/>
              <w:autoSpaceDN w:val="0"/>
              <w:adjustRightInd w:val="0"/>
              <w:rPr>
                <w:color w:val="000000"/>
                <w:szCs w:val="24"/>
                <w:lang w:eastAsia="sl-SI"/>
              </w:rPr>
            </w:pPr>
          </w:p>
          <w:p w14:paraId="61F6A17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GS-331007</w:t>
            </w:r>
            <w:r w:rsidRPr="00DA70E6">
              <w:rPr>
                <w:color w:val="000000"/>
                <w:szCs w:val="24"/>
                <w:vertAlign w:val="superscript"/>
                <w:lang w:eastAsia="sl-SI"/>
              </w:rPr>
              <w:t>2</w:t>
            </w:r>
            <w:r w:rsidRPr="00DA70E6">
              <w:rPr>
                <w:color w:val="000000"/>
                <w:szCs w:val="24"/>
                <w:lang w:eastAsia="sl-SI"/>
              </w:rPr>
              <w:t xml:space="preserve">: </w:t>
            </w:r>
          </w:p>
          <w:p w14:paraId="4D9C95F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0B32E34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w:t>
            </w:r>
            <w:r w:rsidRPr="00DA70E6">
              <w:rPr>
                <w:color w:val="000000"/>
                <w:szCs w:val="24"/>
                <w:vertAlign w:val="subscript"/>
                <w:lang w:eastAsia="sl-SI"/>
              </w:rPr>
              <w:t xml:space="preserve"> </w:t>
            </w:r>
            <w:r w:rsidRPr="00DA70E6">
              <w:rPr>
                <w:color w:val="000000"/>
                <w:szCs w:val="24"/>
                <w:lang w:eastAsia="sl-SI"/>
              </w:rPr>
              <w:t xml:space="preserve">↔ </w:t>
            </w:r>
          </w:p>
          <w:p w14:paraId="3A44EE0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016BA1D1" w14:textId="77777777" w:rsidR="00DA70E6" w:rsidRPr="00DA70E6" w:rsidRDefault="00DA70E6" w:rsidP="00DA70E6">
            <w:pPr>
              <w:autoSpaceDE w:val="0"/>
              <w:autoSpaceDN w:val="0"/>
              <w:adjustRightInd w:val="0"/>
              <w:rPr>
                <w:color w:val="000000"/>
                <w:szCs w:val="24"/>
                <w:lang w:eastAsia="sl-SI"/>
              </w:rPr>
            </w:pPr>
          </w:p>
          <w:p w14:paraId="192B6F4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Velpatasviras:</w:t>
            </w:r>
          </w:p>
          <w:p w14:paraId="32597C1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2DF98C2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30 % ( nuo ↓ 41 iki ↓ 17)</w:t>
            </w:r>
          </w:p>
          <w:p w14:paraId="5981980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 63 % (nuo ↑ 43 iki ↑ 85)</w:t>
            </w:r>
          </w:p>
          <w:p w14:paraId="5BB32CE9" w14:textId="77777777" w:rsidR="00DA70E6" w:rsidRPr="00DA70E6" w:rsidRDefault="00DA70E6" w:rsidP="00DA70E6">
            <w:pPr>
              <w:autoSpaceDE w:val="0"/>
              <w:autoSpaceDN w:val="0"/>
              <w:adjustRightInd w:val="0"/>
              <w:rPr>
                <w:color w:val="000000"/>
                <w:szCs w:val="24"/>
                <w:lang w:eastAsia="sl-SI"/>
              </w:rPr>
            </w:pPr>
          </w:p>
          <w:p w14:paraId="03CEC44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Lopinaviras: </w:t>
            </w:r>
          </w:p>
          <w:p w14:paraId="2E4DC02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77D052A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0DFFD85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2B1C3FD4" w14:textId="77777777" w:rsidR="00DA70E6" w:rsidRPr="00DA70E6" w:rsidRDefault="00DA70E6" w:rsidP="00DA70E6">
            <w:pPr>
              <w:autoSpaceDE w:val="0"/>
              <w:autoSpaceDN w:val="0"/>
              <w:adjustRightInd w:val="0"/>
              <w:rPr>
                <w:color w:val="000000"/>
                <w:szCs w:val="24"/>
                <w:lang w:eastAsia="sl-SI"/>
              </w:rPr>
            </w:pPr>
          </w:p>
          <w:p w14:paraId="75C96BE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Ritonaviras: </w:t>
            </w:r>
          </w:p>
          <w:p w14:paraId="4B3D461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08B7FEF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15BBF15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66265A44" w14:textId="77777777" w:rsidR="00DA70E6" w:rsidRPr="00DA70E6" w:rsidRDefault="00DA70E6" w:rsidP="00DA70E6">
            <w:pPr>
              <w:autoSpaceDE w:val="0"/>
              <w:autoSpaceDN w:val="0"/>
              <w:adjustRightInd w:val="0"/>
              <w:rPr>
                <w:color w:val="000000"/>
                <w:szCs w:val="24"/>
                <w:lang w:eastAsia="sl-SI"/>
              </w:rPr>
            </w:pPr>
          </w:p>
          <w:p w14:paraId="6861BD5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w:t>
            </w:r>
          </w:p>
          <w:p w14:paraId="08AA90C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127FC1D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4A3AF48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52C46A3D" w14:textId="77777777" w:rsidR="00DA70E6" w:rsidRPr="00DA70E6" w:rsidRDefault="00DA70E6" w:rsidP="00DA70E6">
            <w:pPr>
              <w:autoSpaceDE w:val="0"/>
              <w:autoSpaceDN w:val="0"/>
              <w:adjustRightInd w:val="0"/>
              <w:rPr>
                <w:color w:val="000000"/>
                <w:szCs w:val="24"/>
                <w:lang w:eastAsia="sl-SI"/>
              </w:rPr>
            </w:pPr>
          </w:p>
          <w:p w14:paraId="542C75A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Tenofoviras: </w:t>
            </w:r>
          </w:p>
          <w:p w14:paraId="48AAA38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554FF7F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42 % </w:t>
            </w:r>
            <w:r w:rsidRPr="00DA70E6">
              <w:rPr>
                <w:szCs w:val="22"/>
              </w:rPr>
              <w:t>(nuo ↑ 27 iki ↑ 57)</w:t>
            </w:r>
          </w:p>
          <w:p w14:paraId="77E87F9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tc>
        <w:tc>
          <w:tcPr>
            <w:tcW w:w="2592" w:type="dxa"/>
            <w:tcBorders>
              <w:top w:val="single" w:sz="4" w:space="0" w:color="000000"/>
              <w:left w:val="single" w:sz="4" w:space="0" w:color="000000"/>
              <w:bottom w:val="single" w:sz="4" w:space="0" w:color="000000"/>
              <w:right w:val="single" w:sz="4" w:space="0" w:color="000000"/>
            </w:tcBorders>
          </w:tcPr>
          <w:p w14:paraId="2D74B5C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Dėl tenofoviro dizoproksilio, sofosbuviro / velpatasviro ir lopinaviro / ritonaviro vartojimo kartu padidėjusi tenofoviro koncentracija plazmoje gali padidinti su tenofoviro dizoproksiliu susijusias nepageidaujamas reakcijas, įskaitant inkstų sutrikimus. Tenofoviro dizoproksilio saugumas vartojant kartu su sofosbuviru / velpatasviru ir farmakokinetiką stiprinančia medžiaga (pvz., ritonaviru arba kobicistatu) neištirtas.</w:t>
            </w:r>
          </w:p>
          <w:p w14:paraId="716E63FD" w14:textId="77777777" w:rsidR="00DA70E6" w:rsidRPr="00DA70E6" w:rsidRDefault="00DA70E6" w:rsidP="00DA70E6">
            <w:pPr>
              <w:autoSpaceDE w:val="0"/>
              <w:autoSpaceDN w:val="0"/>
              <w:adjustRightInd w:val="0"/>
              <w:rPr>
                <w:color w:val="000000"/>
                <w:szCs w:val="24"/>
                <w:lang w:eastAsia="sl-SI"/>
              </w:rPr>
            </w:pPr>
          </w:p>
          <w:p w14:paraId="32FED2C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Tokio derinio turi būti vartojama atsargiai, dažnai tikrinant inkstų funkciją (žr. 4.4 skyrių).</w:t>
            </w:r>
          </w:p>
        </w:tc>
      </w:tr>
      <w:tr w:rsidR="00DA70E6" w:rsidRPr="00DA70E6" w14:paraId="00904344"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4B3FB48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 velpatasviras (400 mg / 100 mg q.d.) + raltegraviras (400 mg b.i.d.) + </w:t>
            </w:r>
          </w:p>
          <w:p w14:paraId="65FD729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 </w:t>
            </w:r>
            <w:r w:rsidR="004330C2"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(200 mg / 245 mg q.d.)</w:t>
            </w:r>
          </w:p>
          <w:p w14:paraId="4721D2A3" w14:textId="77777777" w:rsidR="00DA70E6" w:rsidRPr="00DA70E6" w:rsidRDefault="00DA70E6" w:rsidP="00DA70E6">
            <w:pPr>
              <w:autoSpaceDE w:val="0"/>
              <w:autoSpaceDN w:val="0"/>
              <w:adjustRightInd w:val="0"/>
              <w:rPr>
                <w:color w:val="000000"/>
                <w:szCs w:val="24"/>
                <w:lang w:eastAsia="sl-SI"/>
              </w:rPr>
            </w:pPr>
          </w:p>
        </w:tc>
        <w:tc>
          <w:tcPr>
            <w:tcW w:w="3078" w:type="dxa"/>
            <w:gridSpan w:val="2"/>
            <w:tcBorders>
              <w:top w:val="single" w:sz="4" w:space="0" w:color="000000"/>
              <w:left w:val="single" w:sz="4" w:space="0" w:color="000000"/>
              <w:bottom w:val="single" w:sz="4" w:space="0" w:color="000000"/>
              <w:right w:val="single" w:sz="4" w:space="0" w:color="000000"/>
            </w:tcBorders>
          </w:tcPr>
          <w:p w14:paraId="779A918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w:t>
            </w:r>
          </w:p>
          <w:p w14:paraId="7FCCD6F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7060423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w:t>
            </w:r>
          </w:p>
          <w:p w14:paraId="37D8E22A" w14:textId="77777777" w:rsidR="00DA70E6" w:rsidRPr="00DA70E6" w:rsidRDefault="00DA70E6" w:rsidP="00DA70E6">
            <w:pPr>
              <w:autoSpaceDE w:val="0"/>
              <w:autoSpaceDN w:val="0"/>
              <w:adjustRightInd w:val="0"/>
              <w:rPr>
                <w:color w:val="000000"/>
                <w:szCs w:val="24"/>
                <w:lang w:eastAsia="sl-SI"/>
              </w:rPr>
            </w:pPr>
          </w:p>
          <w:p w14:paraId="1669494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GS-331007</w:t>
            </w:r>
            <w:r w:rsidRPr="00DA70E6">
              <w:rPr>
                <w:color w:val="000000"/>
                <w:szCs w:val="24"/>
                <w:vertAlign w:val="superscript"/>
                <w:lang w:eastAsia="sl-SI"/>
              </w:rPr>
              <w:t>2</w:t>
            </w:r>
            <w:r w:rsidRPr="00DA70E6">
              <w:rPr>
                <w:color w:val="000000"/>
                <w:szCs w:val="24"/>
                <w:lang w:eastAsia="sl-SI"/>
              </w:rPr>
              <w:t xml:space="preserve">: </w:t>
            </w:r>
          </w:p>
          <w:p w14:paraId="602D622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481BCDA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w:t>
            </w:r>
            <w:r w:rsidRPr="00DA70E6">
              <w:rPr>
                <w:color w:val="000000"/>
                <w:szCs w:val="24"/>
                <w:vertAlign w:val="subscript"/>
                <w:lang w:eastAsia="sl-SI"/>
              </w:rPr>
              <w:t xml:space="preserve"> </w:t>
            </w:r>
            <w:r w:rsidRPr="00DA70E6">
              <w:rPr>
                <w:color w:val="000000"/>
                <w:szCs w:val="24"/>
                <w:lang w:eastAsia="sl-SI"/>
              </w:rPr>
              <w:t xml:space="preserve">↔ </w:t>
            </w:r>
          </w:p>
          <w:p w14:paraId="6DAC9AA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11B64B4B" w14:textId="77777777" w:rsidR="00DA70E6" w:rsidRPr="00DA70E6" w:rsidRDefault="00DA70E6" w:rsidP="00DA70E6">
            <w:pPr>
              <w:autoSpaceDE w:val="0"/>
              <w:autoSpaceDN w:val="0"/>
              <w:adjustRightInd w:val="0"/>
              <w:rPr>
                <w:color w:val="000000"/>
                <w:szCs w:val="24"/>
                <w:lang w:eastAsia="sl-SI"/>
              </w:rPr>
            </w:pPr>
          </w:p>
          <w:p w14:paraId="1973468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Velpatasviras:</w:t>
            </w:r>
          </w:p>
          <w:p w14:paraId="7664769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072558E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w:t>
            </w:r>
          </w:p>
          <w:p w14:paraId="3ECFEFE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4A3453C7" w14:textId="77777777" w:rsidR="00DA70E6" w:rsidRPr="00DA70E6" w:rsidRDefault="00DA70E6" w:rsidP="00DA70E6">
            <w:pPr>
              <w:autoSpaceDE w:val="0"/>
              <w:autoSpaceDN w:val="0"/>
              <w:adjustRightInd w:val="0"/>
              <w:rPr>
                <w:color w:val="000000"/>
                <w:szCs w:val="24"/>
                <w:lang w:eastAsia="sl-SI"/>
              </w:rPr>
            </w:pPr>
          </w:p>
          <w:p w14:paraId="547EDCB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Raltegraviras: </w:t>
            </w:r>
          </w:p>
          <w:p w14:paraId="21E6807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22DB5E9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54C8053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21 % ( nuo ↓ 58 iki ↑ 48) </w:t>
            </w:r>
          </w:p>
          <w:p w14:paraId="187D0AB1" w14:textId="77777777" w:rsidR="00DA70E6" w:rsidRPr="00DA70E6" w:rsidRDefault="00DA70E6" w:rsidP="00DA70E6">
            <w:pPr>
              <w:autoSpaceDE w:val="0"/>
              <w:autoSpaceDN w:val="0"/>
              <w:adjustRightInd w:val="0"/>
              <w:rPr>
                <w:color w:val="000000"/>
                <w:szCs w:val="24"/>
                <w:lang w:eastAsia="sl-SI"/>
              </w:rPr>
            </w:pPr>
          </w:p>
          <w:p w14:paraId="100FD78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w:t>
            </w:r>
          </w:p>
          <w:p w14:paraId="4ACB5A5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7655735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473722E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2943D935" w14:textId="77777777" w:rsidR="00DA70E6" w:rsidRPr="00DA70E6" w:rsidRDefault="00DA70E6" w:rsidP="00DA70E6">
            <w:pPr>
              <w:autoSpaceDE w:val="0"/>
              <w:autoSpaceDN w:val="0"/>
              <w:adjustRightInd w:val="0"/>
              <w:rPr>
                <w:color w:val="000000"/>
                <w:szCs w:val="24"/>
                <w:lang w:eastAsia="sl-SI"/>
              </w:rPr>
            </w:pPr>
          </w:p>
          <w:p w14:paraId="2AF08A7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 xml:space="preserve">Tenofoviras: </w:t>
            </w:r>
          </w:p>
          <w:p w14:paraId="68FBCFC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40 % (nuo ↑ 34 iki ↑ 45)</w:t>
            </w:r>
          </w:p>
          <w:p w14:paraId="1F5E6D5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46 % (nuo ↑ 39 iki ↑ 54) </w:t>
            </w:r>
          </w:p>
          <w:p w14:paraId="0494917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 70 % (nuo ↑ 61 iki ↑ 79)</w:t>
            </w:r>
          </w:p>
        </w:tc>
        <w:tc>
          <w:tcPr>
            <w:tcW w:w="2592" w:type="dxa"/>
            <w:tcBorders>
              <w:top w:val="single" w:sz="4" w:space="0" w:color="000000"/>
              <w:left w:val="single" w:sz="4" w:space="0" w:color="000000"/>
              <w:bottom w:val="single" w:sz="4" w:space="0" w:color="000000"/>
              <w:right w:val="single" w:sz="4" w:space="0" w:color="000000"/>
            </w:tcBorders>
          </w:tcPr>
          <w:p w14:paraId="529D88A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Dozės koreguoti nerekomenduojama. Padidėjus tenofoviro ekspozicijai gali sustiprėti su tenofoviro dizoproksiliu susijusios nepageidaujamos reakcijos, įskaitant inkstų sutrikimus. Reikia atidžiai stebėti inkstų funkciją (žr.4.4 skyrių).</w:t>
            </w:r>
          </w:p>
        </w:tc>
      </w:tr>
      <w:tr w:rsidR="00DA70E6" w:rsidRPr="00DA70E6" w14:paraId="20975C60"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39713DF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 velpatasviras (400 mg / 100 mg q.d.) + efavirenzas / emtricitabinas / </w:t>
            </w:r>
            <w:r w:rsidR="005E6FFA"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(600 mg / 200 mg / 245 mg q.d.)</w:t>
            </w:r>
          </w:p>
          <w:p w14:paraId="48628099" w14:textId="77777777" w:rsidR="00DA70E6" w:rsidRPr="00DA70E6" w:rsidRDefault="00DA70E6" w:rsidP="00DA70E6">
            <w:pPr>
              <w:autoSpaceDE w:val="0"/>
              <w:autoSpaceDN w:val="0"/>
              <w:adjustRightInd w:val="0"/>
              <w:rPr>
                <w:color w:val="000000"/>
                <w:szCs w:val="24"/>
                <w:lang w:eastAsia="sl-SI"/>
              </w:rPr>
            </w:pPr>
          </w:p>
        </w:tc>
        <w:tc>
          <w:tcPr>
            <w:tcW w:w="3078" w:type="dxa"/>
            <w:gridSpan w:val="2"/>
            <w:tcBorders>
              <w:top w:val="single" w:sz="4" w:space="0" w:color="000000"/>
              <w:left w:val="single" w:sz="4" w:space="0" w:color="000000"/>
              <w:bottom w:val="single" w:sz="4" w:space="0" w:color="000000"/>
              <w:right w:val="single" w:sz="4" w:space="0" w:color="000000"/>
            </w:tcBorders>
          </w:tcPr>
          <w:p w14:paraId="05EC536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w:t>
            </w:r>
          </w:p>
          <w:p w14:paraId="5648B737"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3EA98B2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38 % (nuo ↑ 14 iki ↑ 67)</w:t>
            </w:r>
          </w:p>
          <w:p w14:paraId="094D2128" w14:textId="77777777" w:rsidR="00DA70E6" w:rsidRPr="00DA70E6" w:rsidRDefault="00DA70E6" w:rsidP="00DA70E6">
            <w:pPr>
              <w:autoSpaceDE w:val="0"/>
              <w:autoSpaceDN w:val="0"/>
              <w:adjustRightInd w:val="0"/>
              <w:rPr>
                <w:color w:val="000000"/>
                <w:szCs w:val="24"/>
                <w:lang w:eastAsia="sl-SI"/>
              </w:rPr>
            </w:pPr>
          </w:p>
          <w:p w14:paraId="6EFDACE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GS-331007</w:t>
            </w:r>
            <w:r w:rsidRPr="00DA70E6">
              <w:rPr>
                <w:color w:val="000000"/>
                <w:szCs w:val="24"/>
                <w:vertAlign w:val="superscript"/>
                <w:lang w:eastAsia="sl-SI"/>
              </w:rPr>
              <w:t>2</w:t>
            </w:r>
            <w:r w:rsidRPr="00DA70E6">
              <w:rPr>
                <w:color w:val="000000"/>
                <w:szCs w:val="24"/>
                <w:lang w:eastAsia="sl-SI"/>
              </w:rPr>
              <w:t xml:space="preserve">: </w:t>
            </w:r>
          </w:p>
          <w:p w14:paraId="14DF350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5201DAA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w:t>
            </w:r>
            <w:r w:rsidRPr="00DA70E6">
              <w:rPr>
                <w:color w:val="000000"/>
                <w:szCs w:val="24"/>
                <w:vertAlign w:val="subscript"/>
                <w:lang w:eastAsia="sl-SI"/>
              </w:rPr>
              <w:t xml:space="preserve"> </w:t>
            </w:r>
            <w:r w:rsidRPr="00DA70E6">
              <w:rPr>
                <w:color w:val="000000"/>
                <w:szCs w:val="24"/>
                <w:lang w:eastAsia="sl-SI"/>
              </w:rPr>
              <w:t xml:space="preserve">↔ </w:t>
            </w:r>
          </w:p>
          <w:p w14:paraId="2C2E30B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030F42C9" w14:textId="77777777" w:rsidR="00DA70E6" w:rsidRPr="00DA70E6" w:rsidRDefault="00DA70E6" w:rsidP="00DA70E6">
            <w:pPr>
              <w:autoSpaceDE w:val="0"/>
              <w:autoSpaceDN w:val="0"/>
              <w:adjustRightInd w:val="0"/>
              <w:rPr>
                <w:color w:val="000000"/>
                <w:szCs w:val="24"/>
                <w:lang w:eastAsia="sl-SI"/>
              </w:rPr>
            </w:pPr>
          </w:p>
          <w:p w14:paraId="7B81C0E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Velpatasviras:</w:t>
            </w:r>
          </w:p>
          <w:p w14:paraId="3BD169DB"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53 % ( nuo ↓ 61 iki ↑ 43)</w:t>
            </w:r>
          </w:p>
          <w:p w14:paraId="6BD6D989"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 47 % ( nuo ↓ 57 iki ↑ 36)</w:t>
            </w:r>
          </w:p>
          <w:p w14:paraId="2C645AF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 57 % ( nuo ↓ 64 iki ↑ 48)</w:t>
            </w:r>
          </w:p>
          <w:p w14:paraId="2101F19F" w14:textId="77777777" w:rsidR="00DA70E6" w:rsidRPr="00DA70E6" w:rsidRDefault="00DA70E6" w:rsidP="00DA70E6">
            <w:pPr>
              <w:autoSpaceDE w:val="0"/>
              <w:autoSpaceDN w:val="0"/>
              <w:adjustRightInd w:val="0"/>
              <w:rPr>
                <w:color w:val="000000"/>
                <w:szCs w:val="24"/>
                <w:lang w:eastAsia="sl-SI"/>
              </w:rPr>
            </w:pPr>
          </w:p>
          <w:p w14:paraId="629F365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Efavirenzas: </w:t>
            </w:r>
          </w:p>
          <w:p w14:paraId="10F41EF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0055AE0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7201D50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4B572865" w14:textId="77777777" w:rsidR="00DA70E6" w:rsidRPr="00DA70E6" w:rsidRDefault="00DA70E6" w:rsidP="00DA70E6">
            <w:pPr>
              <w:autoSpaceDE w:val="0"/>
              <w:autoSpaceDN w:val="0"/>
              <w:adjustRightInd w:val="0"/>
              <w:rPr>
                <w:color w:val="000000"/>
                <w:szCs w:val="24"/>
                <w:lang w:eastAsia="sl-SI"/>
              </w:rPr>
            </w:pPr>
          </w:p>
          <w:p w14:paraId="69B5764B"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w:t>
            </w:r>
          </w:p>
          <w:p w14:paraId="7187FFA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09676C6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5FB78BC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1F7B417E" w14:textId="77777777" w:rsidR="00DA70E6" w:rsidRPr="00DA70E6" w:rsidRDefault="00DA70E6" w:rsidP="00DA70E6">
            <w:pPr>
              <w:autoSpaceDE w:val="0"/>
              <w:autoSpaceDN w:val="0"/>
              <w:adjustRightInd w:val="0"/>
              <w:rPr>
                <w:color w:val="000000"/>
                <w:szCs w:val="24"/>
                <w:lang w:eastAsia="sl-SI"/>
              </w:rPr>
            </w:pPr>
          </w:p>
          <w:p w14:paraId="568C489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Tenofoviras: </w:t>
            </w:r>
          </w:p>
          <w:p w14:paraId="5EC92C6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81 % (nuo ↑ 68 iki ↑ 94)</w:t>
            </w:r>
          </w:p>
          <w:p w14:paraId="66B8848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77 % (nuo ↑ 53 iki ↑ 104) </w:t>
            </w:r>
          </w:p>
          <w:p w14:paraId="4FC1934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 121 % (nuo ↑ 100 iki ↑ 143)</w:t>
            </w:r>
          </w:p>
        </w:tc>
        <w:tc>
          <w:tcPr>
            <w:tcW w:w="2592" w:type="dxa"/>
            <w:tcBorders>
              <w:top w:val="single" w:sz="4" w:space="0" w:color="000000"/>
              <w:left w:val="single" w:sz="4" w:space="0" w:color="000000"/>
              <w:bottom w:val="single" w:sz="4" w:space="0" w:color="000000"/>
              <w:right w:val="single" w:sz="4" w:space="0" w:color="000000"/>
            </w:tcBorders>
          </w:tcPr>
          <w:p w14:paraId="503BC8E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Kartu vartojant sofosbuviro /velpatasviro ir efavirenzo, tikėtinas velpatasviro koncentracijos kraujo plazmoje sumažėjimas. Gydymo sofosbuviru / velpatasviru nerekomenduojama derinti su gydymo režimais, kurių metu vartojama efavirenzo.</w:t>
            </w:r>
          </w:p>
        </w:tc>
      </w:tr>
      <w:tr w:rsidR="00DA70E6" w:rsidRPr="00DA70E6" w14:paraId="7526A31F" w14:textId="77777777" w:rsidTr="00E1395D">
        <w:trPr>
          <w:trHeight w:val="20"/>
        </w:trPr>
        <w:tc>
          <w:tcPr>
            <w:tcW w:w="3312" w:type="dxa"/>
            <w:tcBorders>
              <w:top w:val="single" w:sz="4" w:space="0" w:color="000000"/>
              <w:left w:val="single" w:sz="4" w:space="0" w:color="000000"/>
              <w:bottom w:val="single" w:sz="4" w:space="0" w:color="000000"/>
              <w:right w:val="single" w:sz="4" w:space="0" w:color="000000"/>
            </w:tcBorders>
          </w:tcPr>
          <w:p w14:paraId="69BF9E86"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 velpatasviras (400 mg / 100 mg q.d.) + emtricitabinas / rilpivirinas / </w:t>
            </w:r>
            <w:r w:rsidR="005D0FF1" w:rsidRPr="002023C7">
              <w:rPr>
                <w:color w:val="000000"/>
                <w:szCs w:val="24"/>
                <w:lang w:eastAsia="sl-SI"/>
              </w:rPr>
              <w:t>tenofoviro</w:t>
            </w:r>
            <w:r w:rsidR="00A977CA" w:rsidRPr="00DA70E6">
              <w:rPr>
                <w:color w:val="000000"/>
                <w:szCs w:val="24"/>
                <w:lang w:eastAsia="sl-SI"/>
              </w:rPr>
              <w:t xml:space="preserve"> </w:t>
            </w:r>
            <w:r w:rsidRPr="00DA70E6">
              <w:rPr>
                <w:color w:val="000000"/>
                <w:szCs w:val="24"/>
                <w:lang w:eastAsia="sl-SI"/>
              </w:rPr>
              <w:t>dizoproksilis (200 mg / 25 mg / 245 mg q.d.)</w:t>
            </w:r>
          </w:p>
          <w:p w14:paraId="773157BD" w14:textId="77777777" w:rsidR="00DA70E6" w:rsidRPr="00DA70E6" w:rsidRDefault="00DA70E6" w:rsidP="00DA70E6">
            <w:pPr>
              <w:autoSpaceDE w:val="0"/>
              <w:autoSpaceDN w:val="0"/>
              <w:adjustRightInd w:val="0"/>
              <w:rPr>
                <w:color w:val="000000"/>
                <w:szCs w:val="24"/>
                <w:lang w:eastAsia="sl-SI"/>
              </w:rPr>
            </w:pPr>
          </w:p>
        </w:tc>
        <w:tc>
          <w:tcPr>
            <w:tcW w:w="3078" w:type="dxa"/>
            <w:gridSpan w:val="2"/>
            <w:tcBorders>
              <w:top w:val="single" w:sz="4" w:space="0" w:color="000000"/>
              <w:left w:val="single" w:sz="4" w:space="0" w:color="000000"/>
              <w:bottom w:val="single" w:sz="4" w:space="0" w:color="000000"/>
              <w:right w:val="single" w:sz="4" w:space="0" w:color="000000"/>
            </w:tcBorders>
          </w:tcPr>
          <w:p w14:paraId="3AFFDE6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Sofosbuviras: </w:t>
            </w:r>
          </w:p>
          <w:p w14:paraId="0504E3A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279F22C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w:t>
            </w:r>
          </w:p>
          <w:p w14:paraId="1F06690A" w14:textId="77777777" w:rsidR="00DA70E6" w:rsidRPr="00DA70E6" w:rsidRDefault="00DA70E6" w:rsidP="00DA70E6">
            <w:pPr>
              <w:autoSpaceDE w:val="0"/>
              <w:autoSpaceDN w:val="0"/>
              <w:adjustRightInd w:val="0"/>
              <w:rPr>
                <w:color w:val="000000"/>
                <w:szCs w:val="24"/>
                <w:lang w:eastAsia="sl-SI"/>
              </w:rPr>
            </w:pPr>
          </w:p>
          <w:p w14:paraId="53F86D5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GS-331007</w:t>
            </w:r>
            <w:r w:rsidRPr="00DA70E6">
              <w:rPr>
                <w:color w:val="000000"/>
                <w:szCs w:val="24"/>
                <w:vertAlign w:val="superscript"/>
                <w:lang w:eastAsia="sl-SI"/>
              </w:rPr>
              <w:t>2</w:t>
            </w:r>
            <w:r w:rsidRPr="00DA70E6">
              <w:rPr>
                <w:color w:val="000000"/>
                <w:szCs w:val="24"/>
                <w:lang w:eastAsia="sl-SI"/>
              </w:rPr>
              <w:t xml:space="preserve">: </w:t>
            </w:r>
          </w:p>
          <w:p w14:paraId="7C86773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4D9975E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w:t>
            </w:r>
            <w:r w:rsidRPr="00DA70E6">
              <w:rPr>
                <w:color w:val="000000"/>
                <w:szCs w:val="24"/>
                <w:vertAlign w:val="subscript"/>
                <w:lang w:eastAsia="sl-SI"/>
              </w:rPr>
              <w:t xml:space="preserve"> </w:t>
            </w:r>
            <w:r w:rsidRPr="00DA70E6">
              <w:rPr>
                <w:color w:val="000000"/>
                <w:szCs w:val="24"/>
                <w:lang w:eastAsia="sl-SI"/>
              </w:rPr>
              <w:t xml:space="preserve">↔ </w:t>
            </w:r>
          </w:p>
          <w:p w14:paraId="134D7D88"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1ED596FC" w14:textId="77777777" w:rsidR="00DA70E6" w:rsidRPr="00DA70E6" w:rsidRDefault="00DA70E6" w:rsidP="00DA70E6">
            <w:pPr>
              <w:autoSpaceDE w:val="0"/>
              <w:autoSpaceDN w:val="0"/>
              <w:adjustRightInd w:val="0"/>
              <w:rPr>
                <w:color w:val="000000"/>
                <w:szCs w:val="24"/>
                <w:lang w:eastAsia="sl-SI"/>
              </w:rPr>
            </w:pPr>
          </w:p>
          <w:p w14:paraId="030E0D74"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Velpatasviras:</w:t>
            </w:r>
          </w:p>
          <w:p w14:paraId="4D26CEB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w:t>
            </w:r>
          </w:p>
          <w:p w14:paraId="64D434F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w:t>
            </w:r>
          </w:p>
          <w:p w14:paraId="3BFFEDD3"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64537D2F" w14:textId="77777777" w:rsidR="00DA70E6" w:rsidRPr="00DA70E6" w:rsidRDefault="00DA70E6" w:rsidP="00DA70E6">
            <w:pPr>
              <w:autoSpaceDE w:val="0"/>
              <w:autoSpaceDN w:val="0"/>
              <w:adjustRightInd w:val="0"/>
              <w:rPr>
                <w:color w:val="000000"/>
                <w:szCs w:val="24"/>
                <w:lang w:eastAsia="sl-SI"/>
              </w:rPr>
            </w:pPr>
          </w:p>
          <w:p w14:paraId="71F6637D"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Emtricitabinas: </w:t>
            </w:r>
          </w:p>
          <w:p w14:paraId="1453B67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6A8A9C42"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62998B4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xml:space="preserve">: ↔ </w:t>
            </w:r>
          </w:p>
          <w:p w14:paraId="37822ECA" w14:textId="77777777" w:rsidR="00DA70E6" w:rsidRPr="00DA70E6" w:rsidRDefault="00DA70E6" w:rsidP="00DA70E6">
            <w:pPr>
              <w:autoSpaceDE w:val="0"/>
              <w:autoSpaceDN w:val="0"/>
              <w:adjustRightInd w:val="0"/>
              <w:rPr>
                <w:color w:val="000000"/>
                <w:szCs w:val="24"/>
                <w:lang w:eastAsia="sl-SI"/>
              </w:rPr>
            </w:pPr>
          </w:p>
          <w:p w14:paraId="1849D41A"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Rilpivirinas: </w:t>
            </w:r>
          </w:p>
          <w:p w14:paraId="635A9F5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 xml:space="preserve">AUC: ↔ </w:t>
            </w:r>
          </w:p>
          <w:p w14:paraId="269ED745"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w:t>
            </w:r>
          </w:p>
          <w:p w14:paraId="36B53AAC"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w:t>
            </w:r>
          </w:p>
          <w:p w14:paraId="6198B2B2" w14:textId="77777777" w:rsidR="00DA70E6" w:rsidRPr="00DA70E6" w:rsidRDefault="00DA70E6" w:rsidP="00DA70E6">
            <w:pPr>
              <w:autoSpaceDE w:val="0"/>
              <w:autoSpaceDN w:val="0"/>
              <w:adjustRightInd w:val="0"/>
              <w:rPr>
                <w:color w:val="000000"/>
                <w:szCs w:val="24"/>
                <w:lang w:eastAsia="sl-SI"/>
              </w:rPr>
            </w:pPr>
          </w:p>
          <w:p w14:paraId="3A0C4B2E"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 xml:space="preserve">Tenofoviras: </w:t>
            </w:r>
          </w:p>
          <w:p w14:paraId="04ACE880"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AUC: ↑ 40 % (nuo ↑ 34 iki ↑ 46)</w:t>
            </w:r>
          </w:p>
          <w:p w14:paraId="7860203B"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max</w:t>
            </w:r>
            <w:r w:rsidRPr="00DA70E6">
              <w:rPr>
                <w:color w:val="000000"/>
                <w:szCs w:val="24"/>
                <w:lang w:eastAsia="sl-SI"/>
              </w:rPr>
              <w:t xml:space="preserve">: ↑ 44 % (nuo ↑ 33 iki ↑ 55) </w:t>
            </w:r>
          </w:p>
          <w:p w14:paraId="1AC17E4F"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t>C</w:t>
            </w:r>
            <w:r w:rsidRPr="00DA70E6">
              <w:rPr>
                <w:color w:val="000000"/>
                <w:szCs w:val="24"/>
                <w:vertAlign w:val="subscript"/>
                <w:lang w:eastAsia="sl-SI"/>
              </w:rPr>
              <w:t>min</w:t>
            </w:r>
            <w:r w:rsidRPr="00DA70E6">
              <w:rPr>
                <w:color w:val="000000"/>
                <w:szCs w:val="24"/>
                <w:lang w:eastAsia="sl-SI"/>
              </w:rPr>
              <w:t>: ↑ 84 % (nuo ↑ 76 iki ↑ 92)</w:t>
            </w:r>
          </w:p>
        </w:tc>
        <w:tc>
          <w:tcPr>
            <w:tcW w:w="2592" w:type="dxa"/>
            <w:tcBorders>
              <w:top w:val="single" w:sz="4" w:space="0" w:color="000000"/>
              <w:left w:val="single" w:sz="4" w:space="0" w:color="000000"/>
              <w:bottom w:val="single" w:sz="4" w:space="0" w:color="000000"/>
              <w:right w:val="single" w:sz="4" w:space="0" w:color="000000"/>
            </w:tcBorders>
          </w:tcPr>
          <w:p w14:paraId="0C174E61" w14:textId="77777777" w:rsidR="00DA70E6" w:rsidRPr="00DA70E6" w:rsidRDefault="00DA70E6" w:rsidP="00DA70E6">
            <w:pPr>
              <w:autoSpaceDE w:val="0"/>
              <w:autoSpaceDN w:val="0"/>
              <w:adjustRightInd w:val="0"/>
              <w:rPr>
                <w:color w:val="000000"/>
                <w:szCs w:val="24"/>
                <w:lang w:eastAsia="sl-SI"/>
              </w:rPr>
            </w:pPr>
            <w:r w:rsidRPr="00DA70E6">
              <w:rPr>
                <w:color w:val="000000"/>
                <w:szCs w:val="24"/>
                <w:lang w:eastAsia="sl-SI"/>
              </w:rPr>
              <w:lastRenderedPageBreak/>
              <w:t>Dozės koreguoti nerekomenduojama. Padidėjus tenofoviro ekspozicijai, gali sustiprėti su tenofoviro dizoproksiliu susijusios nepageidaujamos reakcijos, įskaitant inkstų sutrikimus. Reikia atidžiai stebėti inkstų funkciją (žr. 4.4 skyrių).</w:t>
            </w:r>
          </w:p>
        </w:tc>
      </w:tr>
      <w:tr w:rsidR="00B06C01" w:rsidRPr="00B06C01" w14:paraId="77CA6C7F" w14:textId="77777777" w:rsidTr="00EF13A4">
        <w:trPr>
          <w:trHeight w:val="20"/>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664CCBD4" w14:textId="77777777" w:rsidR="00A83AE6" w:rsidRPr="005C0E81" w:rsidRDefault="00A83AE6" w:rsidP="00C15AC2">
            <w:pPr>
              <w:autoSpaceDE w:val="0"/>
              <w:autoSpaceDN w:val="0"/>
              <w:adjustRightInd w:val="0"/>
            </w:pPr>
            <w:r w:rsidRPr="005C0E81">
              <w:t>Sofosbuviras / velpatasviras / voksilapreviras (400 mg / 100 mg / 100 mg q.d.)</w:t>
            </w:r>
            <w:r w:rsidRPr="005C0E81">
              <w:rPr>
                <w:vertAlign w:val="superscript"/>
              </w:rPr>
              <w:t>3</w:t>
            </w:r>
            <w:r w:rsidRPr="005C0E81">
              <w:t xml:space="preserve"> + darunaviras (800 mg q.d.) + ritonaviras (100 mg q.d.) + emtricitabinas / tenofoviras dizoproksilis (200 mg / 300 mg q.d.)</w:t>
            </w:r>
          </w:p>
          <w:p w14:paraId="2B346FB0" w14:textId="77777777" w:rsidR="00A83AE6" w:rsidRPr="005C0E81" w:rsidRDefault="00A83AE6" w:rsidP="00C15AC2">
            <w:pPr>
              <w:autoSpaceDE w:val="0"/>
              <w:autoSpaceDN w:val="0"/>
              <w:adjustRightInd w:val="0"/>
            </w:pP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AD8D74" w14:textId="77777777" w:rsidR="00A83AE6" w:rsidRPr="005C0E81" w:rsidRDefault="00A83AE6" w:rsidP="00C15AC2">
            <w:pPr>
              <w:autoSpaceDE w:val="0"/>
              <w:autoSpaceDN w:val="0"/>
              <w:adjustRightInd w:val="0"/>
            </w:pPr>
            <w:r w:rsidRPr="005C0E81">
              <w:t xml:space="preserve">Sofosbuviras: </w:t>
            </w:r>
          </w:p>
          <w:p w14:paraId="3E185ECD" w14:textId="77777777" w:rsidR="00A83AE6" w:rsidRPr="005C0E81" w:rsidRDefault="00A83AE6" w:rsidP="00C15AC2">
            <w:pPr>
              <w:autoSpaceDE w:val="0"/>
              <w:autoSpaceDN w:val="0"/>
              <w:adjustRightInd w:val="0"/>
            </w:pPr>
            <w:r w:rsidRPr="005C0E81">
              <w:t>AUC: ↔</w:t>
            </w:r>
          </w:p>
          <w:p w14:paraId="47F9B923" w14:textId="77777777" w:rsidR="009A4FAE" w:rsidRPr="005C0E81" w:rsidRDefault="009A4FAE" w:rsidP="00B06C01">
            <w:r w:rsidRPr="005C0E81">
              <w:t>Cmax: ↓ 30%</w:t>
            </w:r>
          </w:p>
          <w:p w14:paraId="52404550" w14:textId="77777777" w:rsidR="009A4FAE" w:rsidRPr="005C0E81" w:rsidRDefault="009A4FAE" w:rsidP="009A4FAE">
            <w:r w:rsidRPr="005C0E81">
              <w:t>Cmin: N/A</w:t>
            </w:r>
          </w:p>
          <w:p w14:paraId="06AFE07D" w14:textId="77777777" w:rsidR="009A4FAE" w:rsidRPr="005C0E81" w:rsidRDefault="009A4FAE" w:rsidP="009A4FAE"/>
          <w:p w14:paraId="2443C765" w14:textId="77777777" w:rsidR="00A83AE6" w:rsidRPr="005C0E81" w:rsidRDefault="00A83AE6" w:rsidP="00C15AC2">
            <w:pPr>
              <w:autoSpaceDE w:val="0"/>
              <w:autoSpaceDN w:val="0"/>
              <w:adjustRightInd w:val="0"/>
            </w:pPr>
            <w:r w:rsidRPr="005C0E81">
              <w:t xml:space="preserve">GS-3310072: </w:t>
            </w:r>
          </w:p>
          <w:p w14:paraId="57453911" w14:textId="77777777" w:rsidR="00A83AE6" w:rsidRPr="005C0E81" w:rsidRDefault="00A83AE6" w:rsidP="00C15AC2">
            <w:pPr>
              <w:autoSpaceDE w:val="0"/>
              <w:autoSpaceDN w:val="0"/>
              <w:adjustRightInd w:val="0"/>
            </w:pPr>
            <w:r w:rsidRPr="005C0E81">
              <w:t xml:space="preserve">AUC: ↔ </w:t>
            </w:r>
          </w:p>
          <w:p w14:paraId="15AB370A" w14:textId="77777777" w:rsidR="00A83AE6" w:rsidRPr="005C0E81" w:rsidRDefault="00A83AE6" w:rsidP="00C15AC2">
            <w:pPr>
              <w:autoSpaceDE w:val="0"/>
              <w:autoSpaceDN w:val="0"/>
              <w:adjustRightInd w:val="0"/>
            </w:pPr>
            <w:r w:rsidRPr="005C0E81">
              <w:t xml:space="preserve">Cmax: ↔ </w:t>
            </w:r>
          </w:p>
          <w:p w14:paraId="646B49C1" w14:textId="77777777" w:rsidR="00A83AE6" w:rsidRPr="005C0E81" w:rsidRDefault="00A83AE6" w:rsidP="00C15AC2">
            <w:pPr>
              <w:autoSpaceDE w:val="0"/>
              <w:autoSpaceDN w:val="0"/>
              <w:adjustRightInd w:val="0"/>
            </w:pPr>
            <w:r w:rsidRPr="005C0E81">
              <w:t xml:space="preserve">Cmin: </w:t>
            </w:r>
            <w:r w:rsidR="009A4FAE" w:rsidRPr="005C0E81">
              <w:t>N/A</w:t>
            </w:r>
            <w:r w:rsidRPr="005C0E81">
              <w:t xml:space="preserve"> </w:t>
            </w:r>
          </w:p>
          <w:p w14:paraId="02F96A20" w14:textId="77777777" w:rsidR="00A83AE6" w:rsidRPr="005C0E81" w:rsidRDefault="00A83AE6" w:rsidP="00C15AC2">
            <w:pPr>
              <w:autoSpaceDE w:val="0"/>
              <w:autoSpaceDN w:val="0"/>
              <w:adjustRightInd w:val="0"/>
            </w:pPr>
          </w:p>
          <w:p w14:paraId="35690E84" w14:textId="77777777" w:rsidR="00A83AE6" w:rsidRPr="005C0E81" w:rsidRDefault="00A83AE6" w:rsidP="00C15AC2">
            <w:pPr>
              <w:autoSpaceDE w:val="0"/>
              <w:autoSpaceDN w:val="0"/>
              <w:adjustRightInd w:val="0"/>
            </w:pPr>
            <w:r w:rsidRPr="005C0E81">
              <w:t>Velpatasviras:</w:t>
            </w:r>
          </w:p>
          <w:p w14:paraId="1A5E9CF9" w14:textId="77777777" w:rsidR="00A83AE6" w:rsidRPr="005C0E81" w:rsidRDefault="00A83AE6" w:rsidP="00C15AC2">
            <w:pPr>
              <w:autoSpaceDE w:val="0"/>
              <w:autoSpaceDN w:val="0"/>
              <w:adjustRightInd w:val="0"/>
            </w:pPr>
            <w:r w:rsidRPr="005C0E81">
              <w:t>AUC: ↔</w:t>
            </w:r>
          </w:p>
          <w:p w14:paraId="3AB8BDB8" w14:textId="77777777" w:rsidR="00A83AE6" w:rsidRPr="005C0E81" w:rsidRDefault="00A83AE6" w:rsidP="00C15AC2">
            <w:pPr>
              <w:autoSpaceDE w:val="0"/>
              <w:autoSpaceDN w:val="0"/>
              <w:adjustRightInd w:val="0"/>
            </w:pPr>
            <w:r w:rsidRPr="005C0E81">
              <w:t>Cmax: ↔</w:t>
            </w:r>
          </w:p>
          <w:p w14:paraId="5C531DB3" w14:textId="77777777" w:rsidR="00A83AE6" w:rsidRPr="005C0E81" w:rsidRDefault="00A83AE6" w:rsidP="00C15AC2">
            <w:pPr>
              <w:autoSpaceDE w:val="0"/>
              <w:autoSpaceDN w:val="0"/>
              <w:adjustRightInd w:val="0"/>
            </w:pPr>
            <w:r w:rsidRPr="005C0E81">
              <w:t>Cmin: ↔</w:t>
            </w:r>
          </w:p>
          <w:p w14:paraId="7BA73E68" w14:textId="77777777" w:rsidR="00A83AE6" w:rsidRPr="005C0E81" w:rsidRDefault="00A83AE6" w:rsidP="00C15AC2">
            <w:pPr>
              <w:autoSpaceDE w:val="0"/>
              <w:autoSpaceDN w:val="0"/>
              <w:adjustRightInd w:val="0"/>
            </w:pPr>
          </w:p>
          <w:p w14:paraId="5A120893" w14:textId="77777777" w:rsidR="009A4FAE" w:rsidRPr="005C0E81" w:rsidRDefault="009A4FAE" w:rsidP="00B06C01">
            <w:r w:rsidRPr="005C0E81">
              <w:t>Voksilapreviras:</w:t>
            </w:r>
          </w:p>
          <w:p w14:paraId="00DFE5B8" w14:textId="77777777" w:rsidR="009A4FAE" w:rsidRPr="005C0E81" w:rsidRDefault="009A4FAE" w:rsidP="00B06C01">
            <w:r w:rsidRPr="005C0E81">
              <w:t>AUC: ↑ 143%</w:t>
            </w:r>
          </w:p>
          <w:p w14:paraId="287C700E" w14:textId="77777777" w:rsidR="009A4FAE" w:rsidRPr="005C0E81" w:rsidRDefault="009A4FAE" w:rsidP="00B06C01">
            <w:r w:rsidRPr="005C0E81">
              <w:t>Cmax:↑ 72%</w:t>
            </w:r>
          </w:p>
          <w:p w14:paraId="48E38302" w14:textId="77777777" w:rsidR="009A4FAE" w:rsidRPr="005C0E81" w:rsidRDefault="009A4FAE" w:rsidP="00B06C01">
            <w:r w:rsidRPr="005C0E81">
              <w:t>Cmin: ↑ 300%</w:t>
            </w:r>
          </w:p>
          <w:p w14:paraId="5B25B25D" w14:textId="77777777" w:rsidR="009A4FAE" w:rsidRPr="005C0E81" w:rsidRDefault="009A4FAE" w:rsidP="00C15AC2">
            <w:pPr>
              <w:autoSpaceDE w:val="0"/>
              <w:autoSpaceDN w:val="0"/>
              <w:adjustRightInd w:val="0"/>
            </w:pPr>
          </w:p>
          <w:p w14:paraId="503878A5" w14:textId="77777777" w:rsidR="009A4FAE" w:rsidRPr="005C0E81" w:rsidRDefault="009A4FAE" w:rsidP="00B06C01">
            <w:r w:rsidRPr="005C0E81">
              <w:t>Darunaviras:</w:t>
            </w:r>
          </w:p>
          <w:p w14:paraId="21792A22" w14:textId="77777777" w:rsidR="009A4FAE" w:rsidRPr="005C0E81" w:rsidRDefault="009A4FAE" w:rsidP="00B06C01">
            <w:r w:rsidRPr="005C0E81">
              <w:t>AUC: ↔</w:t>
            </w:r>
          </w:p>
          <w:p w14:paraId="40522C2C" w14:textId="77777777" w:rsidR="009A4FAE" w:rsidRPr="005C0E81" w:rsidRDefault="009A4FAE" w:rsidP="00B06C01">
            <w:r w:rsidRPr="005C0E81">
              <w:t>Cmax: ↔</w:t>
            </w:r>
          </w:p>
          <w:p w14:paraId="2B757B50" w14:textId="77777777" w:rsidR="009A4FAE" w:rsidRPr="005C0E81" w:rsidRDefault="009A4FAE" w:rsidP="00B06C01">
            <w:r w:rsidRPr="005C0E81">
              <w:t>Cmin: ↓ 34%</w:t>
            </w:r>
          </w:p>
          <w:p w14:paraId="5508720B" w14:textId="77777777" w:rsidR="009A4FAE" w:rsidRPr="005C0E81" w:rsidRDefault="009A4FAE" w:rsidP="00B06C01"/>
          <w:p w14:paraId="400C02DD" w14:textId="77777777" w:rsidR="009A4FAE" w:rsidRPr="005C0E81" w:rsidRDefault="009A4FAE" w:rsidP="00B06C01">
            <w:r w:rsidRPr="005C0E81">
              <w:t>Ritonaviras:</w:t>
            </w:r>
          </w:p>
          <w:p w14:paraId="27D69D39" w14:textId="77777777" w:rsidR="009A4FAE" w:rsidRPr="005C0E81" w:rsidRDefault="009A4FAE" w:rsidP="00B06C01">
            <w:r w:rsidRPr="005C0E81">
              <w:t>AUC: ↑ 45%</w:t>
            </w:r>
          </w:p>
          <w:p w14:paraId="6F5A4B60" w14:textId="77777777" w:rsidR="009A4FAE" w:rsidRPr="005C0E81" w:rsidRDefault="009A4FAE" w:rsidP="00B06C01">
            <w:r w:rsidRPr="005C0E81">
              <w:t>Cmax: ↑ 60%</w:t>
            </w:r>
          </w:p>
          <w:p w14:paraId="760AA080" w14:textId="77777777" w:rsidR="009A4FAE" w:rsidRPr="005C0E81" w:rsidRDefault="009A4FAE" w:rsidP="00B06C01">
            <w:r w:rsidRPr="005C0E81">
              <w:t>Cmin: ↔</w:t>
            </w:r>
          </w:p>
          <w:p w14:paraId="10BC4DCE" w14:textId="77777777" w:rsidR="009A4FAE" w:rsidRPr="005C0E81" w:rsidRDefault="009A4FAE" w:rsidP="00C15AC2">
            <w:pPr>
              <w:autoSpaceDE w:val="0"/>
              <w:autoSpaceDN w:val="0"/>
              <w:adjustRightInd w:val="0"/>
            </w:pPr>
          </w:p>
          <w:p w14:paraId="2301A2B1" w14:textId="77777777" w:rsidR="00A83AE6" w:rsidRPr="005C0E81" w:rsidRDefault="00A83AE6" w:rsidP="00C15AC2">
            <w:pPr>
              <w:autoSpaceDE w:val="0"/>
              <w:autoSpaceDN w:val="0"/>
              <w:adjustRightInd w:val="0"/>
            </w:pPr>
            <w:r w:rsidRPr="005C0E81">
              <w:t xml:space="preserve">Emtricitabinas: </w:t>
            </w:r>
          </w:p>
          <w:p w14:paraId="10CB2563" w14:textId="77777777" w:rsidR="00A83AE6" w:rsidRPr="005C0E81" w:rsidRDefault="00A83AE6" w:rsidP="00C15AC2">
            <w:pPr>
              <w:autoSpaceDE w:val="0"/>
              <w:autoSpaceDN w:val="0"/>
              <w:adjustRightInd w:val="0"/>
            </w:pPr>
            <w:r w:rsidRPr="005C0E81">
              <w:t xml:space="preserve">AUC: ↔ </w:t>
            </w:r>
          </w:p>
          <w:p w14:paraId="5C660C92" w14:textId="77777777" w:rsidR="00A83AE6" w:rsidRPr="005C0E81" w:rsidRDefault="00A83AE6" w:rsidP="00C15AC2">
            <w:pPr>
              <w:autoSpaceDE w:val="0"/>
              <w:autoSpaceDN w:val="0"/>
              <w:adjustRightInd w:val="0"/>
            </w:pPr>
            <w:r w:rsidRPr="005C0E81">
              <w:t xml:space="preserve">Cmax: ↔ </w:t>
            </w:r>
          </w:p>
          <w:p w14:paraId="51FD336D" w14:textId="77777777" w:rsidR="00A83AE6" w:rsidRPr="005C0E81" w:rsidRDefault="00A83AE6" w:rsidP="00C15AC2">
            <w:pPr>
              <w:autoSpaceDE w:val="0"/>
              <w:autoSpaceDN w:val="0"/>
              <w:adjustRightInd w:val="0"/>
            </w:pPr>
            <w:r w:rsidRPr="005C0E81">
              <w:t xml:space="preserve">Cmin: ↔ </w:t>
            </w:r>
          </w:p>
          <w:p w14:paraId="79AAB622" w14:textId="77777777" w:rsidR="00A83AE6" w:rsidRPr="005C0E81" w:rsidRDefault="00A83AE6" w:rsidP="00C15AC2">
            <w:pPr>
              <w:autoSpaceDE w:val="0"/>
              <w:autoSpaceDN w:val="0"/>
              <w:adjustRightInd w:val="0"/>
            </w:pPr>
          </w:p>
          <w:p w14:paraId="251A38E1" w14:textId="77777777" w:rsidR="00A83AE6" w:rsidRPr="005C0E81" w:rsidRDefault="00A83AE6" w:rsidP="00C15AC2">
            <w:pPr>
              <w:autoSpaceDE w:val="0"/>
              <w:autoSpaceDN w:val="0"/>
              <w:adjustRightInd w:val="0"/>
            </w:pPr>
            <w:r w:rsidRPr="005C0E81">
              <w:t xml:space="preserve">Tenofoviras: </w:t>
            </w:r>
          </w:p>
          <w:p w14:paraId="7A04D365" w14:textId="77777777" w:rsidR="00A83AE6" w:rsidRPr="005C0E81" w:rsidRDefault="00A83AE6" w:rsidP="00C15AC2">
            <w:pPr>
              <w:autoSpaceDE w:val="0"/>
              <w:autoSpaceDN w:val="0"/>
              <w:adjustRightInd w:val="0"/>
            </w:pPr>
            <w:r w:rsidRPr="005C0E81">
              <w:t>AUC: ↑ </w:t>
            </w:r>
            <w:r w:rsidR="00B06C01" w:rsidRPr="005C0E81">
              <w:t>39</w:t>
            </w:r>
            <w:r w:rsidRPr="005C0E81">
              <w:t> %</w:t>
            </w:r>
          </w:p>
          <w:p w14:paraId="262ECAB8" w14:textId="77777777" w:rsidR="00A83AE6" w:rsidRPr="005C0E81" w:rsidRDefault="00A83AE6" w:rsidP="00C15AC2">
            <w:pPr>
              <w:autoSpaceDE w:val="0"/>
              <w:autoSpaceDN w:val="0"/>
              <w:adjustRightInd w:val="0"/>
            </w:pPr>
            <w:r w:rsidRPr="005C0E81">
              <w:t>Cmax: ↑ 4</w:t>
            </w:r>
            <w:r w:rsidR="00B06C01" w:rsidRPr="005C0E81">
              <w:t>8</w:t>
            </w:r>
            <w:r w:rsidRPr="005C0E81">
              <w:t> %</w:t>
            </w:r>
          </w:p>
          <w:p w14:paraId="6C23C697" w14:textId="77777777" w:rsidR="00A83AE6" w:rsidRPr="005C0E81" w:rsidRDefault="00A83AE6" w:rsidP="00B06C01">
            <w:pPr>
              <w:autoSpaceDE w:val="0"/>
              <w:autoSpaceDN w:val="0"/>
              <w:adjustRightInd w:val="0"/>
            </w:pPr>
            <w:r w:rsidRPr="005C0E81">
              <w:t>Cmin: ↑ </w:t>
            </w:r>
            <w:r w:rsidR="00B06C01" w:rsidRPr="005C0E81">
              <w:t>47</w:t>
            </w:r>
            <w:r w:rsidRPr="005C0E81">
              <w:t xml:space="preserve"> % </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33866F37" w14:textId="77777777" w:rsidR="00B06C01" w:rsidRPr="005C0E81" w:rsidRDefault="00B06C01" w:rsidP="00B06C01">
            <w:pPr>
              <w:autoSpaceDE w:val="0"/>
              <w:autoSpaceDN w:val="0"/>
              <w:adjustRightInd w:val="0"/>
            </w:pPr>
            <w:r w:rsidRPr="005C0E81">
              <w:t>Padidėjus tenofoviro ekspozicijai plazmoje kartu vartojant tenofoviro</w:t>
            </w:r>
          </w:p>
          <w:p w14:paraId="47655B3C" w14:textId="77777777" w:rsidR="00B06C01" w:rsidRPr="005C0E81" w:rsidRDefault="00B06C01" w:rsidP="00B06C01">
            <w:pPr>
              <w:autoSpaceDE w:val="0"/>
              <w:autoSpaceDN w:val="0"/>
              <w:adjustRightInd w:val="0"/>
            </w:pPr>
            <w:r w:rsidRPr="005C0E81">
              <w:t>dizoproksilį su sofosbuviru, velpatasviru ir voksilapreviru bei darunaviru ir ritonaviru, gali sustiprėti su tenofoviro dizoproksiliu susijusios nepageidaujamos reakcijos, įskaitant inkstų sutrikimus. Tenofoviro dizoproksilio saugumas, jį skiriant kartu su</w:t>
            </w:r>
          </w:p>
          <w:p w14:paraId="1669E6DD" w14:textId="77777777" w:rsidR="00A83AE6" w:rsidRPr="00E1395D" w:rsidRDefault="00B06C01" w:rsidP="00B06C01">
            <w:pPr>
              <w:autoSpaceDE w:val="0"/>
              <w:autoSpaceDN w:val="0"/>
              <w:adjustRightInd w:val="0"/>
              <w:rPr>
                <w:szCs w:val="24"/>
                <w:lang w:eastAsia="sl-SI"/>
              </w:rPr>
            </w:pPr>
            <w:r w:rsidRPr="005C0E81">
              <w:t>sofosbuviru, velpatasviru ir voksilapreviru bei farmakokinetiką stiprinančia medžiaga (pvz., ritonaviru ar kobicistatu), nenustatytas. Tokį derinį reikia vartoti atsargiai, dažnai tikrinant inkstų veiklą (žr. 4.4 skyrių).</w:t>
            </w:r>
          </w:p>
        </w:tc>
      </w:tr>
      <w:tr w:rsidR="00DA70E6" w:rsidRPr="00DA70E6" w14:paraId="5D3B3007"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2BB13787" w14:textId="77777777" w:rsidR="00DA70E6" w:rsidRPr="00DA70E6" w:rsidRDefault="00DA70E6" w:rsidP="00DA70E6">
            <w:pPr>
              <w:autoSpaceDE w:val="0"/>
              <w:autoSpaceDN w:val="0"/>
              <w:adjustRightInd w:val="0"/>
            </w:pPr>
            <w:r w:rsidRPr="00DA70E6">
              <w:rPr>
                <w:color w:val="000000"/>
              </w:rPr>
              <w:t xml:space="preserve">Sofosbuviras </w:t>
            </w:r>
          </w:p>
          <w:p w14:paraId="48AC0564" w14:textId="77777777" w:rsidR="00DA70E6" w:rsidRPr="00DA70E6" w:rsidRDefault="00DA70E6" w:rsidP="00DA70E6">
            <w:pPr>
              <w:autoSpaceDE w:val="0"/>
              <w:autoSpaceDN w:val="0"/>
              <w:adjustRightInd w:val="0"/>
            </w:pPr>
            <w:r w:rsidRPr="00DA70E6">
              <w:rPr>
                <w:color w:val="000000"/>
              </w:rPr>
              <w:t xml:space="preserve">(400 mg q.d.) + </w:t>
            </w:r>
          </w:p>
          <w:p w14:paraId="0A57B4E2" w14:textId="77777777" w:rsidR="00DA70E6" w:rsidRPr="00DA70E6" w:rsidRDefault="00DA70E6" w:rsidP="00DA70E6">
            <w:pPr>
              <w:autoSpaceDE w:val="0"/>
              <w:autoSpaceDN w:val="0"/>
              <w:adjustRightInd w:val="0"/>
            </w:pPr>
            <w:r w:rsidRPr="00DA70E6">
              <w:rPr>
                <w:color w:val="000000"/>
              </w:rPr>
              <w:t xml:space="preserve">efavirenzas / emtricitabinas / </w:t>
            </w:r>
            <w:r w:rsidR="00A977CA" w:rsidRPr="00DA70E6">
              <w:rPr>
                <w:color w:val="000000"/>
              </w:rPr>
              <w:t>tenofovir</w:t>
            </w:r>
            <w:r w:rsidR="00A977CA">
              <w:rPr>
                <w:color w:val="000000"/>
              </w:rPr>
              <w:t>as</w:t>
            </w:r>
            <w:r w:rsidR="00A977CA" w:rsidRPr="00DA70E6">
              <w:rPr>
                <w:color w:val="000000"/>
              </w:rPr>
              <w:t xml:space="preserve"> </w:t>
            </w:r>
            <w:r w:rsidRPr="00DA70E6">
              <w:rPr>
                <w:color w:val="000000"/>
              </w:rPr>
              <w:t>dizoproksilis</w:t>
            </w:r>
          </w:p>
          <w:p w14:paraId="61C2F6A0" w14:textId="77777777" w:rsidR="00DA70E6" w:rsidRPr="00DA70E6" w:rsidRDefault="00DA70E6" w:rsidP="00DA70E6">
            <w:pPr>
              <w:widowControl w:val="0"/>
              <w:ind w:left="57" w:right="57"/>
            </w:pPr>
            <w:r w:rsidRPr="00DA70E6">
              <w:t xml:space="preserve">(600 mg / 200 mg / 245 mg q.d.) </w:t>
            </w:r>
          </w:p>
        </w:tc>
        <w:tc>
          <w:tcPr>
            <w:tcW w:w="3078" w:type="dxa"/>
            <w:gridSpan w:val="2"/>
            <w:tcBorders>
              <w:top w:val="single" w:sz="4" w:space="0" w:color="000000"/>
              <w:left w:val="single" w:sz="4" w:space="0" w:color="000000"/>
              <w:bottom w:val="single" w:sz="4" w:space="0" w:color="000000"/>
              <w:right w:val="single" w:sz="4" w:space="0" w:color="000000"/>
            </w:tcBorders>
          </w:tcPr>
          <w:p w14:paraId="0F7C3EA1" w14:textId="77777777" w:rsidR="00DA70E6" w:rsidRPr="00202CF6" w:rsidRDefault="00DA70E6" w:rsidP="00A83AE6">
            <w:pPr>
              <w:autoSpaceDE w:val="0"/>
              <w:autoSpaceDN w:val="0"/>
              <w:adjustRightInd w:val="0"/>
              <w:rPr>
                <w:szCs w:val="22"/>
              </w:rPr>
            </w:pPr>
            <w:r w:rsidRPr="00B06C01">
              <w:rPr>
                <w:color w:val="000000"/>
                <w:szCs w:val="22"/>
              </w:rPr>
              <w:t xml:space="preserve">Sofosbuviras: </w:t>
            </w:r>
          </w:p>
          <w:p w14:paraId="2C7B6C8C" w14:textId="77777777" w:rsidR="00DA70E6" w:rsidRPr="00B06C01" w:rsidRDefault="00DA70E6" w:rsidP="00DA70E6">
            <w:pPr>
              <w:autoSpaceDE w:val="0"/>
              <w:autoSpaceDN w:val="0"/>
              <w:adjustRightInd w:val="0"/>
              <w:rPr>
                <w:szCs w:val="22"/>
              </w:rPr>
            </w:pPr>
            <w:r w:rsidRPr="00613B1F">
              <w:t xml:space="preserve">AUC: ↔ </w:t>
            </w:r>
          </w:p>
          <w:p w14:paraId="16000A55" w14:textId="77777777" w:rsidR="00DA70E6" w:rsidRPr="00B06C01" w:rsidRDefault="00DA70E6" w:rsidP="00DA70E6">
            <w:pPr>
              <w:autoSpaceDE w:val="0"/>
              <w:autoSpaceDN w:val="0"/>
              <w:adjustRightInd w:val="0"/>
              <w:rPr>
                <w:szCs w:val="22"/>
              </w:rPr>
            </w:pPr>
            <w:r w:rsidRPr="00613B1F">
              <w:t>C</w:t>
            </w:r>
            <w:r w:rsidRPr="00613B1F">
              <w:rPr>
                <w:vertAlign w:val="subscript"/>
              </w:rPr>
              <w:t>max</w:t>
            </w:r>
            <w:r w:rsidRPr="00613B1F">
              <w:t xml:space="preserve">: ↓ 19 % (nuo ↓ 40 iki ↑ 10) </w:t>
            </w:r>
          </w:p>
          <w:p w14:paraId="1A991FB2" w14:textId="77777777" w:rsidR="00DA70E6" w:rsidRPr="00B06C01" w:rsidRDefault="00DA70E6" w:rsidP="00DA70E6">
            <w:pPr>
              <w:autoSpaceDE w:val="0"/>
              <w:autoSpaceDN w:val="0"/>
              <w:adjustRightInd w:val="0"/>
              <w:rPr>
                <w:szCs w:val="22"/>
              </w:rPr>
            </w:pPr>
          </w:p>
          <w:p w14:paraId="7F61A7B5" w14:textId="77777777" w:rsidR="00DA70E6" w:rsidRPr="00DA70E6" w:rsidRDefault="00DA70E6" w:rsidP="00DA70E6">
            <w:pPr>
              <w:autoSpaceDE w:val="0"/>
              <w:autoSpaceDN w:val="0"/>
              <w:adjustRightInd w:val="0"/>
            </w:pPr>
            <w:r w:rsidRPr="00DA70E6">
              <w:rPr>
                <w:color w:val="000000"/>
              </w:rPr>
              <w:t>GS-331007</w:t>
            </w:r>
            <w:r w:rsidRPr="00DA70E6">
              <w:rPr>
                <w:color w:val="000000"/>
                <w:vertAlign w:val="superscript"/>
              </w:rPr>
              <w:t>2</w:t>
            </w:r>
            <w:r w:rsidRPr="00DA70E6">
              <w:rPr>
                <w:color w:val="000000"/>
              </w:rPr>
              <w:t xml:space="preserve">: </w:t>
            </w:r>
          </w:p>
          <w:p w14:paraId="606BC5DC" w14:textId="77777777" w:rsidR="00DA70E6" w:rsidRPr="00DA70E6" w:rsidRDefault="00DA70E6" w:rsidP="00DA70E6">
            <w:pPr>
              <w:autoSpaceDE w:val="0"/>
              <w:autoSpaceDN w:val="0"/>
              <w:adjustRightInd w:val="0"/>
            </w:pPr>
            <w:r w:rsidRPr="00DA70E6">
              <w:rPr>
                <w:color w:val="000000"/>
              </w:rPr>
              <w:t xml:space="preserve">AUC: ↔ </w:t>
            </w:r>
          </w:p>
          <w:p w14:paraId="2192738C"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23 % (nuo ↓ 30 iki ↑ 16) </w:t>
            </w:r>
          </w:p>
          <w:p w14:paraId="0A67878C" w14:textId="77777777" w:rsidR="00DA70E6" w:rsidRPr="00DA70E6" w:rsidRDefault="00DA70E6" w:rsidP="00DA70E6">
            <w:pPr>
              <w:autoSpaceDE w:val="0"/>
              <w:autoSpaceDN w:val="0"/>
              <w:adjustRightInd w:val="0"/>
            </w:pPr>
          </w:p>
          <w:p w14:paraId="40C7B67D" w14:textId="77777777" w:rsidR="00DA70E6" w:rsidRPr="00DA70E6" w:rsidRDefault="00DA70E6" w:rsidP="00DA70E6">
            <w:pPr>
              <w:autoSpaceDE w:val="0"/>
              <w:autoSpaceDN w:val="0"/>
              <w:adjustRightInd w:val="0"/>
            </w:pPr>
            <w:r w:rsidRPr="00DA70E6">
              <w:rPr>
                <w:color w:val="000000"/>
              </w:rPr>
              <w:t xml:space="preserve">Efavirenzas: </w:t>
            </w:r>
          </w:p>
          <w:p w14:paraId="48B0AED4" w14:textId="77777777" w:rsidR="00DA70E6" w:rsidRPr="00DA70E6" w:rsidRDefault="00DA70E6" w:rsidP="00DA70E6">
            <w:pPr>
              <w:autoSpaceDE w:val="0"/>
              <w:autoSpaceDN w:val="0"/>
              <w:adjustRightInd w:val="0"/>
            </w:pPr>
            <w:r w:rsidRPr="00DA70E6">
              <w:rPr>
                <w:color w:val="000000"/>
              </w:rPr>
              <w:t xml:space="preserve">AUC: ↔ </w:t>
            </w:r>
          </w:p>
          <w:p w14:paraId="3D2FD78D"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6F6D2292"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48D43FE3" w14:textId="77777777" w:rsidR="00DA70E6" w:rsidRPr="00DA70E6" w:rsidRDefault="00DA70E6" w:rsidP="00DA70E6">
            <w:pPr>
              <w:autoSpaceDE w:val="0"/>
              <w:autoSpaceDN w:val="0"/>
              <w:adjustRightInd w:val="0"/>
            </w:pPr>
          </w:p>
          <w:p w14:paraId="11A3C341" w14:textId="77777777" w:rsidR="00DA70E6" w:rsidRPr="00DA70E6" w:rsidRDefault="00DA70E6" w:rsidP="00DA70E6">
            <w:pPr>
              <w:autoSpaceDE w:val="0"/>
              <w:autoSpaceDN w:val="0"/>
              <w:adjustRightInd w:val="0"/>
            </w:pPr>
            <w:r w:rsidRPr="00DA70E6">
              <w:rPr>
                <w:color w:val="000000"/>
              </w:rPr>
              <w:t xml:space="preserve">Emtricitabinas: </w:t>
            </w:r>
          </w:p>
          <w:p w14:paraId="52865BA5" w14:textId="77777777" w:rsidR="00DA70E6" w:rsidRPr="00DA70E6" w:rsidRDefault="00DA70E6" w:rsidP="00DA70E6">
            <w:pPr>
              <w:autoSpaceDE w:val="0"/>
              <w:autoSpaceDN w:val="0"/>
              <w:adjustRightInd w:val="0"/>
            </w:pPr>
            <w:r w:rsidRPr="00DA70E6">
              <w:rPr>
                <w:color w:val="000000"/>
              </w:rPr>
              <w:lastRenderedPageBreak/>
              <w:t xml:space="preserve">AUC: ↔ </w:t>
            </w:r>
          </w:p>
          <w:p w14:paraId="0776AA4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w:t>
            </w:r>
          </w:p>
          <w:p w14:paraId="6E6F1765"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 </w:t>
            </w:r>
          </w:p>
          <w:p w14:paraId="36E160F9" w14:textId="77777777" w:rsidR="00DA70E6" w:rsidRPr="00DA70E6" w:rsidRDefault="00DA70E6" w:rsidP="00DA70E6">
            <w:pPr>
              <w:autoSpaceDE w:val="0"/>
              <w:autoSpaceDN w:val="0"/>
              <w:adjustRightInd w:val="0"/>
            </w:pPr>
          </w:p>
          <w:p w14:paraId="7F51FDDB" w14:textId="77777777" w:rsidR="00DA70E6" w:rsidRPr="00DA70E6" w:rsidRDefault="00DA70E6" w:rsidP="00DA70E6">
            <w:pPr>
              <w:autoSpaceDE w:val="0"/>
              <w:autoSpaceDN w:val="0"/>
              <w:adjustRightInd w:val="0"/>
            </w:pPr>
            <w:r w:rsidRPr="00DA70E6">
              <w:rPr>
                <w:color w:val="000000"/>
              </w:rPr>
              <w:t xml:space="preserve">Tenofoviras: </w:t>
            </w:r>
          </w:p>
          <w:p w14:paraId="0784ACC1" w14:textId="77777777" w:rsidR="00DA70E6" w:rsidRPr="00DA70E6" w:rsidRDefault="00DA70E6" w:rsidP="00DA70E6">
            <w:pPr>
              <w:autoSpaceDE w:val="0"/>
              <w:autoSpaceDN w:val="0"/>
              <w:adjustRightInd w:val="0"/>
            </w:pPr>
            <w:r w:rsidRPr="00DA70E6">
              <w:rPr>
                <w:color w:val="000000"/>
              </w:rPr>
              <w:t xml:space="preserve">AUC: ↔ </w:t>
            </w:r>
          </w:p>
          <w:p w14:paraId="07E414B3"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25 % (nuo ↑ 8 iki ↑ 45) </w:t>
            </w:r>
          </w:p>
          <w:p w14:paraId="53FACD6D" w14:textId="77777777" w:rsidR="00DA70E6" w:rsidRPr="00DA70E6" w:rsidRDefault="00DA70E6" w:rsidP="00DA70E6">
            <w:pPr>
              <w:widowControl w:val="0"/>
              <w:ind w:left="57" w:right="57"/>
            </w:pPr>
            <w:r w:rsidRPr="00DA70E6">
              <w:t>C</w:t>
            </w:r>
            <w:r w:rsidRPr="00DA70E6">
              <w:rPr>
                <w:vertAlign w:val="subscript"/>
              </w:rPr>
              <w:t>min</w:t>
            </w:r>
            <w:r w:rsidRPr="00DA70E6">
              <w:t xml:space="preserve">: ↔ </w:t>
            </w:r>
          </w:p>
        </w:tc>
        <w:tc>
          <w:tcPr>
            <w:tcW w:w="2592" w:type="dxa"/>
            <w:tcBorders>
              <w:top w:val="single" w:sz="4" w:space="0" w:color="000000"/>
              <w:left w:val="single" w:sz="4" w:space="0" w:color="000000"/>
              <w:bottom w:val="single" w:sz="4" w:space="0" w:color="000000"/>
              <w:right w:val="single" w:sz="4" w:space="0" w:color="000000"/>
            </w:tcBorders>
          </w:tcPr>
          <w:p w14:paraId="57A7A37E" w14:textId="77777777" w:rsidR="00DA70E6" w:rsidRPr="00DA70E6" w:rsidRDefault="00DA70E6" w:rsidP="00DA70E6">
            <w:pPr>
              <w:autoSpaceDE w:val="0"/>
              <w:autoSpaceDN w:val="0"/>
              <w:adjustRightInd w:val="0"/>
            </w:pPr>
            <w:r w:rsidRPr="00DA70E6">
              <w:rPr>
                <w:color w:val="000000"/>
              </w:rPr>
              <w:lastRenderedPageBreak/>
              <w:t xml:space="preserve">Dozės koreguoti nereikia. </w:t>
            </w:r>
          </w:p>
          <w:p w14:paraId="5537EAE5" w14:textId="77777777" w:rsidR="00DA70E6" w:rsidRPr="00DA70E6" w:rsidRDefault="00DA70E6" w:rsidP="00DA70E6">
            <w:pPr>
              <w:widowControl w:val="0"/>
              <w:ind w:left="57" w:right="57"/>
            </w:pPr>
          </w:p>
        </w:tc>
      </w:tr>
      <w:tr w:rsidR="00DA70E6" w:rsidRPr="00DA70E6" w14:paraId="49291BBA" w14:textId="77777777" w:rsidTr="00613B1F">
        <w:trPr>
          <w:trHeight w:val="20"/>
        </w:trPr>
        <w:tc>
          <w:tcPr>
            <w:tcW w:w="3312" w:type="dxa"/>
            <w:tcBorders>
              <w:top w:val="single" w:sz="4" w:space="0" w:color="000000"/>
              <w:left w:val="single" w:sz="4" w:space="0" w:color="000000"/>
              <w:bottom w:val="single" w:sz="4" w:space="0" w:color="000000"/>
              <w:right w:val="single" w:sz="4" w:space="0" w:color="000000"/>
            </w:tcBorders>
          </w:tcPr>
          <w:p w14:paraId="42AE5868" w14:textId="77777777" w:rsidR="00DA70E6" w:rsidRPr="00DA70E6" w:rsidRDefault="00DA70E6" w:rsidP="00A977CA">
            <w:pPr>
              <w:widowControl w:val="0"/>
              <w:ind w:left="57" w:right="57"/>
            </w:pPr>
            <w:r w:rsidRPr="00DA70E6">
              <w:t xml:space="preserve">Ribavirinas / </w:t>
            </w:r>
            <w:r w:rsidR="00C32308" w:rsidRPr="002023C7">
              <w:t>tenofoviro</w:t>
            </w:r>
            <w:r w:rsidR="00A977CA" w:rsidRPr="00DA70E6">
              <w:t xml:space="preserve"> </w:t>
            </w:r>
            <w:r w:rsidRPr="00DA70E6">
              <w:t xml:space="preserve">dizoproksilis </w:t>
            </w:r>
          </w:p>
        </w:tc>
        <w:tc>
          <w:tcPr>
            <w:tcW w:w="3078" w:type="dxa"/>
            <w:gridSpan w:val="2"/>
            <w:tcBorders>
              <w:top w:val="single" w:sz="4" w:space="0" w:color="000000"/>
              <w:left w:val="single" w:sz="4" w:space="0" w:color="000000"/>
              <w:bottom w:val="single" w:sz="4" w:space="0" w:color="000000"/>
              <w:right w:val="single" w:sz="4" w:space="0" w:color="000000"/>
            </w:tcBorders>
          </w:tcPr>
          <w:p w14:paraId="35825BC8" w14:textId="77777777" w:rsidR="00DA70E6" w:rsidRPr="00DA70E6" w:rsidRDefault="00DA70E6" w:rsidP="00DA70E6">
            <w:pPr>
              <w:autoSpaceDE w:val="0"/>
              <w:autoSpaceDN w:val="0"/>
              <w:adjustRightInd w:val="0"/>
            </w:pPr>
            <w:r w:rsidRPr="00DA70E6">
              <w:rPr>
                <w:color w:val="000000"/>
              </w:rPr>
              <w:t xml:space="preserve">Ribavirinas: </w:t>
            </w:r>
          </w:p>
          <w:p w14:paraId="6507E4DD" w14:textId="77777777" w:rsidR="00DA70E6" w:rsidRPr="00DA70E6" w:rsidRDefault="00DA70E6" w:rsidP="00DA70E6">
            <w:pPr>
              <w:autoSpaceDE w:val="0"/>
              <w:autoSpaceDN w:val="0"/>
              <w:adjustRightInd w:val="0"/>
            </w:pPr>
            <w:r w:rsidRPr="00DA70E6">
              <w:rPr>
                <w:color w:val="000000"/>
              </w:rPr>
              <w:t xml:space="preserve">AUC: </w:t>
            </w:r>
            <w:r w:rsidRPr="00DA70E6">
              <w:rPr>
                <w:b/>
                <w:color w:val="000000"/>
              </w:rPr>
              <w:t>↑ </w:t>
            </w:r>
            <w:r w:rsidRPr="00DA70E6">
              <w:rPr>
                <w:color w:val="000000"/>
              </w:rPr>
              <w:t xml:space="preserve">26 % (nuo ↑ 20 iki </w:t>
            </w:r>
            <w:r w:rsidRPr="00DA70E6">
              <w:rPr>
                <w:b/>
                <w:color w:val="000000"/>
              </w:rPr>
              <w:t>↑ </w:t>
            </w:r>
            <w:r w:rsidRPr="00DA70E6">
              <w:rPr>
                <w:color w:val="000000"/>
              </w:rPr>
              <w:t xml:space="preserve">32) </w:t>
            </w:r>
          </w:p>
          <w:p w14:paraId="7AE3F0FC"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5 % (nuo ↓ 11 iki </w:t>
            </w:r>
            <w:r w:rsidRPr="00DA70E6">
              <w:rPr>
                <w:b/>
                <w:color w:val="000000"/>
              </w:rPr>
              <w:t>↑ </w:t>
            </w:r>
            <w:r w:rsidRPr="00DA70E6">
              <w:rPr>
                <w:color w:val="000000"/>
              </w:rPr>
              <w:t xml:space="preserve">1) </w:t>
            </w:r>
          </w:p>
          <w:p w14:paraId="15A0F9AC" w14:textId="77777777" w:rsidR="00DA70E6" w:rsidRPr="00DA70E6" w:rsidRDefault="00DA70E6" w:rsidP="00DA70E6">
            <w:pPr>
              <w:widowControl w:val="0"/>
              <w:spacing w:before="9"/>
              <w:ind w:left="57" w:right="57"/>
            </w:pPr>
            <w:r w:rsidRPr="00DA70E6">
              <w:t>C</w:t>
            </w:r>
            <w:r w:rsidRPr="00DA70E6">
              <w:rPr>
                <w:vertAlign w:val="subscript"/>
              </w:rPr>
              <w:t>min</w:t>
            </w:r>
            <w:r w:rsidRPr="00DA70E6">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5B96F45B" w14:textId="77777777" w:rsidR="00DA70E6" w:rsidRPr="00DA70E6" w:rsidRDefault="00DA70E6" w:rsidP="00DA70E6">
            <w:pPr>
              <w:widowControl w:val="0"/>
              <w:ind w:left="57" w:right="57"/>
            </w:pPr>
            <w:r w:rsidRPr="00DA70E6">
              <w:t xml:space="preserve">Ribavirino dozės koreguoti nereikia. </w:t>
            </w:r>
          </w:p>
        </w:tc>
      </w:tr>
      <w:tr w:rsidR="00DA70E6" w:rsidRPr="00DA70E6" w14:paraId="7508A500"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49199226" w14:textId="77777777" w:rsidR="00DA70E6" w:rsidRPr="00DA70E6" w:rsidRDefault="00DA70E6" w:rsidP="00DA70E6">
            <w:pPr>
              <w:widowControl w:val="0"/>
              <w:ind w:left="57" w:right="57"/>
            </w:pPr>
            <w:r w:rsidRPr="00DA70E6">
              <w:rPr>
                <w:b/>
              </w:rPr>
              <w:t xml:space="preserve">Antivirusinės medžiagos nuo pūslelinės viruso </w:t>
            </w:r>
          </w:p>
        </w:tc>
      </w:tr>
      <w:tr w:rsidR="00DA70E6" w:rsidRPr="00DA70E6" w14:paraId="5D1451C8" w14:textId="77777777" w:rsidTr="00613B1F">
        <w:trPr>
          <w:trHeight w:val="20"/>
        </w:trPr>
        <w:tc>
          <w:tcPr>
            <w:tcW w:w="3330" w:type="dxa"/>
            <w:gridSpan w:val="2"/>
            <w:tcBorders>
              <w:top w:val="single" w:sz="4" w:space="0" w:color="000000"/>
              <w:left w:val="single" w:sz="4" w:space="0" w:color="000000"/>
              <w:bottom w:val="single" w:sz="4" w:space="0" w:color="000000"/>
              <w:right w:val="single" w:sz="4" w:space="0" w:color="000000"/>
            </w:tcBorders>
          </w:tcPr>
          <w:p w14:paraId="67AEF219" w14:textId="77777777" w:rsidR="00DA70E6" w:rsidRPr="00DA70E6" w:rsidRDefault="00DA70E6" w:rsidP="00DA70E6">
            <w:pPr>
              <w:autoSpaceDE w:val="0"/>
              <w:autoSpaceDN w:val="0"/>
              <w:adjustRightInd w:val="0"/>
            </w:pPr>
            <w:r w:rsidRPr="00DA70E6">
              <w:rPr>
                <w:color w:val="000000"/>
              </w:rPr>
              <w:t xml:space="preserve">Famcikloviras / emtricitabinas </w:t>
            </w:r>
          </w:p>
          <w:p w14:paraId="3D8AA816" w14:textId="77777777" w:rsidR="00DA70E6" w:rsidRPr="00DA70E6" w:rsidRDefault="00DA70E6" w:rsidP="00DA70E6">
            <w:pPr>
              <w:widowControl w:val="0"/>
              <w:ind w:left="57" w:right="57"/>
            </w:pPr>
          </w:p>
        </w:tc>
        <w:tc>
          <w:tcPr>
            <w:tcW w:w="3060" w:type="dxa"/>
            <w:tcBorders>
              <w:top w:val="single" w:sz="4" w:space="0" w:color="000000"/>
              <w:left w:val="single" w:sz="4" w:space="0" w:color="000000"/>
              <w:bottom w:val="single" w:sz="4" w:space="0" w:color="000000"/>
              <w:right w:val="single" w:sz="4" w:space="0" w:color="000000"/>
            </w:tcBorders>
          </w:tcPr>
          <w:p w14:paraId="0B5F2944" w14:textId="77777777" w:rsidR="00DA70E6" w:rsidRPr="00DA70E6" w:rsidRDefault="00DA70E6" w:rsidP="00DA70E6">
            <w:pPr>
              <w:autoSpaceDE w:val="0"/>
              <w:autoSpaceDN w:val="0"/>
              <w:adjustRightInd w:val="0"/>
            </w:pPr>
            <w:r w:rsidRPr="00DA70E6">
              <w:rPr>
                <w:color w:val="000000"/>
              </w:rPr>
              <w:t xml:space="preserve">Famcikloviras: </w:t>
            </w:r>
          </w:p>
          <w:p w14:paraId="5CBEBDF0" w14:textId="77777777" w:rsidR="00DA70E6" w:rsidRPr="00DA70E6" w:rsidRDefault="00DA70E6" w:rsidP="00DA70E6">
            <w:pPr>
              <w:autoSpaceDE w:val="0"/>
              <w:autoSpaceDN w:val="0"/>
              <w:adjustRightInd w:val="0"/>
            </w:pPr>
            <w:r w:rsidRPr="00DA70E6">
              <w:rPr>
                <w:color w:val="000000"/>
              </w:rPr>
              <w:t xml:space="preserve">AUC: ↓ 9 % (nuo ↓ 16 iki ↓ 1) </w:t>
            </w:r>
          </w:p>
          <w:p w14:paraId="1C898EC9"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7 % (nuo ↓ 22 iki </w:t>
            </w:r>
            <w:r w:rsidRPr="00DA70E6">
              <w:rPr>
                <w:b/>
                <w:color w:val="000000"/>
              </w:rPr>
              <w:t>↑ </w:t>
            </w:r>
            <w:r w:rsidRPr="00DA70E6">
              <w:rPr>
                <w:color w:val="000000"/>
              </w:rPr>
              <w:t xml:space="preserve">11) </w:t>
            </w:r>
          </w:p>
          <w:p w14:paraId="64376C64"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3D461B16" w14:textId="77777777" w:rsidR="00DA70E6" w:rsidRPr="00DA70E6" w:rsidRDefault="00DA70E6" w:rsidP="00DA70E6">
            <w:pPr>
              <w:autoSpaceDE w:val="0"/>
              <w:autoSpaceDN w:val="0"/>
              <w:adjustRightInd w:val="0"/>
            </w:pPr>
          </w:p>
          <w:p w14:paraId="4589DDE7" w14:textId="77777777" w:rsidR="00DA70E6" w:rsidRPr="00DA70E6" w:rsidRDefault="00DA70E6" w:rsidP="00DA70E6">
            <w:pPr>
              <w:autoSpaceDE w:val="0"/>
              <w:autoSpaceDN w:val="0"/>
              <w:adjustRightInd w:val="0"/>
            </w:pPr>
            <w:r w:rsidRPr="00DA70E6">
              <w:rPr>
                <w:color w:val="000000"/>
              </w:rPr>
              <w:t xml:space="preserve">Emtricitabinas: </w:t>
            </w:r>
          </w:p>
          <w:p w14:paraId="5512C8A0" w14:textId="77777777" w:rsidR="00DA70E6" w:rsidRPr="00DA70E6" w:rsidRDefault="00DA70E6" w:rsidP="00DA70E6">
            <w:pPr>
              <w:autoSpaceDE w:val="0"/>
              <w:autoSpaceDN w:val="0"/>
              <w:adjustRightInd w:val="0"/>
            </w:pPr>
            <w:r w:rsidRPr="00DA70E6">
              <w:rPr>
                <w:color w:val="000000"/>
              </w:rPr>
              <w:t xml:space="preserve">AUC: ↓ 7 % (nuo ↓ 13 iki ↓ 1) </w:t>
            </w:r>
          </w:p>
          <w:p w14:paraId="4CA77692"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11 % (nuo ↓ 20 iki </w:t>
            </w:r>
            <w:r w:rsidRPr="00DA70E6">
              <w:rPr>
                <w:b/>
                <w:color w:val="000000"/>
              </w:rPr>
              <w:t>↑ </w:t>
            </w:r>
            <w:r w:rsidRPr="00DA70E6">
              <w:rPr>
                <w:color w:val="000000"/>
              </w:rPr>
              <w:t xml:space="preserve">1) </w:t>
            </w:r>
          </w:p>
          <w:p w14:paraId="4F7C8DB7" w14:textId="77777777" w:rsidR="00DA70E6" w:rsidRPr="00DA70E6" w:rsidRDefault="00DA70E6" w:rsidP="00DA70E6">
            <w:pPr>
              <w:widowControl w:val="0"/>
              <w:ind w:left="57" w:right="57"/>
            </w:pPr>
            <w:r w:rsidRPr="00DA70E6">
              <w:t>C</w:t>
            </w:r>
            <w:r w:rsidRPr="00DA70E6">
              <w:rPr>
                <w:vertAlign w:val="subscript"/>
              </w:rPr>
              <w:t>min</w:t>
            </w:r>
            <w:r w:rsidRPr="00DA70E6">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785574AD" w14:textId="77777777" w:rsidR="00DA70E6" w:rsidRPr="00DA70E6" w:rsidRDefault="00DA70E6" w:rsidP="00DA70E6">
            <w:pPr>
              <w:autoSpaceDE w:val="0"/>
              <w:autoSpaceDN w:val="0"/>
              <w:adjustRightInd w:val="0"/>
            </w:pPr>
            <w:r w:rsidRPr="00DA70E6">
              <w:rPr>
                <w:color w:val="000000"/>
              </w:rPr>
              <w:t xml:space="preserve">Famcikloviro dozės koreguoti nereikia. </w:t>
            </w:r>
          </w:p>
          <w:p w14:paraId="016A10D4" w14:textId="77777777" w:rsidR="00DA70E6" w:rsidRPr="00DA70E6" w:rsidRDefault="00DA70E6" w:rsidP="00DA70E6">
            <w:pPr>
              <w:widowControl w:val="0"/>
              <w:ind w:left="57" w:right="57"/>
            </w:pPr>
          </w:p>
        </w:tc>
      </w:tr>
      <w:tr w:rsidR="00DA70E6" w:rsidRPr="00DA70E6" w14:paraId="5A63D3B5"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6F924B68" w14:textId="77777777" w:rsidR="00DA70E6" w:rsidRPr="00DA70E6" w:rsidRDefault="00DA70E6" w:rsidP="00DA70E6">
            <w:pPr>
              <w:widowControl w:val="0"/>
              <w:ind w:left="57" w:right="57"/>
            </w:pPr>
            <w:r w:rsidRPr="00DA70E6">
              <w:rPr>
                <w:b/>
              </w:rPr>
              <w:t xml:space="preserve">Antimikobakteriniai preparatai </w:t>
            </w:r>
          </w:p>
        </w:tc>
      </w:tr>
      <w:tr w:rsidR="00DA70E6" w:rsidRPr="00DA70E6" w14:paraId="664B0B1B" w14:textId="77777777" w:rsidTr="00613B1F">
        <w:trPr>
          <w:trHeight w:val="20"/>
        </w:trPr>
        <w:tc>
          <w:tcPr>
            <w:tcW w:w="3330" w:type="dxa"/>
            <w:gridSpan w:val="2"/>
            <w:tcBorders>
              <w:top w:val="single" w:sz="4" w:space="0" w:color="000000"/>
              <w:left w:val="single" w:sz="4" w:space="0" w:color="000000"/>
              <w:bottom w:val="single" w:sz="4" w:space="0" w:color="000000"/>
              <w:right w:val="single" w:sz="4" w:space="0" w:color="000000"/>
            </w:tcBorders>
          </w:tcPr>
          <w:p w14:paraId="42BDBB91" w14:textId="77777777" w:rsidR="00DA70E6" w:rsidRPr="00DA70E6" w:rsidRDefault="00DA70E6" w:rsidP="00DA70E6">
            <w:pPr>
              <w:autoSpaceDE w:val="0"/>
              <w:autoSpaceDN w:val="0"/>
              <w:adjustRightInd w:val="0"/>
            </w:pPr>
            <w:r w:rsidRPr="00DA70E6">
              <w:rPr>
                <w:color w:val="000000"/>
              </w:rPr>
              <w:t xml:space="preserve">Rifampicinas / </w:t>
            </w:r>
            <w:r w:rsidR="00C32308" w:rsidRPr="00310E5F">
              <w:rPr>
                <w:color w:val="000000"/>
              </w:rPr>
              <w:t>tenofoviro</w:t>
            </w:r>
            <w:r w:rsidR="00A977CA" w:rsidRPr="00DA70E6">
              <w:rPr>
                <w:color w:val="000000"/>
              </w:rPr>
              <w:t xml:space="preserve"> </w:t>
            </w:r>
            <w:r w:rsidRPr="00DA70E6">
              <w:rPr>
                <w:color w:val="000000"/>
              </w:rPr>
              <w:t xml:space="preserve">dizoproksilis </w:t>
            </w:r>
          </w:p>
          <w:p w14:paraId="03D18A56" w14:textId="77777777" w:rsidR="00DA70E6" w:rsidRPr="00DA70E6" w:rsidRDefault="00DA70E6" w:rsidP="00DA70E6">
            <w:pPr>
              <w:widowControl w:val="0"/>
              <w:ind w:left="57" w:right="57"/>
            </w:pPr>
          </w:p>
        </w:tc>
        <w:tc>
          <w:tcPr>
            <w:tcW w:w="3060" w:type="dxa"/>
            <w:tcBorders>
              <w:top w:val="single" w:sz="4" w:space="0" w:color="000000"/>
              <w:left w:val="single" w:sz="4" w:space="0" w:color="000000"/>
              <w:bottom w:val="single" w:sz="4" w:space="0" w:color="000000"/>
              <w:right w:val="single" w:sz="4" w:space="0" w:color="000000"/>
            </w:tcBorders>
          </w:tcPr>
          <w:p w14:paraId="18B4C4DC" w14:textId="77777777" w:rsidR="00DA70E6" w:rsidRPr="00DA70E6" w:rsidRDefault="00DA70E6" w:rsidP="00DA70E6">
            <w:pPr>
              <w:autoSpaceDE w:val="0"/>
              <w:autoSpaceDN w:val="0"/>
              <w:adjustRightInd w:val="0"/>
            </w:pPr>
            <w:r w:rsidRPr="00DA70E6">
              <w:rPr>
                <w:color w:val="000000"/>
              </w:rPr>
              <w:t xml:space="preserve">Tenofoviras: </w:t>
            </w:r>
          </w:p>
          <w:p w14:paraId="69F0E790" w14:textId="77777777" w:rsidR="00DA70E6" w:rsidRPr="00DA70E6" w:rsidRDefault="00DA70E6" w:rsidP="00DA70E6">
            <w:pPr>
              <w:autoSpaceDE w:val="0"/>
              <w:autoSpaceDN w:val="0"/>
              <w:adjustRightInd w:val="0"/>
            </w:pPr>
            <w:r w:rsidRPr="00DA70E6">
              <w:rPr>
                <w:color w:val="000000"/>
              </w:rPr>
              <w:t xml:space="preserve">AUC: ↓ 12 % (nuo ↓ 16 iki ↓ 8) </w:t>
            </w:r>
          </w:p>
          <w:p w14:paraId="59F06FA1"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16 % (nuo ↓ 22 iki ↓ 10) </w:t>
            </w:r>
          </w:p>
          <w:p w14:paraId="77F7580A" w14:textId="77777777" w:rsidR="00DA70E6" w:rsidRPr="00DA70E6" w:rsidRDefault="00DA70E6" w:rsidP="00DA70E6">
            <w:pPr>
              <w:widowControl w:val="0"/>
              <w:ind w:left="57" w:right="57"/>
            </w:pPr>
            <w:r w:rsidRPr="00DA70E6">
              <w:t>C</w:t>
            </w:r>
            <w:r w:rsidRPr="00DA70E6">
              <w:rPr>
                <w:vertAlign w:val="subscript"/>
              </w:rPr>
              <w:t>min</w:t>
            </w:r>
            <w:r w:rsidRPr="00DA70E6">
              <w:t xml:space="preserve">: ↓ 15 % (nuo ↓ 12 iki ↓ 9) </w:t>
            </w:r>
          </w:p>
        </w:tc>
        <w:tc>
          <w:tcPr>
            <w:tcW w:w="2592" w:type="dxa"/>
            <w:tcBorders>
              <w:top w:val="single" w:sz="4" w:space="0" w:color="000000"/>
              <w:left w:val="single" w:sz="4" w:space="0" w:color="000000"/>
              <w:bottom w:val="single" w:sz="4" w:space="0" w:color="000000"/>
              <w:right w:val="single" w:sz="4" w:space="0" w:color="000000"/>
            </w:tcBorders>
          </w:tcPr>
          <w:p w14:paraId="66F96EB1" w14:textId="77777777" w:rsidR="00DA70E6" w:rsidRPr="00DA70E6" w:rsidRDefault="00DA70E6" w:rsidP="00DA70E6">
            <w:pPr>
              <w:autoSpaceDE w:val="0"/>
              <w:autoSpaceDN w:val="0"/>
              <w:adjustRightInd w:val="0"/>
            </w:pPr>
            <w:r w:rsidRPr="00DA70E6">
              <w:rPr>
                <w:color w:val="000000"/>
              </w:rPr>
              <w:t xml:space="preserve">Dozės koreguoti nereikia. </w:t>
            </w:r>
          </w:p>
          <w:p w14:paraId="0A186E45" w14:textId="77777777" w:rsidR="00DA70E6" w:rsidRPr="00DA70E6" w:rsidRDefault="00DA70E6" w:rsidP="00DA70E6">
            <w:pPr>
              <w:widowControl w:val="0"/>
              <w:ind w:left="57" w:right="57"/>
            </w:pPr>
          </w:p>
        </w:tc>
      </w:tr>
      <w:tr w:rsidR="00DA70E6" w:rsidRPr="00DA70E6" w14:paraId="619BEB98"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67F5F3EE" w14:textId="77777777" w:rsidR="00DA70E6" w:rsidRPr="00DA70E6" w:rsidRDefault="00DA70E6" w:rsidP="00DA70E6">
            <w:pPr>
              <w:widowControl w:val="0"/>
              <w:ind w:left="57" w:right="57"/>
            </w:pPr>
            <w:r w:rsidRPr="00DA70E6">
              <w:rPr>
                <w:b/>
                <w:i/>
                <w:sz w:val="20"/>
              </w:rPr>
              <w:t>GERIAMIEJI KONTRACEPTIKAI</w:t>
            </w:r>
          </w:p>
        </w:tc>
      </w:tr>
      <w:tr w:rsidR="00DA70E6" w:rsidRPr="00DA70E6" w14:paraId="6E86584E" w14:textId="77777777" w:rsidTr="00613B1F">
        <w:trPr>
          <w:trHeight w:val="20"/>
        </w:trPr>
        <w:tc>
          <w:tcPr>
            <w:tcW w:w="3330" w:type="dxa"/>
            <w:gridSpan w:val="2"/>
            <w:tcBorders>
              <w:top w:val="single" w:sz="4" w:space="0" w:color="000000"/>
              <w:left w:val="single" w:sz="4" w:space="0" w:color="000000"/>
              <w:bottom w:val="single" w:sz="4" w:space="0" w:color="000000"/>
              <w:right w:val="single" w:sz="4" w:space="0" w:color="000000"/>
            </w:tcBorders>
          </w:tcPr>
          <w:p w14:paraId="35AA02E8" w14:textId="77777777" w:rsidR="00DA70E6" w:rsidRPr="00DA70E6" w:rsidRDefault="00DA70E6" w:rsidP="00A977CA">
            <w:pPr>
              <w:widowControl w:val="0"/>
              <w:ind w:left="57" w:right="57"/>
            </w:pPr>
            <w:r w:rsidRPr="00DA70E6">
              <w:t xml:space="preserve">Norgestimatas / etinilestradiolis / </w:t>
            </w:r>
            <w:r w:rsidR="00C32308" w:rsidRPr="002023C7">
              <w:t>tenofoviro</w:t>
            </w:r>
            <w:r w:rsidR="00A977CA" w:rsidRPr="00DA70E6">
              <w:t xml:space="preserve"> </w:t>
            </w:r>
            <w:r w:rsidRPr="00DA70E6">
              <w:t xml:space="preserve">dizoproksilis </w:t>
            </w:r>
          </w:p>
        </w:tc>
        <w:tc>
          <w:tcPr>
            <w:tcW w:w="3060" w:type="dxa"/>
            <w:tcBorders>
              <w:top w:val="single" w:sz="4" w:space="0" w:color="000000"/>
              <w:left w:val="single" w:sz="4" w:space="0" w:color="000000"/>
              <w:bottom w:val="single" w:sz="4" w:space="0" w:color="000000"/>
              <w:right w:val="single" w:sz="4" w:space="0" w:color="000000"/>
            </w:tcBorders>
          </w:tcPr>
          <w:p w14:paraId="563E4C35" w14:textId="77777777" w:rsidR="00DA70E6" w:rsidRPr="00DA70E6" w:rsidRDefault="00DA70E6" w:rsidP="00DA70E6">
            <w:pPr>
              <w:autoSpaceDE w:val="0"/>
              <w:autoSpaceDN w:val="0"/>
              <w:adjustRightInd w:val="0"/>
            </w:pPr>
            <w:r w:rsidRPr="00DA70E6">
              <w:rPr>
                <w:color w:val="000000"/>
              </w:rPr>
              <w:t xml:space="preserve">Norgestimatas: </w:t>
            </w:r>
          </w:p>
          <w:p w14:paraId="2EFE637F" w14:textId="77777777" w:rsidR="00DA70E6" w:rsidRPr="00DA70E6" w:rsidRDefault="00DA70E6" w:rsidP="00DA70E6">
            <w:pPr>
              <w:autoSpaceDE w:val="0"/>
              <w:autoSpaceDN w:val="0"/>
              <w:adjustRightInd w:val="0"/>
            </w:pPr>
            <w:r w:rsidRPr="00DA70E6">
              <w:rPr>
                <w:color w:val="000000"/>
              </w:rPr>
              <w:t xml:space="preserve">AUC: ↓ 4 % (nuo ↓ 32 iki </w:t>
            </w:r>
            <w:r w:rsidRPr="00DA70E6">
              <w:rPr>
                <w:b/>
                <w:color w:val="000000"/>
              </w:rPr>
              <w:t>↑ </w:t>
            </w:r>
            <w:r w:rsidRPr="00DA70E6">
              <w:rPr>
                <w:color w:val="000000"/>
              </w:rPr>
              <w:t xml:space="preserve">34) </w:t>
            </w:r>
          </w:p>
          <w:p w14:paraId="703BDB9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5 % (nuo ↓ 27 iki </w:t>
            </w:r>
            <w:r w:rsidRPr="00DA70E6">
              <w:rPr>
                <w:b/>
                <w:color w:val="000000"/>
              </w:rPr>
              <w:t>↑ </w:t>
            </w:r>
            <w:r w:rsidRPr="00DA70E6">
              <w:rPr>
                <w:color w:val="000000"/>
              </w:rPr>
              <w:t xml:space="preserve">24) </w:t>
            </w:r>
          </w:p>
          <w:p w14:paraId="43645BF7"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7C28F568" w14:textId="77777777" w:rsidR="00DA70E6" w:rsidRPr="00DA70E6" w:rsidRDefault="00DA70E6" w:rsidP="00DA70E6">
            <w:pPr>
              <w:autoSpaceDE w:val="0"/>
              <w:autoSpaceDN w:val="0"/>
              <w:adjustRightInd w:val="0"/>
            </w:pPr>
          </w:p>
          <w:p w14:paraId="4A5B9F73" w14:textId="77777777" w:rsidR="00DA70E6" w:rsidRPr="00DA70E6" w:rsidRDefault="00DA70E6" w:rsidP="00DA70E6">
            <w:pPr>
              <w:autoSpaceDE w:val="0"/>
              <w:autoSpaceDN w:val="0"/>
              <w:adjustRightInd w:val="0"/>
            </w:pPr>
            <w:r w:rsidRPr="00DA70E6">
              <w:rPr>
                <w:color w:val="000000"/>
              </w:rPr>
              <w:t xml:space="preserve">Etinilestradiolis </w:t>
            </w:r>
          </w:p>
          <w:p w14:paraId="3800E49B" w14:textId="77777777" w:rsidR="00DA70E6" w:rsidRPr="00DA70E6" w:rsidRDefault="00DA70E6" w:rsidP="00DA70E6">
            <w:pPr>
              <w:autoSpaceDE w:val="0"/>
              <w:autoSpaceDN w:val="0"/>
              <w:adjustRightInd w:val="0"/>
            </w:pPr>
            <w:r w:rsidRPr="00DA70E6">
              <w:rPr>
                <w:color w:val="000000"/>
              </w:rPr>
              <w:t xml:space="preserve">AUC: ↓ 4 % (nuo ↓ 9 iki </w:t>
            </w:r>
            <w:r w:rsidRPr="00DA70E6">
              <w:rPr>
                <w:b/>
                <w:color w:val="000000"/>
              </w:rPr>
              <w:t>↑ </w:t>
            </w:r>
            <w:r w:rsidRPr="00DA70E6">
              <w:rPr>
                <w:color w:val="000000"/>
              </w:rPr>
              <w:t xml:space="preserve">0) </w:t>
            </w:r>
          </w:p>
          <w:p w14:paraId="154EE262"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 6 % (nuo ↓ 13 iki </w:t>
            </w:r>
            <w:r w:rsidRPr="00DA70E6">
              <w:rPr>
                <w:b/>
                <w:color w:val="000000"/>
              </w:rPr>
              <w:t>↑ </w:t>
            </w:r>
            <w:r w:rsidRPr="00DA70E6">
              <w:rPr>
                <w:color w:val="000000"/>
              </w:rPr>
              <w:t xml:space="preserve">0) </w:t>
            </w:r>
          </w:p>
          <w:p w14:paraId="0E4F7570" w14:textId="77777777" w:rsidR="00DA70E6" w:rsidRPr="00DA70E6" w:rsidRDefault="00DA70E6" w:rsidP="00DA70E6">
            <w:pPr>
              <w:ind w:left="57" w:right="57"/>
            </w:pPr>
            <w:r w:rsidRPr="00DA70E6">
              <w:t>C</w:t>
            </w:r>
            <w:r w:rsidRPr="00DA70E6">
              <w:rPr>
                <w:vertAlign w:val="subscript"/>
              </w:rPr>
              <w:t>min</w:t>
            </w:r>
            <w:r w:rsidRPr="00DA70E6">
              <w:t xml:space="preserve">: ↓ 2 % (nuo ↓ 9 iki </w:t>
            </w:r>
            <w:r w:rsidRPr="00DA70E6">
              <w:rPr>
                <w:b/>
              </w:rPr>
              <w:t>↑ </w:t>
            </w:r>
            <w:r w:rsidRPr="00DA70E6">
              <w:t xml:space="preserve">6 </w:t>
            </w:r>
          </w:p>
        </w:tc>
        <w:tc>
          <w:tcPr>
            <w:tcW w:w="2592" w:type="dxa"/>
            <w:tcBorders>
              <w:top w:val="single" w:sz="4" w:space="0" w:color="000000"/>
              <w:left w:val="single" w:sz="4" w:space="0" w:color="000000"/>
              <w:bottom w:val="single" w:sz="4" w:space="0" w:color="000000"/>
              <w:right w:val="single" w:sz="4" w:space="0" w:color="000000"/>
            </w:tcBorders>
          </w:tcPr>
          <w:p w14:paraId="19590722" w14:textId="77777777" w:rsidR="00DA70E6" w:rsidRPr="00DA70E6" w:rsidRDefault="00DA70E6" w:rsidP="00DA70E6">
            <w:pPr>
              <w:autoSpaceDE w:val="0"/>
              <w:autoSpaceDN w:val="0"/>
              <w:adjustRightInd w:val="0"/>
            </w:pPr>
            <w:r w:rsidRPr="00DA70E6">
              <w:rPr>
                <w:color w:val="000000"/>
              </w:rPr>
              <w:t>Norgestimato / etinilestradiolio dozės koreguoti nereikia.</w:t>
            </w:r>
          </w:p>
          <w:p w14:paraId="077354BC" w14:textId="77777777" w:rsidR="00DA70E6" w:rsidRPr="00DA70E6" w:rsidRDefault="00DA70E6" w:rsidP="00DA70E6">
            <w:pPr>
              <w:widowControl w:val="0"/>
              <w:ind w:left="57" w:right="57"/>
            </w:pPr>
          </w:p>
        </w:tc>
      </w:tr>
      <w:tr w:rsidR="00DA70E6" w:rsidRPr="00DA70E6" w14:paraId="3BA6C824"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32F6A864" w14:textId="77777777" w:rsidR="00DA70E6" w:rsidRPr="00DA70E6" w:rsidRDefault="00DA70E6" w:rsidP="00DA70E6">
            <w:pPr>
              <w:widowControl w:val="0"/>
              <w:ind w:left="57" w:right="57"/>
            </w:pPr>
            <w:r w:rsidRPr="00DA70E6">
              <w:rPr>
                <w:b/>
                <w:i/>
                <w:sz w:val="24"/>
              </w:rPr>
              <w:t>IMUNOSUPRESANTAI</w:t>
            </w:r>
          </w:p>
        </w:tc>
      </w:tr>
      <w:tr w:rsidR="00DA70E6" w:rsidRPr="00DA70E6" w14:paraId="497A1693" w14:textId="77777777" w:rsidTr="00613B1F">
        <w:trPr>
          <w:trHeight w:val="20"/>
        </w:trPr>
        <w:tc>
          <w:tcPr>
            <w:tcW w:w="3330" w:type="dxa"/>
            <w:gridSpan w:val="2"/>
            <w:tcBorders>
              <w:top w:val="single" w:sz="4" w:space="0" w:color="000000"/>
              <w:left w:val="single" w:sz="4" w:space="0" w:color="000000"/>
              <w:bottom w:val="single" w:sz="4" w:space="0" w:color="000000"/>
              <w:right w:val="single" w:sz="4" w:space="0" w:color="000000"/>
            </w:tcBorders>
          </w:tcPr>
          <w:p w14:paraId="0858CF52" w14:textId="77777777" w:rsidR="00DA70E6" w:rsidRPr="00DA70E6" w:rsidRDefault="00DA70E6" w:rsidP="00DA70E6">
            <w:pPr>
              <w:autoSpaceDE w:val="0"/>
              <w:autoSpaceDN w:val="0"/>
              <w:adjustRightInd w:val="0"/>
            </w:pPr>
            <w:r w:rsidRPr="00DA70E6">
              <w:rPr>
                <w:color w:val="000000"/>
              </w:rPr>
              <w:t xml:space="preserve">Takrolimuzas / </w:t>
            </w:r>
            <w:r w:rsidR="00C32308" w:rsidRPr="00310E5F">
              <w:rPr>
                <w:color w:val="000000"/>
              </w:rPr>
              <w:t>tenofoviro</w:t>
            </w:r>
            <w:r w:rsidR="00A977CA" w:rsidRPr="00DA70E6">
              <w:rPr>
                <w:color w:val="000000"/>
              </w:rPr>
              <w:t xml:space="preserve"> </w:t>
            </w:r>
            <w:r w:rsidRPr="00DA70E6">
              <w:rPr>
                <w:color w:val="000000"/>
              </w:rPr>
              <w:t xml:space="preserve">dizoproksilis / emtricitabinas </w:t>
            </w:r>
          </w:p>
          <w:p w14:paraId="52161FC8" w14:textId="77777777" w:rsidR="00DA70E6" w:rsidRPr="00DA70E6" w:rsidRDefault="00DA70E6" w:rsidP="00DA70E6">
            <w:pPr>
              <w:widowControl w:val="0"/>
              <w:spacing w:before="2"/>
              <w:ind w:left="57" w:right="57"/>
            </w:pPr>
          </w:p>
          <w:p w14:paraId="35CE0ED4" w14:textId="77777777" w:rsidR="00DA70E6" w:rsidRPr="00DA70E6" w:rsidRDefault="00DA70E6" w:rsidP="00DA70E6">
            <w:pPr>
              <w:widowControl w:val="0"/>
              <w:ind w:left="57" w:right="57"/>
            </w:pPr>
          </w:p>
        </w:tc>
        <w:tc>
          <w:tcPr>
            <w:tcW w:w="3060" w:type="dxa"/>
            <w:tcBorders>
              <w:top w:val="single" w:sz="4" w:space="0" w:color="000000"/>
              <w:left w:val="single" w:sz="4" w:space="0" w:color="000000"/>
              <w:bottom w:val="single" w:sz="4" w:space="0" w:color="000000"/>
              <w:right w:val="single" w:sz="4" w:space="0" w:color="000000"/>
            </w:tcBorders>
          </w:tcPr>
          <w:p w14:paraId="3D1BA652" w14:textId="77777777" w:rsidR="00DA70E6" w:rsidRPr="00DA70E6" w:rsidRDefault="00DA70E6" w:rsidP="00DA70E6">
            <w:pPr>
              <w:autoSpaceDE w:val="0"/>
              <w:autoSpaceDN w:val="0"/>
              <w:adjustRightInd w:val="0"/>
            </w:pPr>
            <w:r w:rsidRPr="00DA70E6">
              <w:rPr>
                <w:color w:val="000000"/>
              </w:rPr>
              <w:t xml:space="preserve">Takrolimuzas: </w:t>
            </w:r>
          </w:p>
          <w:p w14:paraId="68C86051" w14:textId="77777777" w:rsidR="00DA70E6" w:rsidRPr="00DA70E6" w:rsidRDefault="00DA70E6" w:rsidP="00DA70E6">
            <w:pPr>
              <w:autoSpaceDE w:val="0"/>
              <w:autoSpaceDN w:val="0"/>
              <w:adjustRightInd w:val="0"/>
            </w:pPr>
            <w:r w:rsidRPr="00DA70E6">
              <w:rPr>
                <w:color w:val="000000"/>
              </w:rPr>
              <w:t xml:space="preserve">AUC: </w:t>
            </w:r>
            <w:r w:rsidRPr="00DA70E6">
              <w:rPr>
                <w:b/>
                <w:color w:val="000000"/>
              </w:rPr>
              <w:t>↑ </w:t>
            </w:r>
            <w:r w:rsidRPr="00DA70E6">
              <w:rPr>
                <w:color w:val="000000"/>
              </w:rPr>
              <w:t xml:space="preserve">4 % (nuo ↓ 3 iki </w:t>
            </w:r>
            <w:r w:rsidRPr="00DA70E6">
              <w:rPr>
                <w:b/>
                <w:color w:val="000000"/>
              </w:rPr>
              <w:t>↑ </w:t>
            </w:r>
            <w:r w:rsidRPr="00DA70E6">
              <w:rPr>
                <w:color w:val="000000"/>
              </w:rPr>
              <w:t xml:space="preserve">11) </w:t>
            </w:r>
          </w:p>
          <w:p w14:paraId="6A23FD0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w:t>
            </w:r>
            <w:r w:rsidRPr="00DA70E6">
              <w:rPr>
                <w:b/>
                <w:color w:val="000000"/>
              </w:rPr>
              <w:t>↑ </w:t>
            </w:r>
            <w:r w:rsidRPr="00DA70E6">
              <w:rPr>
                <w:color w:val="000000"/>
              </w:rPr>
              <w:t xml:space="preserve">3 % (nuo ↓ 3 iki </w:t>
            </w:r>
            <w:r w:rsidRPr="00DA70E6">
              <w:rPr>
                <w:b/>
                <w:color w:val="000000"/>
              </w:rPr>
              <w:t>↑ </w:t>
            </w:r>
            <w:r w:rsidRPr="00DA70E6">
              <w:rPr>
                <w:color w:val="000000"/>
              </w:rPr>
              <w:t xml:space="preserve">9) </w:t>
            </w:r>
          </w:p>
          <w:p w14:paraId="01AF148C"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34B3DCE8" w14:textId="77777777" w:rsidR="00DA70E6" w:rsidRPr="00DA70E6" w:rsidRDefault="00DA70E6" w:rsidP="00DA70E6">
            <w:pPr>
              <w:autoSpaceDE w:val="0"/>
              <w:autoSpaceDN w:val="0"/>
              <w:adjustRightInd w:val="0"/>
            </w:pPr>
          </w:p>
          <w:p w14:paraId="732E83E7" w14:textId="77777777" w:rsidR="00DA70E6" w:rsidRPr="00DA70E6" w:rsidRDefault="00DA70E6" w:rsidP="00DA70E6">
            <w:pPr>
              <w:autoSpaceDE w:val="0"/>
              <w:autoSpaceDN w:val="0"/>
              <w:adjustRightInd w:val="0"/>
            </w:pPr>
            <w:r w:rsidRPr="00DA70E6">
              <w:rPr>
                <w:color w:val="000000"/>
              </w:rPr>
              <w:t xml:space="preserve">Emtricitabinas: </w:t>
            </w:r>
          </w:p>
          <w:p w14:paraId="5A871AAB" w14:textId="77777777" w:rsidR="00DA70E6" w:rsidRPr="00DA70E6" w:rsidRDefault="00DA70E6" w:rsidP="00DA70E6">
            <w:pPr>
              <w:autoSpaceDE w:val="0"/>
              <w:autoSpaceDN w:val="0"/>
              <w:adjustRightInd w:val="0"/>
            </w:pPr>
            <w:r w:rsidRPr="00DA70E6">
              <w:rPr>
                <w:color w:val="000000"/>
              </w:rPr>
              <w:t xml:space="preserve">AUC: </w:t>
            </w:r>
            <w:r w:rsidRPr="00DA70E6">
              <w:rPr>
                <w:b/>
                <w:color w:val="000000"/>
              </w:rPr>
              <w:t>↓ </w:t>
            </w:r>
            <w:r w:rsidRPr="00DA70E6">
              <w:rPr>
                <w:color w:val="000000"/>
              </w:rPr>
              <w:t xml:space="preserve">5 % (nuo ↓ 9 iki </w:t>
            </w:r>
            <w:r w:rsidRPr="00DA70E6">
              <w:rPr>
                <w:b/>
                <w:color w:val="000000"/>
              </w:rPr>
              <w:t>↓ </w:t>
            </w:r>
            <w:r w:rsidRPr="00DA70E6">
              <w:rPr>
                <w:color w:val="000000"/>
              </w:rPr>
              <w:t xml:space="preserve">1) </w:t>
            </w:r>
          </w:p>
          <w:p w14:paraId="0C1705BD"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w:t>
            </w:r>
            <w:r w:rsidRPr="00DA70E6">
              <w:rPr>
                <w:b/>
                <w:color w:val="000000"/>
              </w:rPr>
              <w:t>↓ </w:t>
            </w:r>
            <w:r w:rsidRPr="00DA70E6">
              <w:rPr>
                <w:color w:val="000000"/>
              </w:rPr>
              <w:t xml:space="preserve">11 % (nuo ↓ 17 iki </w:t>
            </w:r>
            <w:r w:rsidRPr="00DA70E6">
              <w:rPr>
                <w:b/>
                <w:color w:val="000000"/>
              </w:rPr>
              <w:t>↓ </w:t>
            </w:r>
            <w:r w:rsidRPr="00DA70E6">
              <w:rPr>
                <w:color w:val="000000"/>
              </w:rPr>
              <w:t xml:space="preserve">5) </w:t>
            </w:r>
          </w:p>
          <w:p w14:paraId="6A43E18C"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min</w:t>
            </w:r>
            <w:r w:rsidRPr="00DA70E6">
              <w:rPr>
                <w:color w:val="000000"/>
              </w:rPr>
              <w:t xml:space="preserve">: NA </w:t>
            </w:r>
          </w:p>
          <w:p w14:paraId="4930B969" w14:textId="77777777" w:rsidR="00DA70E6" w:rsidRPr="00DA70E6" w:rsidRDefault="00DA70E6" w:rsidP="00DA70E6">
            <w:pPr>
              <w:autoSpaceDE w:val="0"/>
              <w:autoSpaceDN w:val="0"/>
              <w:adjustRightInd w:val="0"/>
            </w:pPr>
          </w:p>
          <w:p w14:paraId="6D45CD27" w14:textId="77777777" w:rsidR="00DA70E6" w:rsidRPr="00DA70E6" w:rsidRDefault="00DA70E6" w:rsidP="00DA70E6">
            <w:pPr>
              <w:autoSpaceDE w:val="0"/>
              <w:autoSpaceDN w:val="0"/>
              <w:adjustRightInd w:val="0"/>
            </w:pPr>
            <w:r w:rsidRPr="00DA70E6">
              <w:rPr>
                <w:color w:val="000000"/>
              </w:rPr>
              <w:t xml:space="preserve">Tenofoviras: </w:t>
            </w:r>
          </w:p>
          <w:p w14:paraId="29DC5378" w14:textId="77777777" w:rsidR="00DA70E6" w:rsidRPr="00DA70E6" w:rsidRDefault="00DA70E6" w:rsidP="00DA70E6">
            <w:pPr>
              <w:autoSpaceDE w:val="0"/>
              <w:autoSpaceDN w:val="0"/>
              <w:adjustRightInd w:val="0"/>
            </w:pPr>
            <w:r w:rsidRPr="00DA70E6">
              <w:rPr>
                <w:color w:val="000000"/>
              </w:rPr>
              <w:t xml:space="preserve">AUC: </w:t>
            </w:r>
            <w:r w:rsidRPr="00DA70E6">
              <w:rPr>
                <w:b/>
                <w:color w:val="000000"/>
              </w:rPr>
              <w:t>↑ </w:t>
            </w:r>
            <w:r w:rsidRPr="00DA70E6">
              <w:rPr>
                <w:color w:val="000000"/>
              </w:rPr>
              <w:t xml:space="preserve">6 % (nuo ↓ 1 iki </w:t>
            </w:r>
            <w:r w:rsidRPr="00DA70E6">
              <w:rPr>
                <w:b/>
                <w:color w:val="000000"/>
              </w:rPr>
              <w:t>↑ </w:t>
            </w:r>
            <w:r w:rsidRPr="00DA70E6">
              <w:rPr>
                <w:color w:val="000000"/>
              </w:rPr>
              <w:t xml:space="preserve">13) </w:t>
            </w:r>
          </w:p>
          <w:p w14:paraId="047AF7A4"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w:t>
            </w:r>
            <w:r w:rsidRPr="00DA70E6">
              <w:rPr>
                <w:b/>
                <w:color w:val="000000"/>
              </w:rPr>
              <w:t>↑ </w:t>
            </w:r>
            <w:r w:rsidRPr="00DA70E6">
              <w:rPr>
                <w:color w:val="000000"/>
              </w:rPr>
              <w:t xml:space="preserve">13 % (nuo </w:t>
            </w:r>
            <w:r w:rsidRPr="00DA70E6">
              <w:rPr>
                <w:b/>
                <w:color w:val="000000"/>
              </w:rPr>
              <w:t>↑ </w:t>
            </w:r>
            <w:r w:rsidRPr="00DA70E6">
              <w:rPr>
                <w:color w:val="000000"/>
              </w:rPr>
              <w:t xml:space="preserve">1 iki </w:t>
            </w:r>
            <w:r w:rsidRPr="00DA70E6">
              <w:rPr>
                <w:b/>
                <w:color w:val="000000"/>
              </w:rPr>
              <w:t>↑ </w:t>
            </w:r>
            <w:r w:rsidRPr="00DA70E6">
              <w:rPr>
                <w:color w:val="000000"/>
              </w:rPr>
              <w:t xml:space="preserve">27) </w:t>
            </w:r>
          </w:p>
          <w:p w14:paraId="7C7B0845" w14:textId="77777777" w:rsidR="00DA70E6" w:rsidRPr="00DA70E6" w:rsidRDefault="00DA70E6" w:rsidP="00DA70E6">
            <w:pPr>
              <w:widowControl w:val="0"/>
              <w:ind w:left="57" w:right="57"/>
            </w:pPr>
            <w:r w:rsidRPr="00DA70E6">
              <w:t>C</w:t>
            </w:r>
            <w:r w:rsidRPr="00DA70E6">
              <w:rPr>
                <w:vertAlign w:val="subscript"/>
              </w:rPr>
              <w:t>min</w:t>
            </w:r>
            <w:r w:rsidRPr="00DA70E6">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16F93A07" w14:textId="77777777" w:rsidR="00DA70E6" w:rsidRPr="00DA70E6" w:rsidRDefault="00DA70E6" w:rsidP="00DA70E6">
            <w:pPr>
              <w:autoSpaceDE w:val="0"/>
              <w:autoSpaceDN w:val="0"/>
              <w:adjustRightInd w:val="0"/>
            </w:pPr>
            <w:r w:rsidRPr="00DA70E6">
              <w:rPr>
                <w:color w:val="000000"/>
              </w:rPr>
              <w:t xml:space="preserve">Takrolimuzo dozės koreguoti nereikia. </w:t>
            </w:r>
          </w:p>
          <w:p w14:paraId="7233D4DD" w14:textId="77777777" w:rsidR="00DA70E6" w:rsidRPr="00DA70E6" w:rsidRDefault="00DA70E6" w:rsidP="00DA70E6">
            <w:pPr>
              <w:widowControl w:val="0"/>
              <w:ind w:left="57" w:right="57"/>
            </w:pPr>
          </w:p>
        </w:tc>
      </w:tr>
      <w:tr w:rsidR="00DA70E6" w:rsidRPr="00DA70E6" w14:paraId="60B72567" w14:textId="77777777" w:rsidTr="00613B1F">
        <w:trPr>
          <w:trHeight w:val="20"/>
        </w:trPr>
        <w:tc>
          <w:tcPr>
            <w:tcW w:w="8982" w:type="dxa"/>
            <w:gridSpan w:val="4"/>
            <w:tcBorders>
              <w:top w:val="single" w:sz="4" w:space="0" w:color="000000"/>
              <w:left w:val="single" w:sz="4" w:space="0" w:color="000000"/>
              <w:bottom w:val="single" w:sz="4" w:space="0" w:color="000000"/>
              <w:right w:val="single" w:sz="4" w:space="0" w:color="000000"/>
            </w:tcBorders>
          </w:tcPr>
          <w:p w14:paraId="6BC0DBA4" w14:textId="77777777" w:rsidR="00DA70E6" w:rsidRPr="00DA70E6" w:rsidRDefault="00DA70E6" w:rsidP="00DA70E6">
            <w:pPr>
              <w:widowControl w:val="0"/>
              <w:ind w:left="57" w:right="57"/>
            </w:pPr>
            <w:r w:rsidRPr="00DA70E6">
              <w:rPr>
                <w:b/>
                <w:i/>
              </w:rPr>
              <w:t>NARKOTINIAI ANALGETIKAI</w:t>
            </w:r>
          </w:p>
        </w:tc>
      </w:tr>
      <w:tr w:rsidR="00DA70E6" w:rsidRPr="00DA70E6" w14:paraId="11B7AECB" w14:textId="77777777" w:rsidTr="00613B1F">
        <w:trPr>
          <w:trHeight w:val="20"/>
        </w:trPr>
        <w:tc>
          <w:tcPr>
            <w:tcW w:w="3330" w:type="dxa"/>
            <w:gridSpan w:val="2"/>
            <w:tcBorders>
              <w:top w:val="single" w:sz="4" w:space="0" w:color="000000"/>
              <w:left w:val="single" w:sz="4" w:space="0" w:color="000000"/>
              <w:bottom w:val="single" w:sz="4" w:space="0" w:color="000000"/>
              <w:right w:val="single" w:sz="4" w:space="0" w:color="000000"/>
            </w:tcBorders>
          </w:tcPr>
          <w:p w14:paraId="6D22BFF3" w14:textId="77777777" w:rsidR="00DA70E6" w:rsidRPr="00DA70E6" w:rsidRDefault="00DA70E6" w:rsidP="00DA70E6">
            <w:pPr>
              <w:autoSpaceDE w:val="0"/>
              <w:autoSpaceDN w:val="0"/>
              <w:adjustRightInd w:val="0"/>
            </w:pPr>
            <w:r w:rsidRPr="00DA70E6">
              <w:rPr>
                <w:color w:val="000000"/>
              </w:rPr>
              <w:t xml:space="preserve">Metadonas / </w:t>
            </w:r>
            <w:r w:rsidR="00C32308" w:rsidRPr="00310E5F">
              <w:rPr>
                <w:color w:val="000000"/>
              </w:rPr>
              <w:t>tenofoviro</w:t>
            </w:r>
            <w:r w:rsidR="00A977CA" w:rsidRPr="00DA70E6">
              <w:rPr>
                <w:color w:val="000000"/>
              </w:rPr>
              <w:t xml:space="preserve"> </w:t>
            </w:r>
            <w:r w:rsidRPr="00DA70E6">
              <w:rPr>
                <w:color w:val="000000"/>
              </w:rPr>
              <w:t xml:space="preserve">dizoproksilis </w:t>
            </w:r>
          </w:p>
          <w:p w14:paraId="692ABDD1" w14:textId="77777777" w:rsidR="00DA70E6" w:rsidRPr="00DA70E6" w:rsidRDefault="00DA70E6" w:rsidP="00DA70E6">
            <w:pPr>
              <w:widowControl w:val="0"/>
              <w:ind w:left="57" w:right="57"/>
            </w:pPr>
          </w:p>
        </w:tc>
        <w:tc>
          <w:tcPr>
            <w:tcW w:w="3060" w:type="dxa"/>
            <w:tcBorders>
              <w:top w:val="single" w:sz="4" w:space="0" w:color="000000"/>
              <w:left w:val="single" w:sz="4" w:space="0" w:color="000000"/>
              <w:bottom w:val="single" w:sz="4" w:space="0" w:color="000000"/>
              <w:right w:val="single" w:sz="4" w:space="0" w:color="000000"/>
            </w:tcBorders>
          </w:tcPr>
          <w:p w14:paraId="27C0F489" w14:textId="77777777" w:rsidR="00DA70E6" w:rsidRPr="00DA70E6" w:rsidRDefault="00DA70E6" w:rsidP="00DA70E6">
            <w:pPr>
              <w:autoSpaceDE w:val="0"/>
              <w:autoSpaceDN w:val="0"/>
              <w:adjustRightInd w:val="0"/>
            </w:pPr>
            <w:r w:rsidRPr="00DA70E6">
              <w:rPr>
                <w:color w:val="000000"/>
              </w:rPr>
              <w:t xml:space="preserve">Metadonas: </w:t>
            </w:r>
          </w:p>
          <w:p w14:paraId="3071FE0B" w14:textId="77777777" w:rsidR="00DA70E6" w:rsidRPr="00DA70E6" w:rsidRDefault="00DA70E6" w:rsidP="00DA70E6">
            <w:pPr>
              <w:autoSpaceDE w:val="0"/>
              <w:autoSpaceDN w:val="0"/>
              <w:adjustRightInd w:val="0"/>
            </w:pPr>
            <w:r w:rsidRPr="00DA70E6">
              <w:rPr>
                <w:color w:val="000000"/>
              </w:rPr>
              <w:t xml:space="preserve">AUC: </w:t>
            </w:r>
            <w:r w:rsidRPr="00DA70E6">
              <w:rPr>
                <w:b/>
                <w:color w:val="000000"/>
              </w:rPr>
              <w:t>↑ </w:t>
            </w:r>
            <w:r w:rsidRPr="00DA70E6">
              <w:rPr>
                <w:color w:val="000000"/>
              </w:rPr>
              <w:t xml:space="preserve">5 % (nuo ↓ 2 iki </w:t>
            </w:r>
            <w:r w:rsidRPr="00DA70E6">
              <w:rPr>
                <w:b/>
                <w:color w:val="000000"/>
              </w:rPr>
              <w:t>↑ </w:t>
            </w:r>
            <w:r w:rsidRPr="00DA70E6">
              <w:rPr>
                <w:color w:val="000000"/>
              </w:rPr>
              <w:t xml:space="preserve">13) </w:t>
            </w:r>
          </w:p>
          <w:p w14:paraId="202BB068" w14:textId="77777777" w:rsidR="00DA70E6" w:rsidRPr="00DA70E6" w:rsidRDefault="00DA70E6" w:rsidP="00DA70E6">
            <w:pPr>
              <w:autoSpaceDE w:val="0"/>
              <w:autoSpaceDN w:val="0"/>
              <w:adjustRightInd w:val="0"/>
            </w:pPr>
            <w:r w:rsidRPr="00DA70E6">
              <w:rPr>
                <w:color w:val="000000"/>
              </w:rPr>
              <w:t>C</w:t>
            </w:r>
            <w:r w:rsidRPr="00DA70E6">
              <w:rPr>
                <w:color w:val="000000"/>
                <w:vertAlign w:val="subscript"/>
              </w:rPr>
              <w:t>max</w:t>
            </w:r>
            <w:r w:rsidRPr="00DA70E6">
              <w:rPr>
                <w:color w:val="000000"/>
              </w:rPr>
              <w:t xml:space="preserve">: </w:t>
            </w:r>
            <w:r w:rsidRPr="00DA70E6">
              <w:rPr>
                <w:b/>
                <w:color w:val="000000"/>
              </w:rPr>
              <w:t>↑ </w:t>
            </w:r>
            <w:r w:rsidRPr="00DA70E6">
              <w:rPr>
                <w:color w:val="000000"/>
              </w:rPr>
              <w:t xml:space="preserve">5 % (nuo ↓ 3 iki </w:t>
            </w:r>
            <w:r w:rsidRPr="00DA70E6">
              <w:rPr>
                <w:b/>
                <w:color w:val="000000"/>
              </w:rPr>
              <w:t>↑ </w:t>
            </w:r>
            <w:r w:rsidRPr="00DA70E6">
              <w:rPr>
                <w:color w:val="000000"/>
              </w:rPr>
              <w:t xml:space="preserve">14) </w:t>
            </w:r>
          </w:p>
          <w:p w14:paraId="471B5967" w14:textId="77777777" w:rsidR="00DA70E6" w:rsidRPr="00DA70E6" w:rsidRDefault="00DA70E6" w:rsidP="00DA70E6">
            <w:pPr>
              <w:widowControl w:val="0"/>
              <w:ind w:left="57" w:right="57"/>
            </w:pPr>
            <w:r w:rsidRPr="00DA70E6">
              <w:t>C</w:t>
            </w:r>
            <w:r w:rsidRPr="00DA70E6">
              <w:rPr>
                <w:vertAlign w:val="subscript"/>
              </w:rPr>
              <w:t>min</w:t>
            </w:r>
            <w:r w:rsidRPr="00DA70E6">
              <w:t xml:space="preserve">: NA </w:t>
            </w:r>
          </w:p>
        </w:tc>
        <w:tc>
          <w:tcPr>
            <w:tcW w:w="2592" w:type="dxa"/>
            <w:tcBorders>
              <w:top w:val="single" w:sz="4" w:space="0" w:color="000000"/>
              <w:left w:val="single" w:sz="4" w:space="0" w:color="000000"/>
              <w:bottom w:val="single" w:sz="4" w:space="0" w:color="000000"/>
              <w:right w:val="single" w:sz="4" w:space="0" w:color="000000"/>
            </w:tcBorders>
          </w:tcPr>
          <w:p w14:paraId="7F41932A" w14:textId="77777777" w:rsidR="00DA70E6" w:rsidRPr="00DA70E6" w:rsidRDefault="00DA70E6" w:rsidP="00DA70E6">
            <w:pPr>
              <w:widowControl w:val="0"/>
              <w:ind w:left="57" w:right="57"/>
            </w:pPr>
            <w:r w:rsidRPr="00DA70E6">
              <w:t xml:space="preserve">Metadono dozės koreguoti nereikia. </w:t>
            </w:r>
          </w:p>
        </w:tc>
      </w:tr>
    </w:tbl>
    <w:p w14:paraId="4EB95106" w14:textId="77777777" w:rsidR="00DA70E6" w:rsidRPr="00DA70E6" w:rsidRDefault="00DA70E6" w:rsidP="00DA70E6">
      <w:pPr>
        <w:autoSpaceDE w:val="0"/>
        <w:autoSpaceDN w:val="0"/>
        <w:adjustRightInd w:val="0"/>
      </w:pPr>
      <w:r w:rsidRPr="00DA70E6">
        <w:rPr>
          <w:color w:val="000000"/>
        </w:rPr>
        <w:lastRenderedPageBreak/>
        <w:t xml:space="preserve">NA = neapskaičiuota. </w:t>
      </w:r>
    </w:p>
    <w:p w14:paraId="3666449F" w14:textId="77777777" w:rsidR="00DA70E6" w:rsidRPr="00DA70E6" w:rsidRDefault="00DA70E6" w:rsidP="00DA70E6">
      <w:pPr>
        <w:autoSpaceDE w:val="0"/>
        <w:autoSpaceDN w:val="0"/>
        <w:adjustRightInd w:val="0"/>
        <w:ind w:left="180" w:hanging="180"/>
      </w:pPr>
      <w:r w:rsidRPr="00DA70E6">
        <w:rPr>
          <w:color w:val="000000"/>
          <w:vertAlign w:val="superscript"/>
        </w:rPr>
        <w:t>1</w:t>
      </w:r>
      <w:r w:rsidRPr="00DA70E6">
        <w:rPr>
          <w:color w:val="000000"/>
        </w:rPr>
        <w:t xml:space="preserve"> Duomenys gauti vaistinio preparato skiriant vienu metu su ledipasviru / sofosbuviru. Vartojant ne vienu metu (su 12 val. pertrauka), gauti panašūs rezultatai. </w:t>
      </w:r>
    </w:p>
    <w:p w14:paraId="0C6361C1" w14:textId="77777777" w:rsidR="00DA70E6" w:rsidRPr="00DA70E6" w:rsidRDefault="00DA70E6" w:rsidP="00DA70E6">
      <w:pPr>
        <w:rPr>
          <w:b/>
        </w:rPr>
      </w:pPr>
      <w:r w:rsidRPr="00DA70E6">
        <w:rPr>
          <w:vertAlign w:val="superscript"/>
        </w:rPr>
        <w:t>2</w:t>
      </w:r>
      <w:r w:rsidRPr="00DA70E6">
        <w:t xml:space="preserve"> Pagrindinis kraujotakos sistemoje esantis sofosbuviro metabolitas.</w:t>
      </w:r>
    </w:p>
    <w:p w14:paraId="5BA9E25B" w14:textId="77777777" w:rsidR="00DA70E6" w:rsidRPr="00B06C01" w:rsidRDefault="00365EBE" w:rsidP="00B06C01">
      <w:pPr>
        <w:autoSpaceDE w:val="0"/>
        <w:autoSpaceDN w:val="0"/>
        <w:adjustRightInd w:val="0"/>
        <w:ind w:left="142" w:hanging="142"/>
        <w:rPr>
          <w:b/>
          <w:szCs w:val="22"/>
        </w:rPr>
      </w:pPr>
      <w:r w:rsidRPr="005C0E81">
        <w:rPr>
          <w:vertAlign w:val="superscript"/>
        </w:rPr>
        <w:t>3</w:t>
      </w:r>
      <w:r w:rsidRPr="005C0E81">
        <w:t xml:space="preserve"> Tyrimas atliktas papildomai skiriant 100 mg voksilapreviro, kad būtų pasiekta </w:t>
      </w:r>
      <w:r w:rsidR="00DA61BF" w:rsidRPr="005C0E81">
        <w:t>numatyta</w:t>
      </w:r>
      <w:r w:rsidRPr="005C0E81">
        <w:t xml:space="preserve"> voksilapreviro ekspozicija HCV infekuotiems pacientams.</w:t>
      </w:r>
    </w:p>
    <w:p w14:paraId="1F5DB492" w14:textId="77777777" w:rsidR="00365EBE" w:rsidRPr="00DA70E6" w:rsidRDefault="00365EBE" w:rsidP="00DA70E6">
      <w:pPr>
        <w:ind w:left="567" w:hanging="567"/>
        <w:rPr>
          <w:b/>
        </w:rPr>
      </w:pPr>
    </w:p>
    <w:p w14:paraId="68E51403" w14:textId="77777777" w:rsidR="00DA70E6" w:rsidRPr="00DA70E6" w:rsidRDefault="00DA70E6" w:rsidP="00DA70E6">
      <w:pPr>
        <w:ind w:left="567" w:hanging="567"/>
        <w:rPr>
          <w:b/>
          <w:i/>
        </w:rPr>
      </w:pPr>
      <w:r w:rsidRPr="00DA70E6">
        <w:rPr>
          <w:b/>
        </w:rPr>
        <w:t>4.6</w:t>
      </w:r>
      <w:r w:rsidRPr="00DA70E6">
        <w:rPr>
          <w:b/>
        </w:rPr>
        <w:tab/>
        <w:t>Vaisingumas, nėštumo ir žindymo laikotarpis</w:t>
      </w:r>
    </w:p>
    <w:p w14:paraId="373DA22A" w14:textId="77777777" w:rsidR="00DA70E6" w:rsidRPr="00DA70E6" w:rsidRDefault="00DA70E6" w:rsidP="00DA70E6"/>
    <w:p w14:paraId="5282EE63" w14:textId="77777777" w:rsidR="00DA70E6" w:rsidRPr="00DA70E6" w:rsidRDefault="00DA70E6" w:rsidP="00DA70E6">
      <w:pPr>
        <w:autoSpaceDE w:val="0"/>
        <w:autoSpaceDN w:val="0"/>
        <w:adjustRightInd w:val="0"/>
        <w:rPr>
          <w:u w:val="single"/>
        </w:rPr>
      </w:pPr>
      <w:r w:rsidRPr="00DA70E6">
        <w:rPr>
          <w:color w:val="000000"/>
          <w:u w:val="single"/>
        </w:rPr>
        <w:t xml:space="preserve">Nėštumas </w:t>
      </w:r>
    </w:p>
    <w:p w14:paraId="04003099" w14:textId="77777777" w:rsidR="00DA70E6" w:rsidRPr="00DA70E6" w:rsidRDefault="00DA70E6" w:rsidP="00DA70E6">
      <w:pPr>
        <w:autoSpaceDE w:val="0"/>
        <w:autoSpaceDN w:val="0"/>
        <w:adjustRightInd w:val="0"/>
      </w:pPr>
    </w:p>
    <w:p w14:paraId="16550EE3" w14:textId="77777777" w:rsidR="004D2C39" w:rsidRPr="00613B1F" w:rsidRDefault="00DA61BF" w:rsidP="004D2C39">
      <w:pPr>
        <w:autoSpaceDE w:val="0"/>
        <w:autoSpaceDN w:val="0"/>
        <w:adjustRightInd w:val="0"/>
        <w:rPr>
          <w:color w:val="000000"/>
        </w:rPr>
      </w:pPr>
      <w:r w:rsidRPr="005C0E81">
        <w:rPr>
          <w:color w:val="000000"/>
        </w:rPr>
        <w:t>Didelis</w:t>
      </w:r>
      <w:r w:rsidRPr="00E1395D">
        <w:rPr>
          <w:color w:val="000000"/>
        </w:rPr>
        <w:t xml:space="preserve"> </w:t>
      </w:r>
      <w:r w:rsidR="00DA70E6" w:rsidRPr="00E1395D">
        <w:rPr>
          <w:color w:val="000000"/>
        </w:rPr>
        <w:t>kiekis duomenų (</w:t>
      </w:r>
      <w:r w:rsidRPr="005C0E81">
        <w:rPr>
          <w:color w:val="000000"/>
        </w:rPr>
        <w:t>daugiau kaip</w:t>
      </w:r>
      <w:r w:rsidRPr="00E1395D">
        <w:rPr>
          <w:color w:val="000000"/>
        </w:rPr>
        <w:t xml:space="preserve"> </w:t>
      </w:r>
      <w:r w:rsidR="00DA70E6" w:rsidRPr="00E1395D">
        <w:rPr>
          <w:color w:val="000000"/>
        </w:rPr>
        <w:t>1000</w:t>
      </w:r>
      <w:r w:rsidR="00DA70E6" w:rsidRPr="00DA70E6">
        <w:rPr>
          <w:color w:val="000000"/>
        </w:rPr>
        <w:t xml:space="preserve"> nėštumų baigčių) nerodo su emtricitabinu ir tenofoviro dizoproksiliu susijusio poveikio apsigimimams ar toksinio poveikio vaisiui (ar) naujagimiui. Su gyvūnais atlikti emtricitabino ir tenofoviro dizoproksilio tyrimai neparodė toksinio poveikio reprodukcijai (žr. 5.3 skyrių). Todėl jei būtina, galima apsvarstyti </w:t>
      </w:r>
      <w:r w:rsidR="00DA70E6" w:rsidRPr="00DA70E6">
        <w:rPr>
          <w:rFonts w:eastAsia="TimesNewRoman"/>
          <w:color w:val="000000"/>
        </w:rPr>
        <w:t>Emtricitabine/Tenofovir disoproxil Sandoz</w:t>
      </w:r>
      <w:r w:rsidR="00DA70E6" w:rsidRPr="00DA70E6">
        <w:rPr>
          <w:color w:val="000000"/>
        </w:rPr>
        <w:t xml:space="preserve"> vartojimą nėštumo metu. </w:t>
      </w:r>
    </w:p>
    <w:p w14:paraId="1EE23304" w14:textId="485C88E1" w:rsidR="00427D02" w:rsidRDefault="00427D02" w:rsidP="000407E7">
      <w:pPr>
        <w:autoSpaceDE w:val="0"/>
        <w:autoSpaceDN w:val="0"/>
        <w:adjustRightInd w:val="0"/>
        <w:rPr>
          <w:color w:val="000000"/>
        </w:rPr>
      </w:pPr>
    </w:p>
    <w:p w14:paraId="66CBDF3E" w14:textId="77777777" w:rsidR="00427D02" w:rsidRPr="00DA70E6" w:rsidRDefault="00427D02" w:rsidP="00427D02">
      <w:pPr>
        <w:autoSpaceDE w:val="0"/>
        <w:autoSpaceDN w:val="0"/>
        <w:adjustRightInd w:val="0"/>
        <w:rPr>
          <w:u w:val="single"/>
        </w:rPr>
      </w:pPr>
      <w:r w:rsidRPr="00DA70E6">
        <w:rPr>
          <w:color w:val="000000"/>
          <w:u w:val="single"/>
        </w:rPr>
        <w:t>Žindymas</w:t>
      </w:r>
    </w:p>
    <w:p w14:paraId="36402F9B" w14:textId="77777777" w:rsidR="00427D02" w:rsidRPr="00DA70E6" w:rsidRDefault="00427D02" w:rsidP="00427D02">
      <w:pPr>
        <w:autoSpaceDE w:val="0"/>
        <w:autoSpaceDN w:val="0"/>
        <w:adjustRightInd w:val="0"/>
      </w:pPr>
    </w:p>
    <w:p w14:paraId="74B60D85" w14:textId="0AB75B50" w:rsidR="004F6160" w:rsidRDefault="004F6160" w:rsidP="004F6160">
      <w:pPr>
        <w:autoSpaceDE w:val="0"/>
        <w:autoSpaceDN w:val="0"/>
        <w:adjustRightInd w:val="0"/>
        <w:rPr>
          <w:rFonts w:ascii="TimesNewRomanPSMT" w:hAnsi="TimesNewRomanPSMT" w:cs="TimesNewRomanPSMT"/>
          <w:szCs w:val="22"/>
          <w:lang w:eastAsia="en-US"/>
        </w:rPr>
      </w:pPr>
      <w:r w:rsidRPr="00A0725F">
        <w:rPr>
          <w:rFonts w:ascii="TimesNewRomanPSMT" w:hAnsi="TimesNewRomanPSMT" w:cs="TimesNewRomanPSMT"/>
          <w:szCs w:val="22"/>
          <w:lang w:eastAsia="en-US"/>
        </w:rPr>
        <w:t>Nustatyta, kad emtricitabinas ir tenofoviras išsiskiria į gydomų moterų pieną. Nėra pakankamai</w:t>
      </w:r>
      <w:r w:rsidR="008D3508">
        <w:rPr>
          <w:rFonts w:ascii="TimesNewRomanPSMT" w:hAnsi="TimesNewRomanPSMT" w:cs="TimesNewRomanPSMT"/>
          <w:szCs w:val="22"/>
          <w:lang w:eastAsia="en-US"/>
        </w:rPr>
        <w:t xml:space="preserve"> </w:t>
      </w:r>
      <w:r w:rsidRPr="00A0725F">
        <w:rPr>
          <w:rFonts w:ascii="TimesNewRomanPSMT" w:hAnsi="TimesNewRomanPSMT" w:cs="TimesNewRomanPSMT"/>
          <w:szCs w:val="22"/>
          <w:lang w:eastAsia="en-US"/>
        </w:rPr>
        <w:t xml:space="preserve">duomenų apie emtricitabino ir tenofoviro poveikį naujagimiams / kūdikiams. Todėl </w:t>
      </w:r>
      <w:r w:rsidR="00164F62" w:rsidRPr="00DA70E6">
        <w:rPr>
          <w:rFonts w:eastAsia="TimesNewRoman"/>
          <w:color w:val="000000"/>
        </w:rPr>
        <w:t>Emtricitabine/Tenofovir disoproxil Sandoz</w:t>
      </w:r>
      <w:r w:rsidR="00164F62" w:rsidRPr="00DA70E6">
        <w:rPr>
          <w:color w:val="000000"/>
        </w:rPr>
        <w:t xml:space="preserve"> </w:t>
      </w:r>
      <w:r w:rsidRPr="00A0725F">
        <w:rPr>
          <w:rFonts w:ascii="TimesNewRomanPSMT" w:hAnsi="TimesNewRomanPSMT" w:cs="TimesNewRomanPSMT"/>
          <w:szCs w:val="22"/>
          <w:lang w:eastAsia="en-US"/>
        </w:rPr>
        <w:t>neturi</w:t>
      </w:r>
      <w:r w:rsidR="00164F62">
        <w:rPr>
          <w:rFonts w:ascii="TimesNewRomanPSMT" w:hAnsi="TimesNewRomanPSMT" w:cs="TimesNewRomanPSMT"/>
          <w:szCs w:val="22"/>
          <w:lang w:eastAsia="en-US"/>
        </w:rPr>
        <w:t xml:space="preserve"> </w:t>
      </w:r>
      <w:r w:rsidRPr="00A0725F">
        <w:rPr>
          <w:rFonts w:ascii="TimesNewRomanPSMT" w:hAnsi="TimesNewRomanPSMT" w:cs="TimesNewRomanPSMT"/>
          <w:szCs w:val="22"/>
          <w:lang w:eastAsia="en-US"/>
        </w:rPr>
        <w:t>būti vartojamas žindymo metu.</w:t>
      </w:r>
    </w:p>
    <w:p w14:paraId="05BB4248" w14:textId="77777777" w:rsidR="004F6160" w:rsidRPr="00A0725F" w:rsidRDefault="004F6160" w:rsidP="004F6160">
      <w:pPr>
        <w:autoSpaceDE w:val="0"/>
        <w:autoSpaceDN w:val="0"/>
        <w:adjustRightInd w:val="0"/>
        <w:rPr>
          <w:rFonts w:ascii="TimesNewRomanPSMT" w:hAnsi="TimesNewRomanPSMT" w:cs="TimesNewRomanPSMT"/>
          <w:szCs w:val="22"/>
          <w:lang w:eastAsia="en-US"/>
        </w:rPr>
      </w:pPr>
    </w:p>
    <w:p w14:paraId="0731A25A" w14:textId="77777777" w:rsidR="004F6160" w:rsidRPr="00A0725F" w:rsidRDefault="004F6160" w:rsidP="004F6160">
      <w:pPr>
        <w:autoSpaceDE w:val="0"/>
        <w:autoSpaceDN w:val="0"/>
        <w:adjustRightInd w:val="0"/>
        <w:rPr>
          <w:rFonts w:ascii="TimesNewRomanPSMT" w:hAnsi="TimesNewRomanPSMT" w:cs="TimesNewRomanPSMT"/>
          <w:szCs w:val="22"/>
          <w:lang w:eastAsia="en-US"/>
        </w:rPr>
      </w:pPr>
      <w:r w:rsidRPr="00A0725F">
        <w:rPr>
          <w:rFonts w:ascii="TimesNewRomanPSMT" w:hAnsi="TimesNewRomanPSMT" w:cs="TimesNewRomanPSMT"/>
          <w:szCs w:val="22"/>
          <w:lang w:eastAsia="en-US"/>
        </w:rPr>
        <w:t>Siekiant išvengti ŽIV perdavimo kūdikiui, ŽIV infekuotoms moterims rekomenduojama nežindyti</w:t>
      </w:r>
    </w:p>
    <w:p w14:paraId="2E38EFE1" w14:textId="77777777" w:rsidR="004F6160" w:rsidRPr="00A0725F" w:rsidRDefault="004F6160" w:rsidP="004F6160">
      <w:pPr>
        <w:autoSpaceDE w:val="0"/>
        <w:autoSpaceDN w:val="0"/>
        <w:adjustRightInd w:val="0"/>
        <w:rPr>
          <w:rFonts w:ascii="TimesNewRomanPSMT" w:hAnsi="TimesNewRomanPSMT" w:cs="TimesNewRomanPSMT"/>
          <w:szCs w:val="22"/>
          <w:lang w:eastAsia="en-US"/>
        </w:rPr>
      </w:pPr>
      <w:r w:rsidRPr="00A0725F">
        <w:rPr>
          <w:rFonts w:ascii="TimesNewRomanPSMT" w:hAnsi="TimesNewRomanPSMT" w:cs="TimesNewRomanPSMT"/>
          <w:szCs w:val="22"/>
          <w:lang w:eastAsia="en-US"/>
        </w:rPr>
        <w:t>savo kūdikių.</w:t>
      </w:r>
    </w:p>
    <w:p w14:paraId="56AC35C8" w14:textId="77777777" w:rsidR="00D94211" w:rsidRDefault="00D94211" w:rsidP="00427D02">
      <w:pPr>
        <w:autoSpaceDE w:val="0"/>
        <w:autoSpaceDN w:val="0"/>
        <w:adjustRightInd w:val="0"/>
        <w:rPr>
          <w:b/>
          <w:bCs/>
          <w:szCs w:val="22"/>
        </w:rPr>
      </w:pPr>
    </w:p>
    <w:p w14:paraId="5CE79DDD" w14:textId="7A24FBA7" w:rsidR="00427D02" w:rsidRPr="00DA70E6" w:rsidRDefault="00427D02" w:rsidP="00427D02">
      <w:pPr>
        <w:autoSpaceDE w:val="0"/>
        <w:autoSpaceDN w:val="0"/>
        <w:adjustRightInd w:val="0"/>
      </w:pPr>
    </w:p>
    <w:p w14:paraId="4FA3AB95" w14:textId="77777777" w:rsidR="00D94211" w:rsidRDefault="00D94211" w:rsidP="00427D02">
      <w:pPr>
        <w:autoSpaceDE w:val="0"/>
        <w:autoSpaceDN w:val="0"/>
        <w:adjustRightInd w:val="0"/>
        <w:rPr>
          <w:b/>
          <w:bCs/>
          <w:szCs w:val="22"/>
        </w:rPr>
      </w:pPr>
    </w:p>
    <w:p w14:paraId="084F2671" w14:textId="77777777" w:rsidR="00D94211" w:rsidRPr="00DA70E6" w:rsidRDefault="00D94211" w:rsidP="00427D02">
      <w:pPr>
        <w:autoSpaceDE w:val="0"/>
        <w:autoSpaceDN w:val="0"/>
        <w:adjustRightInd w:val="0"/>
      </w:pPr>
    </w:p>
    <w:p w14:paraId="2DCF71D0" w14:textId="77777777" w:rsidR="00427D02" w:rsidRPr="00DA70E6" w:rsidRDefault="00427D02" w:rsidP="00427D02">
      <w:pPr>
        <w:autoSpaceDE w:val="0"/>
        <w:autoSpaceDN w:val="0"/>
        <w:adjustRightInd w:val="0"/>
        <w:rPr>
          <w:u w:val="single"/>
        </w:rPr>
      </w:pPr>
      <w:r w:rsidRPr="00DA70E6">
        <w:rPr>
          <w:color w:val="000000"/>
          <w:u w:val="single"/>
        </w:rPr>
        <w:t xml:space="preserve">Vaisingumas </w:t>
      </w:r>
    </w:p>
    <w:p w14:paraId="0A4E0152" w14:textId="77777777" w:rsidR="00427D02" w:rsidRPr="00DA70E6" w:rsidRDefault="00427D02" w:rsidP="00427D02">
      <w:pPr>
        <w:autoSpaceDE w:val="0"/>
        <w:autoSpaceDN w:val="0"/>
        <w:adjustRightInd w:val="0"/>
      </w:pPr>
    </w:p>
    <w:p w14:paraId="6D956893" w14:textId="77777777" w:rsidR="00427D02" w:rsidRPr="00DA70E6" w:rsidRDefault="00427D02" w:rsidP="00427D02">
      <w:pPr>
        <w:autoSpaceDE w:val="0"/>
        <w:autoSpaceDN w:val="0"/>
        <w:adjustRightInd w:val="0"/>
      </w:pPr>
      <w:r w:rsidRPr="00DA70E6">
        <w:rPr>
          <w:color w:val="000000"/>
        </w:rPr>
        <w:t xml:space="preserve">Nėra duomenų apie </w:t>
      </w:r>
      <w:r w:rsidRPr="00DA70E6">
        <w:rPr>
          <w:rFonts w:eastAsia="TimesNewRoman"/>
          <w:color w:val="000000"/>
        </w:rPr>
        <w:t>Emtricitabine/Tenofovir disoproxil Sandoz</w:t>
      </w:r>
      <w:r w:rsidRPr="00DA70E6">
        <w:rPr>
          <w:color w:val="000000"/>
        </w:rPr>
        <w:t xml:space="preserve"> poveikį žmonėms. Tyrimai su gyvūnais emtricitabino arba tenofoviro dizoproksilio kenksmingo poveikio vaisingumui neparodė. </w:t>
      </w:r>
    </w:p>
    <w:p w14:paraId="17D9BBAD" w14:textId="77777777" w:rsidR="00427D02" w:rsidRPr="00613B1F" w:rsidRDefault="00427D02" w:rsidP="00613B1F">
      <w:pPr>
        <w:autoSpaceDE w:val="0"/>
        <w:autoSpaceDN w:val="0"/>
        <w:adjustRightInd w:val="0"/>
        <w:rPr>
          <w:color w:val="000000"/>
        </w:rPr>
      </w:pPr>
    </w:p>
    <w:p w14:paraId="1701A175" w14:textId="77777777" w:rsidR="00DA70E6" w:rsidRPr="00DA70E6" w:rsidRDefault="00DA70E6" w:rsidP="00DA70E6">
      <w:pPr>
        <w:rPr>
          <w:b/>
        </w:rPr>
      </w:pPr>
    </w:p>
    <w:p w14:paraId="349BD587" w14:textId="77777777" w:rsidR="00DA70E6" w:rsidRPr="00DA70E6" w:rsidRDefault="00DA70E6" w:rsidP="00DA70E6">
      <w:pPr>
        <w:rPr>
          <w:b/>
        </w:rPr>
      </w:pPr>
      <w:r w:rsidRPr="00DA70E6">
        <w:rPr>
          <w:b/>
        </w:rPr>
        <w:t>4.7</w:t>
      </w:r>
      <w:r w:rsidRPr="00DA70E6">
        <w:rPr>
          <w:b/>
        </w:rPr>
        <w:tab/>
        <w:t>Poveikis gebėjimui vairuoti ir valdyti mechanizmus</w:t>
      </w:r>
    </w:p>
    <w:p w14:paraId="595B7595" w14:textId="77777777" w:rsidR="00DA70E6" w:rsidRPr="00DA70E6" w:rsidRDefault="00DA70E6" w:rsidP="00DA70E6"/>
    <w:p w14:paraId="24BAB14B" w14:textId="77777777" w:rsidR="00DA70E6" w:rsidRPr="00DA70E6" w:rsidRDefault="00DA70E6" w:rsidP="00DA70E6">
      <w:r w:rsidRPr="00DA70E6">
        <w:t xml:space="preserve">Poveikio gebėjimui vairuoti ir valdyti mechanizmus tyrimų neatlikta. Tačiau asmenys turi būti informuoti, kad gydant tiek emtricitabinu, tiek tenofoviro dizoproksiliu, gauta pranešimų apie galvos svaigimą. </w:t>
      </w:r>
    </w:p>
    <w:p w14:paraId="29304DC2" w14:textId="77777777" w:rsidR="00DA70E6" w:rsidRPr="00DA70E6" w:rsidRDefault="00DA70E6" w:rsidP="00DA70E6"/>
    <w:p w14:paraId="3D23D834" w14:textId="77777777" w:rsidR="00DA70E6" w:rsidRPr="00DA70E6" w:rsidRDefault="00DA70E6" w:rsidP="00DA70E6">
      <w:pPr>
        <w:rPr>
          <w:b/>
        </w:rPr>
      </w:pPr>
      <w:r w:rsidRPr="00DA70E6">
        <w:rPr>
          <w:b/>
        </w:rPr>
        <w:t>4.8</w:t>
      </w:r>
      <w:r w:rsidRPr="00DA70E6">
        <w:rPr>
          <w:b/>
        </w:rPr>
        <w:tab/>
        <w:t>Nepageidaujamas poveikis</w:t>
      </w:r>
    </w:p>
    <w:p w14:paraId="232A1CBB" w14:textId="77777777" w:rsidR="00DA70E6" w:rsidRPr="00DA70E6" w:rsidRDefault="00DA70E6" w:rsidP="00DA70E6"/>
    <w:p w14:paraId="219D039C" w14:textId="77777777" w:rsidR="00DA70E6" w:rsidRPr="00DA70E6" w:rsidRDefault="00DA70E6" w:rsidP="00DA70E6">
      <w:pPr>
        <w:rPr>
          <w:u w:val="single"/>
        </w:rPr>
      </w:pPr>
      <w:r w:rsidRPr="00DA70E6">
        <w:rPr>
          <w:u w:val="single"/>
        </w:rPr>
        <w:t>Saugumo duomenų santrauka</w:t>
      </w:r>
    </w:p>
    <w:p w14:paraId="1FA02AB3" w14:textId="77777777" w:rsidR="00DA70E6" w:rsidRPr="00DA70E6" w:rsidRDefault="00DA70E6" w:rsidP="00DA70E6">
      <w:r w:rsidRPr="00DA70E6">
        <w:rPr>
          <w:i/>
        </w:rPr>
        <w:t>ŽIV-1 infekcija:</w:t>
      </w:r>
      <w:r w:rsidRPr="00DA70E6">
        <w:t xml:space="preserve"> Atviro, atsitiktinių imčių klinikinio tyrimo (GS-01-934; žr. 5.1 skyrių), kuriame dalyvavo suaugusieji, metu dažniausiai gauta pranešimų apie nepageidaujamas reakcijas, kurių ryšys su emtricitabinu ir (arba) tenofoviro dizoproksiliu laikomas galimu arba tikėtinu, buvo pykinimas (12 %) ir viduriavimas (7 %). Emtricitabino ir tenofoviro dizoproksilio saugumo pobūdis šiame tyrime atitiko ankstesnę gydymo patirtį su šiais vaistiniais preparatais, kai kiekvienas buvo skiriamas derinyje su kitomis antiretrovirusinėmis medžiagomis.</w:t>
      </w:r>
    </w:p>
    <w:p w14:paraId="5E92E340" w14:textId="77777777" w:rsidR="00DA70E6" w:rsidRPr="00DA70E6" w:rsidRDefault="00DA70E6" w:rsidP="00DA70E6"/>
    <w:p w14:paraId="4425005E" w14:textId="67E4CCCD" w:rsidR="00DA70E6" w:rsidRPr="00DA70E6" w:rsidRDefault="00DA70E6" w:rsidP="00DA70E6">
      <w:r w:rsidRPr="00DA70E6">
        <w:rPr>
          <w:i/>
        </w:rPr>
        <w:t>Pr</w:t>
      </w:r>
      <w:r w:rsidR="00273DB3">
        <w:rPr>
          <w:i/>
        </w:rPr>
        <w:t>e</w:t>
      </w:r>
      <w:r w:rsidRPr="00DA70E6">
        <w:rPr>
          <w:i/>
        </w:rPr>
        <w:t>ekspozicinė profilaktika</w:t>
      </w:r>
      <w:r w:rsidRPr="00DA70E6">
        <w:t>: atlikus du atsitiktinių imčių placebu kontroliuojamus tyrimus (iPrEx, Partners PrEP), kuriuose 2830 ŽIV-1 neinfekuotų suaugusiųjų vartojo emtricitabino ir tenofoviro dizoproksilio kartą per parą pr</w:t>
      </w:r>
      <w:r w:rsidR="00273DB3">
        <w:t>e</w:t>
      </w:r>
      <w:r w:rsidRPr="00DA70E6">
        <w:t>ekspozicinei profilaktikai, naujų nepageidaujamų reakcijų į emtricitabiną ir tenofovirą nenustatyta. Pacientų stebėjimo mediana buvo atitinkamai 71 savaitė ir 87 savaitės. Nepageidaujama reakcija, apie kurią praneštas dažniausiai emtricitabino ir tenofoviro dizoproksilio grupėje iPrEx tyrimo metu, buvo galvos skausmas (1 %).</w:t>
      </w:r>
    </w:p>
    <w:p w14:paraId="5A8BE220" w14:textId="77777777" w:rsidR="00DA70E6" w:rsidRPr="00DA70E6" w:rsidRDefault="00DA70E6" w:rsidP="00DA70E6"/>
    <w:p w14:paraId="436EC682" w14:textId="77777777" w:rsidR="00DA70E6" w:rsidRPr="00DA70E6" w:rsidRDefault="00DA70E6" w:rsidP="00DA70E6">
      <w:pPr>
        <w:rPr>
          <w:u w:val="single"/>
        </w:rPr>
      </w:pPr>
      <w:r w:rsidRPr="00DA70E6">
        <w:rPr>
          <w:u w:val="single"/>
        </w:rPr>
        <w:t>Nepageidaujamų reakcijų santrauka lentelėje</w:t>
      </w:r>
    </w:p>
    <w:p w14:paraId="0BC23DC0" w14:textId="77777777" w:rsidR="00DA70E6" w:rsidRPr="00DA70E6" w:rsidRDefault="00DA70E6" w:rsidP="00DA70E6"/>
    <w:p w14:paraId="35C79E08" w14:textId="77777777" w:rsidR="00DA70E6" w:rsidRPr="00DA70E6" w:rsidRDefault="00DA70E6" w:rsidP="00DA70E6">
      <w:r w:rsidRPr="00DA70E6">
        <w:t>Nepageidaujamos reakcijos, kurių ryšį su gydymu emtricitabino ir tenofoviro dizoproksilio derinio komponentais bent jau galima įtarti remiantis klinikinio tyrimo rezultatais ir duomenimis apie ŽIV-1 infekuotus pacientus, gautais po vaistinio preparato patekimo į rinką, išvardytos toliau esančioje 3 lentelėje pagal organų sistemas ir dažnumą. Kiekvienoje dažnio grupėje nepageidaujamas poveikis pateikiamas mažėjančio sunkumo tvarka. Nepageidaujamo poveikio dažnis apibūdinamas taip: labai dažnas (≥ 1/10), dažnas (nuo ≥ 1/100 iki &lt; 1/10), nedažnas (nuo ≥ 1/1000 iki &lt; 1/100) ar retas (nuo ≥ 1/10000 iki &lt; 1/1000).</w:t>
      </w:r>
    </w:p>
    <w:p w14:paraId="460663FC" w14:textId="77777777" w:rsidR="00DA70E6" w:rsidRPr="00DA70E6" w:rsidRDefault="00DA70E6" w:rsidP="00DA70E6"/>
    <w:p w14:paraId="7E369488" w14:textId="77777777" w:rsidR="00DA70E6" w:rsidRPr="00DA70E6" w:rsidRDefault="00DA70E6" w:rsidP="00DA70E6">
      <w:pPr>
        <w:rPr>
          <w:b/>
        </w:rPr>
      </w:pPr>
      <w:r w:rsidRPr="00DA70E6">
        <w:rPr>
          <w:b/>
        </w:rPr>
        <w:t>3 lentelė. Su atskirų emtricitabino ir tenofoviro dizoproksilio derinio komponentų vartojimu susijusių nepageidaujamų reakcijų santrauka, remiantis klinikinių tyrimų metu ir po vaistinio preparato patekimo į rinką gautais duomenimis</w:t>
      </w:r>
    </w:p>
    <w:p w14:paraId="0EED2B62" w14:textId="77777777" w:rsidR="00DA70E6" w:rsidRPr="00DA70E6" w:rsidRDefault="00DA70E6" w:rsidP="00DA70E6"/>
    <w:tbl>
      <w:tblPr>
        <w:tblW w:w="0" w:type="dxa"/>
        <w:tblInd w:w="99" w:type="dxa"/>
        <w:tblLayout w:type="fixed"/>
        <w:tblCellMar>
          <w:left w:w="0" w:type="dxa"/>
          <w:right w:w="0" w:type="dxa"/>
        </w:tblCellMar>
        <w:tblLook w:val="01E0" w:firstRow="1" w:lastRow="1" w:firstColumn="1" w:lastColumn="1" w:noHBand="0" w:noVBand="0"/>
      </w:tblPr>
      <w:tblGrid>
        <w:gridCol w:w="2517"/>
        <w:gridCol w:w="2517"/>
        <w:gridCol w:w="2517"/>
      </w:tblGrid>
      <w:tr w:rsidR="00DA70E6" w:rsidRPr="00DA70E6" w14:paraId="59F28E78"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3BA5F963" w14:textId="77777777" w:rsidR="00DA70E6" w:rsidRPr="00DA70E6" w:rsidRDefault="00DA70E6" w:rsidP="00DA70E6">
            <w:r w:rsidRPr="00DA70E6">
              <w:rPr>
                <w:b/>
              </w:rPr>
              <w:t>Dažnis</w:t>
            </w:r>
          </w:p>
        </w:tc>
        <w:tc>
          <w:tcPr>
            <w:tcW w:w="2517" w:type="dxa"/>
            <w:tcBorders>
              <w:top w:val="single" w:sz="4" w:space="0" w:color="000000"/>
              <w:left w:val="single" w:sz="4" w:space="0" w:color="000000"/>
              <w:bottom w:val="single" w:sz="4" w:space="0" w:color="000000"/>
              <w:right w:val="single" w:sz="4" w:space="0" w:color="000000"/>
            </w:tcBorders>
          </w:tcPr>
          <w:p w14:paraId="695D19F0" w14:textId="77777777" w:rsidR="00DA70E6" w:rsidRPr="00DA70E6" w:rsidRDefault="00DA70E6" w:rsidP="00DA70E6">
            <w:r w:rsidRPr="00DA70E6">
              <w:rPr>
                <w:b/>
              </w:rPr>
              <w:t>Emtricitabinas</w:t>
            </w:r>
          </w:p>
        </w:tc>
        <w:tc>
          <w:tcPr>
            <w:tcW w:w="2517" w:type="dxa"/>
            <w:tcBorders>
              <w:top w:val="single" w:sz="4" w:space="0" w:color="000000"/>
              <w:left w:val="single" w:sz="4" w:space="0" w:color="000000"/>
              <w:bottom w:val="single" w:sz="4" w:space="0" w:color="000000"/>
              <w:right w:val="single" w:sz="4" w:space="0" w:color="000000"/>
            </w:tcBorders>
          </w:tcPr>
          <w:p w14:paraId="33B8F743" w14:textId="77777777" w:rsidR="00DA70E6" w:rsidRPr="00DA70E6" w:rsidRDefault="00DA70E6" w:rsidP="00DA70E6">
            <w:r w:rsidRPr="00DA70E6">
              <w:rPr>
                <w:b/>
              </w:rPr>
              <w:t xml:space="preserve">Tenofoviro dizoproksilis </w:t>
            </w:r>
          </w:p>
        </w:tc>
      </w:tr>
      <w:tr w:rsidR="00DA70E6" w:rsidRPr="00DA70E6" w14:paraId="2ED44060"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7E7E7"/>
          </w:tcPr>
          <w:p w14:paraId="49507639" w14:textId="77777777" w:rsidR="00DA70E6" w:rsidRPr="00DA70E6" w:rsidRDefault="00DA70E6" w:rsidP="00DA70E6">
            <w:r w:rsidRPr="00DA70E6">
              <w:rPr>
                <w:i/>
              </w:rPr>
              <w:t>Kraujo ir limfinės sistemos sutrikimai</w:t>
            </w:r>
          </w:p>
        </w:tc>
      </w:tr>
      <w:tr w:rsidR="00DA70E6" w:rsidRPr="00DA70E6" w14:paraId="39AC914B"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1FB66A49"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341829F8" w14:textId="77777777" w:rsidR="00DA70E6" w:rsidRPr="00DA70E6" w:rsidRDefault="00DA70E6" w:rsidP="00DA70E6">
            <w:r w:rsidRPr="00DA70E6">
              <w:t>Neutropenija</w:t>
            </w:r>
          </w:p>
        </w:tc>
        <w:tc>
          <w:tcPr>
            <w:tcW w:w="2517" w:type="dxa"/>
            <w:tcBorders>
              <w:top w:val="single" w:sz="4" w:space="0" w:color="000000"/>
              <w:left w:val="single" w:sz="4" w:space="0" w:color="000000"/>
              <w:bottom w:val="single" w:sz="4" w:space="0" w:color="000000"/>
              <w:right w:val="single" w:sz="4" w:space="0" w:color="000000"/>
            </w:tcBorders>
          </w:tcPr>
          <w:p w14:paraId="1E0ED275" w14:textId="77777777" w:rsidR="00DA70E6" w:rsidRPr="00DA70E6" w:rsidRDefault="00DA70E6" w:rsidP="00DA70E6"/>
        </w:tc>
      </w:tr>
      <w:tr w:rsidR="00DA70E6" w:rsidRPr="00DA70E6" w14:paraId="4DD4B655"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2C4ECC54" w14:textId="77777777" w:rsidR="00DA70E6" w:rsidRPr="00DA70E6" w:rsidRDefault="00DA70E6" w:rsidP="00DA70E6">
            <w:r w:rsidRPr="00DA70E6">
              <w:t>Nedažnas</w:t>
            </w:r>
          </w:p>
        </w:tc>
        <w:tc>
          <w:tcPr>
            <w:tcW w:w="2517" w:type="dxa"/>
            <w:tcBorders>
              <w:top w:val="single" w:sz="4" w:space="0" w:color="000000"/>
              <w:left w:val="single" w:sz="4" w:space="0" w:color="000000"/>
              <w:bottom w:val="single" w:sz="4" w:space="0" w:color="000000"/>
              <w:right w:val="single" w:sz="4" w:space="0" w:color="000000"/>
            </w:tcBorders>
          </w:tcPr>
          <w:p w14:paraId="66018370" w14:textId="77777777" w:rsidR="00DA70E6" w:rsidRPr="00DA70E6" w:rsidRDefault="00DA70E6" w:rsidP="00DA70E6">
            <w:r w:rsidRPr="00DA70E6">
              <w:t>Anemija</w:t>
            </w:r>
            <w:r w:rsidRPr="00DA70E6">
              <w:rPr>
                <w:vertAlign w:val="superscript"/>
              </w:rPr>
              <w:t>2</w:t>
            </w:r>
          </w:p>
        </w:tc>
        <w:tc>
          <w:tcPr>
            <w:tcW w:w="2517" w:type="dxa"/>
            <w:tcBorders>
              <w:top w:val="single" w:sz="4" w:space="0" w:color="000000"/>
              <w:left w:val="single" w:sz="4" w:space="0" w:color="000000"/>
              <w:bottom w:val="single" w:sz="4" w:space="0" w:color="000000"/>
              <w:right w:val="single" w:sz="4" w:space="0" w:color="000000"/>
            </w:tcBorders>
          </w:tcPr>
          <w:p w14:paraId="631C401E" w14:textId="77777777" w:rsidR="00DA70E6" w:rsidRPr="00DA70E6" w:rsidRDefault="00DA70E6" w:rsidP="00DA70E6"/>
        </w:tc>
      </w:tr>
      <w:tr w:rsidR="00DA70E6" w:rsidRPr="00DA70E6" w14:paraId="332C6515"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7463C93F" w14:textId="77777777" w:rsidR="00DA70E6" w:rsidRPr="00DA70E6" w:rsidRDefault="00DA70E6" w:rsidP="00DA70E6">
            <w:r w:rsidRPr="00DA70E6">
              <w:rPr>
                <w:i/>
              </w:rPr>
              <w:t>Imuninės sistemos sutrikimai</w:t>
            </w:r>
          </w:p>
        </w:tc>
      </w:tr>
      <w:tr w:rsidR="00DA70E6" w:rsidRPr="00DA70E6" w14:paraId="60E4FFB6"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492E9F62"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1CA55AC1" w14:textId="77777777" w:rsidR="00DA70E6" w:rsidRPr="00DA70E6" w:rsidRDefault="00DA70E6" w:rsidP="00DA70E6">
            <w:r w:rsidRPr="00DA70E6">
              <w:t>Alerginė reakcija</w:t>
            </w:r>
          </w:p>
        </w:tc>
        <w:tc>
          <w:tcPr>
            <w:tcW w:w="2517" w:type="dxa"/>
            <w:tcBorders>
              <w:top w:val="single" w:sz="4" w:space="0" w:color="000000"/>
              <w:left w:val="single" w:sz="4" w:space="0" w:color="000000"/>
              <w:bottom w:val="single" w:sz="4" w:space="0" w:color="000000"/>
              <w:right w:val="single" w:sz="4" w:space="0" w:color="000000"/>
            </w:tcBorders>
          </w:tcPr>
          <w:p w14:paraId="0E976406" w14:textId="77777777" w:rsidR="00DA70E6" w:rsidRPr="00DA70E6" w:rsidRDefault="00DA70E6" w:rsidP="00DA70E6"/>
        </w:tc>
      </w:tr>
      <w:tr w:rsidR="00DA70E6" w:rsidRPr="00DA70E6" w14:paraId="55A9DD6E"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4C32D889" w14:textId="77777777" w:rsidR="00DA70E6" w:rsidRPr="00DA70E6" w:rsidRDefault="00DA70E6" w:rsidP="00DA70E6">
            <w:r w:rsidRPr="00DA70E6">
              <w:rPr>
                <w:i/>
              </w:rPr>
              <w:t>Metabolizmo ir mitybos sutrikimai</w:t>
            </w:r>
          </w:p>
        </w:tc>
      </w:tr>
      <w:tr w:rsidR="00DA70E6" w:rsidRPr="00DA70E6" w14:paraId="5A17A2E0"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70A0A0BF" w14:textId="77777777" w:rsidR="00DA70E6" w:rsidRPr="00DA70E6" w:rsidRDefault="00DA70E6" w:rsidP="00DA70E6">
            <w:r w:rsidRPr="00DA70E6">
              <w:t>Labai dažnas</w:t>
            </w:r>
          </w:p>
        </w:tc>
        <w:tc>
          <w:tcPr>
            <w:tcW w:w="2517" w:type="dxa"/>
            <w:tcBorders>
              <w:top w:val="single" w:sz="4" w:space="0" w:color="000000"/>
              <w:left w:val="single" w:sz="4" w:space="0" w:color="000000"/>
              <w:bottom w:val="single" w:sz="4" w:space="0" w:color="000000"/>
              <w:right w:val="single" w:sz="4" w:space="0" w:color="000000"/>
            </w:tcBorders>
          </w:tcPr>
          <w:p w14:paraId="5D43ACC8"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084855FE" w14:textId="77777777" w:rsidR="00DA70E6" w:rsidRPr="00DA70E6" w:rsidRDefault="00DA70E6" w:rsidP="00DA70E6">
            <w:r w:rsidRPr="00DA70E6">
              <w:t>Hipofosfatemija</w:t>
            </w:r>
            <w:r w:rsidRPr="00DA70E6">
              <w:rPr>
                <w:vertAlign w:val="superscript"/>
              </w:rPr>
              <w:t>1</w:t>
            </w:r>
          </w:p>
        </w:tc>
      </w:tr>
      <w:tr w:rsidR="00DA70E6" w:rsidRPr="00DA70E6" w14:paraId="0336074D"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57D04EA7"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6D66505B" w14:textId="77777777" w:rsidR="00DA70E6" w:rsidRPr="00DA70E6" w:rsidRDefault="00DA70E6" w:rsidP="00DA70E6">
            <w:r w:rsidRPr="00DA70E6">
              <w:t>Hiperglikemija, hipertrigliceridemija</w:t>
            </w:r>
          </w:p>
        </w:tc>
        <w:tc>
          <w:tcPr>
            <w:tcW w:w="2517" w:type="dxa"/>
            <w:tcBorders>
              <w:top w:val="single" w:sz="4" w:space="0" w:color="000000"/>
              <w:left w:val="single" w:sz="4" w:space="0" w:color="000000"/>
              <w:bottom w:val="single" w:sz="4" w:space="0" w:color="000000"/>
              <w:right w:val="single" w:sz="4" w:space="0" w:color="000000"/>
            </w:tcBorders>
          </w:tcPr>
          <w:p w14:paraId="09259E49" w14:textId="77777777" w:rsidR="00DA70E6" w:rsidRPr="00DA70E6" w:rsidRDefault="00DA70E6" w:rsidP="00DA70E6"/>
        </w:tc>
      </w:tr>
      <w:tr w:rsidR="00DA70E6" w:rsidRPr="00DA70E6" w14:paraId="39AC3FE5"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4AC2D1F7" w14:textId="77777777" w:rsidR="00DA70E6" w:rsidRPr="00DA70E6" w:rsidRDefault="00DA70E6" w:rsidP="00DA70E6">
            <w:r w:rsidRPr="00DA70E6">
              <w:t>Nedažnas</w:t>
            </w:r>
          </w:p>
        </w:tc>
        <w:tc>
          <w:tcPr>
            <w:tcW w:w="2517" w:type="dxa"/>
            <w:tcBorders>
              <w:top w:val="single" w:sz="4" w:space="0" w:color="000000"/>
              <w:left w:val="single" w:sz="4" w:space="0" w:color="000000"/>
              <w:bottom w:val="single" w:sz="4" w:space="0" w:color="000000"/>
              <w:right w:val="single" w:sz="4" w:space="0" w:color="000000"/>
            </w:tcBorders>
          </w:tcPr>
          <w:p w14:paraId="2EFDC507"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587C7548" w14:textId="77777777" w:rsidR="00DA70E6" w:rsidRPr="00DA70E6" w:rsidRDefault="00DA70E6" w:rsidP="00DA70E6">
            <w:r w:rsidRPr="00DA70E6">
              <w:t>Hipokalemija</w:t>
            </w:r>
            <w:r w:rsidRPr="00DA70E6">
              <w:rPr>
                <w:vertAlign w:val="superscript"/>
              </w:rPr>
              <w:t>1</w:t>
            </w:r>
          </w:p>
        </w:tc>
      </w:tr>
      <w:tr w:rsidR="00DA70E6" w:rsidRPr="00DA70E6" w14:paraId="4BAF216D"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201C0DE2" w14:textId="77777777" w:rsidR="00DA70E6" w:rsidRPr="00DA70E6" w:rsidRDefault="00DA70E6" w:rsidP="00DA70E6">
            <w:r w:rsidRPr="00DA70E6">
              <w:t>Retas</w:t>
            </w:r>
          </w:p>
        </w:tc>
        <w:tc>
          <w:tcPr>
            <w:tcW w:w="2517" w:type="dxa"/>
            <w:tcBorders>
              <w:top w:val="single" w:sz="4" w:space="0" w:color="000000"/>
              <w:left w:val="single" w:sz="4" w:space="0" w:color="000000"/>
              <w:bottom w:val="single" w:sz="4" w:space="0" w:color="000000"/>
              <w:right w:val="single" w:sz="4" w:space="0" w:color="000000"/>
            </w:tcBorders>
          </w:tcPr>
          <w:p w14:paraId="6F4D5AD6"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05A2A561" w14:textId="77777777" w:rsidR="00DA70E6" w:rsidRPr="00DA70E6" w:rsidRDefault="00DA70E6" w:rsidP="00DA70E6">
            <w:r w:rsidRPr="00DA70E6">
              <w:t>Laktatacidozė</w:t>
            </w:r>
          </w:p>
        </w:tc>
      </w:tr>
      <w:tr w:rsidR="00DA70E6" w:rsidRPr="00DA70E6" w14:paraId="208CB67E"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18A22C5D" w14:textId="77777777" w:rsidR="00DA70E6" w:rsidRPr="00DA70E6" w:rsidRDefault="00DA70E6" w:rsidP="00DA70E6">
            <w:r w:rsidRPr="00DA70E6">
              <w:rPr>
                <w:i/>
              </w:rPr>
              <w:t>Psichikos sutrikimai</w:t>
            </w:r>
          </w:p>
        </w:tc>
      </w:tr>
      <w:tr w:rsidR="00DA70E6" w:rsidRPr="00DA70E6" w14:paraId="1FDB15CA"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5141B6EC"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61134995" w14:textId="77777777" w:rsidR="00DA70E6" w:rsidRPr="00DA70E6" w:rsidRDefault="00DA70E6" w:rsidP="00DA70E6">
            <w:r w:rsidRPr="00DA70E6">
              <w:t>Nemiga, nenormalūs sapnai</w:t>
            </w:r>
          </w:p>
        </w:tc>
        <w:tc>
          <w:tcPr>
            <w:tcW w:w="2517" w:type="dxa"/>
            <w:tcBorders>
              <w:top w:val="single" w:sz="4" w:space="0" w:color="000000"/>
              <w:left w:val="single" w:sz="4" w:space="0" w:color="000000"/>
              <w:bottom w:val="single" w:sz="4" w:space="0" w:color="000000"/>
              <w:right w:val="single" w:sz="4" w:space="0" w:color="000000"/>
            </w:tcBorders>
          </w:tcPr>
          <w:p w14:paraId="3BFACEC4" w14:textId="77777777" w:rsidR="00DA70E6" w:rsidRPr="00DA70E6" w:rsidRDefault="00DA70E6" w:rsidP="00DA70E6"/>
        </w:tc>
      </w:tr>
      <w:tr w:rsidR="00DA70E6" w:rsidRPr="00DA70E6" w14:paraId="47E4B5AC"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32DF9F08" w14:textId="77777777" w:rsidR="00DA70E6" w:rsidRPr="00DA70E6" w:rsidRDefault="00DA70E6" w:rsidP="00DA70E6">
            <w:r w:rsidRPr="00DA70E6">
              <w:rPr>
                <w:i/>
              </w:rPr>
              <w:t>Nervų sistemos sutrikimai</w:t>
            </w:r>
          </w:p>
        </w:tc>
      </w:tr>
      <w:tr w:rsidR="00DA70E6" w:rsidRPr="00DA70E6" w14:paraId="1E72FE39"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2C1A5111" w14:textId="77777777" w:rsidR="00DA70E6" w:rsidRPr="00DA70E6" w:rsidRDefault="00DA70E6" w:rsidP="00DA70E6">
            <w:r w:rsidRPr="00DA70E6">
              <w:t>Labai dažnas</w:t>
            </w:r>
          </w:p>
        </w:tc>
        <w:tc>
          <w:tcPr>
            <w:tcW w:w="2517" w:type="dxa"/>
            <w:tcBorders>
              <w:top w:val="single" w:sz="4" w:space="0" w:color="000000"/>
              <w:left w:val="single" w:sz="4" w:space="0" w:color="000000"/>
              <w:bottom w:val="single" w:sz="4" w:space="0" w:color="000000"/>
              <w:right w:val="single" w:sz="4" w:space="0" w:color="000000"/>
            </w:tcBorders>
          </w:tcPr>
          <w:p w14:paraId="08A4BAE4" w14:textId="77777777" w:rsidR="00DA70E6" w:rsidRPr="00DA70E6" w:rsidRDefault="00DA70E6" w:rsidP="00DA70E6">
            <w:r w:rsidRPr="00DA70E6">
              <w:t>Galvos skausmas</w:t>
            </w:r>
          </w:p>
        </w:tc>
        <w:tc>
          <w:tcPr>
            <w:tcW w:w="2517" w:type="dxa"/>
            <w:tcBorders>
              <w:top w:val="single" w:sz="4" w:space="0" w:color="000000"/>
              <w:left w:val="single" w:sz="4" w:space="0" w:color="000000"/>
              <w:bottom w:val="single" w:sz="4" w:space="0" w:color="000000"/>
              <w:right w:val="single" w:sz="4" w:space="0" w:color="000000"/>
            </w:tcBorders>
          </w:tcPr>
          <w:p w14:paraId="32A27BC5" w14:textId="77777777" w:rsidR="00DA70E6" w:rsidRPr="00DA70E6" w:rsidRDefault="00DA70E6" w:rsidP="00DA70E6">
            <w:r w:rsidRPr="00DA70E6">
              <w:t>Galvos svaigimas</w:t>
            </w:r>
          </w:p>
        </w:tc>
      </w:tr>
      <w:tr w:rsidR="00DA70E6" w:rsidRPr="00DA70E6" w14:paraId="705931E6"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3C8F9963"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6BFC4C25" w14:textId="77777777" w:rsidR="00DA70E6" w:rsidRPr="00DA70E6" w:rsidRDefault="00DA70E6" w:rsidP="00DA70E6">
            <w:r w:rsidRPr="00DA70E6">
              <w:t>Svaigulys</w:t>
            </w:r>
          </w:p>
        </w:tc>
        <w:tc>
          <w:tcPr>
            <w:tcW w:w="2517" w:type="dxa"/>
            <w:tcBorders>
              <w:top w:val="single" w:sz="4" w:space="0" w:color="000000"/>
              <w:left w:val="single" w:sz="4" w:space="0" w:color="000000"/>
              <w:bottom w:val="single" w:sz="4" w:space="0" w:color="000000"/>
              <w:right w:val="single" w:sz="4" w:space="0" w:color="000000"/>
            </w:tcBorders>
          </w:tcPr>
          <w:p w14:paraId="490217D5" w14:textId="77777777" w:rsidR="00DA70E6" w:rsidRPr="00DA70E6" w:rsidRDefault="00DA70E6" w:rsidP="00DA70E6">
            <w:r w:rsidRPr="00DA70E6">
              <w:t>Galvos skausmas</w:t>
            </w:r>
          </w:p>
        </w:tc>
      </w:tr>
      <w:tr w:rsidR="00DA70E6" w:rsidRPr="00DA70E6" w14:paraId="2349CF31"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28DC377F" w14:textId="77777777" w:rsidR="00DA70E6" w:rsidRPr="00DA70E6" w:rsidRDefault="00DA70E6" w:rsidP="00DA70E6">
            <w:r w:rsidRPr="00DA70E6">
              <w:rPr>
                <w:i/>
              </w:rPr>
              <w:t>Virškinimo trakto sutrikimai</w:t>
            </w:r>
          </w:p>
        </w:tc>
      </w:tr>
      <w:tr w:rsidR="00DA70E6" w:rsidRPr="00DA70E6" w14:paraId="702F80E7"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619E4C49" w14:textId="77777777" w:rsidR="00DA70E6" w:rsidRPr="00DA70E6" w:rsidRDefault="00DA70E6" w:rsidP="00DA70E6">
            <w:r w:rsidRPr="00DA70E6">
              <w:t>Labai dažnas</w:t>
            </w:r>
          </w:p>
        </w:tc>
        <w:tc>
          <w:tcPr>
            <w:tcW w:w="2517" w:type="dxa"/>
            <w:tcBorders>
              <w:top w:val="single" w:sz="4" w:space="0" w:color="000000"/>
              <w:left w:val="single" w:sz="4" w:space="0" w:color="000000"/>
              <w:bottom w:val="single" w:sz="4" w:space="0" w:color="000000"/>
              <w:right w:val="single" w:sz="4" w:space="0" w:color="000000"/>
            </w:tcBorders>
          </w:tcPr>
          <w:p w14:paraId="10E18349" w14:textId="77777777" w:rsidR="00DA70E6" w:rsidRPr="00DA70E6" w:rsidRDefault="00DA70E6" w:rsidP="00DA70E6">
            <w:r w:rsidRPr="00DA70E6">
              <w:t>Viduriavimas, pykinimas</w:t>
            </w:r>
          </w:p>
        </w:tc>
        <w:tc>
          <w:tcPr>
            <w:tcW w:w="2517" w:type="dxa"/>
            <w:tcBorders>
              <w:top w:val="single" w:sz="4" w:space="0" w:color="000000"/>
              <w:left w:val="single" w:sz="4" w:space="0" w:color="000000"/>
              <w:bottom w:val="single" w:sz="4" w:space="0" w:color="000000"/>
              <w:right w:val="single" w:sz="4" w:space="0" w:color="000000"/>
            </w:tcBorders>
          </w:tcPr>
          <w:p w14:paraId="3676372D" w14:textId="77777777" w:rsidR="00DA70E6" w:rsidRPr="00DA70E6" w:rsidRDefault="00DA70E6" w:rsidP="00DA70E6">
            <w:r w:rsidRPr="00DA70E6">
              <w:t>Viduriavimas, vėmimas, pykinimas</w:t>
            </w:r>
          </w:p>
        </w:tc>
      </w:tr>
      <w:tr w:rsidR="00DA70E6" w:rsidRPr="00DA70E6" w14:paraId="64A356A1"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697109AA"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308CA064" w14:textId="77777777" w:rsidR="00DA70E6" w:rsidRPr="00DA70E6" w:rsidRDefault="00DA70E6" w:rsidP="00DA70E6">
            <w:r w:rsidRPr="00DA70E6">
              <w:t>Padidėjęs amilazės, įskaitant kasos amilazę, aktyvumas, padidėjęs serumo lipazės aktyvumas, vėmimas, pilvo skausmas, dispepsija</w:t>
            </w:r>
          </w:p>
        </w:tc>
        <w:tc>
          <w:tcPr>
            <w:tcW w:w="2517" w:type="dxa"/>
            <w:tcBorders>
              <w:top w:val="single" w:sz="4" w:space="0" w:color="000000"/>
              <w:left w:val="single" w:sz="4" w:space="0" w:color="000000"/>
              <w:bottom w:val="single" w:sz="4" w:space="0" w:color="000000"/>
              <w:right w:val="single" w:sz="4" w:space="0" w:color="000000"/>
            </w:tcBorders>
          </w:tcPr>
          <w:p w14:paraId="1DF1E9CE" w14:textId="77777777" w:rsidR="00DA70E6" w:rsidRPr="00DA70E6" w:rsidRDefault="00DA70E6" w:rsidP="00DA70E6">
            <w:r w:rsidRPr="00DA70E6">
              <w:t>Pilvo skausmas, dujų susikaupimas, pilvo pūtimas</w:t>
            </w:r>
          </w:p>
        </w:tc>
      </w:tr>
      <w:tr w:rsidR="00DA70E6" w:rsidRPr="00DA70E6" w14:paraId="59754F40"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693F53AD" w14:textId="77777777" w:rsidR="00DA70E6" w:rsidRPr="00DA70E6" w:rsidRDefault="00DA70E6" w:rsidP="00DA70E6">
            <w:r w:rsidRPr="00DA70E6">
              <w:t>Nedažnas</w:t>
            </w:r>
          </w:p>
        </w:tc>
        <w:tc>
          <w:tcPr>
            <w:tcW w:w="2517" w:type="dxa"/>
            <w:tcBorders>
              <w:top w:val="single" w:sz="4" w:space="0" w:color="000000"/>
              <w:left w:val="single" w:sz="4" w:space="0" w:color="000000"/>
              <w:bottom w:val="single" w:sz="4" w:space="0" w:color="000000"/>
              <w:right w:val="single" w:sz="4" w:space="0" w:color="000000"/>
            </w:tcBorders>
          </w:tcPr>
          <w:p w14:paraId="3D79F0FC"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0A1EC4EC" w14:textId="77777777" w:rsidR="00DA70E6" w:rsidRPr="00DA70E6" w:rsidRDefault="00DA70E6" w:rsidP="00DA70E6">
            <w:r w:rsidRPr="00DA70E6">
              <w:t>Kasos uždegimas</w:t>
            </w:r>
          </w:p>
        </w:tc>
      </w:tr>
      <w:tr w:rsidR="00DA70E6" w:rsidRPr="00DA70E6" w14:paraId="11262FA0"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046E28F7" w14:textId="77777777" w:rsidR="00DA70E6" w:rsidRPr="00DA70E6" w:rsidRDefault="00DA70E6" w:rsidP="00DA70E6">
            <w:r w:rsidRPr="00DA70E6">
              <w:rPr>
                <w:i/>
              </w:rPr>
              <w:t>Kepenų, tulžies pūslės ir latakų sutrikimai</w:t>
            </w:r>
          </w:p>
        </w:tc>
      </w:tr>
      <w:tr w:rsidR="00DA70E6" w:rsidRPr="00DA70E6" w14:paraId="1A6D4AB8"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00FDC0D4"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21DB453B" w14:textId="77777777" w:rsidR="00DA70E6" w:rsidRPr="00DA70E6" w:rsidRDefault="00DA70E6" w:rsidP="00DA70E6">
            <w:r w:rsidRPr="00DA70E6">
              <w:t>Padidėjęs aspartato aminotransferazės (AST) aktyvumas  serume ir (arba) padidėjęs alanino aminotransferazės (ALT) aktyvumas serume, hiperbilirubinemija</w:t>
            </w:r>
          </w:p>
        </w:tc>
        <w:tc>
          <w:tcPr>
            <w:tcW w:w="2517" w:type="dxa"/>
            <w:tcBorders>
              <w:top w:val="single" w:sz="4" w:space="0" w:color="000000"/>
              <w:left w:val="single" w:sz="4" w:space="0" w:color="000000"/>
              <w:bottom w:val="single" w:sz="4" w:space="0" w:color="000000"/>
              <w:right w:val="single" w:sz="4" w:space="0" w:color="000000"/>
            </w:tcBorders>
          </w:tcPr>
          <w:p w14:paraId="73FBB575" w14:textId="77777777" w:rsidR="00DA70E6" w:rsidRPr="00DA70E6" w:rsidRDefault="00DA70E6" w:rsidP="00DA70E6">
            <w:r w:rsidRPr="00DA70E6">
              <w:t>Padidėjęs transaminazių aktyvumas</w:t>
            </w:r>
          </w:p>
        </w:tc>
      </w:tr>
      <w:tr w:rsidR="00DA70E6" w:rsidRPr="00DA70E6" w14:paraId="53C8E1FE"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6DD844CA" w14:textId="77777777" w:rsidR="00DA70E6" w:rsidRPr="00DA70E6" w:rsidRDefault="00DA70E6" w:rsidP="00DA70E6">
            <w:r w:rsidRPr="00DA70E6">
              <w:t>Retas</w:t>
            </w:r>
          </w:p>
        </w:tc>
        <w:tc>
          <w:tcPr>
            <w:tcW w:w="2517" w:type="dxa"/>
            <w:tcBorders>
              <w:top w:val="single" w:sz="4" w:space="0" w:color="000000"/>
              <w:left w:val="single" w:sz="4" w:space="0" w:color="000000"/>
              <w:bottom w:val="single" w:sz="4" w:space="0" w:color="000000"/>
              <w:right w:val="single" w:sz="4" w:space="0" w:color="000000"/>
            </w:tcBorders>
          </w:tcPr>
          <w:p w14:paraId="1CD3F252"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0A03EDDD" w14:textId="77777777" w:rsidR="00DA70E6" w:rsidRPr="00DA70E6" w:rsidRDefault="00DA70E6" w:rsidP="00DA70E6">
            <w:r w:rsidRPr="00DA70E6">
              <w:t>Kepenų steatozė, kepenų uždegimas</w:t>
            </w:r>
          </w:p>
        </w:tc>
      </w:tr>
      <w:tr w:rsidR="00DA70E6" w:rsidRPr="00DA70E6" w14:paraId="043571C7"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5C92BBA4" w14:textId="77777777" w:rsidR="00DA70E6" w:rsidRPr="00DA70E6" w:rsidRDefault="00DA70E6" w:rsidP="00DA70E6">
            <w:r w:rsidRPr="00DA70E6">
              <w:rPr>
                <w:i/>
              </w:rPr>
              <w:t>Odos ir poodinio audinio sutrikimai</w:t>
            </w:r>
          </w:p>
        </w:tc>
      </w:tr>
      <w:tr w:rsidR="00DA70E6" w:rsidRPr="00DA70E6" w14:paraId="34039338"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115A81B0" w14:textId="77777777" w:rsidR="00DA70E6" w:rsidRPr="00DA70E6" w:rsidRDefault="00DA70E6" w:rsidP="00DA70E6">
            <w:r w:rsidRPr="00DA70E6">
              <w:t>Labai dažnas</w:t>
            </w:r>
          </w:p>
        </w:tc>
        <w:tc>
          <w:tcPr>
            <w:tcW w:w="2517" w:type="dxa"/>
            <w:tcBorders>
              <w:top w:val="single" w:sz="4" w:space="0" w:color="000000"/>
              <w:left w:val="single" w:sz="4" w:space="0" w:color="000000"/>
              <w:bottom w:val="single" w:sz="4" w:space="0" w:color="000000"/>
              <w:right w:val="single" w:sz="4" w:space="0" w:color="000000"/>
            </w:tcBorders>
          </w:tcPr>
          <w:p w14:paraId="582DFEB9"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7791EB7A" w14:textId="77777777" w:rsidR="00DA70E6" w:rsidRPr="00DA70E6" w:rsidRDefault="00DA70E6" w:rsidP="00DA70E6">
            <w:r w:rsidRPr="00DA70E6">
              <w:t>Išbėrimas</w:t>
            </w:r>
          </w:p>
        </w:tc>
      </w:tr>
      <w:tr w:rsidR="00DA70E6" w:rsidRPr="00DA70E6" w14:paraId="4F330019"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08339467"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3DD0EAB7" w14:textId="77777777" w:rsidR="00DA70E6" w:rsidRPr="00DA70E6" w:rsidRDefault="00DA70E6" w:rsidP="00DA70E6">
            <w:r w:rsidRPr="00DA70E6">
              <w:t xml:space="preserve">Pūslinis ir pūlinis išbėrimas, makulopapulinis išbėrimas, </w:t>
            </w:r>
            <w:r w:rsidRPr="00DA70E6">
              <w:lastRenderedPageBreak/>
              <w:t xml:space="preserve">išbėrimas, niežėjimas, dilgėlinė, odos spalvos pokyčiai (hiperpigmentacija) </w:t>
            </w:r>
            <w:r w:rsidRPr="00DA70E6">
              <w:rPr>
                <w:vertAlign w:val="superscript"/>
              </w:rPr>
              <w:t>2</w:t>
            </w:r>
          </w:p>
        </w:tc>
        <w:tc>
          <w:tcPr>
            <w:tcW w:w="2517" w:type="dxa"/>
            <w:tcBorders>
              <w:top w:val="single" w:sz="4" w:space="0" w:color="000000"/>
              <w:left w:val="single" w:sz="4" w:space="0" w:color="000000"/>
              <w:bottom w:val="single" w:sz="4" w:space="0" w:color="000000"/>
              <w:right w:val="single" w:sz="4" w:space="0" w:color="000000"/>
            </w:tcBorders>
          </w:tcPr>
          <w:p w14:paraId="12C94A45" w14:textId="77777777" w:rsidR="00DA70E6" w:rsidRPr="00DA70E6" w:rsidRDefault="00DA70E6" w:rsidP="00DA70E6"/>
        </w:tc>
      </w:tr>
      <w:tr w:rsidR="00DA70E6" w:rsidRPr="00DA70E6" w14:paraId="66F4AC3A"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7297A069" w14:textId="77777777" w:rsidR="00DA70E6" w:rsidRPr="00DA70E6" w:rsidRDefault="00DA70E6" w:rsidP="00DA70E6">
            <w:r w:rsidRPr="00DA70E6">
              <w:t>Nedažnas</w:t>
            </w:r>
          </w:p>
        </w:tc>
        <w:tc>
          <w:tcPr>
            <w:tcW w:w="2517" w:type="dxa"/>
            <w:tcBorders>
              <w:top w:val="single" w:sz="4" w:space="0" w:color="000000"/>
              <w:left w:val="single" w:sz="4" w:space="0" w:color="000000"/>
              <w:bottom w:val="single" w:sz="4" w:space="0" w:color="000000"/>
              <w:right w:val="single" w:sz="4" w:space="0" w:color="000000"/>
            </w:tcBorders>
          </w:tcPr>
          <w:p w14:paraId="3DF1DA79" w14:textId="77777777" w:rsidR="00DA70E6" w:rsidRPr="00DA70E6" w:rsidRDefault="00DA70E6" w:rsidP="00DA70E6">
            <w:r w:rsidRPr="00DA70E6">
              <w:t>Angioneurozinė edema</w:t>
            </w:r>
            <w:r w:rsidRPr="00DA70E6">
              <w:rPr>
                <w:vertAlign w:val="superscript"/>
              </w:rPr>
              <w:t>3</w:t>
            </w:r>
          </w:p>
        </w:tc>
        <w:tc>
          <w:tcPr>
            <w:tcW w:w="2517" w:type="dxa"/>
            <w:tcBorders>
              <w:top w:val="single" w:sz="4" w:space="0" w:color="000000"/>
              <w:left w:val="single" w:sz="4" w:space="0" w:color="000000"/>
              <w:bottom w:val="single" w:sz="4" w:space="0" w:color="000000"/>
              <w:right w:val="single" w:sz="4" w:space="0" w:color="000000"/>
            </w:tcBorders>
          </w:tcPr>
          <w:p w14:paraId="02573764" w14:textId="77777777" w:rsidR="00DA70E6" w:rsidRPr="00DA70E6" w:rsidRDefault="00DA70E6" w:rsidP="00DA70E6"/>
        </w:tc>
      </w:tr>
      <w:tr w:rsidR="00DA70E6" w:rsidRPr="00DA70E6" w14:paraId="6BED9B78"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5380100D" w14:textId="77777777" w:rsidR="00DA70E6" w:rsidRPr="00DA70E6" w:rsidRDefault="00DA70E6" w:rsidP="00DA70E6">
            <w:r w:rsidRPr="00DA70E6">
              <w:t>Retas</w:t>
            </w:r>
          </w:p>
        </w:tc>
        <w:tc>
          <w:tcPr>
            <w:tcW w:w="2517" w:type="dxa"/>
            <w:tcBorders>
              <w:top w:val="single" w:sz="4" w:space="0" w:color="000000"/>
              <w:left w:val="single" w:sz="4" w:space="0" w:color="000000"/>
              <w:bottom w:val="single" w:sz="4" w:space="0" w:color="000000"/>
              <w:right w:val="single" w:sz="4" w:space="0" w:color="000000"/>
            </w:tcBorders>
          </w:tcPr>
          <w:p w14:paraId="72F4B18A"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304BEDC6" w14:textId="77777777" w:rsidR="00DA70E6" w:rsidRPr="00DA70E6" w:rsidRDefault="00DA70E6" w:rsidP="00DA70E6">
            <w:r w:rsidRPr="00DA70E6">
              <w:t>Angioneurozinė edema</w:t>
            </w:r>
          </w:p>
        </w:tc>
      </w:tr>
      <w:tr w:rsidR="00DA70E6" w:rsidRPr="00DA70E6" w14:paraId="5B7E7382"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157242EE" w14:textId="77777777" w:rsidR="00DA70E6" w:rsidRPr="00DA70E6" w:rsidRDefault="00DA70E6" w:rsidP="00DA70E6">
            <w:r w:rsidRPr="00DA70E6">
              <w:rPr>
                <w:i/>
              </w:rPr>
              <w:t>Skeleto, raumenų ir jungiamojo audinio sutrikimai</w:t>
            </w:r>
          </w:p>
        </w:tc>
      </w:tr>
      <w:tr w:rsidR="00DA70E6" w:rsidRPr="00DA70E6" w14:paraId="2511416D"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1D223445" w14:textId="77777777" w:rsidR="00DA70E6" w:rsidRPr="00DA70E6" w:rsidRDefault="00DA70E6" w:rsidP="00DA70E6">
            <w:r w:rsidRPr="00DA70E6">
              <w:t>Labai dažnas</w:t>
            </w:r>
          </w:p>
        </w:tc>
        <w:tc>
          <w:tcPr>
            <w:tcW w:w="2517" w:type="dxa"/>
            <w:tcBorders>
              <w:top w:val="single" w:sz="4" w:space="0" w:color="000000"/>
              <w:left w:val="single" w:sz="4" w:space="0" w:color="000000"/>
              <w:bottom w:val="single" w:sz="4" w:space="0" w:color="000000"/>
              <w:right w:val="single" w:sz="4" w:space="0" w:color="000000"/>
            </w:tcBorders>
          </w:tcPr>
          <w:p w14:paraId="443C0013" w14:textId="77777777" w:rsidR="00DA70E6" w:rsidRPr="00DA70E6" w:rsidRDefault="00DA70E6" w:rsidP="00DA70E6">
            <w:r w:rsidRPr="00DA70E6">
              <w:t>Padidėjęs kreatinkinazės aktyvumas</w:t>
            </w:r>
          </w:p>
        </w:tc>
        <w:tc>
          <w:tcPr>
            <w:tcW w:w="2517" w:type="dxa"/>
            <w:tcBorders>
              <w:top w:val="single" w:sz="4" w:space="0" w:color="000000"/>
              <w:left w:val="single" w:sz="4" w:space="0" w:color="000000"/>
              <w:bottom w:val="single" w:sz="4" w:space="0" w:color="000000"/>
              <w:right w:val="single" w:sz="4" w:space="0" w:color="000000"/>
            </w:tcBorders>
          </w:tcPr>
          <w:p w14:paraId="4CDBBDE8" w14:textId="77777777" w:rsidR="00DA70E6" w:rsidRPr="00DA70E6" w:rsidRDefault="00DA70E6" w:rsidP="00DA70E6"/>
        </w:tc>
      </w:tr>
      <w:tr w:rsidR="004F6160" w:rsidRPr="00DA70E6" w14:paraId="16546CD7"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07DA9242" w14:textId="6CC0ECAC" w:rsidR="004F6160" w:rsidRPr="00DA70E6" w:rsidRDefault="003E40D1" w:rsidP="00DA70E6">
            <w:r>
              <w:t>Dažnas</w:t>
            </w:r>
          </w:p>
        </w:tc>
        <w:tc>
          <w:tcPr>
            <w:tcW w:w="2517" w:type="dxa"/>
            <w:tcBorders>
              <w:top w:val="single" w:sz="4" w:space="0" w:color="000000"/>
              <w:left w:val="single" w:sz="4" w:space="0" w:color="000000"/>
              <w:bottom w:val="single" w:sz="4" w:space="0" w:color="000000"/>
              <w:right w:val="single" w:sz="4" w:space="0" w:color="000000"/>
            </w:tcBorders>
          </w:tcPr>
          <w:p w14:paraId="672997EF" w14:textId="77777777" w:rsidR="004F6160" w:rsidRPr="00DA70E6" w:rsidRDefault="004F6160" w:rsidP="00DA70E6"/>
        </w:tc>
        <w:tc>
          <w:tcPr>
            <w:tcW w:w="2517" w:type="dxa"/>
            <w:tcBorders>
              <w:top w:val="single" w:sz="4" w:space="0" w:color="000000"/>
              <w:left w:val="single" w:sz="4" w:space="0" w:color="000000"/>
              <w:bottom w:val="single" w:sz="4" w:space="0" w:color="000000"/>
              <w:right w:val="single" w:sz="4" w:space="0" w:color="000000"/>
            </w:tcBorders>
          </w:tcPr>
          <w:p w14:paraId="41B6A13D" w14:textId="02F1DE1B" w:rsidR="004F6160" w:rsidRPr="00DA70E6" w:rsidRDefault="003E40D1" w:rsidP="00DA70E6">
            <w:r w:rsidRPr="00A0725F">
              <w:t>sumažėjęs kaulų mineralinis tankis</w:t>
            </w:r>
          </w:p>
        </w:tc>
      </w:tr>
      <w:tr w:rsidR="00DA70E6" w:rsidRPr="00DA70E6" w14:paraId="3AACE7F7"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2207CBC4" w14:textId="77777777" w:rsidR="00DA70E6" w:rsidRPr="00DA70E6" w:rsidRDefault="00DA70E6" w:rsidP="00DA70E6">
            <w:r w:rsidRPr="00DA70E6">
              <w:t>Nedažnas</w:t>
            </w:r>
          </w:p>
        </w:tc>
        <w:tc>
          <w:tcPr>
            <w:tcW w:w="2517" w:type="dxa"/>
            <w:tcBorders>
              <w:top w:val="single" w:sz="4" w:space="0" w:color="000000"/>
              <w:left w:val="single" w:sz="4" w:space="0" w:color="000000"/>
              <w:bottom w:val="single" w:sz="4" w:space="0" w:color="000000"/>
              <w:right w:val="single" w:sz="4" w:space="0" w:color="000000"/>
            </w:tcBorders>
          </w:tcPr>
          <w:p w14:paraId="2020D787"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26F907CC" w14:textId="77777777" w:rsidR="00DA70E6" w:rsidRPr="00DA70E6" w:rsidRDefault="00DA70E6" w:rsidP="00DA70E6">
            <w:r w:rsidRPr="00DA70E6">
              <w:t xml:space="preserve">Rabdomiolizė </w:t>
            </w:r>
            <w:r w:rsidRPr="00DA70E6">
              <w:rPr>
                <w:vertAlign w:val="superscript"/>
              </w:rPr>
              <w:t>1</w:t>
            </w:r>
            <w:r w:rsidRPr="00DA70E6">
              <w:t>, raumenų silpnumas</w:t>
            </w:r>
            <w:r w:rsidRPr="00DA70E6">
              <w:rPr>
                <w:vertAlign w:val="superscript"/>
              </w:rPr>
              <w:t>1</w:t>
            </w:r>
          </w:p>
        </w:tc>
      </w:tr>
      <w:tr w:rsidR="00DA70E6" w:rsidRPr="00DA70E6" w14:paraId="111D6E4A"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164BB3D1" w14:textId="77777777" w:rsidR="00DA70E6" w:rsidRPr="00DA70E6" w:rsidRDefault="00DA70E6" w:rsidP="00DA70E6">
            <w:r w:rsidRPr="00DA70E6">
              <w:t>Retas</w:t>
            </w:r>
          </w:p>
        </w:tc>
        <w:tc>
          <w:tcPr>
            <w:tcW w:w="2517" w:type="dxa"/>
            <w:tcBorders>
              <w:top w:val="single" w:sz="4" w:space="0" w:color="000000"/>
              <w:left w:val="single" w:sz="4" w:space="0" w:color="000000"/>
              <w:bottom w:val="single" w:sz="4" w:space="0" w:color="000000"/>
              <w:right w:val="single" w:sz="4" w:space="0" w:color="000000"/>
            </w:tcBorders>
          </w:tcPr>
          <w:p w14:paraId="713E1E88"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77263DCA" w14:textId="77777777" w:rsidR="00DA70E6" w:rsidRPr="00DA70E6" w:rsidRDefault="00DA70E6" w:rsidP="00DA70E6">
            <w:r w:rsidRPr="00DA70E6">
              <w:t>Osteomaliacija (pasireiškianti kaulų skausmu ir retais atvejais sukelianti lūžius)</w:t>
            </w:r>
            <w:r w:rsidRPr="00DA70E6">
              <w:rPr>
                <w:vertAlign w:val="superscript"/>
              </w:rPr>
              <w:t>1,3</w:t>
            </w:r>
            <w:r w:rsidRPr="00DA70E6">
              <w:t>, miopatija</w:t>
            </w:r>
            <w:r w:rsidRPr="00DA70E6">
              <w:rPr>
                <w:vertAlign w:val="superscript"/>
              </w:rPr>
              <w:t>1</w:t>
            </w:r>
          </w:p>
        </w:tc>
      </w:tr>
      <w:tr w:rsidR="00DA70E6" w:rsidRPr="00DA70E6" w14:paraId="376856F5"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311CC2C2" w14:textId="77777777" w:rsidR="00DA70E6" w:rsidRPr="00DA70E6" w:rsidRDefault="00DA70E6" w:rsidP="00DA70E6">
            <w:r w:rsidRPr="00DA70E6">
              <w:rPr>
                <w:i/>
              </w:rPr>
              <w:t>Inkstų ir šlapimo takų sutrikimai</w:t>
            </w:r>
          </w:p>
        </w:tc>
      </w:tr>
      <w:tr w:rsidR="00DA70E6" w:rsidRPr="00DA70E6" w14:paraId="198DF72F"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38DCBD9C" w14:textId="77777777" w:rsidR="00DA70E6" w:rsidRPr="00DA70E6" w:rsidRDefault="00DA70E6" w:rsidP="00DA70E6">
            <w:r w:rsidRPr="00DA70E6">
              <w:t>Nedažnas</w:t>
            </w:r>
          </w:p>
        </w:tc>
        <w:tc>
          <w:tcPr>
            <w:tcW w:w="2517" w:type="dxa"/>
            <w:tcBorders>
              <w:top w:val="single" w:sz="4" w:space="0" w:color="000000"/>
              <w:left w:val="single" w:sz="4" w:space="0" w:color="000000"/>
              <w:bottom w:val="single" w:sz="4" w:space="0" w:color="000000"/>
              <w:right w:val="single" w:sz="4" w:space="0" w:color="000000"/>
            </w:tcBorders>
          </w:tcPr>
          <w:p w14:paraId="0762E3E4"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77CD499D" w14:textId="77777777" w:rsidR="00DA70E6" w:rsidRPr="00DA70E6" w:rsidRDefault="00DA70E6" w:rsidP="00DA70E6">
            <w:r w:rsidRPr="00DA70E6">
              <w:t>Padidėjęs kreatinino kiekis, proteinurija, proksimalinė inkstų tubulopatija, įskaitant Fankoni sindromą</w:t>
            </w:r>
          </w:p>
        </w:tc>
      </w:tr>
      <w:tr w:rsidR="00DA70E6" w:rsidRPr="00DA70E6" w14:paraId="426AD0F5"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76509652" w14:textId="77777777" w:rsidR="00DA70E6" w:rsidRPr="00DA70E6" w:rsidRDefault="00DA70E6" w:rsidP="00DA70E6">
            <w:r w:rsidRPr="00DA70E6">
              <w:t>Retas</w:t>
            </w:r>
          </w:p>
        </w:tc>
        <w:tc>
          <w:tcPr>
            <w:tcW w:w="2517" w:type="dxa"/>
            <w:tcBorders>
              <w:top w:val="single" w:sz="4" w:space="0" w:color="000000"/>
              <w:left w:val="single" w:sz="4" w:space="0" w:color="000000"/>
              <w:bottom w:val="single" w:sz="4" w:space="0" w:color="000000"/>
              <w:right w:val="single" w:sz="4" w:space="0" w:color="000000"/>
            </w:tcBorders>
          </w:tcPr>
          <w:p w14:paraId="0CA3B63D"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7F92EBBE" w14:textId="77777777" w:rsidR="00DA70E6" w:rsidRPr="00DA70E6" w:rsidRDefault="00DA70E6" w:rsidP="00DA70E6">
            <w:r w:rsidRPr="00DA70E6">
              <w:t>Inkstų nepakankamumas (ūminis ir lėtinis), ūmi tubulinė nekrozė, nefritas (įskaitant ūmų intersticinį nefritą)</w:t>
            </w:r>
            <w:r w:rsidRPr="00DA70E6">
              <w:rPr>
                <w:vertAlign w:val="superscript"/>
              </w:rPr>
              <w:t>3</w:t>
            </w:r>
            <w:r w:rsidRPr="00DA70E6">
              <w:t>, nefrogeninis necukrinis diabetas</w:t>
            </w:r>
          </w:p>
        </w:tc>
      </w:tr>
      <w:tr w:rsidR="00DA70E6" w:rsidRPr="00DA70E6" w14:paraId="09F8C4C3" w14:textId="77777777" w:rsidTr="00EA3053">
        <w:trPr>
          <w:trHeight w:val="20"/>
        </w:trPr>
        <w:tc>
          <w:tcPr>
            <w:tcW w:w="2517" w:type="dxa"/>
            <w:gridSpan w:val="3"/>
            <w:tcBorders>
              <w:top w:val="single" w:sz="4" w:space="0" w:color="000000"/>
              <w:left w:val="single" w:sz="4" w:space="0" w:color="000000"/>
              <w:bottom w:val="single" w:sz="4" w:space="0" w:color="000000"/>
              <w:right w:val="single" w:sz="4" w:space="0" w:color="000000"/>
            </w:tcBorders>
            <w:shd w:val="clear" w:color="auto" w:fill="E1E1E1"/>
          </w:tcPr>
          <w:p w14:paraId="16DF2771" w14:textId="77777777" w:rsidR="00DA70E6" w:rsidRPr="00DA70E6" w:rsidRDefault="00DA70E6" w:rsidP="00DA70E6">
            <w:r w:rsidRPr="00DA70E6">
              <w:rPr>
                <w:i/>
              </w:rPr>
              <w:t>Bendrieji sutrikimai ir vartojimo vietos pažeidimai</w:t>
            </w:r>
          </w:p>
        </w:tc>
      </w:tr>
      <w:tr w:rsidR="00DA70E6" w:rsidRPr="00DA70E6" w14:paraId="7402FCD0"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27A134D9" w14:textId="77777777" w:rsidR="00DA70E6" w:rsidRPr="00DA70E6" w:rsidRDefault="00DA70E6" w:rsidP="00DA70E6">
            <w:r w:rsidRPr="00DA70E6">
              <w:t>Labai dažnas</w:t>
            </w:r>
          </w:p>
        </w:tc>
        <w:tc>
          <w:tcPr>
            <w:tcW w:w="2517" w:type="dxa"/>
            <w:tcBorders>
              <w:top w:val="single" w:sz="4" w:space="0" w:color="000000"/>
              <w:left w:val="single" w:sz="4" w:space="0" w:color="000000"/>
              <w:bottom w:val="single" w:sz="4" w:space="0" w:color="000000"/>
              <w:right w:val="single" w:sz="4" w:space="0" w:color="000000"/>
            </w:tcBorders>
          </w:tcPr>
          <w:p w14:paraId="6E7531A9" w14:textId="77777777" w:rsidR="00DA70E6" w:rsidRPr="00DA70E6" w:rsidRDefault="00DA70E6" w:rsidP="00DA70E6"/>
        </w:tc>
        <w:tc>
          <w:tcPr>
            <w:tcW w:w="2517" w:type="dxa"/>
            <w:tcBorders>
              <w:top w:val="single" w:sz="4" w:space="0" w:color="000000"/>
              <w:left w:val="single" w:sz="4" w:space="0" w:color="000000"/>
              <w:bottom w:val="single" w:sz="4" w:space="0" w:color="000000"/>
              <w:right w:val="single" w:sz="4" w:space="0" w:color="000000"/>
            </w:tcBorders>
          </w:tcPr>
          <w:p w14:paraId="20FF0F84" w14:textId="77777777" w:rsidR="00DA70E6" w:rsidRPr="00DA70E6" w:rsidRDefault="00DA70E6" w:rsidP="00DA70E6">
            <w:r w:rsidRPr="00DA70E6">
              <w:t>Astenija</w:t>
            </w:r>
          </w:p>
        </w:tc>
      </w:tr>
      <w:tr w:rsidR="00DA70E6" w:rsidRPr="00DA70E6" w14:paraId="2E959322" w14:textId="77777777" w:rsidTr="00EA3053">
        <w:trPr>
          <w:trHeight w:val="20"/>
        </w:trPr>
        <w:tc>
          <w:tcPr>
            <w:tcW w:w="2517" w:type="dxa"/>
            <w:tcBorders>
              <w:top w:val="single" w:sz="4" w:space="0" w:color="000000"/>
              <w:left w:val="single" w:sz="4" w:space="0" w:color="000000"/>
              <w:bottom w:val="single" w:sz="4" w:space="0" w:color="000000"/>
              <w:right w:val="single" w:sz="4" w:space="0" w:color="000000"/>
            </w:tcBorders>
          </w:tcPr>
          <w:p w14:paraId="31A9AACE" w14:textId="77777777" w:rsidR="00DA70E6" w:rsidRPr="00DA70E6" w:rsidRDefault="00DA70E6" w:rsidP="00DA70E6">
            <w:r w:rsidRPr="00DA70E6">
              <w:t>Dažnas</w:t>
            </w:r>
          </w:p>
        </w:tc>
        <w:tc>
          <w:tcPr>
            <w:tcW w:w="2517" w:type="dxa"/>
            <w:tcBorders>
              <w:top w:val="single" w:sz="4" w:space="0" w:color="000000"/>
              <w:left w:val="single" w:sz="4" w:space="0" w:color="000000"/>
              <w:bottom w:val="single" w:sz="4" w:space="0" w:color="000000"/>
              <w:right w:val="single" w:sz="4" w:space="0" w:color="000000"/>
            </w:tcBorders>
          </w:tcPr>
          <w:p w14:paraId="550A6266" w14:textId="77777777" w:rsidR="00DA70E6" w:rsidRPr="00DA70E6" w:rsidRDefault="00DA70E6" w:rsidP="00DA70E6">
            <w:r w:rsidRPr="00DA70E6">
              <w:t>Skausmas, astenija</w:t>
            </w:r>
          </w:p>
        </w:tc>
        <w:tc>
          <w:tcPr>
            <w:tcW w:w="2517" w:type="dxa"/>
            <w:tcBorders>
              <w:top w:val="single" w:sz="4" w:space="0" w:color="000000"/>
              <w:left w:val="single" w:sz="4" w:space="0" w:color="000000"/>
              <w:bottom w:val="single" w:sz="4" w:space="0" w:color="000000"/>
              <w:right w:val="single" w:sz="4" w:space="0" w:color="000000"/>
            </w:tcBorders>
          </w:tcPr>
          <w:p w14:paraId="0A6DBA6D" w14:textId="77777777" w:rsidR="00DA70E6" w:rsidRPr="00DA70E6" w:rsidRDefault="00DA70E6" w:rsidP="00DA70E6"/>
        </w:tc>
      </w:tr>
    </w:tbl>
    <w:p w14:paraId="3B3A4749" w14:textId="77777777" w:rsidR="00DA70E6" w:rsidRPr="00DA70E6" w:rsidRDefault="00DA70E6" w:rsidP="00DA70E6"/>
    <w:p w14:paraId="45CD7D62" w14:textId="77777777" w:rsidR="00DA70E6" w:rsidRPr="00DA70E6" w:rsidRDefault="00DA70E6" w:rsidP="00DA70E6">
      <w:pPr>
        <w:ind w:left="142" w:hanging="142"/>
      </w:pPr>
      <w:r w:rsidRPr="00DA70E6">
        <w:rPr>
          <w:vertAlign w:val="superscript"/>
        </w:rPr>
        <w:t xml:space="preserve">1 </w:t>
      </w:r>
      <w:r w:rsidRPr="00DA70E6">
        <w:t>Ši nepageidaujama reakcija gali pasireikšti kaip proksimalinės inkstų tubulopatijos pasekmė. Jeigu nėra šios būklės, laikoma, kad reakcija nėra susijusi su tenofoviro dizoproksilio vartojimu.</w:t>
      </w:r>
    </w:p>
    <w:p w14:paraId="774FE57A" w14:textId="77777777" w:rsidR="00DA70E6" w:rsidRPr="00DA70E6" w:rsidRDefault="00DA70E6" w:rsidP="00DA70E6">
      <w:pPr>
        <w:ind w:left="142" w:hanging="142"/>
      </w:pPr>
      <w:r w:rsidRPr="00DA70E6">
        <w:rPr>
          <w:vertAlign w:val="superscript"/>
        </w:rPr>
        <w:t xml:space="preserve">2 </w:t>
      </w:r>
      <w:r w:rsidRPr="00DA70E6">
        <w:t>Dažnai pasireiškė anemija ir labai dažnai – odos spalvos pokyčiai (hiperpigmentacija), kai emtricitabino buvo skiriama vaikams.</w:t>
      </w:r>
    </w:p>
    <w:p w14:paraId="4F236118" w14:textId="77777777" w:rsidR="00DA70E6" w:rsidRPr="00DA70E6" w:rsidRDefault="00DA70E6" w:rsidP="00DA70E6">
      <w:pPr>
        <w:ind w:left="142" w:hanging="142"/>
      </w:pPr>
      <w:r w:rsidRPr="00DA70E6">
        <w:rPr>
          <w:vertAlign w:val="superscript"/>
        </w:rPr>
        <w:t xml:space="preserve">3 </w:t>
      </w:r>
      <w:r w:rsidRPr="00DA70E6">
        <w:t>Ši nepageidaujama reakcija nustatyta po vaistinio preparato patekimo į rinką, bet nepastebėta emtricitabino atsitiktinių imčių kontroliuojamų klinikinių tyrimų su ŽIV infekuotais suaugusiaisiais ar vaikais metu, atsitiktinių imčių kontroliuojamų klinikinių tyrimų ar tenofoviro dizoproksilio išplėstinio vartojimo programos tenofoviro dizoproksiliui metu. Dažnio kategorija „nedažnas“ buvo vertinama pagal statistinius skaičiavimus, remiantis bendru pacientų, vartojusių emtricitabino atsitiktinių imčių kontroliuojamų klinikinių tyrimų metu, skaičiumi (n = 1563) ar tenofoviro dizoproksilio atsitiktinių imčių kontroliuojamų klinikinių tyrimų ir išplėstinio vartojimo programos metu, skaičiumi (n = 7319).</w:t>
      </w:r>
    </w:p>
    <w:p w14:paraId="1B50C597" w14:textId="77777777" w:rsidR="00DA70E6" w:rsidRPr="00DA70E6" w:rsidRDefault="00DA70E6" w:rsidP="00DA70E6"/>
    <w:p w14:paraId="04B8EC9A" w14:textId="6D2F4A34" w:rsidR="004D2C39" w:rsidRDefault="00D80526" w:rsidP="004D2C39">
      <w:pPr>
        <w:pStyle w:val="Default"/>
        <w:rPr>
          <w:sz w:val="22"/>
          <w:szCs w:val="22"/>
        </w:rPr>
      </w:pPr>
      <w:r w:rsidRPr="00D80526">
        <w:rPr>
          <w:sz w:val="22"/>
          <w:szCs w:val="22"/>
        </w:rPr>
        <w:t>Atrinktų</w:t>
      </w:r>
      <w:r w:rsidR="004D2C39">
        <w:rPr>
          <w:sz w:val="22"/>
          <w:szCs w:val="22"/>
        </w:rPr>
        <w:t xml:space="preserve">nepageidaujamų reakcijų </w:t>
      </w:r>
      <w:r w:rsidRPr="00D80526">
        <w:rPr>
          <w:sz w:val="22"/>
          <w:szCs w:val="22"/>
        </w:rPr>
        <w:t>apibūdinimas</w:t>
      </w:r>
    </w:p>
    <w:p w14:paraId="45599302" w14:textId="77777777" w:rsidR="00DA70E6" w:rsidRPr="00DA70E6" w:rsidRDefault="00DA70E6" w:rsidP="00DA70E6"/>
    <w:p w14:paraId="18697D02" w14:textId="77777777" w:rsidR="007E428A" w:rsidRDefault="00DA70E6" w:rsidP="00DA70E6">
      <w:r w:rsidRPr="00DA70E6">
        <w:rPr>
          <w:i/>
        </w:rPr>
        <w:t>Inkstų funkcijos sutrikimas</w:t>
      </w:r>
      <w:r w:rsidRPr="00DA70E6">
        <w:t xml:space="preserve">: </w:t>
      </w:r>
    </w:p>
    <w:p w14:paraId="21ED81EE" w14:textId="77777777" w:rsidR="007E428A" w:rsidRDefault="007E428A" w:rsidP="00DA70E6"/>
    <w:p w14:paraId="2F9E56E3" w14:textId="0855BA85" w:rsidR="00DA70E6" w:rsidRDefault="00DA70E6" w:rsidP="00DA70E6">
      <w:r w:rsidRPr="00DA70E6">
        <w:t>kadangi</w:t>
      </w:r>
      <w:r w:rsidR="00427D02">
        <w:t xml:space="preserve"> </w:t>
      </w:r>
      <w:r w:rsidRPr="00DA70E6">
        <w:t>emtricitabino ir tenofoviro dizoproksilio derinys gali pakenkti inkstams, rekomenduojamas inkstų funkcijos stebėjimas (žr. 4.4</w:t>
      </w:r>
      <w:r w:rsidR="00427D02">
        <w:t xml:space="preserve"> </w:t>
      </w:r>
      <w:r w:rsidRPr="00DA70E6">
        <w:t xml:space="preserve">skyrių). Proksimalinė inkstų tubulopatija paprastai praeidavo arba susilpnėdavo, nutraukus tenofoviro dizoproksilio vartojimą. Tačiau kai kuriems ŽIV-1 infekuotiems pacientams, nepaisant tenofoviro dizoproksilio vartojimo nutraukimo, kreatinino klirenso sumažėjimas visiškai nepraėjo. Pacientams, kuriems yra inkstų funkcijos sutrikimo rizika (pvz., pacientams, kuriems prieš gydymo pradžią yra inkstų funkcijos sutrikimo rizikos faktorių, pažengusi ŽIV liga, arba pacientams, kurie kartu vartoja nefrotoksinių vaistinių preparatų), yra padidėjusi rizika, kad inkstų </w:t>
      </w:r>
      <w:r w:rsidRPr="00DA70E6">
        <w:lastRenderedPageBreak/>
        <w:t>funkcija atsistatys ne visiškai, nepaisant tenofoviro dizoproksilio vartojimo nutraukimo (žr. 4.4 skyrių).</w:t>
      </w:r>
    </w:p>
    <w:p w14:paraId="5BE13178" w14:textId="77777777" w:rsidR="00D80526" w:rsidRDefault="00D80526" w:rsidP="00DA70E6"/>
    <w:p w14:paraId="380CF43B" w14:textId="77777777" w:rsidR="00D80526" w:rsidRDefault="00D80526" w:rsidP="00D80526">
      <w:r>
        <w:t>Laktatacidozė: vartojant vien tik tenofoviro dizoproksilio arba jį derinant su kitais antiretrovirusiniais vaistiniais preparatais, buvo gauta pranešimų apie laktatacidozės atvejus. Pacientams, kuriems yra predisponuojančių veiksnių, tokių kaip nekompensuota kepenų liga, arba pacientams, kartu vartojantiems laktatacidozę skatinančių vaistinių preparatų, gydymo tenofoviru dizoproksiliu metu yra didesnė rizika patirti sunkią laktatacidozę, įskaitant mirtinus atvejus.</w:t>
      </w:r>
    </w:p>
    <w:p w14:paraId="640247C9" w14:textId="77777777" w:rsidR="00D80526" w:rsidRDefault="00D80526" w:rsidP="00D80526"/>
    <w:p w14:paraId="603C4C87" w14:textId="77777777" w:rsidR="00DA70E6" w:rsidRPr="00DA70E6" w:rsidRDefault="00DA70E6" w:rsidP="00DA70E6"/>
    <w:p w14:paraId="0450BDEC" w14:textId="77777777" w:rsidR="00DA70E6" w:rsidRPr="00DA70E6" w:rsidRDefault="00DA70E6" w:rsidP="00DA70E6">
      <w:r w:rsidRPr="00DA70E6">
        <w:rPr>
          <w:i/>
        </w:rPr>
        <w:t>Metabolizmo rodmenys</w:t>
      </w:r>
      <w:r w:rsidRPr="00DA70E6">
        <w:t>: gydymo antiretrovirusiniais vaistiniais preparatais metu gali padidėti kūno masė ir lipidų bei gliukozės lygiai kraujyje (žr. 4.4 skyrių).</w:t>
      </w:r>
    </w:p>
    <w:p w14:paraId="2892C946" w14:textId="77777777" w:rsidR="00DA70E6" w:rsidRPr="00DA70E6" w:rsidRDefault="00DA70E6" w:rsidP="00DA70E6"/>
    <w:p w14:paraId="2240414C" w14:textId="77777777" w:rsidR="00DA70E6" w:rsidRPr="00DA70E6" w:rsidRDefault="00DA70E6" w:rsidP="00DA70E6">
      <w:r w:rsidRPr="00DA70E6">
        <w:rPr>
          <w:i/>
        </w:rPr>
        <w:t>Imuninės reaktyvacijos sindromas</w:t>
      </w:r>
      <w:r w:rsidRPr="00DA70E6">
        <w:t>: ŽIV infekuotiems pacientams, kuriems yra didelis imuninės sistemos deficitas, pradėjus KARG, gali išsivystyti uždegiminė reakcija į besimptomes arba liekamąsias infekcijas, sukeltas sąlyginai patogeninių mikroorganizmų. Taip pat buvo pranešta apie autoimuninius sutrikimus (pvz., Greivso ligą</w:t>
      </w:r>
      <w:r w:rsidR="00A977CA">
        <w:t xml:space="preserve"> ir autoimuninį hepatitą</w:t>
      </w:r>
      <w:r w:rsidRPr="00DA70E6">
        <w:t>), tačiau praneštas jų pradžios laikas yra labiau kintamas ir šie reiškiniai galimi per daug mėnesių nuo gydymo pradžios (žr. 4.4 skyrių).</w:t>
      </w:r>
    </w:p>
    <w:p w14:paraId="1615C34C" w14:textId="77777777" w:rsidR="00DA70E6" w:rsidRPr="00DA70E6" w:rsidRDefault="00DA70E6" w:rsidP="00DA70E6"/>
    <w:p w14:paraId="5BF20769" w14:textId="31DBAB6E" w:rsidR="00DA70E6" w:rsidRDefault="00DA70E6" w:rsidP="00DA70E6">
      <w:r w:rsidRPr="00DA70E6">
        <w:rPr>
          <w:i/>
        </w:rPr>
        <w:t>Kaulų nekrozė</w:t>
      </w:r>
      <w:r w:rsidRPr="00DA70E6">
        <w:t>: yra duomenų apie kaulų nekrozės atvejus, ypač pacientams, kuriems yra gerai žinomų rizikos veiksnių, toli pažengusi ŽIV liga arba ilgai taikomas KARG. Kaulų nekrozės atvejų dažnis nežinomas (žr. 4.4 skyrių).</w:t>
      </w:r>
    </w:p>
    <w:p w14:paraId="25C1C340" w14:textId="77777777" w:rsidR="00DA70E6" w:rsidRPr="00DA70E6" w:rsidRDefault="00DA70E6" w:rsidP="00DA70E6"/>
    <w:p w14:paraId="156C47A4" w14:textId="77777777" w:rsidR="00DA70E6" w:rsidRPr="00DA70E6" w:rsidRDefault="00DA70E6" w:rsidP="00DA70E6">
      <w:pPr>
        <w:rPr>
          <w:u w:val="single"/>
        </w:rPr>
      </w:pPr>
      <w:r w:rsidRPr="00DA70E6">
        <w:rPr>
          <w:u w:val="single"/>
        </w:rPr>
        <w:t>Vaikų populiacija</w:t>
      </w:r>
    </w:p>
    <w:p w14:paraId="76052CCD" w14:textId="77777777" w:rsidR="00DA70E6" w:rsidRPr="00DA70E6" w:rsidRDefault="00DA70E6" w:rsidP="00DA70E6"/>
    <w:p w14:paraId="3F94A697" w14:textId="77777777" w:rsidR="00DA70E6" w:rsidRPr="00DA70E6" w:rsidRDefault="00DA70E6" w:rsidP="00DA70E6">
      <w:r w:rsidRPr="00DA70E6">
        <w:t>Nepageidaujamų reakcijų, susijusių su emtricitabinu, įvertinimas pagrįstas trijų pediatrinių tyrimų, (n = 169), patirtimi. Jų metu anksčiau negydyti (n = 123) ir anksčiau gydyti (n = 46)</w:t>
      </w:r>
    </w:p>
    <w:p w14:paraId="44C7BAE8" w14:textId="77777777" w:rsidR="00DA70E6" w:rsidRPr="00DA70E6" w:rsidRDefault="00DA70E6" w:rsidP="00DA70E6">
      <w:r w:rsidRPr="00DA70E6">
        <w:t>ŽIV infekuoti pacientai vaikai, kurių amžius nuo 4 mėnesių iki 18 metų, buvo gydomi emtricitabinu kartu su kitais antiretrovirusiniais vaistiniais preparatais. Be suaugusiesiems nustatytų nepageidaujamų reakcijų, vaikams klinikinių tyrimų metu dažniau nei suaugusiesiems pasireiškė anemija (9,5 %) ir odos spalvos pokyčiai (31,8 %) (žr. 4.8 skyrių, Nepageidaujamų reakcijų santrauka lentelėje ).</w:t>
      </w:r>
    </w:p>
    <w:p w14:paraId="3D5A3E22" w14:textId="77777777" w:rsidR="00DA70E6" w:rsidRPr="00DA70E6" w:rsidRDefault="00DA70E6" w:rsidP="00DA70E6"/>
    <w:p w14:paraId="4A0E6EC0" w14:textId="77777777" w:rsidR="00DA70E6" w:rsidRPr="00DA70E6" w:rsidRDefault="00DA70E6" w:rsidP="00DA70E6">
      <w:r w:rsidRPr="00DA70E6">
        <w:t xml:space="preserve">Nepageidaujamų reakcijų, susijusių su tenofoviro dizoproksiliu, įvertinimas pagrįstas dviejų atsitiktinių imčių tyrimų (tyrimų GS-US-104-0321 ir GS-US-104-0352) duomenimis. Juose dalyvavo 184 ŽIV-1 infekuoti pacientai vaikai (nuo 2 iki &lt; 18 metų amžiaus), kurie 48 savaites buvo gydomi tenofoviro dizoproksiliu (n = 93) arba placebo ir palyginamosios veikliosios medžiagos deriniu (n = 91) kartu su kitais antiretrovirusiniais vaistiniais preparatais (žr. 5.1 skyrių). Nepageidaujamos reakcijos, nustatytos tenofoviro dizoproksiliu gydytiems vaikams, atitiko nustatytas suaugusiesiems tenofoviro dizoproksilio klinikinių tyrimų metu (žr. 4.8 skyrių, </w:t>
      </w:r>
      <w:r w:rsidRPr="00A0725F">
        <w:rPr>
          <w:i/>
          <w:iCs/>
        </w:rPr>
        <w:t xml:space="preserve">Nepageidaujamų reakcijų santrauka lentelėje </w:t>
      </w:r>
      <w:r w:rsidRPr="00DA70E6">
        <w:t>ir 5.1 skyrių).</w:t>
      </w:r>
    </w:p>
    <w:p w14:paraId="26BB91C5" w14:textId="77777777" w:rsidR="00DA70E6" w:rsidRPr="00DA70E6" w:rsidRDefault="00DA70E6" w:rsidP="00DA70E6"/>
    <w:p w14:paraId="04D3FA20" w14:textId="77777777" w:rsidR="00DA70E6" w:rsidRPr="00DA70E6" w:rsidRDefault="00DA70E6" w:rsidP="00DA70E6">
      <w:r w:rsidRPr="00DA70E6">
        <w:t>Gauta pranešimų apie KMT sumažėjimą vaikams. ŽIV-1 infekuotiems paaugliams (nuo 12 iki &lt; 18 metų amžiaus) KMT Z rodmenys, nustatyti tenofoviro dizoproksiliu gydomiems tiriamiesiems, buvo mažesni nei placebą vartojusių tiriamųjų. ŽIV-1 infekuotiems vaikams (nuo 2 iki 15 metų amžiaus) KMT Z rodmenys, nustatyti į tenofoviro dizoproksilio grupę perėjusiems tiriamiesiems, buvo mažesni nei tiriamųjų, toliau gydomų pagal schemą, kurios sudėtyje buvo stavudino arba zidovudino (žr. 4.4 ir 5.1 skyrius).</w:t>
      </w:r>
    </w:p>
    <w:p w14:paraId="532F6302" w14:textId="77777777" w:rsidR="00DA70E6" w:rsidRPr="00DA70E6" w:rsidRDefault="00DA70E6" w:rsidP="00DA70E6"/>
    <w:p w14:paraId="5BF62535" w14:textId="510D4212" w:rsidR="00DA70E6" w:rsidRPr="00DA70E6" w:rsidRDefault="00DA70E6" w:rsidP="00613B1F">
      <w:pPr>
        <w:autoSpaceDE w:val="0"/>
        <w:autoSpaceDN w:val="0"/>
        <w:adjustRightInd w:val="0"/>
      </w:pPr>
      <w:r w:rsidRPr="00DA70E6">
        <w:t xml:space="preserve">Tyrime GS-US-104-0352 dalyvavusių </w:t>
      </w:r>
      <w:r w:rsidR="00D80526" w:rsidRPr="00D80526">
        <w:t xml:space="preserve">ŽIV-1 infekuotų </w:t>
      </w:r>
      <w:r w:rsidRPr="00DA70E6">
        <w:t xml:space="preserve">89 </w:t>
      </w:r>
      <w:r w:rsidR="00D80526" w:rsidRPr="00D80526">
        <w:t>pediatrinių pacientų</w:t>
      </w:r>
      <w:r w:rsidRPr="00DA70E6">
        <w:t xml:space="preserve">, kurių amžiaus mediana buvo 7 metai (intervalas nuo 2 iki 15 metų), tenofoviro </w:t>
      </w:r>
      <w:r w:rsidRPr="00E1395D">
        <w:t xml:space="preserve">dizoproksilio vartojimo trukmės mediana buvo 313 savaičių. </w:t>
      </w:r>
      <w:r w:rsidR="00DA61BF" w:rsidRPr="005C0E81">
        <w:t>Aštuoni</w:t>
      </w:r>
      <w:r w:rsidR="00DA61BF" w:rsidRPr="00E1395D">
        <w:t xml:space="preserve"> </w:t>
      </w:r>
      <w:r w:rsidRPr="00E1395D">
        <w:t>iš 89</w:t>
      </w:r>
      <w:r w:rsidR="004D2C39">
        <w:t xml:space="preserve">   (9 </w:t>
      </w:r>
      <w:r w:rsidR="004D2C39" w:rsidRPr="007A5A93">
        <w:t>%</w:t>
      </w:r>
      <w:r w:rsidR="004D2C39">
        <w:t xml:space="preserve"> )</w:t>
      </w:r>
      <w:r w:rsidRPr="00E1395D">
        <w:t xml:space="preserve"> pacientų nutraukė dalyvavimą tyrime dėl </w:t>
      </w:r>
      <w:r w:rsidR="00DA61BF" w:rsidRPr="005C0E81">
        <w:t xml:space="preserve">inkstų </w:t>
      </w:r>
      <w:r w:rsidRPr="005C0E81">
        <w:t xml:space="preserve">nepageidaujamų </w:t>
      </w:r>
      <w:r w:rsidR="00DA61BF" w:rsidRPr="005C0E81">
        <w:t>reiškinių</w:t>
      </w:r>
      <w:r w:rsidRPr="005C0E81">
        <w:t xml:space="preserve">. </w:t>
      </w:r>
      <w:r w:rsidR="00DA61BF" w:rsidRPr="005C0E81">
        <w:t xml:space="preserve">Penkių tiriamųjų (5,6 %) laboratoriniai rodmenys kliniškai atitiko proksimalinę inkstų tubulopatiją, 4 iš jų nutraukė gydymą tenofoviro dizoproksiliu. </w:t>
      </w:r>
      <w:r w:rsidRPr="005C0E81">
        <w:t>Septynių pacientų apskaičiuotojo glomerulų filtracijos greičio (GFG)</w:t>
      </w:r>
      <w:r w:rsidRPr="00613B1F">
        <w:t xml:space="preserve"> vertės buvo nuo 70 iki 90 ml/min./1,73 m</w:t>
      </w:r>
      <w:r w:rsidRPr="00613B1F">
        <w:rPr>
          <w:vertAlign w:val="superscript"/>
        </w:rPr>
        <w:t>2</w:t>
      </w:r>
      <w:r w:rsidRPr="00613B1F">
        <w:t xml:space="preserve">. Iš jų </w:t>
      </w:r>
      <w:r w:rsidR="00DA61BF" w:rsidRPr="005C0E81">
        <w:t>3</w:t>
      </w:r>
      <w:r w:rsidR="00DA61BF" w:rsidRPr="00E1395D">
        <w:t xml:space="preserve"> </w:t>
      </w:r>
      <w:r w:rsidRPr="00E1395D">
        <w:t>pacientams gydymo metu kliniškai reikšmingai sumažėjo apskaičiuotasis GFG, kuris nutraukus tenofoviro dizoproksilio vartojimą padidėjo.</w:t>
      </w:r>
    </w:p>
    <w:p w14:paraId="0CFE4829" w14:textId="77777777" w:rsidR="00DA70E6" w:rsidRPr="00DA70E6" w:rsidRDefault="00DA70E6" w:rsidP="00DA70E6"/>
    <w:p w14:paraId="12230192" w14:textId="77777777" w:rsidR="00DA70E6" w:rsidRPr="00DA70E6" w:rsidRDefault="00DA70E6" w:rsidP="00DA70E6">
      <w:pPr>
        <w:rPr>
          <w:u w:val="single"/>
        </w:rPr>
      </w:pPr>
      <w:r w:rsidRPr="00DA70E6">
        <w:rPr>
          <w:u w:val="single"/>
        </w:rPr>
        <w:t>Kitos ypatingos populiacijos</w:t>
      </w:r>
    </w:p>
    <w:p w14:paraId="64000C1D" w14:textId="77777777" w:rsidR="00DA70E6" w:rsidRPr="00DA70E6" w:rsidRDefault="00DA70E6" w:rsidP="00DA70E6"/>
    <w:p w14:paraId="70DD98B6" w14:textId="77777777" w:rsidR="00DA70E6" w:rsidRPr="00DA70E6" w:rsidRDefault="00DA70E6" w:rsidP="00DA70E6">
      <w:pPr>
        <w:autoSpaceDE w:val="0"/>
        <w:autoSpaceDN w:val="0"/>
        <w:adjustRightInd w:val="0"/>
      </w:pPr>
      <w:r w:rsidRPr="00DA70E6">
        <w:rPr>
          <w:i/>
        </w:rPr>
        <w:t xml:space="preserve">Asmenys, kurių inkstų </w:t>
      </w:r>
      <w:r w:rsidRPr="00E1395D">
        <w:rPr>
          <w:i/>
        </w:rPr>
        <w:t>funkcija sutrikusi</w:t>
      </w:r>
      <w:r w:rsidRPr="00E1395D">
        <w:t>: kadangi tenofoviro dizoproksilis gali sukelti toksinį poveikį inkstams, bet kuriam Emtricitabine/Tenofovir disoproxil Sandoz gydomam suaugusiajam, kurio inkstų funkcija susilpnėjusi, rekomenduojama atidžiai stebėti inkstų funkciją (žr. 4.2, 4.4 ir 5.2 skyrius</w:t>
      </w:r>
      <w:r w:rsidRPr="00613B1F">
        <w:t>).</w:t>
      </w:r>
      <w:r w:rsidRPr="00613B1F">
        <w:rPr>
          <w:szCs w:val="22"/>
        </w:rPr>
        <w:t xml:space="preserve"> </w:t>
      </w:r>
      <w:r w:rsidRPr="005C0E81">
        <w:t>P</w:t>
      </w:r>
      <w:r w:rsidR="00CD5EA1" w:rsidRPr="005C0E81">
        <w:t>acientams iki 18 metų</w:t>
      </w:r>
      <w:r w:rsidRPr="005C0E81">
        <w:t>,</w:t>
      </w:r>
      <w:r w:rsidRPr="00E1395D">
        <w:rPr>
          <w:szCs w:val="22"/>
        </w:rPr>
        <w:t xml:space="preserve"> </w:t>
      </w:r>
      <w:r w:rsidRPr="00E1395D">
        <w:rPr>
          <w:rFonts w:eastAsia="TimesNewRomanPSMT"/>
          <w:szCs w:val="22"/>
        </w:rPr>
        <w:t xml:space="preserve">kurių inkstų funkcija </w:t>
      </w:r>
      <w:r w:rsidRPr="00E1395D">
        <w:rPr>
          <w:szCs w:val="22"/>
        </w:rPr>
        <w:t xml:space="preserve">sutrikusi, </w:t>
      </w:r>
      <w:r w:rsidRPr="00613B1F">
        <w:t>Emtricitabine/Tenofovir disoproxil Sandoz</w:t>
      </w:r>
      <w:r w:rsidRPr="00613B1F">
        <w:rPr>
          <w:szCs w:val="22"/>
        </w:rPr>
        <w:t xml:space="preserve"> vartoti nerekomenduojama</w:t>
      </w:r>
      <w:r w:rsidRPr="00DA70E6">
        <w:rPr>
          <w:szCs w:val="22"/>
        </w:rPr>
        <w:t xml:space="preserve"> (žr. 4.2 ir 4.4 skyrius).</w:t>
      </w:r>
    </w:p>
    <w:p w14:paraId="003878B4" w14:textId="77777777" w:rsidR="00DA70E6" w:rsidRPr="00DA70E6" w:rsidRDefault="00DA70E6" w:rsidP="00DA70E6"/>
    <w:p w14:paraId="117B4B2A" w14:textId="77777777" w:rsidR="00DA70E6" w:rsidRPr="00DA70E6" w:rsidRDefault="00DA70E6" w:rsidP="00DA70E6">
      <w:r w:rsidRPr="00DA70E6">
        <w:rPr>
          <w:i/>
        </w:rPr>
        <w:t>ŽIV ir kartu HBV arba HCV infekuoti pacientai</w:t>
      </w:r>
      <w:r w:rsidRPr="00DA70E6">
        <w:t>: GS-01-934 tyrime nepageidaujamų emtricitabino ir tenofoviro dizoproksilio reakcijų pobūdis nedideliam skaičiui ŽIV infekuotų pacientų, kurie buvo kartu infekuoti ir HBV (n = 13) arba HCV (n = 26), buvo panašus, kaip pacientams, infekuotiems tik ŽIV. Tačiau šioje pacientų populiacijoje, kaip buvo galima tikėtis, dažniau nei bendrojoje ŽIV infekuotų  asmenų populiacijoje, pastebėtas AST ir ALT aktyvumo padidėjimas.</w:t>
      </w:r>
    </w:p>
    <w:p w14:paraId="41FF3F75" w14:textId="77777777" w:rsidR="00DA70E6" w:rsidRPr="00DA70E6" w:rsidRDefault="00DA70E6" w:rsidP="00DA70E6"/>
    <w:p w14:paraId="7832525C" w14:textId="77777777" w:rsidR="00DA70E6" w:rsidRPr="00DA70E6" w:rsidRDefault="00DA70E6" w:rsidP="00DA70E6">
      <w:r w:rsidRPr="00DA70E6">
        <w:rPr>
          <w:i/>
        </w:rPr>
        <w:t>Kepenų uždegimo paūmėjimai po visiško gydymo nutraukimo</w:t>
      </w:r>
      <w:r w:rsidRPr="00DA70E6">
        <w:t>: HBV infekuotiems pacientams po gydymo nutraukimo atsirado klinikinių ir laboratorinių kepenų uždegimo požymių (žr. 4.4 skyrių).</w:t>
      </w:r>
    </w:p>
    <w:p w14:paraId="3D8E8430" w14:textId="77777777" w:rsidR="00DA70E6" w:rsidRPr="00DA70E6" w:rsidRDefault="00DA70E6" w:rsidP="00DA70E6"/>
    <w:p w14:paraId="1F720D84" w14:textId="77777777" w:rsidR="00DA70E6" w:rsidRPr="00DA70E6" w:rsidRDefault="00DA70E6" w:rsidP="00DA70E6">
      <w:pPr>
        <w:rPr>
          <w:u w:val="single"/>
        </w:rPr>
      </w:pPr>
      <w:r w:rsidRPr="00DA70E6">
        <w:rPr>
          <w:u w:val="single"/>
        </w:rPr>
        <w:t>Pranešimas apie įtariamas nepageidaujamas reakcijas</w:t>
      </w:r>
    </w:p>
    <w:p w14:paraId="44FC44D2" w14:textId="77777777" w:rsidR="00AD2819" w:rsidRDefault="00DA70E6" w:rsidP="00DA70E6">
      <w:r w:rsidRPr="00DA70E6">
        <w:t xml:space="preserve">Svarbu pranešti apie įtariamas nepageidaujamas reakcijas, pastebėtas po vaistinio preparato registracijos, nes tai leidžia nuolat stebėti vaistinio preparato naudos ir rizikos santykį. </w:t>
      </w:r>
      <w:r w:rsidR="00D80526" w:rsidRPr="00D80526">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D80526" w:rsidRPr="003B2FD0">
          <w:rPr>
            <w:rStyle w:val="Hipersaitas"/>
          </w:rPr>
          <w:t>https://vapris.vvkt.lt/vvkt-web/public/nrvSpecialist</w:t>
        </w:r>
      </w:hyperlink>
      <w:r w:rsidR="00D80526">
        <w:t xml:space="preserve"> </w:t>
      </w:r>
      <w:r w:rsidR="00D80526" w:rsidRPr="00D80526">
        <w:t xml:space="preserve"> arba užpildę Sveikatos priežiūros ar farmacijos specialisto pranešimo apie įtariamą nepageidaujamą reakciją (ĮNR) formą, kuri skelbiama </w:t>
      </w:r>
      <w:hyperlink r:id="rId9" w:history="1">
        <w:r w:rsidR="00D80526" w:rsidRPr="003B2FD0">
          <w:rPr>
            <w:rStyle w:val="Hipersaitas"/>
          </w:rPr>
          <w:t>https://www.vvkt.lt/index.php?1399030386</w:t>
        </w:r>
      </w:hyperlink>
      <w:r w:rsidR="00D80526" w:rsidRPr="00D80526">
        <w:t xml:space="preserve">, ir atsiųsti elektroniniu paštu (adresu </w:t>
      </w:r>
      <w:hyperlink r:id="rId10" w:history="1">
        <w:r w:rsidR="00D80526" w:rsidRPr="003B2FD0">
          <w:rPr>
            <w:rStyle w:val="Hipersaitas"/>
          </w:rPr>
          <w:t>NepageidaujamaR@vvkt.lt</w:t>
        </w:r>
      </w:hyperlink>
      <w:r w:rsidR="00D80526" w:rsidRPr="00D80526">
        <w:t>).</w:t>
      </w:r>
    </w:p>
    <w:p w14:paraId="6108FDD8" w14:textId="77777777" w:rsidR="00DA70E6" w:rsidRPr="00DA70E6" w:rsidRDefault="00DA70E6" w:rsidP="00DA70E6"/>
    <w:p w14:paraId="30FF3697" w14:textId="77777777" w:rsidR="00DA70E6" w:rsidRPr="00DA70E6" w:rsidRDefault="00DA70E6" w:rsidP="00DA70E6">
      <w:pPr>
        <w:ind w:left="567" w:hanging="567"/>
        <w:rPr>
          <w:b/>
        </w:rPr>
      </w:pPr>
      <w:r w:rsidRPr="00DA70E6">
        <w:rPr>
          <w:b/>
        </w:rPr>
        <w:t>4.9</w:t>
      </w:r>
      <w:r w:rsidRPr="00DA70E6">
        <w:rPr>
          <w:b/>
        </w:rPr>
        <w:tab/>
        <w:t>Perdozavimas</w:t>
      </w:r>
    </w:p>
    <w:p w14:paraId="49DE00A4" w14:textId="77777777" w:rsidR="00DA70E6" w:rsidRPr="00DA70E6" w:rsidRDefault="00DA70E6" w:rsidP="00DA70E6"/>
    <w:p w14:paraId="64CB7FD9" w14:textId="77777777" w:rsidR="00DA70E6" w:rsidRPr="00DA70E6" w:rsidRDefault="00DA70E6" w:rsidP="00DA70E6">
      <w:r w:rsidRPr="00DA70E6">
        <w:t>Perdozavimo atveju asmenį reikia stebėti dėl toksinio poveikio simptomų (žr. 4.8 skyrių) ir, jeigu reikia, taikyti įprastinį palaikomąjį gydymą.</w:t>
      </w:r>
    </w:p>
    <w:p w14:paraId="6DF493BA" w14:textId="77777777" w:rsidR="00DA70E6" w:rsidRPr="00DA70E6" w:rsidRDefault="00DA70E6" w:rsidP="00DA70E6"/>
    <w:p w14:paraId="5AD435FD" w14:textId="77777777" w:rsidR="00DA70E6" w:rsidRPr="00DA70E6" w:rsidRDefault="00DA70E6" w:rsidP="00DA70E6">
      <w:pPr>
        <w:rPr>
          <w:b/>
        </w:rPr>
      </w:pPr>
      <w:r w:rsidRPr="00DA70E6">
        <w:t>Hemodialize galima pašalinti iki 30 % emtricitabino ir maždaug 10 % tenofoviro dozės. Ar emtricitabiną ir tenofovirą galima pašalinti peritonine dialize, nežinoma.</w:t>
      </w:r>
    </w:p>
    <w:p w14:paraId="1A2808A6" w14:textId="77777777" w:rsidR="00DA70E6" w:rsidRPr="00DA70E6" w:rsidRDefault="00DA70E6" w:rsidP="00DA70E6">
      <w:pPr>
        <w:rPr>
          <w:b/>
        </w:rPr>
      </w:pPr>
    </w:p>
    <w:p w14:paraId="0CE084B3" w14:textId="77777777" w:rsidR="00DA70E6" w:rsidRPr="00DA70E6" w:rsidRDefault="00DA70E6" w:rsidP="00DA70E6">
      <w:pPr>
        <w:rPr>
          <w:b/>
        </w:rPr>
      </w:pPr>
    </w:p>
    <w:p w14:paraId="1C4F89F1" w14:textId="77777777" w:rsidR="00DA70E6" w:rsidRPr="00DA70E6" w:rsidRDefault="00DA70E6" w:rsidP="00DA70E6">
      <w:pPr>
        <w:ind w:left="567" w:hanging="567"/>
        <w:rPr>
          <w:b/>
        </w:rPr>
      </w:pPr>
      <w:r w:rsidRPr="00DA70E6">
        <w:rPr>
          <w:b/>
        </w:rPr>
        <w:t>5.</w:t>
      </w:r>
      <w:r w:rsidRPr="00DA70E6">
        <w:rPr>
          <w:b/>
        </w:rPr>
        <w:tab/>
        <w:t>FARMAKOLOGINĖS SAVYBĖS</w:t>
      </w:r>
    </w:p>
    <w:p w14:paraId="326B9DE5" w14:textId="77777777" w:rsidR="00DA70E6" w:rsidRPr="00DA70E6" w:rsidRDefault="00DA70E6" w:rsidP="00DA70E6">
      <w:pPr>
        <w:rPr>
          <w:b/>
        </w:rPr>
      </w:pPr>
    </w:p>
    <w:p w14:paraId="65952EA2" w14:textId="77777777" w:rsidR="00DA70E6" w:rsidRPr="00DA70E6" w:rsidRDefault="00DA70E6" w:rsidP="00DA70E6">
      <w:pPr>
        <w:ind w:left="567" w:hanging="567"/>
        <w:rPr>
          <w:b/>
          <w:i/>
        </w:rPr>
      </w:pPr>
      <w:r w:rsidRPr="00DA70E6">
        <w:rPr>
          <w:b/>
        </w:rPr>
        <w:t>5.1</w:t>
      </w:r>
      <w:r w:rsidRPr="00DA70E6">
        <w:rPr>
          <w:b/>
        </w:rPr>
        <w:tab/>
        <w:t>Farmakodinaminės savybės</w:t>
      </w:r>
    </w:p>
    <w:p w14:paraId="272AF1E4" w14:textId="77777777" w:rsidR="00DA70E6" w:rsidRPr="00DA70E6" w:rsidRDefault="00DA70E6" w:rsidP="00DA70E6">
      <w:pPr>
        <w:rPr>
          <w:i/>
        </w:rPr>
      </w:pPr>
    </w:p>
    <w:p w14:paraId="358E8707" w14:textId="77777777" w:rsidR="00DA70E6" w:rsidRPr="00DA70E6" w:rsidRDefault="00DA70E6" w:rsidP="00DA70E6">
      <w:r w:rsidRPr="00DA70E6">
        <w:t>Farmakoterapinė grupė – sistemiškai veikiantys antivirusiniai vaistiniai preparatai; antivirusiniai vaistiniai preparatai, skirti ŽIV infekcijoms gydyti, deriniai, ATC kodas – J05AR03.</w:t>
      </w:r>
    </w:p>
    <w:p w14:paraId="37DEF128" w14:textId="77777777" w:rsidR="00DA70E6" w:rsidRPr="00DA70E6" w:rsidRDefault="00DA70E6" w:rsidP="00DA70E6"/>
    <w:p w14:paraId="7ED66EA8" w14:textId="77777777" w:rsidR="00DA70E6" w:rsidRPr="00DA70E6" w:rsidRDefault="00DA70E6" w:rsidP="00DA70E6">
      <w:pPr>
        <w:rPr>
          <w:u w:val="single"/>
        </w:rPr>
      </w:pPr>
      <w:r w:rsidRPr="00DA70E6">
        <w:rPr>
          <w:u w:val="single"/>
        </w:rPr>
        <w:t>Veikimo mechanizmas</w:t>
      </w:r>
    </w:p>
    <w:p w14:paraId="03602F27" w14:textId="77777777" w:rsidR="00DA70E6" w:rsidRPr="00DA70E6" w:rsidRDefault="00DA70E6" w:rsidP="00DA70E6"/>
    <w:p w14:paraId="1BFD920F" w14:textId="77777777" w:rsidR="00DA70E6" w:rsidRPr="00DA70E6" w:rsidRDefault="00DA70E6" w:rsidP="00DA70E6">
      <w:r w:rsidRPr="00DA70E6">
        <w:t xml:space="preserve">Emtricitabinas yra citidino nukleozido analogas. Tenofoviro dizoproksilis </w:t>
      </w:r>
      <w:r w:rsidRPr="00DA70E6">
        <w:rPr>
          <w:i/>
        </w:rPr>
        <w:t>in vivo</w:t>
      </w:r>
      <w:r w:rsidRPr="00DA70E6">
        <w:t xml:space="preserve"> yra konvertuojamas į tenofovirą, kuris yra nukleozido monofosfatas (nukleotidas), adenozino monofosfato analogas. Tiek emtricitabinas, tiek tenofoviras yra specifiškai aktyvūs prieš žmogaus imunodeficito virusą (ŽIV-1 ir ŽIV-2) bei hepatito B virusą.</w:t>
      </w:r>
    </w:p>
    <w:p w14:paraId="69D90756" w14:textId="77777777" w:rsidR="00DA70E6" w:rsidRPr="00DA70E6" w:rsidRDefault="00DA70E6" w:rsidP="00DA70E6"/>
    <w:p w14:paraId="45FB6FCB" w14:textId="77777777" w:rsidR="00DA70E6" w:rsidRPr="00DA70E6" w:rsidRDefault="00DA70E6" w:rsidP="00DA70E6">
      <w:r w:rsidRPr="00DA70E6">
        <w:t>Emtricitabinas ir tenofoviras ląstelių fermentų fosforilinami iki emtricitabino trifosfato ir tenofoviro difosfato</w:t>
      </w:r>
      <w:r w:rsidRPr="00DA70E6">
        <w:rPr>
          <w:i/>
        </w:rPr>
        <w:t>. In vitro</w:t>
      </w:r>
      <w:r w:rsidRPr="00DA70E6">
        <w:t xml:space="preserve"> tyrimai rodo, kad būdami kartu ląstelėse tiek emtricitabinas, tiek tenofoviras gali būti visiškai fosforilinami. Emtricitabino trifosfatas ir tenofoviro difosfatas konkurenciniu būdu slopina ŽIV-1 atvirkštinę transkriptazę, dėl ko nutrūksta DNR grandinė.</w:t>
      </w:r>
    </w:p>
    <w:p w14:paraId="59FC9AC2" w14:textId="77777777" w:rsidR="00DA70E6" w:rsidRPr="00DA70E6" w:rsidRDefault="00DA70E6" w:rsidP="00DA70E6"/>
    <w:p w14:paraId="4AC9E06A" w14:textId="77777777" w:rsidR="00DA70E6" w:rsidRPr="00DA70E6" w:rsidRDefault="00DA70E6" w:rsidP="00DA70E6">
      <w:r w:rsidRPr="00DA70E6">
        <w:lastRenderedPageBreak/>
        <w:t xml:space="preserve">Tiek emtricitabino trifosfatas, tiek tenofoviro difosfatas silpnai slopina žinduolių DNR polimerazę ir nesukelia toksinio poveikio mitochondrijoms </w:t>
      </w:r>
      <w:r w:rsidRPr="00DA70E6">
        <w:rPr>
          <w:i/>
        </w:rPr>
        <w:t>in vitro</w:t>
      </w:r>
      <w:r w:rsidRPr="00DA70E6">
        <w:t xml:space="preserve"> ir </w:t>
      </w:r>
      <w:r w:rsidRPr="00DA70E6">
        <w:rPr>
          <w:i/>
        </w:rPr>
        <w:t>in vivo</w:t>
      </w:r>
      <w:r w:rsidRPr="00DA70E6">
        <w:t>.</w:t>
      </w:r>
    </w:p>
    <w:p w14:paraId="3DB3177A" w14:textId="77777777" w:rsidR="00DA70E6" w:rsidRPr="00DA70E6" w:rsidRDefault="00DA70E6" w:rsidP="00DA70E6"/>
    <w:p w14:paraId="1A987C6A" w14:textId="77777777" w:rsidR="00DA70E6" w:rsidRPr="00DA70E6" w:rsidRDefault="00DA70E6" w:rsidP="00DA70E6">
      <w:pPr>
        <w:rPr>
          <w:u w:val="single"/>
        </w:rPr>
      </w:pPr>
      <w:r w:rsidRPr="00DA70E6">
        <w:rPr>
          <w:u w:val="single"/>
        </w:rPr>
        <w:t xml:space="preserve">Antivirusinis aktyvumas </w:t>
      </w:r>
      <w:r w:rsidRPr="00DA70E6">
        <w:rPr>
          <w:i/>
          <w:u w:val="single"/>
        </w:rPr>
        <w:t>in vitro</w:t>
      </w:r>
    </w:p>
    <w:p w14:paraId="66E9A0DC" w14:textId="77777777" w:rsidR="00DA70E6" w:rsidRPr="00DA70E6" w:rsidRDefault="00DA70E6" w:rsidP="00DA70E6"/>
    <w:p w14:paraId="2BCCF429" w14:textId="77777777" w:rsidR="00DA70E6" w:rsidRPr="00DA70E6" w:rsidRDefault="00DA70E6" w:rsidP="00DA70E6">
      <w:r w:rsidRPr="00DA70E6">
        <w:t xml:space="preserve">Vartojant emtricitabino kartu su tenofoviru </w:t>
      </w:r>
      <w:r w:rsidRPr="00DA70E6">
        <w:rPr>
          <w:i/>
        </w:rPr>
        <w:t>in vitro</w:t>
      </w:r>
      <w:r w:rsidRPr="00DA70E6">
        <w:t xml:space="preserve"> nustatytas sinergistinis antivirusinis poveikis. Kombinuotame tyrime su proteazių inhibitoriais ir su nukleozidų ir nenukleozidų analogų ŽIV atvirkštinės transkriptazės inhibitoriais, buvo nustatytas adityvus sinergistiniam aktyvumui poveikis.</w:t>
      </w:r>
    </w:p>
    <w:p w14:paraId="70BF935F" w14:textId="77777777" w:rsidR="00DA70E6" w:rsidRPr="00DA70E6" w:rsidRDefault="00DA70E6" w:rsidP="00DA70E6"/>
    <w:p w14:paraId="0085927C" w14:textId="77777777" w:rsidR="00DA70E6" w:rsidRPr="00DA70E6" w:rsidRDefault="00DA70E6" w:rsidP="00DA70E6">
      <w:pPr>
        <w:rPr>
          <w:u w:val="single"/>
        </w:rPr>
      </w:pPr>
      <w:r w:rsidRPr="00DA70E6">
        <w:rPr>
          <w:u w:val="single"/>
        </w:rPr>
        <w:t>Atsparumas</w:t>
      </w:r>
    </w:p>
    <w:p w14:paraId="1F5152F9" w14:textId="77777777" w:rsidR="00DA70E6" w:rsidRPr="00DA70E6" w:rsidRDefault="00DA70E6" w:rsidP="00DA70E6"/>
    <w:p w14:paraId="0DE8EF95" w14:textId="77777777" w:rsidR="00DA70E6" w:rsidRPr="00DA70E6" w:rsidRDefault="00DA70E6" w:rsidP="00DA70E6">
      <w:r w:rsidRPr="00DA70E6">
        <w:rPr>
          <w:i/>
        </w:rPr>
        <w:t>In vitro</w:t>
      </w:r>
      <w:r w:rsidRPr="00DA70E6">
        <w:t xml:space="preserve">: pastebėtas </w:t>
      </w:r>
      <w:r w:rsidRPr="00DA70E6">
        <w:rPr>
          <w:i/>
        </w:rPr>
        <w:t>in vitro</w:t>
      </w:r>
      <w:r w:rsidRPr="00DA70E6">
        <w:t xml:space="preserve"> ir kai kuriems ŽIV-1 infekuotiems pacientams atsparumas emtricitabinui išsivysto dėl M184V/I mutacijos arba tenofovirui dėl K65R mutacijos. Emtricitabinui atspariems virusams su M184V/I mutacija yra būdingas kryžminis atsparumas lamivudinui, tačiau jie išlieka jautrūs didanozinui, stavudinui, tenofovirui ir zidovudinui. K65R mutaciją gali selekcionuoti abakaviras ar didanozinas, kas sąlygoja sumažėjusį jautrumą šioms medžiagoms be to lamivudinui, emtricitabinui ir tenofovirui. Tenofoviro dizoproksilio reikia vengti skirti pacientams, kuriems yra ŽIV-1 padermių su K65R mutacija. Be to, tenofoviras selekcionavo K70E pakaitą ŽIV-1 atvirkštinėje transkriptazėje ir šiek tiek sumažino jautrumą abakavirui, emtricitabinui, lamivudinui ir tenofovirui. Pacientai, kurių ŽIV-1 turėjo tris ar daugiau su timidino analogais susijusių mutacijų (TAM), įskaitant M41L arba L210W atvirkštinės transkriptazės mutaciją, buvo mažiau jautrūs tenofoviro dizoproksiliui.</w:t>
      </w:r>
    </w:p>
    <w:p w14:paraId="3C3BCCEE" w14:textId="77777777" w:rsidR="00DA70E6" w:rsidRPr="00DA70E6" w:rsidRDefault="00DA70E6" w:rsidP="00DA70E6"/>
    <w:p w14:paraId="5D31A595" w14:textId="77777777" w:rsidR="00DA70E6" w:rsidRPr="00DA70E6" w:rsidRDefault="00DA70E6" w:rsidP="00DA70E6">
      <w:r w:rsidRPr="00DA70E6">
        <w:rPr>
          <w:i/>
        </w:rPr>
        <w:t>ŽIV-1 gydymas in vivo</w:t>
      </w:r>
      <w:r w:rsidRPr="00DA70E6">
        <w:t xml:space="preserve"> : atvirame atsitiktinių imčių klinikiniame tyrime (GS-01-934), kuriame dalyvavusiems pacientams antiretrovirusinis gydymas netaikytas, buvo atliktas plazmos ŽIV-1, išskirto iš visų pacientų, kuriems 48, 96 arba 144 savaitėmis arba ankstyvo tiriamojo vaistinio preparato vartojimo nutraukimo metu buvo patvirtintas ŽIV RNR kiekis &gt; 400 kopijų/ml, genotipavimas. Po 144 savaitės:</w:t>
      </w:r>
    </w:p>
    <w:p w14:paraId="54AA227D" w14:textId="77777777" w:rsidR="00DA70E6" w:rsidRPr="00DA70E6" w:rsidRDefault="00DA70E6" w:rsidP="00DA70E6">
      <w:pPr>
        <w:numPr>
          <w:ilvl w:val="0"/>
          <w:numId w:val="36"/>
        </w:numPr>
      </w:pPr>
      <w:r w:rsidRPr="00DA70E6">
        <w:t>M184V/I mutacija nustatyta 2/19 (10,5 %) bandinių, išskirtų iš pacientų emtricitabino/tenofoviro dizoproksilio/efavirenzo grupės, ir 10/29 (34,5 %) bandinių, išskirtų iš lamivudino/zidovudino/efavirenzo grupės (p vertė &lt; 0,05, Fišerio tikslusis testas, palyginantis visus emtricitabino+tenofoviro dizoproksilio grupės ir lamivudino/zidovudino grupės pacientus).</w:t>
      </w:r>
    </w:p>
    <w:p w14:paraId="1DF9FBB1" w14:textId="77777777" w:rsidR="00DA70E6" w:rsidRPr="00DA70E6" w:rsidRDefault="00DA70E6" w:rsidP="00DA70E6">
      <w:pPr>
        <w:numPr>
          <w:ilvl w:val="0"/>
          <w:numId w:val="36"/>
        </w:numPr>
      </w:pPr>
      <w:r w:rsidRPr="00DA70E6">
        <w:t>Tirtuose virusuose nebuvo K65R arba K70E mutacijos.</w:t>
      </w:r>
    </w:p>
    <w:p w14:paraId="1A396675" w14:textId="77777777" w:rsidR="00DA70E6" w:rsidRPr="00DA70E6" w:rsidRDefault="00DA70E6" w:rsidP="00DA70E6">
      <w:pPr>
        <w:numPr>
          <w:ilvl w:val="0"/>
          <w:numId w:val="36"/>
        </w:numPr>
      </w:pPr>
      <w:r w:rsidRPr="00DA70E6">
        <w:t>Genotipinis viruso atsparumas efavirenzui, daugiausia K103N mutacija, išsivystė 13/19 (68 %) emtricitabino/tenofoviro dizoproksilio/efavirenzo grupės pacientų ir 21/29 (72 %) lyginamosios grupės pacientui.</w:t>
      </w:r>
    </w:p>
    <w:p w14:paraId="271C4FFA" w14:textId="77777777" w:rsidR="00DA70E6" w:rsidRPr="00DA70E6" w:rsidRDefault="00DA70E6" w:rsidP="00DA70E6"/>
    <w:p w14:paraId="0434E983" w14:textId="4F91D520" w:rsidR="00DA70E6" w:rsidRPr="00DA70E6" w:rsidRDefault="00DA70E6" w:rsidP="00DA70E6">
      <w:r w:rsidRPr="00DA70E6">
        <w:rPr>
          <w:i/>
        </w:rPr>
        <w:t>Pr</w:t>
      </w:r>
      <w:r w:rsidR="00273DB3">
        <w:rPr>
          <w:i/>
        </w:rPr>
        <w:t>e</w:t>
      </w:r>
      <w:r w:rsidRPr="00DA70E6">
        <w:rPr>
          <w:i/>
        </w:rPr>
        <w:t>ekspozicinė profilaktika in vivo</w:t>
      </w:r>
      <w:r w:rsidRPr="00DA70E6">
        <w:t>: plazmos mėginiai iš 2 klinikinių tyrimų su ŽIV-1 neinfekuotais asmenimis (tyrimai iPrEx ir Partners PrEP) išanalizuoti dėl 4 ŽIV-1 variantų, išreiškiančių aminorūgščių pakaitas (t. y. K65R, K70E, M184V ir M184I), kurios gali sukelti atsparumą tenofovirui arba emtricitabinui. Klinikiniame tyrime iPrEx serokonversijos, pasireiškusios ŽIV-1 po įtraukimo į tyrimą užsikrėtusiems asmenims, laiku ŽIV-1 variantų, išreiškiančių K65R, K70E, M184V arba M184I, nenustatyta. 3 iš 10 tiriamųjų, įtraukimo į tyrimą metu sirgusiems ūmia ŽIV infekcija, M184I ir M184V mutacijų aptikta 2 iš 2 ŽIV turintiems tiriamiesiems emtricitabino ir tenofoviro dizoproksilio grupėje ir 1 iš 8 tiriamųjų placebo grupėje.</w:t>
      </w:r>
    </w:p>
    <w:p w14:paraId="7CEF0933" w14:textId="77777777" w:rsidR="00DA70E6" w:rsidRPr="00DA70E6" w:rsidRDefault="00DA70E6" w:rsidP="00DA70E6"/>
    <w:p w14:paraId="7940D5B8" w14:textId="77777777" w:rsidR="00DA70E6" w:rsidRPr="00DA70E6" w:rsidRDefault="00DA70E6" w:rsidP="00DA70E6">
      <w:r w:rsidRPr="00DA70E6">
        <w:t>Partners PrEP klinikiniame tyrime tiriamiesiems, užsikrėtusiems ŽIV-1 tyrimo metu, ŽIV-1 variantų, išreiškiančių K65R, K70E, M184V arba M184I, serokonversijos metu nenustatyta. 2 iš 14 tiriamųjų, įtraukimo į tyrimą metu sirgusiems ūmine ŽIV infekcija, K65R mutacija aptikta 1 iš 5 ŽIV turinčių tiriamųjų 245 mg tenofoviro dizoproksilio grupėje, o M184V mutacija (susijusi su atsparumu emtricitabinui) aptikta 1 iš 3 ŽIV turinčių tiriamųjų emtricitabino ir tenofoviro dizoproksilio grupėje.</w:t>
      </w:r>
    </w:p>
    <w:p w14:paraId="4753FF23" w14:textId="77777777" w:rsidR="00DA70E6" w:rsidRPr="00DA70E6" w:rsidRDefault="00DA70E6" w:rsidP="00DA70E6"/>
    <w:p w14:paraId="7C6FAEF6" w14:textId="77777777" w:rsidR="00DA70E6" w:rsidRPr="00DA70E6" w:rsidRDefault="00DA70E6" w:rsidP="00DA70E6">
      <w:pPr>
        <w:rPr>
          <w:u w:val="single"/>
        </w:rPr>
      </w:pPr>
      <w:r w:rsidRPr="00DA70E6">
        <w:rPr>
          <w:u w:val="single"/>
        </w:rPr>
        <w:t>Klinikiniai duomenys</w:t>
      </w:r>
    </w:p>
    <w:p w14:paraId="63981DFC" w14:textId="77777777" w:rsidR="00DA70E6" w:rsidRPr="00DA70E6" w:rsidRDefault="00DA70E6" w:rsidP="00DA70E6"/>
    <w:p w14:paraId="5DC327E2" w14:textId="77777777" w:rsidR="00DA70E6" w:rsidRPr="00DA70E6" w:rsidRDefault="00DA70E6" w:rsidP="00DA70E6">
      <w:r w:rsidRPr="00DA70E6">
        <w:rPr>
          <w:i/>
        </w:rPr>
        <w:t>ŽIV-1 infekcijos gydymas</w:t>
      </w:r>
      <w:r w:rsidRPr="00DA70E6">
        <w:t xml:space="preserve">: atvirame, atsitiktinių imčių klinikiniame tyrime (GS-01-934) ŽIV-1 infekuoti suaugę pacientai, kuriems antiretrovirusinis gydymas dar netaikytas, buvo gydyti emtricitabinu, tenofoviro dizoproksiliu ir efavirenzu, kurių kiekvienas skiriamas vieną kartą per parą </w:t>
      </w:r>
      <w:r w:rsidRPr="00DA70E6">
        <w:lastRenderedPageBreak/>
        <w:t>(n = 255), arba lamivudino ir zidovudino fiksuoto derinio doze, kai derinio skiriama du kartus per parą, o efavirenzo – kartą per parą (n = 254). Emtricitabino ir tenofoviro dizoproksilio grupės pacientams nuo 96 iki 144 savaitės buvo skirta emtricitabino ir tenofoviro dizoproksilio derinio bei efavirenzo. Prieš gydymo pradžią atsitiktinių imčių grupių plazmos ŽIV-1 RNR (5,02 ir 5,00 log</w:t>
      </w:r>
      <w:r w:rsidRPr="00DA70E6">
        <w:rPr>
          <w:vertAlign w:val="subscript"/>
        </w:rPr>
        <w:t>10</w:t>
      </w:r>
      <w:r w:rsidRPr="00DA70E6">
        <w:t> kopijų/ml) ir CD4 kiekio (233 ir 241 ląstelių/mm</w:t>
      </w:r>
      <w:r w:rsidRPr="00DA70E6">
        <w:rPr>
          <w:vertAlign w:val="superscript"/>
        </w:rPr>
        <w:t>3</w:t>
      </w:r>
      <w:r w:rsidRPr="00DA70E6">
        <w:t>) medianos buvo panašios. Šio tyrimo pagrindinė veiksmingumo vertinamoji baigtis buvo ŽIV-1 RNR &lt; 400 kopijų/ml koncentracijos pasiekimas ir  išlaikymas ilgiau negu 48 savaites. Antrinės veiksmingumo analizės po 144 savaitės įtraukė pacientų su ŽIV-1 RNR &lt; 400 ar &lt; 50 kopijų/ml dalį ir CD4 ląstelių kiekio pokytį, lyginant su pradiniu.</w:t>
      </w:r>
    </w:p>
    <w:p w14:paraId="22DDF30D" w14:textId="77777777" w:rsidR="00DA70E6" w:rsidRPr="00DA70E6" w:rsidRDefault="00DA70E6" w:rsidP="00DA70E6"/>
    <w:p w14:paraId="37C20D6B" w14:textId="77777777" w:rsidR="00DA70E6" w:rsidRPr="00DA70E6" w:rsidRDefault="00DA70E6" w:rsidP="00DA70E6">
      <w:r w:rsidRPr="00DA70E6">
        <w:t>48 savaitės pagrindinės vertinamosios baigties duomenys parodė, kad emtricitabino, tenofoviro dizoproksilio ir efavirenzo derinio antivirusinis veiksmingumas didesnis, lyginant su fiksuotu lamivudino, zidovudino ir efavirenzo deriniu, kaip parodyta 4 lentelėje. 4 lentelėje taip pat pateikti 144 savaitės antraeilės vertinamosios baigties duomenys.</w:t>
      </w:r>
    </w:p>
    <w:p w14:paraId="2A899797" w14:textId="77777777" w:rsidR="00DA70E6" w:rsidRPr="00DA70E6" w:rsidRDefault="00DA70E6" w:rsidP="00DA70E6"/>
    <w:p w14:paraId="7B894DE6" w14:textId="77777777" w:rsidR="00DA70E6" w:rsidRPr="00DA70E6" w:rsidRDefault="00DA70E6" w:rsidP="00DA70E6">
      <w:pPr>
        <w:rPr>
          <w:b/>
        </w:rPr>
      </w:pPr>
      <w:r w:rsidRPr="00DA70E6">
        <w:rPr>
          <w:b/>
        </w:rPr>
        <w:t>4 lentelė. GS-01-934 tyrimo, kurio metu ŽIV-1 infekuotiems pacientams, kuriems dar netaikytas antiretrovirusinis gydymas, skirtas emtricitabinas, tenofoviro dizoproksilis ir efavirenzas, 48 ir 144 savaitės veiksmingumo duomenys.</w:t>
      </w:r>
    </w:p>
    <w:p w14:paraId="5D7E6CC9" w14:textId="77777777" w:rsidR="00DA70E6" w:rsidRPr="00DA70E6" w:rsidRDefault="00DA70E6" w:rsidP="00DA70E6"/>
    <w:tbl>
      <w:tblPr>
        <w:tblW w:w="5000" w:type="pct"/>
        <w:tblCellMar>
          <w:left w:w="0" w:type="dxa"/>
          <w:right w:w="0" w:type="dxa"/>
        </w:tblCellMar>
        <w:tblLook w:val="01E0" w:firstRow="1" w:lastRow="1" w:firstColumn="1" w:lastColumn="1" w:noHBand="0" w:noVBand="0"/>
      </w:tblPr>
      <w:tblGrid>
        <w:gridCol w:w="1430"/>
        <w:gridCol w:w="1821"/>
        <w:gridCol w:w="1931"/>
        <w:gridCol w:w="1947"/>
        <w:gridCol w:w="1931"/>
      </w:tblGrid>
      <w:tr w:rsidR="00DA70E6" w:rsidRPr="00DA70E6" w14:paraId="4B1468D1" w14:textId="77777777" w:rsidTr="00EA3053">
        <w:tc>
          <w:tcPr>
            <w:tcW w:w="787" w:type="pct"/>
            <w:tcBorders>
              <w:top w:val="single" w:sz="4" w:space="0" w:color="000000"/>
              <w:left w:val="single" w:sz="4" w:space="0" w:color="000000"/>
              <w:bottom w:val="single" w:sz="4" w:space="0" w:color="000000"/>
              <w:right w:val="single" w:sz="4" w:space="0" w:color="000000"/>
            </w:tcBorders>
          </w:tcPr>
          <w:p w14:paraId="56203B27" w14:textId="77777777" w:rsidR="00DA70E6" w:rsidRPr="00DA70E6" w:rsidRDefault="00DA70E6" w:rsidP="00DA70E6"/>
        </w:tc>
        <w:tc>
          <w:tcPr>
            <w:tcW w:w="2072" w:type="pct"/>
            <w:gridSpan w:val="2"/>
            <w:tcBorders>
              <w:top w:val="single" w:sz="4" w:space="0" w:color="000000"/>
              <w:left w:val="single" w:sz="4" w:space="0" w:color="000000"/>
              <w:bottom w:val="single" w:sz="4" w:space="0" w:color="000000"/>
              <w:right w:val="single" w:sz="4" w:space="0" w:color="000000"/>
            </w:tcBorders>
          </w:tcPr>
          <w:p w14:paraId="2D8A22BB" w14:textId="77777777" w:rsidR="00DA70E6" w:rsidRPr="00DA70E6" w:rsidRDefault="00DA70E6" w:rsidP="00DA70E6">
            <w:pPr>
              <w:jc w:val="center"/>
            </w:pPr>
            <w:r w:rsidRPr="00DA70E6">
              <w:rPr>
                <w:b/>
              </w:rPr>
              <w:t>GS-01-934</w:t>
            </w:r>
          </w:p>
          <w:p w14:paraId="2763386D" w14:textId="77777777" w:rsidR="00DA70E6" w:rsidRPr="00DA70E6" w:rsidRDefault="00DA70E6" w:rsidP="00DA70E6">
            <w:pPr>
              <w:jc w:val="center"/>
            </w:pPr>
            <w:r w:rsidRPr="00DA70E6">
              <w:rPr>
                <w:b/>
              </w:rPr>
              <w:t>Gydymas taikytas 48 savaites</w:t>
            </w:r>
          </w:p>
        </w:tc>
        <w:tc>
          <w:tcPr>
            <w:tcW w:w="2141" w:type="pct"/>
            <w:gridSpan w:val="2"/>
            <w:tcBorders>
              <w:top w:val="single" w:sz="4" w:space="0" w:color="000000"/>
              <w:left w:val="single" w:sz="4" w:space="0" w:color="000000"/>
              <w:bottom w:val="single" w:sz="4" w:space="0" w:color="000000"/>
              <w:right w:val="single" w:sz="4" w:space="0" w:color="000000"/>
            </w:tcBorders>
          </w:tcPr>
          <w:p w14:paraId="247874EE" w14:textId="77777777" w:rsidR="00DA70E6" w:rsidRPr="00DA70E6" w:rsidRDefault="00DA70E6" w:rsidP="00DA70E6">
            <w:pPr>
              <w:jc w:val="center"/>
            </w:pPr>
            <w:r w:rsidRPr="00DA70E6">
              <w:rPr>
                <w:b/>
              </w:rPr>
              <w:t>GS-01-934</w:t>
            </w:r>
          </w:p>
          <w:p w14:paraId="3C2AA54E" w14:textId="77777777" w:rsidR="00DA70E6" w:rsidRPr="00DA70E6" w:rsidRDefault="00DA70E6" w:rsidP="00DA70E6">
            <w:pPr>
              <w:jc w:val="center"/>
            </w:pPr>
            <w:r w:rsidRPr="00DA70E6">
              <w:rPr>
                <w:b/>
              </w:rPr>
              <w:t>Gydymas taikytas 144 savaites</w:t>
            </w:r>
          </w:p>
        </w:tc>
      </w:tr>
      <w:tr w:rsidR="00DA70E6" w:rsidRPr="00DA70E6" w14:paraId="4BD73B00" w14:textId="77777777" w:rsidTr="00EA3053">
        <w:tc>
          <w:tcPr>
            <w:tcW w:w="787" w:type="pct"/>
            <w:tcBorders>
              <w:top w:val="single" w:sz="4" w:space="0" w:color="000000"/>
              <w:left w:val="single" w:sz="4" w:space="0" w:color="000000"/>
              <w:bottom w:val="single" w:sz="4" w:space="0" w:color="000000"/>
              <w:right w:val="single" w:sz="4" w:space="0" w:color="000000"/>
            </w:tcBorders>
          </w:tcPr>
          <w:p w14:paraId="6905FEB4" w14:textId="77777777" w:rsidR="00DA70E6" w:rsidRPr="00DA70E6" w:rsidRDefault="00DA70E6" w:rsidP="00DA70E6"/>
        </w:tc>
        <w:tc>
          <w:tcPr>
            <w:tcW w:w="1006" w:type="pct"/>
            <w:tcBorders>
              <w:top w:val="single" w:sz="4" w:space="0" w:color="000000"/>
              <w:left w:val="single" w:sz="4" w:space="0" w:color="000000"/>
              <w:bottom w:val="single" w:sz="4" w:space="0" w:color="000000"/>
              <w:right w:val="single" w:sz="4" w:space="0" w:color="000000"/>
            </w:tcBorders>
          </w:tcPr>
          <w:p w14:paraId="260924FF" w14:textId="77777777" w:rsidR="00DA70E6" w:rsidRPr="00DA70E6" w:rsidRDefault="00DA70E6" w:rsidP="00DA70E6">
            <w:r w:rsidRPr="00DA70E6">
              <w:t>Emtricitabinas+</w:t>
            </w:r>
          </w:p>
          <w:p w14:paraId="47DD09CD" w14:textId="77777777" w:rsidR="00DA70E6" w:rsidRPr="00DA70E6" w:rsidRDefault="00DA70E6" w:rsidP="00DA70E6">
            <w:r w:rsidRPr="00DA70E6">
              <w:t>tenofoviro dizoproksilis+ efavirenzas</w:t>
            </w:r>
          </w:p>
        </w:tc>
        <w:tc>
          <w:tcPr>
            <w:tcW w:w="1065" w:type="pct"/>
            <w:tcBorders>
              <w:top w:val="single" w:sz="4" w:space="0" w:color="000000"/>
              <w:left w:val="single" w:sz="4" w:space="0" w:color="000000"/>
              <w:bottom w:val="single" w:sz="4" w:space="0" w:color="000000"/>
              <w:right w:val="single" w:sz="4" w:space="0" w:color="000000"/>
            </w:tcBorders>
          </w:tcPr>
          <w:p w14:paraId="05CDDC09" w14:textId="77777777" w:rsidR="00DA70E6" w:rsidRPr="00DA70E6" w:rsidRDefault="00DA70E6" w:rsidP="00DA70E6">
            <w:r w:rsidRPr="00DA70E6">
              <w:t>Lamivudinas+</w:t>
            </w:r>
          </w:p>
          <w:p w14:paraId="457F0196" w14:textId="77777777" w:rsidR="00DA70E6" w:rsidRPr="00DA70E6" w:rsidRDefault="00DA70E6" w:rsidP="00DA70E6">
            <w:r w:rsidRPr="00DA70E6">
              <w:t>zidovudinas+</w:t>
            </w:r>
          </w:p>
          <w:p w14:paraId="346CB9CD" w14:textId="77777777" w:rsidR="00DA70E6" w:rsidRPr="00DA70E6" w:rsidRDefault="00DA70E6" w:rsidP="00DA70E6">
            <w:r w:rsidRPr="00DA70E6">
              <w:t>efavirenzas</w:t>
            </w:r>
          </w:p>
        </w:tc>
        <w:tc>
          <w:tcPr>
            <w:tcW w:w="1075" w:type="pct"/>
            <w:tcBorders>
              <w:top w:val="single" w:sz="4" w:space="0" w:color="000000"/>
              <w:left w:val="single" w:sz="4" w:space="0" w:color="000000"/>
              <w:bottom w:val="single" w:sz="4" w:space="0" w:color="000000"/>
              <w:right w:val="single" w:sz="4" w:space="0" w:color="000000"/>
            </w:tcBorders>
          </w:tcPr>
          <w:p w14:paraId="4A20ACF0" w14:textId="77777777" w:rsidR="00DA70E6" w:rsidRPr="00DA70E6" w:rsidRDefault="00DA70E6" w:rsidP="00DA70E6">
            <w:r w:rsidRPr="00DA70E6">
              <w:t>Emtricitabinas+</w:t>
            </w:r>
          </w:p>
          <w:p w14:paraId="62974741" w14:textId="77777777" w:rsidR="00DA70E6" w:rsidRPr="00DA70E6" w:rsidRDefault="00DA70E6" w:rsidP="00DA70E6">
            <w:r w:rsidRPr="00DA70E6">
              <w:t>tenofoviro dizoproksilis+ efavirenzas *</w:t>
            </w:r>
          </w:p>
        </w:tc>
        <w:tc>
          <w:tcPr>
            <w:tcW w:w="1066" w:type="pct"/>
            <w:tcBorders>
              <w:top w:val="single" w:sz="4" w:space="0" w:color="000000"/>
              <w:left w:val="single" w:sz="4" w:space="0" w:color="000000"/>
              <w:bottom w:val="single" w:sz="4" w:space="0" w:color="000000"/>
              <w:right w:val="single" w:sz="4" w:space="0" w:color="000000"/>
            </w:tcBorders>
          </w:tcPr>
          <w:p w14:paraId="6095812C" w14:textId="77777777" w:rsidR="00DA70E6" w:rsidRPr="00DA70E6" w:rsidRDefault="00DA70E6" w:rsidP="00DA70E6">
            <w:r w:rsidRPr="00DA70E6">
              <w:t>Lamivudinas+</w:t>
            </w:r>
          </w:p>
          <w:p w14:paraId="628958C9" w14:textId="77777777" w:rsidR="00DA70E6" w:rsidRPr="00DA70E6" w:rsidRDefault="00DA70E6" w:rsidP="00DA70E6">
            <w:r w:rsidRPr="00DA70E6">
              <w:t>zidovudinas+</w:t>
            </w:r>
          </w:p>
          <w:p w14:paraId="4A201520" w14:textId="77777777" w:rsidR="00DA70E6" w:rsidRPr="00DA70E6" w:rsidRDefault="00DA70E6" w:rsidP="00DA70E6">
            <w:r w:rsidRPr="00DA70E6">
              <w:t>efavirenzas</w:t>
            </w:r>
          </w:p>
        </w:tc>
      </w:tr>
      <w:tr w:rsidR="00DA70E6" w:rsidRPr="00DA70E6" w14:paraId="5D85C23C" w14:textId="77777777" w:rsidTr="00EA3053">
        <w:tc>
          <w:tcPr>
            <w:tcW w:w="787" w:type="pct"/>
            <w:tcBorders>
              <w:top w:val="single" w:sz="4" w:space="0" w:color="000000"/>
              <w:left w:val="single" w:sz="4" w:space="0" w:color="000000"/>
              <w:bottom w:val="single" w:sz="4" w:space="0" w:color="000000"/>
              <w:right w:val="single" w:sz="4" w:space="0" w:color="000000"/>
            </w:tcBorders>
          </w:tcPr>
          <w:p w14:paraId="1AFF48B1" w14:textId="77777777" w:rsidR="00DA70E6" w:rsidRPr="00DA70E6" w:rsidRDefault="00DA70E6" w:rsidP="00DA70E6">
            <w:r w:rsidRPr="00DA70E6">
              <w:t xml:space="preserve">ŽIV-1 RNR &lt; 400 kopijų/ml (VAPL) </w:t>
            </w:r>
          </w:p>
        </w:tc>
        <w:tc>
          <w:tcPr>
            <w:tcW w:w="1006" w:type="pct"/>
            <w:tcBorders>
              <w:top w:val="single" w:sz="4" w:space="0" w:color="000000"/>
              <w:left w:val="single" w:sz="4" w:space="0" w:color="000000"/>
              <w:bottom w:val="single" w:sz="4" w:space="0" w:color="auto"/>
              <w:right w:val="single" w:sz="4" w:space="0" w:color="000000"/>
            </w:tcBorders>
          </w:tcPr>
          <w:p w14:paraId="4E947209" w14:textId="77777777" w:rsidR="00DA70E6" w:rsidRPr="00DA70E6" w:rsidRDefault="00DA70E6" w:rsidP="00DA70E6">
            <w:pPr>
              <w:jc w:val="center"/>
            </w:pPr>
            <w:r w:rsidRPr="00DA70E6">
              <w:t>84 % (206/244)</w:t>
            </w:r>
          </w:p>
        </w:tc>
        <w:tc>
          <w:tcPr>
            <w:tcW w:w="1065" w:type="pct"/>
            <w:tcBorders>
              <w:top w:val="single" w:sz="4" w:space="0" w:color="000000"/>
              <w:left w:val="single" w:sz="4" w:space="0" w:color="000000"/>
              <w:bottom w:val="single" w:sz="4" w:space="0" w:color="auto"/>
              <w:right w:val="single" w:sz="4" w:space="0" w:color="000000"/>
            </w:tcBorders>
          </w:tcPr>
          <w:p w14:paraId="2FE7A4E7" w14:textId="77777777" w:rsidR="00DA70E6" w:rsidRPr="00DA70E6" w:rsidRDefault="00DA70E6" w:rsidP="00DA70E6">
            <w:pPr>
              <w:jc w:val="center"/>
            </w:pPr>
            <w:r w:rsidRPr="00DA70E6">
              <w:t>73 % (177/243)</w:t>
            </w:r>
          </w:p>
        </w:tc>
        <w:tc>
          <w:tcPr>
            <w:tcW w:w="1075" w:type="pct"/>
            <w:tcBorders>
              <w:top w:val="single" w:sz="4" w:space="0" w:color="000000"/>
              <w:left w:val="single" w:sz="4" w:space="0" w:color="000000"/>
              <w:bottom w:val="single" w:sz="4" w:space="0" w:color="auto"/>
              <w:right w:val="single" w:sz="4" w:space="0" w:color="000000"/>
            </w:tcBorders>
          </w:tcPr>
          <w:p w14:paraId="64ADFF64" w14:textId="77777777" w:rsidR="00DA70E6" w:rsidRPr="00DA70E6" w:rsidRDefault="00DA70E6" w:rsidP="00DA70E6">
            <w:pPr>
              <w:jc w:val="center"/>
            </w:pPr>
            <w:r w:rsidRPr="00DA70E6">
              <w:t>71 % (161/227)</w:t>
            </w:r>
          </w:p>
        </w:tc>
        <w:tc>
          <w:tcPr>
            <w:tcW w:w="1066" w:type="pct"/>
            <w:tcBorders>
              <w:top w:val="single" w:sz="4" w:space="0" w:color="000000"/>
              <w:left w:val="single" w:sz="4" w:space="0" w:color="000000"/>
              <w:bottom w:val="single" w:sz="4" w:space="0" w:color="auto"/>
              <w:right w:val="single" w:sz="4" w:space="0" w:color="000000"/>
            </w:tcBorders>
          </w:tcPr>
          <w:p w14:paraId="022B987E" w14:textId="77777777" w:rsidR="00DA70E6" w:rsidRPr="00DA70E6" w:rsidRDefault="00DA70E6" w:rsidP="00DA70E6">
            <w:pPr>
              <w:jc w:val="center"/>
            </w:pPr>
            <w:r w:rsidRPr="00DA70E6">
              <w:t>58 % (133/229)</w:t>
            </w:r>
          </w:p>
        </w:tc>
      </w:tr>
      <w:tr w:rsidR="00DA70E6" w:rsidRPr="00DA70E6" w14:paraId="083DD103" w14:textId="77777777" w:rsidTr="00EA3053">
        <w:tc>
          <w:tcPr>
            <w:tcW w:w="787" w:type="pct"/>
            <w:tcBorders>
              <w:top w:val="single" w:sz="4" w:space="0" w:color="000000"/>
              <w:left w:val="single" w:sz="4" w:space="0" w:color="000000"/>
              <w:bottom w:val="single" w:sz="4" w:space="0" w:color="000000"/>
              <w:right w:val="single" w:sz="4" w:space="0" w:color="auto"/>
            </w:tcBorders>
          </w:tcPr>
          <w:p w14:paraId="6F7954EF" w14:textId="77777777" w:rsidR="00DA70E6" w:rsidRPr="00DA70E6" w:rsidRDefault="00DA70E6" w:rsidP="00DA70E6">
            <w:r w:rsidRPr="00DA70E6">
              <w:t>p vertė</w:t>
            </w:r>
          </w:p>
        </w:tc>
        <w:tc>
          <w:tcPr>
            <w:tcW w:w="2072" w:type="pct"/>
            <w:gridSpan w:val="2"/>
            <w:tcBorders>
              <w:top w:val="single" w:sz="4" w:space="0" w:color="auto"/>
              <w:left w:val="single" w:sz="4" w:space="0" w:color="auto"/>
              <w:bottom w:val="single" w:sz="4" w:space="0" w:color="auto"/>
              <w:right w:val="single" w:sz="4" w:space="0" w:color="auto"/>
            </w:tcBorders>
          </w:tcPr>
          <w:p w14:paraId="1CBC3D34" w14:textId="77777777" w:rsidR="00DA70E6" w:rsidRPr="00DA70E6" w:rsidRDefault="00DA70E6" w:rsidP="00DA70E6">
            <w:pPr>
              <w:jc w:val="center"/>
            </w:pPr>
            <w:r w:rsidRPr="00DA70E6">
              <w:t>0,002**</w:t>
            </w:r>
          </w:p>
        </w:tc>
        <w:tc>
          <w:tcPr>
            <w:tcW w:w="2141" w:type="pct"/>
            <w:gridSpan w:val="2"/>
            <w:tcBorders>
              <w:top w:val="single" w:sz="4" w:space="0" w:color="auto"/>
              <w:left w:val="single" w:sz="4" w:space="0" w:color="auto"/>
              <w:bottom w:val="single" w:sz="4" w:space="0" w:color="auto"/>
              <w:right w:val="single" w:sz="4" w:space="0" w:color="auto"/>
            </w:tcBorders>
          </w:tcPr>
          <w:p w14:paraId="7C84A869" w14:textId="77777777" w:rsidR="00DA70E6" w:rsidRPr="00DA70E6" w:rsidRDefault="00DA70E6" w:rsidP="00DA70E6">
            <w:pPr>
              <w:jc w:val="center"/>
            </w:pPr>
            <w:r w:rsidRPr="00DA70E6">
              <w:t>0,004**</w:t>
            </w:r>
          </w:p>
        </w:tc>
      </w:tr>
      <w:tr w:rsidR="00DA70E6" w:rsidRPr="00DA70E6" w14:paraId="33BF2289" w14:textId="77777777" w:rsidTr="00EA3053">
        <w:tc>
          <w:tcPr>
            <w:tcW w:w="787" w:type="pct"/>
            <w:tcBorders>
              <w:top w:val="single" w:sz="4" w:space="0" w:color="000000"/>
              <w:left w:val="single" w:sz="4" w:space="0" w:color="000000"/>
              <w:bottom w:val="single" w:sz="4" w:space="0" w:color="000000"/>
              <w:right w:val="single" w:sz="4" w:space="0" w:color="000000"/>
            </w:tcBorders>
          </w:tcPr>
          <w:p w14:paraId="46882626" w14:textId="77777777" w:rsidR="00DA70E6" w:rsidRPr="00DA70E6" w:rsidRDefault="00DA70E6" w:rsidP="00DA70E6">
            <w:r w:rsidRPr="00DA70E6">
              <w:t>% skirtumas</w:t>
            </w:r>
          </w:p>
          <w:p w14:paraId="702C5346" w14:textId="77777777" w:rsidR="00DA70E6" w:rsidRPr="00DA70E6" w:rsidRDefault="00DA70E6" w:rsidP="00DA70E6">
            <w:r w:rsidRPr="00DA70E6">
              <w:t>(95 % PI)</w:t>
            </w:r>
          </w:p>
        </w:tc>
        <w:tc>
          <w:tcPr>
            <w:tcW w:w="2072" w:type="pct"/>
            <w:gridSpan w:val="2"/>
            <w:tcBorders>
              <w:top w:val="single" w:sz="4" w:space="0" w:color="auto"/>
              <w:left w:val="single" w:sz="4" w:space="0" w:color="000000"/>
              <w:bottom w:val="single" w:sz="4" w:space="0" w:color="000000"/>
              <w:right w:val="single" w:sz="4" w:space="0" w:color="000000"/>
            </w:tcBorders>
          </w:tcPr>
          <w:p w14:paraId="6F838B9A" w14:textId="77777777" w:rsidR="00DA70E6" w:rsidRPr="00DA70E6" w:rsidRDefault="00DA70E6" w:rsidP="00DA70E6">
            <w:pPr>
              <w:jc w:val="center"/>
            </w:pPr>
            <w:r w:rsidRPr="00DA70E6">
              <w:t>11 % (nuo 4 % iki 19 %)</w:t>
            </w:r>
          </w:p>
        </w:tc>
        <w:tc>
          <w:tcPr>
            <w:tcW w:w="2141" w:type="pct"/>
            <w:gridSpan w:val="2"/>
            <w:tcBorders>
              <w:top w:val="single" w:sz="4" w:space="0" w:color="auto"/>
              <w:left w:val="single" w:sz="4" w:space="0" w:color="000000"/>
              <w:bottom w:val="single" w:sz="4" w:space="0" w:color="000000"/>
              <w:right w:val="single" w:sz="4" w:space="0" w:color="000000"/>
            </w:tcBorders>
          </w:tcPr>
          <w:p w14:paraId="248F97CC" w14:textId="77777777" w:rsidR="00DA70E6" w:rsidRPr="00DA70E6" w:rsidRDefault="00DA70E6" w:rsidP="00DA70E6">
            <w:pPr>
              <w:jc w:val="center"/>
            </w:pPr>
            <w:r w:rsidRPr="00DA70E6">
              <w:t>13 % (nuo 4 % iki 22 %)</w:t>
            </w:r>
          </w:p>
        </w:tc>
      </w:tr>
      <w:tr w:rsidR="00DA70E6" w:rsidRPr="00DA70E6" w14:paraId="7D731334" w14:textId="77777777" w:rsidTr="00EA3053">
        <w:tc>
          <w:tcPr>
            <w:tcW w:w="787" w:type="pct"/>
            <w:tcBorders>
              <w:top w:val="single" w:sz="4" w:space="0" w:color="000000"/>
              <w:left w:val="single" w:sz="4" w:space="0" w:color="000000"/>
              <w:bottom w:val="single" w:sz="4" w:space="0" w:color="000000"/>
              <w:right w:val="single" w:sz="4" w:space="0" w:color="000000"/>
            </w:tcBorders>
          </w:tcPr>
          <w:p w14:paraId="469CA8CD" w14:textId="77777777" w:rsidR="00DA70E6" w:rsidRPr="00DA70E6" w:rsidRDefault="00DA70E6" w:rsidP="00DA70E6">
            <w:r w:rsidRPr="00DA70E6">
              <w:t>ŽIV-1 RNR &lt; 50 kopijų/ml (VAPL)</w:t>
            </w:r>
          </w:p>
        </w:tc>
        <w:tc>
          <w:tcPr>
            <w:tcW w:w="1006" w:type="pct"/>
            <w:tcBorders>
              <w:top w:val="single" w:sz="4" w:space="0" w:color="000000"/>
              <w:left w:val="single" w:sz="4" w:space="0" w:color="000000"/>
              <w:bottom w:val="single" w:sz="4" w:space="0" w:color="000000"/>
              <w:right w:val="single" w:sz="4" w:space="0" w:color="000000"/>
            </w:tcBorders>
          </w:tcPr>
          <w:p w14:paraId="0304A1CF" w14:textId="77777777" w:rsidR="00DA70E6" w:rsidRPr="00DA70E6" w:rsidRDefault="00DA70E6" w:rsidP="00DA70E6">
            <w:pPr>
              <w:jc w:val="center"/>
            </w:pPr>
            <w:r w:rsidRPr="00DA70E6">
              <w:t>80 % (194/244)</w:t>
            </w:r>
          </w:p>
        </w:tc>
        <w:tc>
          <w:tcPr>
            <w:tcW w:w="1065" w:type="pct"/>
            <w:tcBorders>
              <w:top w:val="single" w:sz="4" w:space="0" w:color="000000"/>
              <w:left w:val="single" w:sz="4" w:space="0" w:color="000000"/>
              <w:bottom w:val="single" w:sz="4" w:space="0" w:color="000000"/>
              <w:right w:val="single" w:sz="4" w:space="0" w:color="000000"/>
            </w:tcBorders>
          </w:tcPr>
          <w:p w14:paraId="63C033CD" w14:textId="77777777" w:rsidR="00DA70E6" w:rsidRPr="00DA70E6" w:rsidRDefault="00DA70E6" w:rsidP="00DA70E6">
            <w:pPr>
              <w:jc w:val="center"/>
            </w:pPr>
            <w:r w:rsidRPr="00DA70E6">
              <w:t>70 % (171/243)</w:t>
            </w:r>
          </w:p>
        </w:tc>
        <w:tc>
          <w:tcPr>
            <w:tcW w:w="1075" w:type="pct"/>
            <w:tcBorders>
              <w:top w:val="single" w:sz="4" w:space="0" w:color="000000"/>
              <w:left w:val="single" w:sz="4" w:space="0" w:color="000000"/>
              <w:bottom w:val="single" w:sz="4" w:space="0" w:color="000000"/>
              <w:right w:val="single" w:sz="4" w:space="0" w:color="000000"/>
            </w:tcBorders>
          </w:tcPr>
          <w:p w14:paraId="5F9022C1" w14:textId="77777777" w:rsidR="00DA70E6" w:rsidRPr="00DA70E6" w:rsidRDefault="00DA70E6" w:rsidP="00DA70E6">
            <w:pPr>
              <w:jc w:val="center"/>
            </w:pPr>
            <w:r w:rsidRPr="00DA70E6">
              <w:t>64 % (146/227)</w:t>
            </w:r>
          </w:p>
        </w:tc>
        <w:tc>
          <w:tcPr>
            <w:tcW w:w="1066" w:type="pct"/>
            <w:tcBorders>
              <w:top w:val="single" w:sz="4" w:space="0" w:color="000000"/>
              <w:left w:val="single" w:sz="4" w:space="0" w:color="000000"/>
              <w:bottom w:val="single" w:sz="4" w:space="0" w:color="000000"/>
              <w:right w:val="single" w:sz="4" w:space="0" w:color="000000"/>
            </w:tcBorders>
          </w:tcPr>
          <w:p w14:paraId="37922A71" w14:textId="77777777" w:rsidR="00DA70E6" w:rsidRPr="00DA70E6" w:rsidRDefault="00DA70E6" w:rsidP="00DA70E6">
            <w:pPr>
              <w:jc w:val="center"/>
            </w:pPr>
            <w:r w:rsidRPr="00DA70E6">
              <w:t>56 % (130/231)</w:t>
            </w:r>
          </w:p>
        </w:tc>
      </w:tr>
      <w:tr w:rsidR="00DA70E6" w:rsidRPr="00DA70E6" w14:paraId="5125BAB0" w14:textId="77777777" w:rsidTr="00EA3053">
        <w:tc>
          <w:tcPr>
            <w:tcW w:w="787" w:type="pct"/>
            <w:tcBorders>
              <w:top w:val="single" w:sz="4" w:space="0" w:color="000000"/>
              <w:left w:val="single" w:sz="4" w:space="0" w:color="000000"/>
              <w:bottom w:val="single" w:sz="4" w:space="0" w:color="000000"/>
              <w:right w:val="single" w:sz="4" w:space="0" w:color="000000"/>
            </w:tcBorders>
          </w:tcPr>
          <w:p w14:paraId="42B4B025" w14:textId="77777777" w:rsidR="00DA70E6" w:rsidRPr="00DA70E6" w:rsidRDefault="00DA70E6" w:rsidP="00DA70E6">
            <w:r w:rsidRPr="00DA70E6">
              <w:t>p vertė</w:t>
            </w:r>
          </w:p>
        </w:tc>
        <w:tc>
          <w:tcPr>
            <w:tcW w:w="2072" w:type="pct"/>
            <w:gridSpan w:val="2"/>
            <w:tcBorders>
              <w:top w:val="single" w:sz="4" w:space="0" w:color="000000"/>
              <w:left w:val="single" w:sz="4" w:space="0" w:color="000000"/>
              <w:bottom w:val="single" w:sz="4" w:space="0" w:color="000000"/>
              <w:right w:val="single" w:sz="4" w:space="0" w:color="000000"/>
            </w:tcBorders>
          </w:tcPr>
          <w:p w14:paraId="28D657D4" w14:textId="77777777" w:rsidR="00DA70E6" w:rsidRPr="00DA70E6" w:rsidRDefault="00DA70E6" w:rsidP="00DA70E6">
            <w:pPr>
              <w:jc w:val="center"/>
            </w:pPr>
            <w:r w:rsidRPr="00DA70E6">
              <w:t>0,021**</w:t>
            </w:r>
          </w:p>
        </w:tc>
        <w:tc>
          <w:tcPr>
            <w:tcW w:w="2141" w:type="pct"/>
            <w:gridSpan w:val="2"/>
            <w:tcBorders>
              <w:top w:val="single" w:sz="4" w:space="0" w:color="000000"/>
              <w:left w:val="single" w:sz="4" w:space="0" w:color="000000"/>
              <w:bottom w:val="single" w:sz="4" w:space="0" w:color="000000"/>
              <w:right w:val="single" w:sz="4" w:space="0" w:color="000000"/>
            </w:tcBorders>
          </w:tcPr>
          <w:p w14:paraId="41F4386E" w14:textId="77777777" w:rsidR="00DA70E6" w:rsidRPr="00DA70E6" w:rsidRDefault="00DA70E6" w:rsidP="00DA70E6">
            <w:pPr>
              <w:jc w:val="center"/>
            </w:pPr>
            <w:r w:rsidRPr="00DA70E6">
              <w:t>0,082**</w:t>
            </w:r>
          </w:p>
        </w:tc>
      </w:tr>
      <w:tr w:rsidR="00DA70E6" w:rsidRPr="00DA70E6" w14:paraId="7BEB5BC5" w14:textId="77777777" w:rsidTr="00EA3053">
        <w:tc>
          <w:tcPr>
            <w:tcW w:w="787" w:type="pct"/>
            <w:tcBorders>
              <w:top w:val="single" w:sz="4" w:space="0" w:color="000000"/>
              <w:left w:val="single" w:sz="4" w:space="0" w:color="000000"/>
              <w:bottom w:val="single" w:sz="4" w:space="0" w:color="000000"/>
              <w:right w:val="single" w:sz="4" w:space="0" w:color="000000"/>
            </w:tcBorders>
          </w:tcPr>
          <w:p w14:paraId="2F77CCE7" w14:textId="77777777" w:rsidR="00DA70E6" w:rsidRPr="00DA70E6" w:rsidRDefault="00DA70E6" w:rsidP="00DA70E6">
            <w:r w:rsidRPr="00DA70E6">
              <w:t>% skirtumas</w:t>
            </w:r>
          </w:p>
          <w:p w14:paraId="21FC8107" w14:textId="77777777" w:rsidR="00DA70E6" w:rsidRPr="00DA70E6" w:rsidRDefault="00DA70E6" w:rsidP="00DA70E6">
            <w:r w:rsidRPr="00DA70E6">
              <w:t>(95 % PI)</w:t>
            </w:r>
          </w:p>
        </w:tc>
        <w:tc>
          <w:tcPr>
            <w:tcW w:w="2072" w:type="pct"/>
            <w:gridSpan w:val="2"/>
            <w:tcBorders>
              <w:top w:val="single" w:sz="4" w:space="0" w:color="000000"/>
              <w:left w:val="single" w:sz="4" w:space="0" w:color="000000"/>
              <w:bottom w:val="single" w:sz="4" w:space="0" w:color="000000"/>
              <w:right w:val="single" w:sz="4" w:space="0" w:color="000000"/>
            </w:tcBorders>
          </w:tcPr>
          <w:p w14:paraId="6EEEAB7A" w14:textId="77777777" w:rsidR="00DA70E6" w:rsidRPr="00DA70E6" w:rsidRDefault="00DA70E6" w:rsidP="00DA70E6">
            <w:pPr>
              <w:jc w:val="center"/>
            </w:pPr>
            <w:r w:rsidRPr="00DA70E6">
              <w:t>9 % (nuo 2 % iki 17 %)</w:t>
            </w:r>
          </w:p>
        </w:tc>
        <w:tc>
          <w:tcPr>
            <w:tcW w:w="2141" w:type="pct"/>
            <w:gridSpan w:val="2"/>
            <w:tcBorders>
              <w:top w:val="single" w:sz="4" w:space="0" w:color="000000"/>
              <w:left w:val="single" w:sz="4" w:space="0" w:color="000000"/>
              <w:bottom w:val="single" w:sz="4" w:space="0" w:color="000000"/>
              <w:right w:val="single" w:sz="4" w:space="0" w:color="000000"/>
            </w:tcBorders>
          </w:tcPr>
          <w:p w14:paraId="55356187" w14:textId="77777777" w:rsidR="00DA70E6" w:rsidRPr="00DA70E6" w:rsidRDefault="00DA70E6" w:rsidP="00DA70E6">
            <w:pPr>
              <w:jc w:val="center"/>
            </w:pPr>
            <w:r w:rsidRPr="00DA70E6">
              <w:t>8% (nuo -1 % iki 17 %)</w:t>
            </w:r>
          </w:p>
        </w:tc>
      </w:tr>
      <w:tr w:rsidR="00DA70E6" w:rsidRPr="00DA70E6" w14:paraId="1EB46A72" w14:textId="77777777" w:rsidTr="00EA3053">
        <w:tc>
          <w:tcPr>
            <w:tcW w:w="787" w:type="pct"/>
            <w:tcBorders>
              <w:top w:val="single" w:sz="4" w:space="0" w:color="000000"/>
              <w:left w:val="single" w:sz="4" w:space="0" w:color="000000"/>
              <w:bottom w:val="single" w:sz="4" w:space="0" w:color="000000"/>
              <w:right w:val="single" w:sz="4" w:space="0" w:color="000000"/>
            </w:tcBorders>
          </w:tcPr>
          <w:p w14:paraId="0F2C8BB5" w14:textId="77777777" w:rsidR="00DA70E6" w:rsidRPr="00DA70E6" w:rsidRDefault="00DA70E6" w:rsidP="00DA70E6">
            <w:r w:rsidRPr="00DA70E6">
              <w:t>Vidutinis CD4 ląstelių kiekio pokytis, lyginant su pradiniu (ląstelės/mm</w:t>
            </w:r>
            <w:r w:rsidRPr="00DA70E6">
              <w:rPr>
                <w:vertAlign w:val="superscript"/>
              </w:rPr>
              <w:t>3</w:t>
            </w:r>
            <w:r w:rsidRPr="00DA70E6">
              <w:t>)</w:t>
            </w:r>
          </w:p>
        </w:tc>
        <w:tc>
          <w:tcPr>
            <w:tcW w:w="1006" w:type="pct"/>
            <w:tcBorders>
              <w:top w:val="single" w:sz="4" w:space="0" w:color="000000"/>
              <w:left w:val="single" w:sz="4" w:space="0" w:color="000000"/>
              <w:bottom w:val="single" w:sz="4" w:space="0" w:color="000000"/>
              <w:right w:val="single" w:sz="4" w:space="0" w:color="000000"/>
            </w:tcBorders>
          </w:tcPr>
          <w:p w14:paraId="3AF84B0A" w14:textId="77777777" w:rsidR="00DA70E6" w:rsidRPr="00DA70E6" w:rsidRDefault="00DA70E6" w:rsidP="00DA70E6">
            <w:pPr>
              <w:jc w:val="center"/>
            </w:pPr>
            <w:r w:rsidRPr="00DA70E6">
              <w:t>+190</w:t>
            </w:r>
          </w:p>
        </w:tc>
        <w:tc>
          <w:tcPr>
            <w:tcW w:w="1065" w:type="pct"/>
            <w:tcBorders>
              <w:top w:val="single" w:sz="4" w:space="0" w:color="000000"/>
              <w:left w:val="single" w:sz="4" w:space="0" w:color="000000"/>
              <w:bottom w:val="single" w:sz="4" w:space="0" w:color="000000"/>
              <w:right w:val="single" w:sz="4" w:space="0" w:color="000000"/>
            </w:tcBorders>
          </w:tcPr>
          <w:p w14:paraId="62637F85" w14:textId="77777777" w:rsidR="00DA70E6" w:rsidRPr="00DA70E6" w:rsidRDefault="00DA70E6" w:rsidP="00DA70E6">
            <w:pPr>
              <w:jc w:val="center"/>
            </w:pPr>
            <w:r w:rsidRPr="00DA70E6">
              <w:t>+158</w:t>
            </w:r>
          </w:p>
        </w:tc>
        <w:tc>
          <w:tcPr>
            <w:tcW w:w="1075" w:type="pct"/>
            <w:tcBorders>
              <w:top w:val="single" w:sz="4" w:space="0" w:color="000000"/>
              <w:left w:val="single" w:sz="4" w:space="0" w:color="000000"/>
              <w:bottom w:val="single" w:sz="4" w:space="0" w:color="000000"/>
              <w:right w:val="single" w:sz="4" w:space="0" w:color="000000"/>
            </w:tcBorders>
          </w:tcPr>
          <w:p w14:paraId="1E1FF6B2" w14:textId="77777777" w:rsidR="00DA70E6" w:rsidRPr="00DA70E6" w:rsidRDefault="00DA70E6" w:rsidP="00DA70E6">
            <w:pPr>
              <w:jc w:val="center"/>
            </w:pPr>
            <w:r w:rsidRPr="00DA70E6">
              <w:t>+312</w:t>
            </w:r>
          </w:p>
        </w:tc>
        <w:tc>
          <w:tcPr>
            <w:tcW w:w="1066" w:type="pct"/>
            <w:tcBorders>
              <w:top w:val="single" w:sz="4" w:space="0" w:color="000000"/>
              <w:left w:val="single" w:sz="4" w:space="0" w:color="000000"/>
              <w:bottom w:val="single" w:sz="4" w:space="0" w:color="000000"/>
              <w:right w:val="single" w:sz="4" w:space="0" w:color="000000"/>
            </w:tcBorders>
          </w:tcPr>
          <w:p w14:paraId="4B47DB49" w14:textId="77777777" w:rsidR="00DA70E6" w:rsidRPr="00DA70E6" w:rsidRDefault="00DA70E6" w:rsidP="00DA70E6">
            <w:pPr>
              <w:jc w:val="center"/>
            </w:pPr>
            <w:r w:rsidRPr="00DA70E6">
              <w:t>+271</w:t>
            </w:r>
          </w:p>
        </w:tc>
      </w:tr>
      <w:tr w:rsidR="00DA70E6" w:rsidRPr="00DA70E6" w14:paraId="224516F1" w14:textId="77777777" w:rsidTr="00EA3053">
        <w:tc>
          <w:tcPr>
            <w:tcW w:w="787" w:type="pct"/>
            <w:tcBorders>
              <w:top w:val="single" w:sz="4" w:space="0" w:color="000000"/>
              <w:left w:val="single" w:sz="4" w:space="0" w:color="000000"/>
              <w:bottom w:val="single" w:sz="4" w:space="0" w:color="000000"/>
              <w:right w:val="single" w:sz="4" w:space="0" w:color="000000"/>
            </w:tcBorders>
          </w:tcPr>
          <w:p w14:paraId="0A64529C" w14:textId="77777777" w:rsidR="00DA70E6" w:rsidRPr="00DA70E6" w:rsidRDefault="00DA70E6" w:rsidP="00DA70E6">
            <w:r w:rsidRPr="00DA70E6">
              <w:t>p vertė</w:t>
            </w:r>
          </w:p>
        </w:tc>
        <w:tc>
          <w:tcPr>
            <w:tcW w:w="2072" w:type="pct"/>
            <w:gridSpan w:val="2"/>
            <w:tcBorders>
              <w:top w:val="single" w:sz="4" w:space="0" w:color="000000"/>
              <w:left w:val="single" w:sz="4" w:space="0" w:color="000000"/>
              <w:bottom w:val="single" w:sz="4" w:space="0" w:color="000000"/>
              <w:right w:val="single" w:sz="4" w:space="0" w:color="000000"/>
            </w:tcBorders>
          </w:tcPr>
          <w:p w14:paraId="45C1F12E" w14:textId="77777777" w:rsidR="00DA70E6" w:rsidRPr="00DA70E6" w:rsidRDefault="00DA70E6" w:rsidP="00DA70E6">
            <w:pPr>
              <w:jc w:val="center"/>
            </w:pPr>
            <w:r w:rsidRPr="00DA70E6">
              <w:t>0,002</w:t>
            </w:r>
            <w:r w:rsidRPr="00DA70E6">
              <w:rPr>
                <w:vertAlign w:val="superscript"/>
              </w:rPr>
              <w:t>a</w:t>
            </w:r>
          </w:p>
        </w:tc>
        <w:tc>
          <w:tcPr>
            <w:tcW w:w="2141" w:type="pct"/>
            <w:gridSpan w:val="2"/>
            <w:tcBorders>
              <w:top w:val="single" w:sz="4" w:space="0" w:color="000000"/>
              <w:left w:val="single" w:sz="4" w:space="0" w:color="000000"/>
              <w:bottom w:val="single" w:sz="4" w:space="0" w:color="000000"/>
              <w:right w:val="single" w:sz="4" w:space="0" w:color="000000"/>
            </w:tcBorders>
          </w:tcPr>
          <w:p w14:paraId="3C4E48A1" w14:textId="77777777" w:rsidR="00DA70E6" w:rsidRPr="00DA70E6" w:rsidRDefault="00DA70E6" w:rsidP="00DA70E6">
            <w:pPr>
              <w:jc w:val="center"/>
            </w:pPr>
            <w:r w:rsidRPr="00DA70E6">
              <w:t>0,089</w:t>
            </w:r>
            <w:r w:rsidRPr="00DA70E6">
              <w:rPr>
                <w:vertAlign w:val="superscript"/>
              </w:rPr>
              <w:t>a</w:t>
            </w:r>
          </w:p>
        </w:tc>
      </w:tr>
      <w:tr w:rsidR="00DA70E6" w:rsidRPr="00DA70E6" w14:paraId="08F2B2FF" w14:textId="77777777" w:rsidTr="00EA3053">
        <w:tc>
          <w:tcPr>
            <w:tcW w:w="787" w:type="pct"/>
            <w:tcBorders>
              <w:top w:val="single" w:sz="4" w:space="0" w:color="000000"/>
              <w:left w:val="single" w:sz="4" w:space="0" w:color="000000"/>
              <w:bottom w:val="single" w:sz="4" w:space="0" w:color="000000"/>
              <w:right w:val="single" w:sz="4" w:space="0" w:color="000000"/>
            </w:tcBorders>
          </w:tcPr>
          <w:p w14:paraId="4F8DD5D8" w14:textId="77777777" w:rsidR="00DA70E6" w:rsidRPr="00DA70E6" w:rsidRDefault="00DA70E6" w:rsidP="00DA70E6">
            <w:r w:rsidRPr="00DA70E6">
              <w:t xml:space="preserve">Skirtumas </w:t>
            </w:r>
          </w:p>
          <w:p w14:paraId="0F51A573" w14:textId="77777777" w:rsidR="00DA70E6" w:rsidRPr="00DA70E6" w:rsidRDefault="00DA70E6" w:rsidP="00DA70E6">
            <w:r w:rsidRPr="00DA70E6">
              <w:t>(95 % PI)</w:t>
            </w:r>
          </w:p>
        </w:tc>
        <w:tc>
          <w:tcPr>
            <w:tcW w:w="2072" w:type="pct"/>
            <w:gridSpan w:val="2"/>
            <w:tcBorders>
              <w:top w:val="single" w:sz="4" w:space="0" w:color="000000"/>
              <w:left w:val="single" w:sz="4" w:space="0" w:color="000000"/>
              <w:bottom w:val="single" w:sz="4" w:space="0" w:color="000000"/>
              <w:right w:val="single" w:sz="4" w:space="0" w:color="000000"/>
            </w:tcBorders>
          </w:tcPr>
          <w:p w14:paraId="4A44E86C" w14:textId="77777777" w:rsidR="00DA70E6" w:rsidRPr="00DA70E6" w:rsidRDefault="00DA70E6" w:rsidP="00DA70E6">
            <w:pPr>
              <w:jc w:val="center"/>
            </w:pPr>
            <w:r w:rsidRPr="00DA70E6">
              <w:t>32 (nuo 9 iki 55)</w:t>
            </w:r>
          </w:p>
        </w:tc>
        <w:tc>
          <w:tcPr>
            <w:tcW w:w="2141" w:type="pct"/>
            <w:gridSpan w:val="2"/>
            <w:tcBorders>
              <w:top w:val="single" w:sz="4" w:space="0" w:color="000000"/>
              <w:left w:val="single" w:sz="4" w:space="0" w:color="000000"/>
              <w:bottom w:val="single" w:sz="4" w:space="0" w:color="000000"/>
              <w:right w:val="single" w:sz="4" w:space="0" w:color="000000"/>
            </w:tcBorders>
          </w:tcPr>
          <w:p w14:paraId="50954130" w14:textId="77777777" w:rsidR="00DA70E6" w:rsidRPr="00DA70E6" w:rsidRDefault="00DA70E6" w:rsidP="00DA70E6">
            <w:pPr>
              <w:jc w:val="center"/>
            </w:pPr>
            <w:r w:rsidRPr="00DA70E6">
              <w:t>41 (nuo 4 iki 79)</w:t>
            </w:r>
          </w:p>
        </w:tc>
      </w:tr>
    </w:tbl>
    <w:p w14:paraId="61C98AF8" w14:textId="77777777" w:rsidR="00DA70E6" w:rsidRPr="00DA70E6" w:rsidRDefault="00DA70E6" w:rsidP="00DA70E6">
      <w:pPr>
        <w:autoSpaceDE w:val="0"/>
        <w:autoSpaceDN w:val="0"/>
        <w:adjustRightInd w:val="0"/>
        <w:ind w:left="142" w:hanging="142"/>
      </w:pPr>
      <w:r w:rsidRPr="00DA70E6">
        <w:rPr>
          <w:color w:val="000000"/>
        </w:rPr>
        <w:t xml:space="preserve">* Pacientams, gydytiems emtricitabinu, tenofoviro dizoproksiliu ir efavirenzu, nuo 96 iki 144 savaitės skirtas emtricitabino ir tenofoviro dizoproksilio derinys  ir efavirenzas. </w:t>
      </w:r>
    </w:p>
    <w:p w14:paraId="0BE53DFD" w14:textId="77777777" w:rsidR="00DA70E6" w:rsidRPr="00DA70E6" w:rsidRDefault="00DA70E6" w:rsidP="00DA70E6">
      <w:pPr>
        <w:autoSpaceDE w:val="0"/>
        <w:autoSpaceDN w:val="0"/>
        <w:adjustRightInd w:val="0"/>
      </w:pPr>
      <w:r w:rsidRPr="00DA70E6">
        <w:rPr>
          <w:color w:val="000000"/>
        </w:rPr>
        <w:t xml:space="preserve">** p vertė paremta Cochran-Mantel-Haenszel testu, stratifikuotu pradiniam CD4 ląstelių kiekiui. </w:t>
      </w:r>
    </w:p>
    <w:p w14:paraId="7487C9FB" w14:textId="77777777" w:rsidR="00DA70E6" w:rsidRPr="00DA70E6" w:rsidRDefault="00DA70E6" w:rsidP="00DA70E6">
      <w:pPr>
        <w:autoSpaceDE w:val="0"/>
        <w:autoSpaceDN w:val="0"/>
        <w:adjustRightInd w:val="0"/>
      </w:pPr>
      <w:r w:rsidRPr="00DA70E6">
        <w:rPr>
          <w:color w:val="000000"/>
        </w:rPr>
        <w:t xml:space="preserve">VAPL=virusologinio atsako praradimo laikas </w:t>
      </w:r>
    </w:p>
    <w:p w14:paraId="185C8F6F" w14:textId="77777777" w:rsidR="00DA70E6" w:rsidRPr="00DA70E6" w:rsidRDefault="00DA70E6" w:rsidP="00DA70E6">
      <w:r w:rsidRPr="00DA70E6">
        <w:t>a: Van Eltereno testas</w:t>
      </w:r>
    </w:p>
    <w:p w14:paraId="31F74282" w14:textId="77777777" w:rsidR="00DA70E6" w:rsidRPr="00DA70E6" w:rsidRDefault="00DA70E6" w:rsidP="00DA70E6"/>
    <w:p w14:paraId="75BF3D01" w14:textId="77777777" w:rsidR="00DA70E6" w:rsidRPr="00DA70E6" w:rsidRDefault="00DA70E6" w:rsidP="00DA70E6">
      <w:r w:rsidRPr="00DA70E6">
        <w:t xml:space="preserve">Atsitiktinių imčių klinikinio tyrimo (M02-418) metu 190 suaugusiųjų, kuriems netaikytas antiretrovirusinis gydymas, buvo gydyti vieną kartą per parą emtricitabinu ir tenofoviro dizoproksiliu derinyje su lopinaviru/ritonaviru, vartojamu vieną arba du kartus per parą. Po 48 gydymo savaičių nustatytas ŽIV-1 RNR kiekis &lt; 50 kopijų/ml 70 % ir 64 % lopinaviro/ritonaviro grupėje vaistinio </w:t>
      </w:r>
      <w:r w:rsidRPr="00DA70E6">
        <w:lastRenderedPageBreak/>
        <w:t>preparato skiriant atitinkamai vieną arba du kartus per parą. Vidutinis CD4 ląstelių kiekio pokytis, lyginant su pradiniu, buvo atitinkamai +185 ląstelės/mm</w:t>
      </w:r>
      <w:r w:rsidRPr="00DA70E6">
        <w:rPr>
          <w:vertAlign w:val="superscript"/>
        </w:rPr>
        <w:t>3</w:t>
      </w:r>
      <w:r w:rsidRPr="00DA70E6">
        <w:t xml:space="preserve"> ir +196 ląstelės/mm</w:t>
      </w:r>
      <w:r w:rsidRPr="00DA70E6">
        <w:rPr>
          <w:vertAlign w:val="superscript"/>
        </w:rPr>
        <w:t>3</w:t>
      </w:r>
      <w:r w:rsidRPr="00DA70E6">
        <w:t>.</w:t>
      </w:r>
    </w:p>
    <w:p w14:paraId="44945004" w14:textId="77777777" w:rsidR="00DA70E6" w:rsidRPr="00DA70E6" w:rsidRDefault="00DA70E6" w:rsidP="00DA70E6"/>
    <w:p w14:paraId="08CE7EA6" w14:textId="77777777" w:rsidR="00DA70E6" w:rsidRPr="00DA70E6" w:rsidRDefault="00DA70E6" w:rsidP="00DA70E6">
      <w:r w:rsidRPr="00DA70E6">
        <w:t>Remiantis ribota klinikine patirtimi su pacientais, infekuotais ŽIV kartu  su HBV, nustatyta, kad, skiriant emtricitabino arba tenofoviro dizoproksilio kombinuotam antiretrovirusiniam ŽIV infekcijos gydymui, sumažėja HBV DNR (3 log</w:t>
      </w:r>
      <w:r w:rsidRPr="00DA70E6">
        <w:rPr>
          <w:vertAlign w:val="subscript"/>
        </w:rPr>
        <w:t>10</w:t>
      </w:r>
      <w:r w:rsidRPr="00DA70E6">
        <w:t xml:space="preserve"> sumažėjimas arba, atitinkamai, nuo 4 iki 5 log</w:t>
      </w:r>
      <w:r w:rsidRPr="00DA70E6">
        <w:rPr>
          <w:vertAlign w:val="subscript"/>
        </w:rPr>
        <w:t>10</w:t>
      </w:r>
      <w:r w:rsidRPr="00DA70E6">
        <w:t xml:space="preserve"> sumažėjimas) (žr. 4.4 skyrių).</w:t>
      </w:r>
    </w:p>
    <w:p w14:paraId="74DD6DEF" w14:textId="77777777" w:rsidR="00DA70E6" w:rsidRPr="00DA70E6" w:rsidRDefault="00DA70E6" w:rsidP="00DA70E6"/>
    <w:p w14:paraId="6DCF5C89" w14:textId="28AA01BF" w:rsidR="00DA70E6" w:rsidRPr="00DA70E6" w:rsidRDefault="00DA70E6" w:rsidP="00DA70E6">
      <w:r w:rsidRPr="00DA70E6">
        <w:rPr>
          <w:i/>
        </w:rPr>
        <w:t>Pr</w:t>
      </w:r>
      <w:r w:rsidR="00273DB3">
        <w:rPr>
          <w:i/>
        </w:rPr>
        <w:t>e</w:t>
      </w:r>
      <w:r w:rsidRPr="00DA70E6">
        <w:rPr>
          <w:i/>
        </w:rPr>
        <w:t>ekspozicinė profilaktika</w:t>
      </w:r>
      <w:r w:rsidRPr="00DA70E6">
        <w:t>: iPrEx (CO-US-104-0288) tyrimu buvo vertinamas emtricitabino / tenofoviro dizoproksilio arba placebo poveikis 2499 ŽIV neinfekuotiems vyrams (arba translytėms moterims), lytiškai santykiaujantiems su vyrais ir priklausantiems didelės ŽIV infekcijos rizikos grupei. Tiriamieji buvo stebimi 4,237 žmogaus metus. 5 lentelėje pateikta prieš tyrimo pradžią buvusių būdingų bruožų suvestinė.</w:t>
      </w:r>
    </w:p>
    <w:p w14:paraId="471DF791" w14:textId="77777777" w:rsidR="00DA70E6" w:rsidRPr="00DA70E6" w:rsidRDefault="00DA70E6" w:rsidP="00DA70E6"/>
    <w:p w14:paraId="63AF62FF" w14:textId="77777777" w:rsidR="00DA70E6" w:rsidRPr="00DA70E6" w:rsidRDefault="00DA70E6" w:rsidP="00DA70E6">
      <w:pPr>
        <w:rPr>
          <w:b/>
        </w:rPr>
      </w:pPr>
      <w:r w:rsidRPr="00DA70E6">
        <w:rPr>
          <w:b/>
        </w:rPr>
        <w:t>5 lentelė. Tyrimo CO-US-104-0288 (iPrEx) metu tirta populiacija</w:t>
      </w:r>
    </w:p>
    <w:p w14:paraId="5A75AB00" w14:textId="77777777" w:rsidR="00DA70E6" w:rsidRPr="00DA70E6" w:rsidRDefault="00DA70E6" w:rsidP="00DA7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1697"/>
        <w:gridCol w:w="2728"/>
      </w:tblGrid>
      <w:tr w:rsidR="00DA70E6" w:rsidRPr="00DA70E6" w14:paraId="42C70F51" w14:textId="77777777" w:rsidTr="00EA3053">
        <w:tc>
          <w:tcPr>
            <w:tcW w:w="4819" w:type="dxa"/>
          </w:tcPr>
          <w:p w14:paraId="6F2DFB16" w14:textId="77777777" w:rsidR="00DA70E6" w:rsidRPr="00DA70E6" w:rsidRDefault="00DA70E6" w:rsidP="00DA70E6"/>
        </w:tc>
        <w:tc>
          <w:tcPr>
            <w:tcW w:w="1734" w:type="dxa"/>
          </w:tcPr>
          <w:p w14:paraId="52065DE6" w14:textId="77777777" w:rsidR="00DA70E6" w:rsidRPr="00DA70E6" w:rsidRDefault="00DA70E6" w:rsidP="00DA70E6">
            <w:pPr>
              <w:autoSpaceDE w:val="0"/>
              <w:autoSpaceDN w:val="0"/>
              <w:adjustRightInd w:val="0"/>
              <w:rPr>
                <w:color w:val="000000"/>
              </w:rPr>
            </w:pPr>
            <w:r w:rsidRPr="00DA70E6">
              <w:rPr>
                <w:b/>
                <w:color w:val="000000"/>
              </w:rPr>
              <w:t xml:space="preserve">Placebas (n = 1248) </w:t>
            </w:r>
          </w:p>
          <w:p w14:paraId="594D1167" w14:textId="77777777" w:rsidR="00DA70E6" w:rsidRPr="00DA70E6" w:rsidRDefault="00DA70E6" w:rsidP="00DA70E6"/>
        </w:tc>
        <w:tc>
          <w:tcPr>
            <w:tcW w:w="2734" w:type="dxa"/>
          </w:tcPr>
          <w:p w14:paraId="7CA175E1" w14:textId="77777777" w:rsidR="00DA70E6" w:rsidRPr="00DA70E6" w:rsidRDefault="00DA70E6" w:rsidP="00DA70E6">
            <w:pPr>
              <w:autoSpaceDE w:val="0"/>
              <w:autoSpaceDN w:val="0"/>
              <w:adjustRightInd w:val="0"/>
              <w:rPr>
                <w:color w:val="000000"/>
              </w:rPr>
            </w:pPr>
            <w:r w:rsidRPr="00DA70E6">
              <w:rPr>
                <w:b/>
                <w:color w:val="000000"/>
              </w:rPr>
              <w:t xml:space="preserve">Emtricitabinas/tenofoviro dizoproksilis (n = 1251) </w:t>
            </w:r>
          </w:p>
          <w:p w14:paraId="5934344B" w14:textId="77777777" w:rsidR="00DA70E6" w:rsidRPr="00DA70E6" w:rsidRDefault="00DA70E6" w:rsidP="00DA70E6"/>
        </w:tc>
      </w:tr>
      <w:tr w:rsidR="00DA70E6" w:rsidRPr="00DA70E6" w14:paraId="2F304B4A" w14:textId="77777777" w:rsidTr="00EA3053">
        <w:tc>
          <w:tcPr>
            <w:tcW w:w="4819" w:type="dxa"/>
          </w:tcPr>
          <w:p w14:paraId="69A369BE" w14:textId="77777777" w:rsidR="00DA70E6" w:rsidRPr="00DA70E6" w:rsidRDefault="00DA70E6" w:rsidP="00DA70E6">
            <w:pPr>
              <w:autoSpaceDE w:val="0"/>
              <w:autoSpaceDN w:val="0"/>
              <w:adjustRightInd w:val="0"/>
              <w:rPr>
                <w:color w:val="000000"/>
              </w:rPr>
            </w:pPr>
            <w:r w:rsidRPr="00DA70E6">
              <w:rPr>
                <w:b/>
                <w:color w:val="000000"/>
              </w:rPr>
              <w:t>Amžius (metai), vidurkis (SN)</w:t>
            </w:r>
          </w:p>
        </w:tc>
        <w:tc>
          <w:tcPr>
            <w:tcW w:w="1734" w:type="dxa"/>
          </w:tcPr>
          <w:p w14:paraId="3D1C9DA0" w14:textId="77777777" w:rsidR="00DA70E6" w:rsidRPr="00DA70E6" w:rsidRDefault="00DA70E6" w:rsidP="00DA70E6">
            <w:r w:rsidRPr="00DA70E6">
              <w:t>27 (8,5)</w:t>
            </w:r>
          </w:p>
        </w:tc>
        <w:tc>
          <w:tcPr>
            <w:tcW w:w="2734" w:type="dxa"/>
          </w:tcPr>
          <w:p w14:paraId="0DD7E9C8" w14:textId="77777777" w:rsidR="00DA70E6" w:rsidRPr="00DA70E6" w:rsidRDefault="00DA70E6" w:rsidP="00DA70E6">
            <w:r w:rsidRPr="00DA70E6">
              <w:t>27 (8,6)</w:t>
            </w:r>
          </w:p>
        </w:tc>
      </w:tr>
      <w:tr w:rsidR="00DA70E6" w:rsidRPr="00DA70E6" w14:paraId="27941719" w14:textId="77777777" w:rsidTr="00EA3053">
        <w:tc>
          <w:tcPr>
            <w:tcW w:w="9287" w:type="dxa"/>
            <w:gridSpan w:val="3"/>
          </w:tcPr>
          <w:p w14:paraId="6AC5211C" w14:textId="77777777" w:rsidR="00DA70E6" w:rsidRPr="00DA70E6" w:rsidRDefault="00DA70E6" w:rsidP="00DA70E6">
            <w:r w:rsidRPr="00DA70E6">
              <w:rPr>
                <w:b/>
                <w:color w:val="000000"/>
              </w:rPr>
              <w:t>Rasė, N (%)</w:t>
            </w:r>
          </w:p>
        </w:tc>
      </w:tr>
      <w:tr w:rsidR="00DA70E6" w:rsidRPr="00DA70E6" w14:paraId="4B201889" w14:textId="77777777" w:rsidTr="00EA3053">
        <w:tc>
          <w:tcPr>
            <w:tcW w:w="4819" w:type="dxa"/>
          </w:tcPr>
          <w:p w14:paraId="7746F185" w14:textId="77777777" w:rsidR="00DA70E6" w:rsidRPr="00DA70E6" w:rsidRDefault="00DA70E6" w:rsidP="00DA70E6">
            <w:pPr>
              <w:autoSpaceDE w:val="0"/>
              <w:autoSpaceDN w:val="0"/>
              <w:adjustRightInd w:val="0"/>
              <w:ind w:left="284"/>
            </w:pPr>
            <w:r w:rsidRPr="00DA70E6">
              <w:rPr>
                <w:color w:val="000000"/>
              </w:rPr>
              <w:t>Juodaodžiai / afroamerikiečiai</w:t>
            </w:r>
          </w:p>
        </w:tc>
        <w:tc>
          <w:tcPr>
            <w:tcW w:w="1734" w:type="dxa"/>
          </w:tcPr>
          <w:p w14:paraId="77AC7A8B" w14:textId="77777777" w:rsidR="00DA70E6" w:rsidRPr="00DA70E6" w:rsidRDefault="00DA70E6" w:rsidP="00DA70E6">
            <w:r w:rsidRPr="00DA70E6">
              <w:t>97 (8)</w:t>
            </w:r>
          </w:p>
        </w:tc>
        <w:tc>
          <w:tcPr>
            <w:tcW w:w="2734" w:type="dxa"/>
          </w:tcPr>
          <w:p w14:paraId="2EE610D2" w14:textId="77777777" w:rsidR="00DA70E6" w:rsidRPr="00DA70E6" w:rsidRDefault="00DA70E6" w:rsidP="00DA70E6">
            <w:r w:rsidRPr="00DA70E6">
              <w:t>117 (9)</w:t>
            </w:r>
          </w:p>
        </w:tc>
      </w:tr>
      <w:tr w:rsidR="00DA70E6" w:rsidRPr="00DA70E6" w14:paraId="7F7FC367" w14:textId="77777777" w:rsidTr="00EA3053">
        <w:tc>
          <w:tcPr>
            <w:tcW w:w="4819" w:type="dxa"/>
          </w:tcPr>
          <w:p w14:paraId="295A2E37" w14:textId="77777777" w:rsidR="00DA70E6" w:rsidRPr="00DA70E6" w:rsidRDefault="00DA70E6" w:rsidP="00DA70E6">
            <w:pPr>
              <w:ind w:left="284"/>
            </w:pPr>
            <w:r w:rsidRPr="00DA70E6">
              <w:t xml:space="preserve">Baltaodžiai </w:t>
            </w:r>
          </w:p>
        </w:tc>
        <w:tc>
          <w:tcPr>
            <w:tcW w:w="1734" w:type="dxa"/>
          </w:tcPr>
          <w:p w14:paraId="03ABC3C8" w14:textId="77777777" w:rsidR="00DA70E6" w:rsidRPr="00DA70E6" w:rsidRDefault="00DA70E6" w:rsidP="00DA70E6">
            <w:r w:rsidRPr="00DA70E6">
              <w:t>208 (17)</w:t>
            </w:r>
          </w:p>
        </w:tc>
        <w:tc>
          <w:tcPr>
            <w:tcW w:w="2734" w:type="dxa"/>
          </w:tcPr>
          <w:p w14:paraId="6F82944A" w14:textId="77777777" w:rsidR="00DA70E6" w:rsidRPr="00DA70E6" w:rsidRDefault="00DA70E6" w:rsidP="00DA70E6">
            <w:r w:rsidRPr="00DA70E6">
              <w:t>223 (18)</w:t>
            </w:r>
          </w:p>
        </w:tc>
      </w:tr>
      <w:tr w:rsidR="00DA70E6" w:rsidRPr="00DA70E6" w14:paraId="69A4E726" w14:textId="77777777" w:rsidTr="00EA3053">
        <w:tc>
          <w:tcPr>
            <w:tcW w:w="4819" w:type="dxa"/>
          </w:tcPr>
          <w:p w14:paraId="6378559B" w14:textId="77777777" w:rsidR="00DA70E6" w:rsidRPr="00DA70E6" w:rsidRDefault="00DA70E6" w:rsidP="00DA70E6">
            <w:pPr>
              <w:ind w:left="284"/>
            </w:pPr>
            <w:r w:rsidRPr="00DA70E6">
              <w:t>Mišrieji / kiti</w:t>
            </w:r>
          </w:p>
        </w:tc>
        <w:tc>
          <w:tcPr>
            <w:tcW w:w="1734" w:type="dxa"/>
          </w:tcPr>
          <w:p w14:paraId="1A78F9A5" w14:textId="77777777" w:rsidR="00DA70E6" w:rsidRPr="00DA70E6" w:rsidRDefault="00DA70E6" w:rsidP="00DA70E6">
            <w:r w:rsidRPr="00DA70E6">
              <w:t>878 (70)</w:t>
            </w:r>
          </w:p>
        </w:tc>
        <w:tc>
          <w:tcPr>
            <w:tcW w:w="2734" w:type="dxa"/>
          </w:tcPr>
          <w:p w14:paraId="2E0DFCB8" w14:textId="77777777" w:rsidR="00DA70E6" w:rsidRPr="00DA70E6" w:rsidRDefault="00DA70E6" w:rsidP="00DA70E6">
            <w:r w:rsidRPr="00DA70E6">
              <w:t>849 (68)</w:t>
            </w:r>
          </w:p>
        </w:tc>
      </w:tr>
      <w:tr w:rsidR="00DA70E6" w:rsidRPr="00DA70E6" w14:paraId="066FC219" w14:textId="77777777" w:rsidTr="00EA3053">
        <w:tc>
          <w:tcPr>
            <w:tcW w:w="4819" w:type="dxa"/>
          </w:tcPr>
          <w:p w14:paraId="76448181" w14:textId="77777777" w:rsidR="00DA70E6" w:rsidRPr="00DA70E6" w:rsidRDefault="00DA70E6" w:rsidP="00DA70E6">
            <w:pPr>
              <w:ind w:left="284"/>
            </w:pPr>
            <w:r w:rsidRPr="00DA70E6">
              <w:t>Azijiečiai</w:t>
            </w:r>
          </w:p>
        </w:tc>
        <w:tc>
          <w:tcPr>
            <w:tcW w:w="1734" w:type="dxa"/>
          </w:tcPr>
          <w:p w14:paraId="3D2936DD" w14:textId="77777777" w:rsidR="00DA70E6" w:rsidRPr="00DA70E6" w:rsidRDefault="00DA70E6" w:rsidP="00DA70E6">
            <w:r w:rsidRPr="00DA70E6">
              <w:t>65 (5)</w:t>
            </w:r>
          </w:p>
        </w:tc>
        <w:tc>
          <w:tcPr>
            <w:tcW w:w="2734" w:type="dxa"/>
          </w:tcPr>
          <w:p w14:paraId="712A7FA5" w14:textId="77777777" w:rsidR="00DA70E6" w:rsidRPr="00DA70E6" w:rsidRDefault="00DA70E6" w:rsidP="00DA70E6">
            <w:r w:rsidRPr="00DA70E6">
              <w:t>62 (5)</w:t>
            </w:r>
          </w:p>
        </w:tc>
      </w:tr>
      <w:tr w:rsidR="00DA70E6" w:rsidRPr="00DA70E6" w14:paraId="408AA91A" w14:textId="77777777" w:rsidTr="00EA3053">
        <w:tc>
          <w:tcPr>
            <w:tcW w:w="4819" w:type="dxa"/>
          </w:tcPr>
          <w:p w14:paraId="0875F4F4" w14:textId="77777777" w:rsidR="00DA70E6" w:rsidRPr="00DA70E6" w:rsidRDefault="00DA70E6" w:rsidP="00DA70E6">
            <w:r w:rsidRPr="00DA70E6">
              <w:rPr>
                <w:b/>
                <w:color w:val="000000"/>
              </w:rPr>
              <w:t>Ispanų / Lotynų Amerikos kilmės, N (%)</w:t>
            </w:r>
          </w:p>
        </w:tc>
        <w:tc>
          <w:tcPr>
            <w:tcW w:w="1734" w:type="dxa"/>
          </w:tcPr>
          <w:p w14:paraId="3042ED23" w14:textId="77777777" w:rsidR="00DA70E6" w:rsidRPr="00DA70E6" w:rsidRDefault="00DA70E6" w:rsidP="00DA70E6">
            <w:r w:rsidRPr="00DA70E6">
              <w:t>906 (73)</w:t>
            </w:r>
          </w:p>
        </w:tc>
        <w:tc>
          <w:tcPr>
            <w:tcW w:w="2734" w:type="dxa"/>
          </w:tcPr>
          <w:p w14:paraId="12902FE9" w14:textId="77777777" w:rsidR="00DA70E6" w:rsidRPr="00DA70E6" w:rsidRDefault="00DA70E6" w:rsidP="00DA70E6">
            <w:r w:rsidRPr="00DA70E6">
              <w:t>900 (72)</w:t>
            </w:r>
          </w:p>
        </w:tc>
      </w:tr>
      <w:tr w:rsidR="00DA70E6" w:rsidRPr="00DA70E6" w14:paraId="11303EEA" w14:textId="77777777" w:rsidTr="00EA3053">
        <w:tc>
          <w:tcPr>
            <w:tcW w:w="9287" w:type="dxa"/>
            <w:gridSpan w:val="3"/>
          </w:tcPr>
          <w:p w14:paraId="228631C6" w14:textId="77777777" w:rsidR="00DA70E6" w:rsidRPr="00DA70E6" w:rsidRDefault="00DA70E6" w:rsidP="00DA70E6">
            <w:pPr>
              <w:autoSpaceDE w:val="0"/>
              <w:autoSpaceDN w:val="0"/>
              <w:adjustRightInd w:val="0"/>
            </w:pPr>
            <w:r w:rsidRPr="00DA70E6">
              <w:rPr>
                <w:b/>
                <w:color w:val="000000"/>
              </w:rPr>
              <w:t xml:space="preserve">Su lytiniais santykiais susijusios rizikos veiksniai atrankos metu </w:t>
            </w:r>
          </w:p>
        </w:tc>
      </w:tr>
      <w:tr w:rsidR="00DA70E6" w:rsidRPr="00DA70E6" w14:paraId="70B64ABF" w14:textId="77777777" w:rsidTr="00EA3053">
        <w:tc>
          <w:tcPr>
            <w:tcW w:w="4819" w:type="dxa"/>
          </w:tcPr>
          <w:p w14:paraId="02EA6383" w14:textId="77777777" w:rsidR="00DA70E6" w:rsidRPr="00DA70E6" w:rsidRDefault="00DA70E6" w:rsidP="00DA70E6">
            <w:pPr>
              <w:autoSpaceDE w:val="0"/>
              <w:autoSpaceDN w:val="0"/>
              <w:adjustRightInd w:val="0"/>
              <w:rPr>
                <w:b/>
                <w:color w:val="000000"/>
              </w:rPr>
            </w:pPr>
            <w:r w:rsidRPr="00DA70E6">
              <w:rPr>
                <w:color w:val="000000"/>
              </w:rPr>
              <w:t>Partnerių skaičius per ankstesnes 12 savaičių, vidurkis (SN)</w:t>
            </w:r>
          </w:p>
        </w:tc>
        <w:tc>
          <w:tcPr>
            <w:tcW w:w="1734" w:type="dxa"/>
          </w:tcPr>
          <w:p w14:paraId="74F85D85" w14:textId="77777777" w:rsidR="00DA70E6" w:rsidRPr="00DA70E6" w:rsidRDefault="00DA70E6" w:rsidP="00DA70E6">
            <w:r w:rsidRPr="00DA70E6">
              <w:t>18 (43)</w:t>
            </w:r>
          </w:p>
        </w:tc>
        <w:tc>
          <w:tcPr>
            <w:tcW w:w="2734" w:type="dxa"/>
          </w:tcPr>
          <w:p w14:paraId="7728BBB7" w14:textId="77777777" w:rsidR="00DA70E6" w:rsidRPr="00DA70E6" w:rsidRDefault="00DA70E6" w:rsidP="00DA70E6">
            <w:r w:rsidRPr="00DA70E6">
              <w:t>18 (35)</w:t>
            </w:r>
          </w:p>
        </w:tc>
      </w:tr>
      <w:tr w:rsidR="00DA70E6" w:rsidRPr="00DA70E6" w14:paraId="510D2A45" w14:textId="77777777" w:rsidTr="00EA3053">
        <w:tc>
          <w:tcPr>
            <w:tcW w:w="4819" w:type="dxa"/>
          </w:tcPr>
          <w:p w14:paraId="1C5E778D" w14:textId="77777777" w:rsidR="00DA70E6" w:rsidRPr="00DA70E6" w:rsidRDefault="00DA70E6" w:rsidP="00DA70E6">
            <w:pPr>
              <w:autoSpaceDE w:val="0"/>
              <w:autoSpaceDN w:val="0"/>
              <w:adjustRightInd w:val="0"/>
              <w:rPr>
                <w:b/>
                <w:color w:val="000000"/>
              </w:rPr>
            </w:pPr>
            <w:r w:rsidRPr="00DA70E6">
              <w:rPr>
                <w:color w:val="000000"/>
              </w:rPr>
              <w:t>ASGbA per ankstesnes 12 savaičių, N (%)</w:t>
            </w:r>
          </w:p>
        </w:tc>
        <w:tc>
          <w:tcPr>
            <w:tcW w:w="1734" w:type="dxa"/>
          </w:tcPr>
          <w:p w14:paraId="6F1D20EE" w14:textId="77777777" w:rsidR="00DA70E6" w:rsidRPr="00DA70E6" w:rsidRDefault="00DA70E6" w:rsidP="00DA70E6">
            <w:r w:rsidRPr="00DA70E6">
              <w:t>753 (60)</w:t>
            </w:r>
          </w:p>
        </w:tc>
        <w:tc>
          <w:tcPr>
            <w:tcW w:w="2734" w:type="dxa"/>
          </w:tcPr>
          <w:p w14:paraId="4B8539F4" w14:textId="77777777" w:rsidR="00DA70E6" w:rsidRPr="00DA70E6" w:rsidRDefault="00DA70E6" w:rsidP="00DA70E6">
            <w:r w:rsidRPr="00DA70E6">
              <w:t>732 (59)</w:t>
            </w:r>
          </w:p>
        </w:tc>
      </w:tr>
      <w:tr w:rsidR="00DA70E6" w:rsidRPr="00DA70E6" w14:paraId="030EAFC2" w14:textId="77777777" w:rsidTr="00EA3053">
        <w:tc>
          <w:tcPr>
            <w:tcW w:w="4819" w:type="dxa"/>
          </w:tcPr>
          <w:p w14:paraId="011B70BD" w14:textId="77777777" w:rsidR="00DA70E6" w:rsidRPr="00DA70E6" w:rsidRDefault="00DA70E6" w:rsidP="00DA70E6">
            <w:pPr>
              <w:autoSpaceDE w:val="0"/>
              <w:autoSpaceDN w:val="0"/>
              <w:adjustRightInd w:val="0"/>
              <w:rPr>
                <w:b/>
                <w:color w:val="000000"/>
              </w:rPr>
            </w:pPr>
            <w:r w:rsidRPr="00DA70E6">
              <w:rPr>
                <w:color w:val="000000"/>
              </w:rPr>
              <w:t>ASGbA su ŽIV+ (arba nežinomos būklės) partneriu per ankstesnius 6 mėn., N (%)</w:t>
            </w:r>
          </w:p>
        </w:tc>
        <w:tc>
          <w:tcPr>
            <w:tcW w:w="1734" w:type="dxa"/>
          </w:tcPr>
          <w:p w14:paraId="14C0A3B5" w14:textId="77777777" w:rsidR="00DA70E6" w:rsidRPr="00DA70E6" w:rsidRDefault="00DA70E6" w:rsidP="00DA70E6">
            <w:r w:rsidRPr="00DA70E6">
              <w:t>1009 (81)</w:t>
            </w:r>
          </w:p>
        </w:tc>
        <w:tc>
          <w:tcPr>
            <w:tcW w:w="2734" w:type="dxa"/>
          </w:tcPr>
          <w:p w14:paraId="3D550E34" w14:textId="77777777" w:rsidR="00DA70E6" w:rsidRPr="00DA70E6" w:rsidRDefault="00DA70E6" w:rsidP="00DA70E6">
            <w:r w:rsidRPr="00DA70E6">
              <w:t>992 (79)</w:t>
            </w:r>
          </w:p>
        </w:tc>
      </w:tr>
      <w:tr w:rsidR="00DA70E6" w:rsidRPr="00DA70E6" w14:paraId="43695F48" w14:textId="77777777" w:rsidTr="00EA3053">
        <w:tc>
          <w:tcPr>
            <w:tcW w:w="4819" w:type="dxa"/>
          </w:tcPr>
          <w:p w14:paraId="65794C96" w14:textId="77777777" w:rsidR="00DA70E6" w:rsidRPr="00DA70E6" w:rsidRDefault="00DA70E6" w:rsidP="00DA70E6">
            <w:pPr>
              <w:autoSpaceDE w:val="0"/>
              <w:autoSpaceDN w:val="0"/>
              <w:adjustRightInd w:val="0"/>
              <w:rPr>
                <w:b/>
                <w:color w:val="000000"/>
              </w:rPr>
            </w:pPr>
            <w:r w:rsidRPr="00DA70E6">
              <w:rPr>
                <w:color w:val="000000"/>
              </w:rPr>
              <w:t>Mokamų lytinių paslaugų teikimas ar gavimas per paskutinius 6 mėnesius, N (%)</w:t>
            </w:r>
          </w:p>
        </w:tc>
        <w:tc>
          <w:tcPr>
            <w:tcW w:w="1734" w:type="dxa"/>
          </w:tcPr>
          <w:p w14:paraId="797C0FA7" w14:textId="77777777" w:rsidR="00DA70E6" w:rsidRPr="00DA70E6" w:rsidRDefault="00DA70E6" w:rsidP="00DA70E6">
            <w:r w:rsidRPr="00DA70E6">
              <w:t>510 (41)</w:t>
            </w:r>
          </w:p>
        </w:tc>
        <w:tc>
          <w:tcPr>
            <w:tcW w:w="2734" w:type="dxa"/>
          </w:tcPr>
          <w:p w14:paraId="27715F7F" w14:textId="77777777" w:rsidR="00DA70E6" w:rsidRPr="00DA70E6" w:rsidRDefault="00DA70E6" w:rsidP="00DA70E6">
            <w:r w:rsidRPr="00DA70E6">
              <w:t>517 (41)</w:t>
            </w:r>
          </w:p>
        </w:tc>
      </w:tr>
      <w:tr w:rsidR="00DA70E6" w:rsidRPr="00DA70E6" w14:paraId="258064C2" w14:textId="77777777" w:rsidTr="00EA3053">
        <w:tc>
          <w:tcPr>
            <w:tcW w:w="4819" w:type="dxa"/>
          </w:tcPr>
          <w:p w14:paraId="3C792652" w14:textId="77777777" w:rsidR="00DA70E6" w:rsidRPr="00DA70E6" w:rsidRDefault="00DA70E6" w:rsidP="00DA70E6">
            <w:pPr>
              <w:autoSpaceDE w:val="0"/>
              <w:autoSpaceDN w:val="0"/>
              <w:adjustRightInd w:val="0"/>
              <w:rPr>
                <w:b/>
                <w:color w:val="000000"/>
              </w:rPr>
            </w:pPr>
            <w:r w:rsidRPr="00DA70E6">
              <w:rPr>
                <w:color w:val="000000"/>
              </w:rPr>
              <w:t>Žinomos ŽIV+ būklės partneris per paskutinius 6 mėnesius, N (%)</w:t>
            </w:r>
          </w:p>
        </w:tc>
        <w:tc>
          <w:tcPr>
            <w:tcW w:w="1734" w:type="dxa"/>
          </w:tcPr>
          <w:p w14:paraId="0EBFF77A" w14:textId="77777777" w:rsidR="00DA70E6" w:rsidRPr="00DA70E6" w:rsidRDefault="00DA70E6" w:rsidP="00DA70E6">
            <w:r w:rsidRPr="00DA70E6">
              <w:t>32 (3)</w:t>
            </w:r>
          </w:p>
        </w:tc>
        <w:tc>
          <w:tcPr>
            <w:tcW w:w="2734" w:type="dxa"/>
          </w:tcPr>
          <w:p w14:paraId="7585B512" w14:textId="77777777" w:rsidR="00DA70E6" w:rsidRPr="00DA70E6" w:rsidRDefault="00DA70E6" w:rsidP="00DA70E6">
            <w:r w:rsidRPr="00DA70E6">
              <w:t>23 (2)</w:t>
            </w:r>
          </w:p>
        </w:tc>
      </w:tr>
      <w:tr w:rsidR="00DA70E6" w:rsidRPr="00DA70E6" w14:paraId="69284D37" w14:textId="77777777" w:rsidTr="00EA3053">
        <w:tc>
          <w:tcPr>
            <w:tcW w:w="4819" w:type="dxa"/>
          </w:tcPr>
          <w:p w14:paraId="49A62BA3" w14:textId="77777777" w:rsidR="00DA70E6" w:rsidRPr="00DA70E6" w:rsidRDefault="00DA70E6" w:rsidP="00DA70E6">
            <w:pPr>
              <w:autoSpaceDE w:val="0"/>
              <w:autoSpaceDN w:val="0"/>
              <w:adjustRightInd w:val="0"/>
              <w:rPr>
                <w:b/>
                <w:color w:val="000000"/>
              </w:rPr>
            </w:pPr>
            <w:r w:rsidRPr="00DA70E6">
              <w:rPr>
                <w:color w:val="000000"/>
              </w:rPr>
              <w:t>Serologinis reaktyvumas, susijęs su sifiliu, N (%)</w:t>
            </w:r>
          </w:p>
        </w:tc>
        <w:tc>
          <w:tcPr>
            <w:tcW w:w="1734" w:type="dxa"/>
          </w:tcPr>
          <w:p w14:paraId="06E4D8CC" w14:textId="77777777" w:rsidR="00DA70E6" w:rsidRPr="00DA70E6" w:rsidRDefault="00DA70E6" w:rsidP="00DA70E6">
            <w:r w:rsidRPr="00DA70E6">
              <w:t>162/1239 (13)</w:t>
            </w:r>
          </w:p>
        </w:tc>
        <w:tc>
          <w:tcPr>
            <w:tcW w:w="2734" w:type="dxa"/>
          </w:tcPr>
          <w:p w14:paraId="145DAFA7" w14:textId="77777777" w:rsidR="00DA70E6" w:rsidRPr="00DA70E6" w:rsidRDefault="00DA70E6" w:rsidP="00DA70E6">
            <w:r w:rsidRPr="00DA70E6">
              <w:t>164/1240 (13)</w:t>
            </w:r>
          </w:p>
        </w:tc>
      </w:tr>
      <w:tr w:rsidR="00DA70E6" w:rsidRPr="00DA70E6" w14:paraId="67060446" w14:textId="77777777" w:rsidTr="00EA3053">
        <w:tc>
          <w:tcPr>
            <w:tcW w:w="4819" w:type="dxa"/>
          </w:tcPr>
          <w:p w14:paraId="4A2735FC" w14:textId="77777777" w:rsidR="00DA70E6" w:rsidRPr="00DA70E6" w:rsidRDefault="00DA70E6" w:rsidP="00DA70E6">
            <w:pPr>
              <w:autoSpaceDE w:val="0"/>
              <w:autoSpaceDN w:val="0"/>
              <w:adjustRightInd w:val="0"/>
              <w:rPr>
                <w:b/>
                <w:color w:val="000000"/>
              </w:rPr>
            </w:pPr>
            <w:r w:rsidRPr="00DA70E6">
              <w:rPr>
                <w:color w:val="000000"/>
              </w:rPr>
              <w:t>Serume nustatyta 2 tipo Herpes Simplex viruso infekcija, N (%)</w:t>
            </w:r>
          </w:p>
        </w:tc>
        <w:tc>
          <w:tcPr>
            <w:tcW w:w="1734" w:type="dxa"/>
          </w:tcPr>
          <w:p w14:paraId="5D4ED9D0" w14:textId="77777777" w:rsidR="00DA70E6" w:rsidRPr="00DA70E6" w:rsidRDefault="00DA70E6" w:rsidP="00DA70E6">
            <w:r w:rsidRPr="00DA70E6">
              <w:t>430/ 1243 (35)</w:t>
            </w:r>
          </w:p>
        </w:tc>
        <w:tc>
          <w:tcPr>
            <w:tcW w:w="2734" w:type="dxa"/>
          </w:tcPr>
          <w:p w14:paraId="3506F587" w14:textId="77777777" w:rsidR="00DA70E6" w:rsidRPr="00DA70E6" w:rsidRDefault="00DA70E6" w:rsidP="00DA70E6">
            <w:r w:rsidRPr="00DA70E6">
              <w:t>458/1241 (37)</w:t>
            </w:r>
          </w:p>
        </w:tc>
      </w:tr>
      <w:tr w:rsidR="00DA70E6" w:rsidRPr="00DA70E6" w14:paraId="76BA263B" w14:textId="77777777" w:rsidTr="00EA3053">
        <w:tc>
          <w:tcPr>
            <w:tcW w:w="4819" w:type="dxa"/>
          </w:tcPr>
          <w:p w14:paraId="6CDECF2A" w14:textId="77777777" w:rsidR="00DA70E6" w:rsidRPr="00DA70E6" w:rsidRDefault="00DA70E6" w:rsidP="00DA70E6">
            <w:pPr>
              <w:autoSpaceDE w:val="0"/>
              <w:autoSpaceDN w:val="0"/>
              <w:adjustRightInd w:val="0"/>
              <w:rPr>
                <w:b/>
                <w:color w:val="000000"/>
              </w:rPr>
            </w:pPr>
            <w:r w:rsidRPr="00DA70E6">
              <w:rPr>
                <w:color w:val="000000"/>
              </w:rPr>
              <w:t>Teigiamas leukocitų esterazės šlapime tyrimo rezultatas, N (%)</w:t>
            </w:r>
          </w:p>
        </w:tc>
        <w:tc>
          <w:tcPr>
            <w:tcW w:w="1734" w:type="dxa"/>
          </w:tcPr>
          <w:p w14:paraId="3ABE6104" w14:textId="77777777" w:rsidR="00DA70E6" w:rsidRPr="00DA70E6" w:rsidRDefault="00DA70E6" w:rsidP="00DA70E6">
            <w:r w:rsidRPr="00DA70E6">
              <w:t>22 (2)</w:t>
            </w:r>
          </w:p>
        </w:tc>
        <w:tc>
          <w:tcPr>
            <w:tcW w:w="2734" w:type="dxa"/>
          </w:tcPr>
          <w:p w14:paraId="349C9984" w14:textId="77777777" w:rsidR="00DA70E6" w:rsidRPr="00DA70E6" w:rsidRDefault="00DA70E6" w:rsidP="00DA70E6">
            <w:r w:rsidRPr="00DA70E6">
              <w:t>23 (2)</w:t>
            </w:r>
          </w:p>
        </w:tc>
      </w:tr>
    </w:tbl>
    <w:p w14:paraId="5E5997FF" w14:textId="77777777" w:rsidR="00DA70E6" w:rsidRPr="00DA70E6" w:rsidRDefault="00DA70E6" w:rsidP="00DA70E6">
      <w:r w:rsidRPr="00DA70E6">
        <w:t>ASGbA = analinė sueitis gavėjo vaidmenyje be apsaugos</w:t>
      </w:r>
    </w:p>
    <w:p w14:paraId="2E290780" w14:textId="77777777" w:rsidR="00DA70E6" w:rsidRPr="00DA70E6" w:rsidRDefault="00DA70E6" w:rsidP="00DA70E6"/>
    <w:p w14:paraId="7711889F" w14:textId="77777777" w:rsidR="00DA70E6" w:rsidRPr="00DA70E6" w:rsidRDefault="00DA70E6" w:rsidP="00DA70E6">
      <w:r w:rsidRPr="00DA70E6">
        <w:t>Bendrasis ir atskiro pogrupio, kuriame pranešta apie analinę sueitį gavėjo vaidmenyje be apsaugos, ŽIV serokonversijos dažnis pateiktas 6 lentelėje. Atvejo – kontrolės tyrime veiksmingumas buvo labai susijęs su vaistinio preparato vartojimo nurodymų laikymusi, įvertintu ištyrus vaistinio preparato koncentraciją plazmoje arba ląstelėse (7 lentelė).</w:t>
      </w:r>
    </w:p>
    <w:p w14:paraId="76B334C5" w14:textId="77777777" w:rsidR="00DA70E6" w:rsidRPr="00DA70E6" w:rsidRDefault="00DA70E6" w:rsidP="00DA70E6"/>
    <w:p w14:paraId="53FC50E4" w14:textId="77777777" w:rsidR="00DA70E6" w:rsidRPr="00DA70E6" w:rsidRDefault="00DA70E6" w:rsidP="00DA70E6">
      <w:pPr>
        <w:rPr>
          <w:b/>
        </w:rPr>
      </w:pPr>
      <w:r w:rsidRPr="00DA70E6">
        <w:rPr>
          <w:b/>
        </w:rPr>
        <w:t>6 lentelė. Veiksmingumas tyrimo CO-US-104-0288 (iPrEx) metu</w:t>
      </w:r>
    </w:p>
    <w:p w14:paraId="11B82741" w14:textId="77777777" w:rsidR="00DA70E6" w:rsidRPr="00DA70E6" w:rsidRDefault="00DA70E6" w:rsidP="00DA70E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2552"/>
        <w:gridCol w:w="1513"/>
      </w:tblGrid>
      <w:tr w:rsidR="00DA70E6" w:rsidRPr="00DA70E6" w14:paraId="0C1A295E" w14:textId="77777777" w:rsidTr="00EA3053">
        <w:tc>
          <w:tcPr>
            <w:tcW w:w="4077" w:type="dxa"/>
          </w:tcPr>
          <w:p w14:paraId="60C695B8" w14:textId="77777777" w:rsidR="00DA70E6" w:rsidRPr="00DA70E6" w:rsidRDefault="00DA70E6" w:rsidP="00DA70E6">
            <w:pPr>
              <w:keepNext/>
            </w:pPr>
          </w:p>
        </w:tc>
        <w:tc>
          <w:tcPr>
            <w:tcW w:w="1134" w:type="dxa"/>
          </w:tcPr>
          <w:p w14:paraId="3D6A9B05" w14:textId="77777777" w:rsidR="00DA70E6" w:rsidRPr="00DA70E6" w:rsidRDefault="00DA70E6" w:rsidP="00DA70E6">
            <w:pPr>
              <w:keepNext/>
              <w:rPr>
                <w:color w:val="000000"/>
              </w:rPr>
            </w:pPr>
            <w:r w:rsidRPr="00DA70E6">
              <w:rPr>
                <w:b/>
                <w:color w:val="000000"/>
              </w:rPr>
              <w:t xml:space="preserve">Placebas </w:t>
            </w:r>
          </w:p>
          <w:p w14:paraId="3DC9ED3A" w14:textId="77777777" w:rsidR="00DA70E6" w:rsidRPr="00DA70E6" w:rsidRDefault="00DA70E6" w:rsidP="00DA70E6">
            <w:pPr>
              <w:keepNext/>
            </w:pPr>
          </w:p>
        </w:tc>
        <w:tc>
          <w:tcPr>
            <w:tcW w:w="2552" w:type="dxa"/>
          </w:tcPr>
          <w:p w14:paraId="069E9ED1" w14:textId="77777777" w:rsidR="00DA70E6" w:rsidRPr="00DA70E6" w:rsidRDefault="00DA70E6" w:rsidP="00DA70E6">
            <w:pPr>
              <w:keepNext/>
            </w:pPr>
            <w:r w:rsidRPr="00DA70E6">
              <w:rPr>
                <w:b/>
              </w:rPr>
              <w:t>Emtricitabinas / tenofoviro dizoproksilis</w:t>
            </w:r>
          </w:p>
        </w:tc>
        <w:tc>
          <w:tcPr>
            <w:tcW w:w="1513" w:type="dxa"/>
          </w:tcPr>
          <w:p w14:paraId="0E3F7C1D" w14:textId="77777777" w:rsidR="00DA70E6" w:rsidRPr="00DA70E6" w:rsidRDefault="00DA70E6" w:rsidP="00DA70E6">
            <w:pPr>
              <w:keepNext/>
              <w:rPr>
                <w:color w:val="000000"/>
              </w:rPr>
            </w:pPr>
            <w:r w:rsidRPr="00DA70E6">
              <w:rPr>
                <w:b/>
                <w:color w:val="000000"/>
              </w:rPr>
              <w:t>P vertė</w:t>
            </w:r>
            <w:r w:rsidRPr="00DA70E6">
              <w:rPr>
                <w:b/>
                <w:color w:val="000000"/>
                <w:vertAlign w:val="superscript"/>
              </w:rPr>
              <w:t xml:space="preserve">a, b </w:t>
            </w:r>
          </w:p>
          <w:p w14:paraId="34892340" w14:textId="77777777" w:rsidR="00DA70E6" w:rsidRPr="00DA70E6" w:rsidRDefault="00DA70E6" w:rsidP="00DA70E6">
            <w:pPr>
              <w:keepNext/>
            </w:pPr>
          </w:p>
        </w:tc>
      </w:tr>
      <w:tr w:rsidR="00DA70E6" w:rsidRPr="00DA70E6" w14:paraId="54CD0A13" w14:textId="77777777" w:rsidTr="00EA3053">
        <w:tc>
          <w:tcPr>
            <w:tcW w:w="9276" w:type="dxa"/>
            <w:gridSpan w:val="4"/>
          </w:tcPr>
          <w:p w14:paraId="62B1A9D4" w14:textId="77777777" w:rsidR="00DA70E6" w:rsidRPr="00DA70E6" w:rsidRDefault="00DA70E6" w:rsidP="00DA70E6">
            <w:pPr>
              <w:autoSpaceDE w:val="0"/>
              <w:autoSpaceDN w:val="0"/>
              <w:adjustRightInd w:val="0"/>
              <w:rPr>
                <w:color w:val="000000"/>
              </w:rPr>
            </w:pPr>
            <w:r w:rsidRPr="00DA70E6">
              <w:rPr>
                <w:b/>
                <w:color w:val="000000"/>
              </w:rPr>
              <w:t>mITT analizė</w:t>
            </w:r>
          </w:p>
        </w:tc>
      </w:tr>
      <w:tr w:rsidR="00DA70E6" w:rsidRPr="00DA70E6" w14:paraId="737BA586" w14:textId="77777777" w:rsidTr="005C0E81">
        <w:tc>
          <w:tcPr>
            <w:tcW w:w="4077" w:type="dxa"/>
          </w:tcPr>
          <w:p w14:paraId="59084F7F" w14:textId="77777777" w:rsidR="00DA70E6" w:rsidRPr="00DA70E6" w:rsidRDefault="00DA70E6" w:rsidP="00DA70E6">
            <w:r w:rsidRPr="00DA70E6">
              <w:t>Serokonversijos / N</w:t>
            </w:r>
          </w:p>
        </w:tc>
        <w:tc>
          <w:tcPr>
            <w:tcW w:w="1134" w:type="dxa"/>
          </w:tcPr>
          <w:p w14:paraId="2EDE97C0" w14:textId="77777777" w:rsidR="00DA70E6" w:rsidRPr="00DA70E6" w:rsidRDefault="00DA70E6" w:rsidP="00DA70E6">
            <w:pPr>
              <w:jc w:val="center"/>
            </w:pPr>
            <w:r w:rsidRPr="00DA70E6">
              <w:t>83 / 1217</w:t>
            </w:r>
          </w:p>
        </w:tc>
        <w:tc>
          <w:tcPr>
            <w:tcW w:w="2552" w:type="dxa"/>
          </w:tcPr>
          <w:p w14:paraId="2C7067B5" w14:textId="77777777" w:rsidR="00DA70E6" w:rsidRPr="00DA70E6" w:rsidRDefault="00DA70E6" w:rsidP="00DA70E6">
            <w:pPr>
              <w:jc w:val="center"/>
            </w:pPr>
            <w:r w:rsidRPr="00DA70E6">
              <w:t>48 / 1224</w:t>
            </w:r>
          </w:p>
        </w:tc>
        <w:tc>
          <w:tcPr>
            <w:tcW w:w="1513" w:type="dxa"/>
            <w:vMerge w:val="restart"/>
          </w:tcPr>
          <w:p w14:paraId="6F47651D" w14:textId="77777777" w:rsidR="00DA70E6" w:rsidRPr="00DA70E6" w:rsidRDefault="00DA70E6" w:rsidP="00DA70E6">
            <w:pPr>
              <w:jc w:val="center"/>
            </w:pPr>
          </w:p>
          <w:p w14:paraId="20FF0BFD" w14:textId="77777777" w:rsidR="00DA70E6" w:rsidRPr="00DA70E6" w:rsidRDefault="00DA70E6" w:rsidP="00DA70E6">
            <w:pPr>
              <w:jc w:val="center"/>
            </w:pPr>
            <w:r w:rsidRPr="00DA70E6">
              <w:t>0,002</w:t>
            </w:r>
          </w:p>
        </w:tc>
      </w:tr>
      <w:tr w:rsidR="00DA70E6" w:rsidRPr="00DA70E6" w14:paraId="52B173B0" w14:textId="77777777" w:rsidTr="005C0E81">
        <w:trPr>
          <w:trHeight w:val="397"/>
        </w:trPr>
        <w:tc>
          <w:tcPr>
            <w:tcW w:w="4077" w:type="dxa"/>
          </w:tcPr>
          <w:p w14:paraId="698A03DB" w14:textId="77777777" w:rsidR="00DA70E6" w:rsidRPr="00DA70E6" w:rsidRDefault="00DA70E6" w:rsidP="00DA70E6">
            <w:pPr>
              <w:jc w:val="center"/>
            </w:pPr>
            <w:r w:rsidRPr="00DA70E6">
              <w:t>Santykinis rizikos sumažėjimas (95 % PI)</w:t>
            </w:r>
            <w:r w:rsidRPr="00DA70E6">
              <w:rPr>
                <w:vertAlign w:val="superscript"/>
              </w:rPr>
              <w:t>b</w:t>
            </w:r>
            <w:r w:rsidRPr="00DA70E6">
              <w:t xml:space="preserve"> </w:t>
            </w:r>
          </w:p>
        </w:tc>
        <w:tc>
          <w:tcPr>
            <w:tcW w:w="3686" w:type="dxa"/>
            <w:gridSpan w:val="2"/>
          </w:tcPr>
          <w:p w14:paraId="6EC2E443" w14:textId="77777777" w:rsidR="00DA70E6" w:rsidRPr="00DA70E6" w:rsidRDefault="00DA70E6" w:rsidP="00DA70E6">
            <w:pPr>
              <w:jc w:val="center"/>
            </w:pPr>
            <w:r w:rsidRPr="00DA70E6">
              <w:t>42 % (18 %, 60 %)</w:t>
            </w:r>
          </w:p>
        </w:tc>
        <w:tc>
          <w:tcPr>
            <w:tcW w:w="1513" w:type="dxa"/>
            <w:vMerge/>
          </w:tcPr>
          <w:p w14:paraId="45BBDA45" w14:textId="77777777" w:rsidR="00DA70E6" w:rsidRPr="00DA70E6" w:rsidRDefault="00DA70E6" w:rsidP="00DA70E6">
            <w:pPr>
              <w:jc w:val="center"/>
            </w:pPr>
          </w:p>
        </w:tc>
      </w:tr>
      <w:tr w:rsidR="00DA70E6" w:rsidRPr="00DA70E6" w14:paraId="09D5248B" w14:textId="77777777" w:rsidTr="00EA3053">
        <w:tc>
          <w:tcPr>
            <w:tcW w:w="9276" w:type="dxa"/>
            <w:gridSpan w:val="4"/>
          </w:tcPr>
          <w:p w14:paraId="7CB012FB" w14:textId="77777777" w:rsidR="00DA70E6" w:rsidRPr="00DA70E6" w:rsidRDefault="00DA70E6" w:rsidP="00DA70E6">
            <w:pPr>
              <w:autoSpaceDE w:val="0"/>
              <w:autoSpaceDN w:val="0"/>
              <w:adjustRightInd w:val="0"/>
            </w:pPr>
            <w:r w:rsidRPr="00DA70E6">
              <w:rPr>
                <w:b/>
                <w:color w:val="000000"/>
              </w:rPr>
              <w:t xml:space="preserve">ASGbA per 12 savaičių prieš atranką, mITT analizė </w:t>
            </w:r>
          </w:p>
        </w:tc>
      </w:tr>
      <w:tr w:rsidR="00DA70E6" w:rsidRPr="00DA70E6" w14:paraId="2F650DF4" w14:textId="77777777" w:rsidTr="005C0E81">
        <w:tc>
          <w:tcPr>
            <w:tcW w:w="4077" w:type="dxa"/>
          </w:tcPr>
          <w:p w14:paraId="50E797A0" w14:textId="77777777" w:rsidR="00DA70E6" w:rsidRPr="00DA70E6" w:rsidRDefault="00DA70E6" w:rsidP="00DA70E6">
            <w:pPr>
              <w:autoSpaceDE w:val="0"/>
              <w:autoSpaceDN w:val="0"/>
              <w:adjustRightInd w:val="0"/>
              <w:rPr>
                <w:color w:val="000000"/>
              </w:rPr>
            </w:pPr>
            <w:r w:rsidRPr="00DA70E6">
              <w:rPr>
                <w:color w:val="000000"/>
              </w:rPr>
              <w:lastRenderedPageBreak/>
              <w:t>Serokonversijos / N</w:t>
            </w:r>
          </w:p>
        </w:tc>
        <w:tc>
          <w:tcPr>
            <w:tcW w:w="1134" w:type="dxa"/>
          </w:tcPr>
          <w:p w14:paraId="5FB0B8A1" w14:textId="77777777" w:rsidR="00DA70E6" w:rsidRPr="00DA70E6" w:rsidRDefault="00DA70E6" w:rsidP="00DA70E6">
            <w:pPr>
              <w:jc w:val="center"/>
            </w:pPr>
            <w:r w:rsidRPr="00DA70E6">
              <w:t>72 /753</w:t>
            </w:r>
          </w:p>
        </w:tc>
        <w:tc>
          <w:tcPr>
            <w:tcW w:w="2552" w:type="dxa"/>
          </w:tcPr>
          <w:p w14:paraId="19A7DAB9" w14:textId="77777777" w:rsidR="00DA70E6" w:rsidRPr="00DA70E6" w:rsidRDefault="00DA70E6" w:rsidP="00DA70E6">
            <w:pPr>
              <w:jc w:val="center"/>
            </w:pPr>
            <w:r w:rsidRPr="00DA70E6">
              <w:t>34 /732</w:t>
            </w:r>
          </w:p>
        </w:tc>
        <w:tc>
          <w:tcPr>
            <w:tcW w:w="1513" w:type="dxa"/>
            <w:vMerge w:val="restart"/>
          </w:tcPr>
          <w:p w14:paraId="577EA3B4" w14:textId="77777777" w:rsidR="00DA70E6" w:rsidRPr="00DA70E6" w:rsidRDefault="00DA70E6" w:rsidP="00DA70E6">
            <w:pPr>
              <w:jc w:val="center"/>
            </w:pPr>
          </w:p>
          <w:p w14:paraId="305B0895" w14:textId="77777777" w:rsidR="00DA70E6" w:rsidRPr="00DA70E6" w:rsidRDefault="00DA70E6" w:rsidP="00DA70E6">
            <w:pPr>
              <w:jc w:val="center"/>
            </w:pPr>
            <w:r w:rsidRPr="00DA70E6">
              <w:t>0,0349</w:t>
            </w:r>
          </w:p>
        </w:tc>
      </w:tr>
      <w:tr w:rsidR="00DA70E6" w:rsidRPr="00DA70E6" w14:paraId="337801AF" w14:textId="77777777" w:rsidTr="005C0E81">
        <w:tc>
          <w:tcPr>
            <w:tcW w:w="4077" w:type="dxa"/>
          </w:tcPr>
          <w:p w14:paraId="52D50A9A" w14:textId="77777777" w:rsidR="00DA70E6" w:rsidRPr="00DA70E6" w:rsidRDefault="00DA70E6" w:rsidP="00DA70E6">
            <w:pPr>
              <w:autoSpaceDE w:val="0"/>
              <w:autoSpaceDN w:val="0"/>
              <w:adjustRightInd w:val="0"/>
              <w:rPr>
                <w:color w:val="000000"/>
              </w:rPr>
            </w:pPr>
            <w:r w:rsidRPr="00DA70E6">
              <w:rPr>
                <w:color w:val="000000"/>
              </w:rPr>
              <w:t>Santykinės rizikos sumažėjimas (95 % PI)</w:t>
            </w:r>
            <w:r w:rsidRPr="00DA70E6">
              <w:rPr>
                <w:color w:val="000000"/>
                <w:vertAlign w:val="superscript"/>
              </w:rPr>
              <w:t>b</w:t>
            </w:r>
            <w:r w:rsidRPr="00DA70E6">
              <w:rPr>
                <w:color w:val="000000"/>
              </w:rPr>
              <w:t xml:space="preserve"> </w:t>
            </w:r>
          </w:p>
        </w:tc>
        <w:tc>
          <w:tcPr>
            <w:tcW w:w="3686" w:type="dxa"/>
            <w:gridSpan w:val="2"/>
          </w:tcPr>
          <w:p w14:paraId="5204A24A" w14:textId="77777777" w:rsidR="00DA70E6" w:rsidRPr="00DA70E6" w:rsidRDefault="00DA70E6" w:rsidP="00DA70E6">
            <w:pPr>
              <w:jc w:val="center"/>
            </w:pPr>
            <w:r w:rsidRPr="00DA70E6">
              <w:t>52 % (28 %, 68 %)</w:t>
            </w:r>
          </w:p>
        </w:tc>
        <w:tc>
          <w:tcPr>
            <w:tcW w:w="1513" w:type="dxa"/>
            <w:vMerge/>
          </w:tcPr>
          <w:p w14:paraId="16D2E3C0" w14:textId="77777777" w:rsidR="00DA70E6" w:rsidRPr="00DA70E6" w:rsidRDefault="00DA70E6" w:rsidP="00DA70E6">
            <w:pPr>
              <w:jc w:val="center"/>
            </w:pPr>
          </w:p>
        </w:tc>
      </w:tr>
    </w:tbl>
    <w:p w14:paraId="1DE5749D" w14:textId="77777777" w:rsidR="00DA70E6" w:rsidRPr="00DA70E6" w:rsidRDefault="00DA70E6" w:rsidP="00DA70E6">
      <w:pPr>
        <w:ind w:left="142" w:hanging="142"/>
      </w:pPr>
      <w:r w:rsidRPr="00DA70E6">
        <w:rPr>
          <w:vertAlign w:val="superscript"/>
        </w:rPr>
        <w:t>a</w:t>
      </w:r>
      <w:r w:rsidRPr="00DA70E6">
        <w:t xml:space="preserve"> P vertės, nustatytos </w:t>
      </w:r>
      <w:r w:rsidRPr="00DA70E6">
        <w:rPr>
          <w:i/>
        </w:rPr>
        <w:t>log rank</w:t>
      </w:r>
      <w:r w:rsidRPr="00DA70E6">
        <w:t xml:space="preserve"> testo būdu. ASGbA P vertės susijusios su nuline hipoteze, kad veiksmingumas pogrupių sluoksniuose (ASGbA, ne ASGbA) yra skirtingas.</w:t>
      </w:r>
    </w:p>
    <w:p w14:paraId="06B75CF1" w14:textId="77777777" w:rsidR="00DA70E6" w:rsidRPr="00DA70E6" w:rsidRDefault="00DA70E6" w:rsidP="00DA70E6">
      <w:pPr>
        <w:ind w:left="142" w:hanging="142"/>
      </w:pPr>
      <w:r w:rsidRPr="00DA70E6">
        <w:rPr>
          <w:vertAlign w:val="superscript"/>
        </w:rPr>
        <w:t>b</w:t>
      </w:r>
      <w:r w:rsidRPr="00DA70E6">
        <w:t xml:space="preserve"> Santykinės rizikos sumažėjimas, apskaičiuotas mITT, remiantis atsiradusia serokonversija, t. y. atsiradusia po pradinio vertinimo per pirmąjį apsilankymą po gydymo (praėjus maždaug 1 mėnesiui po paskutinio tiriamojo vaistinio preparato suvartojimo).</w:t>
      </w:r>
    </w:p>
    <w:p w14:paraId="43753BFA" w14:textId="77777777" w:rsidR="00DA70E6" w:rsidRPr="00DA70E6" w:rsidRDefault="00DA70E6" w:rsidP="00DA70E6">
      <w:pPr>
        <w:ind w:left="142" w:hanging="142"/>
      </w:pPr>
    </w:p>
    <w:p w14:paraId="038AC908" w14:textId="77777777" w:rsidR="00DA70E6" w:rsidRPr="00DA70E6" w:rsidRDefault="00DA70E6" w:rsidP="00DA70E6">
      <w:pPr>
        <w:rPr>
          <w:b/>
        </w:rPr>
      </w:pPr>
      <w:r w:rsidRPr="00DA70E6">
        <w:rPr>
          <w:b/>
        </w:rPr>
        <w:t>7 lentelė. Veiksmingumas ir nurodymų laikymasis tyrimo CO-US-104-0288 (iPrEx) metu (priderintų atvejo – kontrolės analizė)</w:t>
      </w:r>
    </w:p>
    <w:p w14:paraId="7E4ED7E6" w14:textId="77777777" w:rsidR="00DA70E6" w:rsidRPr="00DA70E6" w:rsidRDefault="00DA70E6" w:rsidP="00DA7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63"/>
        <w:gridCol w:w="2263"/>
        <w:gridCol w:w="2273"/>
      </w:tblGrid>
      <w:tr w:rsidR="00DA70E6" w:rsidRPr="00DA70E6" w14:paraId="5F2999EE" w14:textId="77777777" w:rsidTr="00EA3053">
        <w:tc>
          <w:tcPr>
            <w:tcW w:w="2319" w:type="dxa"/>
          </w:tcPr>
          <w:p w14:paraId="31BD81E6" w14:textId="77777777" w:rsidR="00DA70E6" w:rsidRPr="00DA70E6" w:rsidRDefault="00DA70E6" w:rsidP="00DA70E6">
            <w:pPr>
              <w:autoSpaceDE w:val="0"/>
              <w:autoSpaceDN w:val="0"/>
              <w:adjustRightInd w:val="0"/>
              <w:rPr>
                <w:color w:val="000000"/>
              </w:rPr>
            </w:pPr>
            <w:r w:rsidRPr="00DA70E6">
              <w:rPr>
                <w:b/>
                <w:color w:val="000000"/>
              </w:rPr>
              <w:t xml:space="preserve">Asmenų grupė </w:t>
            </w:r>
          </w:p>
          <w:p w14:paraId="4E2D2B65" w14:textId="77777777" w:rsidR="00DA70E6" w:rsidRPr="00DA70E6" w:rsidRDefault="00DA70E6" w:rsidP="00DA70E6"/>
        </w:tc>
        <w:tc>
          <w:tcPr>
            <w:tcW w:w="2319" w:type="dxa"/>
          </w:tcPr>
          <w:p w14:paraId="35E6AF8A" w14:textId="77777777" w:rsidR="00DA70E6" w:rsidRPr="00DA70E6" w:rsidRDefault="00DA70E6" w:rsidP="00DA70E6">
            <w:pPr>
              <w:autoSpaceDE w:val="0"/>
              <w:autoSpaceDN w:val="0"/>
              <w:adjustRightInd w:val="0"/>
              <w:jc w:val="center"/>
              <w:rPr>
                <w:color w:val="000000"/>
              </w:rPr>
            </w:pPr>
            <w:r w:rsidRPr="00DA70E6">
              <w:rPr>
                <w:b/>
                <w:color w:val="000000"/>
              </w:rPr>
              <w:t>Vaistinis preparatas aptiktas</w:t>
            </w:r>
          </w:p>
          <w:p w14:paraId="6DE8FF8C" w14:textId="77777777" w:rsidR="00DA70E6" w:rsidRPr="00DA70E6" w:rsidRDefault="00DA70E6" w:rsidP="00DA70E6">
            <w:pPr>
              <w:jc w:val="center"/>
            </w:pPr>
          </w:p>
        </w:tc>
        <w:tc>
          <w:tcPr>
            <w:tcW w:w="2319" w:type="dxa"/>
          </w:tcPr>
          <w:p w14:paraId="1EA08377" w14:textId="77777777" w:rsidR="00DA70E6" w:rsidRPr="00DA70E6" w:rsidRDefault="00DA70E6" w:rsidP="00DA70E6">
            <w:pPr>
              <w:jc w:val="center"/>
            </w:pPr>
            <w:r w:rsidRPr="00DA70E6">
              <w:rPr>
                <w:b/>
                <w:color w:val="000000"/>
              </w:rPr>
              <w:t>Vaistinis preparatas neaptiktas</w:t>
            </w:r>
          </w:p>
        </w:tc>
        <w:tc>
          <w:tcPr>
            <w:tcW w:w="2319" w:type="dxa"/>
          </w:tcPr>
          <w:p w14:paraId="0EE02B66" w14:textId="77777777" w:rsidR="00DA70E6" w:rsidRPr="00DA70E6" w:rsidRDefault="00DA70E6" w:rsidP="00DA70E6">
            <w:pPr>
              <w:autoSpaceDE w:val="0"/>
              <w:autoSpaceDN w:val="0"/>
              <w:adjustRightInd w:val="0"/>
              <w:rPr>
                <w:b/>
                <w:color w:val="000000"/>
              </w:rPr>
            </w:pPr>
            <w:r w:rsidRPr="00DA70E6">
              <w:rPr>
                <w:b/>
                <w:color w:val="000000"/>
              </w:rPr>
              <w:t>Santykinės rizikos sumažėjimas (dvipusis 95 % PI)</w:t>
            </w:r>
            <w:r w:rsidRPr="00DA70E6">
              <w:rPr>
                <w:b/>
                <w:color w:val="000000"/>
                <w:vertAlign w:val="superscript"/>
              </w:rPr>
              <w:t>a</w:t>
            </w:r>
            <w:r w:rsidRPr="00DA70E6">
              <w:rPr>
                <w:b/>
                <w:color w:val="000000"/>
              </w:rPr>
              <w:t xml:space="preserve"> </w:t>
            </w:r>
          </w:p>
          <w:p w14:paraId="48EDA040" w14:textId="77777777" w:rsidR="00DA70E6" w:rsidRPr="00DA70E6" w:rsidRDefault="00DA70E6" w:rsidP="00DA70E6"/>
        </w:tc>
      </w:tr>
      <w:tr w:rsidR="00DA70E6" w:rsidRPr="00DA70E6" w14:paraId="51290242" w14:textId="77777777" w:rsidTr="00EA3053">
        <w:tc>
          <w:tcPr>
            <w:tcW w:w="2319" w:type="dxa"/>
          </w:tcPr>
          <w:p w14:paraId="5A0321C4" w14:textId="77777777" w:rsidR="00DA70E6" w:rsidRPr="00DA70E6" w:rsidRDefault="00DA70E6" w:rsidP="00DA70E6">
            <w:pPr>
              <w:autoSpaceDE w:val="0"/>
              <w:autoSpaceDN w:val="0"/>
              <w:adjustRightInd w:val="0"/>
              <w:jc w:val="center"/>
              <w:rPr>
                <w:color w:val="000000"/>
              </w:rPr>
            </w:pPr>
            <w:r w:rsidRPr="00DA70E6">
              <w:rPr>
                <w:color w:val="000000"/>
              </w:rPr>
              <w:t>ŽIV teigiami asmenys</w:t>
            </w:r>
          </w:p>
        </w:tc>
        <w:tc>
          <w:tcPr>
            <w:tcW w:w="2319" w:type="dxa"/>
          </w:tcPr>
          <w:p w14:paraId="45334208" w14:textId="77777777" w:rsidR="00DA70E6" w:rsidRPr="00DA70E6" w:rsidRDefault="00DA70E6" w:rsidP="00DA70E6">
            <w:pPr>
              <w:jc w:val="center"/>
            </w:pPr>
            <w:r w:rsidRPr="00DA70E6">
              <w:t>4 (8 %)</w:t>
            </w:r>
          </w:p>
        </w:tc>
        <w:tc>
          <w:tcPr>
            <w:tcW w:w="2319" w:type="dxa"/>
          </w:tcPr>
          <w:p w14:paraId="5A7900F9" w14:textId="77777777" w:rsidR="00DA70E6" w:rsidRPr="00DA70E6" w:rsidRDefault="00DA70E6" w:rsidP="00DA70E6">
            <w:pPr>
              <w:jc w:val="center"/>
            </w:pPr>
            <w:r w:rsidRPr="00DA70E6">
              <w:t>44 (92 %)</w:t>
            </w:r>
          </w:p>
        </w:tc>
        <w:tc>
          <w:tcPr>
            <w:tcW w:w="2319" w:type="dxa"/>
          </w:tcPr>
          <w:p w14:paraId="6F274904" w14:textId="77777777" w:rsidR="00DA70E6" w:rsidRPr="00DA70E6" w:rsidRDefault="00DA70E6" w:rsidP="00DA70E6">
            <w:pPr>
              <w:jc w:val="center"/>
            </w:pPr>
            <w:r w:rsidRPr="00DA70E6">
              <w:t>94 % (78 %, 99 %)</w:t>
            </w:r>
          </w:p>
        </w:tc>
      </w:tr>
      <w:tr w:rsidR="00DA70E6" w:rsidRPr="00DA70E6" w14:paraId="01BBA900" w14:textId="77777777" w:rsidTr="00EA3053">
        <w:tc>
          <w:tcPr>
            <w:tcW w:w="2319" w:type="dxa"/>
          </w:tcPr>
          <w:p w14:paraId="2D4875B8" w14:textId="77777777" w:rsidR="00DA70E6" w:rsidRPr="00DA70E6" w:rsidRDefault="00DA70E6" w:rsidP="00DA70E6">
            <w:pPr>
              <w:autoSpaceDE w:val="0"/>
              <w:autoSpaceDN w:val="0"/>
              <w:adjustRightInd w:val="0"/>
              <w:jc w:val="center"/>
              <w:rPr>
                <w:color w:val="000000"/>
              </w:rPr>
            </w:pPr>
            <w:r w:rsidRPr="00DA70E6">
              <w:rPr>
                <w:color w:val="000000"/>
              </w:rPr>
              <w:t>ŽIV neigiami priderintos kontrolinės grupės asmenys</w:t>
            </w:r>
          </w:p>
        </w:tc>
        <w:tc>
          <w:tcPr>
            <w:tcW w:w="2319" w:type="dxa"/>
          </w:tcPr>
          <w:p w14:paraId="4FD8E238" w14:textId="77777777" w:rsidR="00DA70E6" w:rsidRPr="00DA70E6" w:rsidRDefault="00DA70E6" w:rsidP="00DA70E6">
            <w:pPr>
              <w:jc w:val="center"/>
            </w:pPr>
            <w:r w:rsidRPr="00DA70E6">
              <w:t>63 (44 %)</w:t>
            </w:r>
          </w:p>
        </w:tc>
        <w:tc>
          <w:tcPr>
            <w:tcW w:w="2319" w:type="dxa"/>
          </w:tcPr>
          <w:p w14:paraId="4E6B5808" w14:textId="77777777" w:rsidR="00DA70E6" w:rsidRPr="00DA70E6" w:rsidRDefault="00DA70E6" w:rsidP="00DA70E6">
            <w:pPr>
              <w:jc w:val="center"/>
            </w:pPr>
            <w:r w:rsidRPr="00DA70E6">
              <w:t>81 (56 %)</w:t>
            </w:r>
          </w:p>
        </w:tc>
        <w:tc>
          <w:tcPr>
            <w:tcW w:w="2319" w:type="dxa"/>
          </w:tcPr>
          <w:p w14:paraId="071D1502" w14:textId="77777777" w:rsidR="00DA70E6" w:rsidRPr="00DA70E6" w:rsidRDefault="00DA70E6" w:rsidP="00DA70E6">
            <w:pPr>
              <w:jc w:val="center"/>
            </w:pPr>
            <w:r w:rsidRPr="00DA70E6">
              <w:t>------</w:t>
            </w:r>
          </w:p>
        </w:tc>
      </w:tr>
    </w:tbl>
    <w:p w14:paraId="174F0C1E" w14:textId="77777777" w:rsidR="00DA70E6" w:rsidRPr="00613B1F" w:rsidRDefault="00DA70E6" w:rsidP="00DA70E6">
      <w:pPr>
        <w:ind w:left="142" w:hanging="142"/>
      </w:pPr>
      <w:r w:rsidRPr="00DA70E6">
        <w:rPr>
          <w:vertAlign w:val="superscript"/>
        </w:rPr>
        <w:t>a</w:t>
      </w:r>
      <w:r w:rsidRPr="00DA70E6">
        <w:t xml:space="preserve"> Santykinės rizikos sumažėjimas, apskaičiuotas pagal atsiradusią (po pradinio vertinimo) serokonversiją per dvigubai koduotą gydymo fazę ir 8 savaičių trukmės stebėjimo laikotarpį. Tik tiriamųjų, atsitiktinių imčių būdu atrinktų į emtricitabino / tenofoviro dizoproksilio grupę, mėginiai buvo įvertinti nustatant </w:t>
      </w:r>
      <w:r w:rsidRPr="00E1395D">
        <w:t>aptinkam</w:t>
      </w:r>
      <w:r w:rsidR="004D2A8E" w:rsidRPr="00E1395D">
        <w:t>us</w:t>
      </w:r>
      <w:r w:rsidR="00E1395D">
        <w:t xml:space="preserve"> </w:t>
      </w:r>
      <w:r w:rsidR="00CD5EA1" w:rsidRPr="00613B1F">
        <w:t>tenofoviro</w:t>
      </w:r>
      <w:r w:rsidR="00CD5EA1" w:rsidRPr="005C0E81">
        <w:t xml:space="preserve"> di</w:t>
      </w:r>
      <w:r w:rsidR="004D2A8E" w:rsidRPr="005C0E81">
        <w:t>zo</w:t>
      </w:r>
      <w:r w:rsidR="00CD5EA1" w:rsidRPr="005C0E81">
        <w:t xml:space="preserve">proksilio </w:t>
      </w:r>
      <w:r w:rsidRPr="005C0E81">
        <w:t>–DP</w:t>
      </w:r>
      <w:r w:rsidRPr="00E1395D">
        <w:t xml:space="preserve"> lygius plazmoje arba lą</w:t>
      </w:r>
      <w:r w:rsidRPr="00613B1F">
        <w:t>stelėse.</w:t>
      </w:r>
    </w:p>
    <w:p w14:paraId="4E908755" w14:textId="77777777" w:rsidR="00DA70E6" w:rsidRPr="00613B1F" w:rsidRDefault="00DA70E6" w:rsidP="00DA70E6"/>
    <w:p w14:paraId="19A4ADB6" w14:textId="77777777" w:rsidR="00DA70E6" w:rsidRPr="00DA70E6" w:rsidRDefault="00DA70E6" w:rsidP="00DA70E6">
      <w:r w:rsidRPr="00613B1F">
        <w:t>Partners PrEP (CO-US-104-0380) klinikiniu tyrimu vertintas emtricitabino</w:t>
      </w:r>
      <w:r w:rsidRPr="00DA70E6">
        <w:t xml:space="preserve"> / tenofoviro dizoproksilio, 245 mg tenofoviro dizoproksilio arba placebo poveikis 4758 ŽIV neinfekuotiems asmenims iš Kenijos arba Ugandos heteroseksualiose porose, kurių partnerių serologinė būklė buvo priešinga. Tiriamieji buvo stebimi 7,830 žmogaus metų. 8 lentelėje pateikta prieš tyrimo pradžią buvusių būdingų bruožų suvestinė.</w:t>
      </w:r>
    </w:p>
    <w:p w14:paraId="5DA8CCD2" w14:textId="77777777" w:rsidR="00DA70E6" w:rsidRPr="00DA70E6" w:rsidRDefault="00DA70E6" w:rsidP="00DA70E6"/>
    <w:p w14:paraId="2FC68CDA" w14:textId="77777777" w:rsidR="00DA70E6" w:rsidRPr="00DA70E6" w:rsidRDefault="00DA70E6" w:rsidP="00DA70E6">
      <w:pPr>
        <w:rPr>
          <w:b/>
        </w:rPr>
      </w:pPr>
      <w:r w:rsidRPr="00DA70E6">
        <w:rPr>
          <w:b/>
        </w:rPr>
        <w:t>8 lentelė. Tyrimo CO-US-104-0380 (Partners PrEP) metu tirta populiacija</w:t>
      </w:r>
    </w:p>
    <w:p w14:paraId="6F1644A2" w14:textId="77777777" w:rsidR="00DA70E6" w:rsidRPr="00DA70E6" w:rsidRDefault="00DA70E6" w:rsidP="00DA7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60"/>
        <w:gridCol w:w="2126"/>
        <w:gridCol w:w="2080"/>
      </w:tblGrid>
      <w:tr w:rsidR="00DA70E6" w:rsidRPr="00DA70E6" w14:paraId="55448157" w14:textId="77777777" w:rsidTr="00EA3053">
        <w:tc>
          <w:tcPr>
            <w:tcW w:w="3510" w:type="dxa"/>
          </w:tcPr>
          <w:p w14:paraId="4453F8F5" w14:textId="77777777" w:rsidR="00DA70E6" w:rsidRPr="00DA70E6" w:rsidRDefault="00DA70E6" w:rsidP="00DA70E6">
            <w:pPr>
              <w:jc w:val="center"/>
            </w:pPr>
          </w:p>
        </w:tc>
        <w:tc>
          <w:tcPr>
            <w:tcW w:w="1560" w:type="dxa"/>
          </w:tcPr>
          <w:p w14:paraId="64829D74" w14:textId="77777777" w:rsidR="00DA70E6" w:rsidRPr="00DA70E6" w:rsidRDefault="00DA70E6" w:rsidP="00DA70E6">
            <w:pPr>
              <w:autoSpaceDE w:val="0"/>
              <w:autoSpaceDN w:val="0"/>
              <w:adjustRightInd w:val="0"/>
              <w:jc w:val="center"/>
              <w:rPr>
                <w:color w:val="000000"/>
              </w:rPr>
            </w:pPr>
            <w:r w:rsidRPr="00DA70E6">
              <w:rPr>
                <w:b/>
                <w:color w:val="000000"/>
              </w:rPr>
              <w:t>Placebas (n = 1584)</w:t>
            </w:r>
          </w:p>
          <w:p w14:paraId="01DF4BCD" w14:textId="77777777" w:rsidR="00DA70E6" w:rsidRPr="00DA70E6" w:rsidRDefault="00DA70E6" w:rsidP="00DA70E6">
            <w:pPr>
              <w:jc w:val="center"/>
            </w:pPr>
          </w:p>
        </w:tc>
        <w:tc>
          <w:tcPr>
            <w:tcW w:w="2126" w:type="dxa"/>
          </w:tcPr>
          <w:p w14:paraId="6E6BB716" w14:textId="77777777" w:rsidR="00DA70E6" w:rsidRPr="00DA70E6" w:rsidRDefault="00DA70E6" w:rsidP="00DA70E6">
            <w:pPr>
              <w:autoSpaceDE w:val="0"/>
              <w:autoSpaceDN w:val="0"/>
              <w:adjustRightInd w:val="0"/>
              <w:jc w:val="center"/>
              <w:rPr>
                <w:b/>
                <w:color w:val="000000"/>
              </w:rPr>
            </w:pPr>
            <w:r w:rsidRPr="00DA70E6">
              <w:rPr>
                <w:b/>
                <w:color w:val="000000"/>
              </w:rPr>
              <w:t>Tenofoviro dizoproksilis</w:t>
            </w:r>
          </w:p>
          <w:p w14:paraId="355BA900" w14:textId="77777777" w:rsidR="00DA70E6" w:rsidRPr="00DA70E6" w:rsidRDefault="00DA70E6" w:rsidP="00DA70E6">
            <w:pPr>
              <w:autoSpaceDE w:val="0"/>
              <w:autoSpaceDN w:val="0"/>
              <w:adjustRightInd w:val="0"/>
              <w:jc w:val="center"/>
              <w:rPr>
                <w:color w:val="000000"/>
              </w:rPr>
            </w:pPr>
            <w:r w:rsidRPr="00DA70E6">
              <w:rPr>
                <w:b/>
                <w:color w:val="000000"/>
              </w:rPr>
              <w:t>245 mg (n = 1584)</w:t>
            </w:r>
          </w:p>
          <w:p w14:paraId="186F4609" w14:textId="77777777" w:rsidR="00DA70E6" w:rsidRPr="00DA70E6" w:rsidRDefault="00DA70E6" w:rsidP="00DA70E6">
            <w:pPr>
              <w:jc w:val="center"/>
            </w:pPr>
          </w:p>
        </w:tc>
        <w:tc>
          <w:tcPr>
            <w:tcW w:w="2080" w:type="dxa"/>
          </w:tcPr>
          <w:p w14:paraId="7FDE835C" w14:textId="77777777" w:rsidR="00DA70E6" w:rsidRPr="00DA70E6" w:rsidRDefault="00DA70E6" w:rsidP="00DA70E6">
            <w:pPr>
              <w:jc w:val="center"/>
              <w:rPr>
                <w:b/>
              </w:rPr>
            </w:pPr>
            <w:r w:rsidRPr="00DA70E6">
              <w:rPr>
                <w:b/>
              </w:rPr>
              <w:t>Emtricitabinas/ tenofoviro dizoproksilis</w:t>
            </w:r>
          </w:p>
          <w:p w14:paraId="16625430" w14:textId="77777777" w:rsidR="00DA70E6" w:rsidRPr="00DA70E6" w:rsidRDefault="00DA70E6" w:rsidP="00DA70E6">
            <w:pPr>
              <w:jc w:val="center"/>
            </w:pPr>
            <w:r w:rsidRPr="00DA70E6">
              <w:rPr>
                <w:b/>
              </w:rPr>
              <w:t>(n = 1579)</w:t>
            </w:r>
          </w:p>
        </w:tc>
      </w:tr>
      <w:tr w:rsidR="00DA70E6" w:rsidRPr="00DA70E6" w14:paraId="76022122" w14:textId="77777777" w:rsidTr="00EA3053">
        <w:tc>
          <w:tcPr>
            <w:tcW w:w="3510" w:type="dxa"/>
          </w:tcPr>
          <w:p w14:paraId="4022C085" w14:textId="77777777" w:rsidR="00DA70E6" w:rsidRPr="00DA70E6" w:rsidRDefault="00DA70E6" w:rsidP="00DA70E6">
            <w:pPr>
              <w:autoSpaceDE w:val="0"/>
              <w:autoSpaceDN w:val="0"/>
              <w:adjustRightInd w:val="0"/>
              <w:rPr>
                <w:color w:val="000000"/>
              </w:rPr>
            </w:pPr>
            <w:r w:rsidRPr="00DA70E6">
              <w:rPr>
                <w:b/>
                <w:color w:val="000000"/>
              </w:rPr>
              <w:t>Amžius (metai), mediana (Q1, Q3)</w:t>
            </w:r>
          </w:p>
        </w:tc>
        <w:tc>
          <w:tcPr>
            <w:tcW w:w="1560" w:type="dxa"/>
          </w:tcPr>
          <w:p w14:paraId="104086F6" w14:textId="77777777" w:rsidR="00DA70E6" w:rsidRPr="00DA70E6" w:rsidRDefault="00DA70E6" w:rsidP="00DA70E6">
            <w:r w:rsidRPr="00DA70E6">
              <w:t>34 (28, 40)</w:t>
            </w:r>
          </w:p>
        </w:tc>
        <w:tc>
          <w:tcPr>
            <w:tcW w:w="2126" w:type="dxa"/>
          </w:tcPr>
          <w:p w14:paraId="16863A46" w14:textId="77777777" w:rsidR="00DA70E6" w:rsidRPr="00DA70E6" w:rsidRDefault="00DA70E6" w:rsidP="00DA70E6">
            <w:r w:rsidRPr="00DA70E6">
              <w:t>33 (28, 39)</w:t>
            </w:r>
          </w:p>
        </w:tc>
        <w:tc>
          <w:tcPr>
            <w:tcW w:w="2080" w:type="dxa"/>
          </w:tcPr>
          <w:p w14:paraId="36765E08" w14:textId="77777777" w:rsidR="00DA70E6" w:rsidRPr="00DA70E6" w:rsidRDefault="00DA70E6" w:rsidP="00DA70E6">
            <w:r w:rsidRPr="00DA70E6">
              <w:t>33 (28, 40)</w:t>
            </w:r>
          </w:p>
        </w:tc>
      </w:tr>
      <w:tr w:rsidR="00DA70E6" w:rsidRPr="00DA70E6" w14:paraId="79E3339B" w14:textId="77777777" w:rsidTr="00EA3053">
        <w:tc>
          <w:tcPr>
            <w:tcW w:w="9276" w:type="dxa"/>
            <w:gridSpan w:val="4"/>
          </w:tcPr>
          <w:p w14:paraId="4ABE1973" w14:textId="77777777" w:rsidR="00DA70E6" w:rsidRPr="00DA70E6" w:rsidRDefault="00DA70E6" w:rsidP="00DA70E6">
            <w:pPr>
              <w:autoSpaceDE w:val="0"/>
              <w:autoSpaceDN w:val="0"/>
              <w:adjustRightInd w:val="0"/>
              <w:rPr>
                <w:color w:val="000000"/>
              </w:rPr>
            </w:pPr>
            <w:r w:rsidRPr="00DA70E6">
              <w:rPr>
                <w:b/>
                <w:color w:val="000000"/>
              </w:rPr>
              <w:t>Lytis, N (%)</w:t>
            </w:r>
          </w:p>
        </w:tc>
      </w:tr>
      <w:tr w:rsidR="00DA70E6" w:rsidRPr="00DA70E6" w14:paraId="13E26E76" w14:textId="77777777" w:rsidTr="00EA3053">
        <w:tc>
          <w:tcPr>
            <w:tcW w:w="3510" w:type="dxa"/>
          </w:tcPr>
          <w:p w14:paraId="1C3FB18E" w14:textId="77777777" w:rsidR="00DA70E6" w:rsidRPr="00DA70E6" w:rsidRDefault="00DA70E6" w:rsidP="00DA70E6">
            <w:pPr>
              <w:ind w:left="284"/>
            </w:pPr>
            <w:r w:rsidRPr="00DA70E6">
              <w:t>Vyrai</w:t>
            </w:r>
          </w:p>
        </w:tc>
        <w:tc>
          <w:tcPr>
            <w:tcW w:w="1560" w:type="dxa"/>
          </w:tcPr>
          <w:p w14:paraId="528B4BF5" w14:textId="77777777" w:rsidR="00DA70E6" w:rsidRPr="00DA70E6" w:rsidRDefault="00DA70E6" w:rsidP="00DA70E6">
            <w:r w:rsidRPr="00DA70E6">
              <w:t>963 (61)</w:t>
            </w:r>
          </w:p>
        </w:tc>
        <w:tc>
          <w:tcPr>
            <w:tcW w:w="2126" w:type="dxa"/>
          </w:tcPr>
          <w:p w14:paraId="44EDD8C2" w14:textId="77777777" w:rsidR="00DA70E6" w:rsidRPr="00DA70E6" w:rsidRDefault="00DA70E6" w:rsidP="00DA70E6">
            <w:r w:rsidRPr="00DA70E6">
              <w:t>986 (62)</w:t>
            </w:r>
          </w:p>
        </w:tc>
        <w:tc>
          <w:tcPr>
            <w:tcW w:w="2080" w:type="dxa"/>
          </w:tcPr>
          <w:p w14:paraId="73A173BF" w14:textId="77777777" w:rsidR="00DA70E6" w:rsidRPr="00DA70E6" w:rsidRDefault="00DA70E6" w:rsidP="00DA70E6">
            <w:r w:rsidRPr="00DA70E6">
              <w:t>1013 (64)</w:t>
            </w:r>
          </w:p>
        </w:tc>
      </w:tr>
      <w:tr w:rsidR="00DA70E6" w:rsidRPr="00DA70E6" w14:paraId="296C17C2" w14:textId="77777777" w:rsidTr="00EA3053">
        <w:tc>
          <w:tcPr>
            <w:tcW w:w="3510" w:type="dxa"/>
          </w:tcPr>
          <w:p w14:paraId="70B452F2" w14:textId="77777777" w:rsidR="00DA70E6" w:rsidRPr="00DA70E6" w:rsidRDefault="00DA70E6" w:rsidP="00DA70E6">
            <w:pPr>
              <w:ind w:left="284"/>
            </w:pPr>
            <w:r w:rsidRPr="00DA70E6">
              <w:t>Moterys</w:t>
            </w:r>
          </w:p>
        </w:tc>
        <w:tc>
          <w:tcPr>
            <w:tcW w:w="1560" w:type="dxa"/>
          </w:tcPr>
          <w:p w14:paraId="50DF02F4" w14:textId="77777777" w:rsidR="00DA70E6" w:rsidRPr="00DA70E6" w:rsidRDefault="00DA70E6" w:rsidP="00DA70E6">
            <w:r w:rsidRPr="00DA70E6">
              <w:t>621 (39)</w:t>
            </w:r>
          </w:p>
        </w:tc>
        <w:tc>
          <w:tcPr>
            <w:tcW w:w="2126" w:type="dxa"/>
          </w:tcPr>
          <w:p w14:paraId="168119FE" w14:textId="77777777" w:rsidR="00DA70E6" w:rsidRPr="00DA70E6" w:rsidRDefault="00DA70E6" w:rsidP="00DA70E6">
            <w:r w:rsidRPr="00DA70E6">
              <w:t>598 (38)</w:t>
            </w:r>
          </w:p>
        </w:tc>
        <w:tc>
          <w:tcPr>
            <w:tcW w:w="2080" w:type="dxa"/>
          </w:tcPr>
          <w:p w14:paraId="71CEE675" w14:textId="77777777" w:rsidR="00DA70E6" w:rsidRPr="00DA70E6" w:rsidRDefault="00DA70E6" w:rsidP="00DA70E6">
            <w:r w:rsidRPr="00DA70E6">
              <w:t>566 (36)</w:t>
            </w:r>
          </w:p>
        </w:tc>
      </w:tr>
      <w:tr w:rsidR="00DA70E6" w:rsidRPr="00DA70E6" w14:paraId="2A5DAC54" w14:textId="77777777" w:rsidTr="00EA3053">
        <w:tc>
          <w:tcPr>
            <w:tcW w:w="9276" w:type="dxa"/>
            <w:gridSpan w:val="4"/>
          </w:tcPr>
          <w:p w14:paraId="32D82DB1" w14:textId="77777777" w:rsidR="00DA70E6" w:rsidRPr="00DA70E6" w:rsidRDefault="00DA70E6" w:rsidP="00DA70E6">
            <w:pPr>
              <w:autoSpaceDE w:val="0"/>
              <w:autoSpaceDN w:val="0"/>
              <w:adjustRightInd w:val="0"/>
              <w:rPr>
                <w:color w:val="000000"/>
              </w:rPr>
            </w:pPr>
            <w:r w:rsidRPr="00DA70E6">
              <w:rPr>
                <w:b/>
                <w:color w:val="000000"/>
              </w:rPr>
              <w:t>Pagrindinės partnerystės charakteristikos, N (%) arba mediana (Q1, Q3)</w:t>
            </w:r>
          </w:p>
        </w:tc>
      </w:tr>
      <w:tr w:rsidR="00DA70E6" w:rsidRPr="00DA70E6" w14:paraId="0842FA48" w14:textId="77777777" w:rsidTr="00EA3053">
        <w:tc>
          <w:tcPr>
            <w:tcW w:w="3510" w:type="dxa"/>
          </w:tcPr>
          <w:p w14:paraId="66A8E1DD" w14:textId="77777777" w:rsidR="00DA70E6" w:rsidRPr="00DA70E6" w:rsidRDefault="00DA70E6" w:rsidP="00DA70E6">
            <w:pPr>
              <w:autoSpaceDE w:val="0"/>
              <w:autoSpaceDN w:val="0"/>
              <w:adjustRightInd w:val="0"/>
              <w:rPr>
                <w:color w:val="000000"/>
              </w:rPr>
            </w:pPr>
            <w:r w:rsidRPr="00DA70E6">
              <w:rPr>
                <w:color w:val="000000"/>
              </w:rPr>
              <w:t>Susituokę su tyrime dalyvaujančiu partneriu</w:t>
            </w:r>
          </w:p>
        </w:tc>
        <w:tc>
          <w:tcPr>
            <w:tcW w:w="1560" w:type="dxa"/>
          </w:tcPr>
          <w:p w14:paraId="77EDC2D5" w14:textId="77777777" w:rsidR="00DA70E6" w:rsidRPr="00DA70E6" w:rsidRDefault="00DA70E6" w:rsidP="00DA70E6">
            <w:r w:rsidRPr="00DA70E6">
              <w:t>1552 (98)</w:t>
            </w:r>
          </w:p>
        </w:tc>
        <w:tc>
          <w:tcPr>
            <w:tcW w:w="2126" w:type="dxa"/>
          </w:tcPr>
          <w:p w14:paraId="775866A1" w14:textId="77777777" w:rsidR="00DA70E6" w:rsidRPr="00DA70E6" w:rsidRDefault="00DA70E6" w:rsidP="00DA70E6">
            <w:r w:rsidRPr="00DA70E6">
              <w:t>1543 (97)</w:t>
            </w:r>
          </w:p>
        </w:tc>
        <w:tc>
          <w:tcPr>
            <w:tcW w:w="2080" w:type="dxa"/>
          </w:tcPr>
          <w:p w14:paraId="15661511" w14:textId="77777777" w:rsidR="00DA70E6" w:rsidRPr="00DA70E6" w:rsidRDefault="00DA70E6" w:rsidP="00DA70E6">
            <w:r w:rsidRPr="00DA70E6">
              <w:t>1540 (98)</w:t>
            </w:r>
          </w:p>
        </w:tc>
      </w:tr>
      <w:tr w:rsidR="00DA70E6" w:rsidRPr="00DA70E6" w14:paraId="715FF59C" w14:textId="77777777" w:rsidTr="00EA3053">
        <w:tc>
          <w:tcPr>
            <w:tcW w:w="3510" w:type="dxa"/>
          </w:tcPr>
          <w:p w14:paraId="0C884C1D" w14:textId="77777777" w:rsidR="00DA70E6" w:rsidRPr="00DA70E6" w:rsidRDefault="00DA70E6" w:rsidP="00DA70E6">
            <w:pPr>
              <w:autoSpaceDE w:val="0"/>
              <w:autoSpaceDN w:val="0"/>
              <w:adjustRightInd w:val="0"/>
              <w:rPr>
                <w:color w:val="000000"/>
              </w:rPr>
            </w:pPr>
            <w:r w:rsidRPr="00DA70E6">
              <w:rPr>
                <w:color w:val="000000"/>
              </w:rPr>
              <w:t>Metų, kuriuos gyvena su tyrime dalyvaujančiu partneriu, skaičius</w:t>
            </w:r>
          </w:p>
        </w:tc>
        <w:tc>
          <w:tcPr>
            <w:tcW w:w="1560" w:type="dxa"/>
          </w:tcPr>
          <w:p w14:paraId="63DCB19A" w14:textId="77777777" w:rsidR="00DA70E6" w:rsidRPr="00DA70E6" w:rsidRDefault="00DA70E6" w:rsidP="00DA70E6">
            <w:r w:rsidRPr="00DA70E6">
              <w:t>7,1 (3,0, 14,0)</w:t>
            </w:r>
          </w:p>
        </w:tc>
        <w:tc>
          <w:tcPr>
            <w:tcW w:w="2126" w:type="dxa"/>
          </w:tcPr>
          <w:p w14:paraId="24963C36" w14:textId="77777777" w:rsidR="00DA70E6" w:rsidRPr="00DA70E6" w:rsidRDefault="00DA70E6" w:rsidP="00DA70E6">
            <w:r w:rsidRPr="00DA70E6">
              <w:t>7,0 (3,0, 13,5)</w:t>
            </w:r>
          </w:p>
        </w:tc>
        <w:tc>
          <w:tcPr>
            <w:tcW w:w="2080" w:type="dxa"/>
          </w:tcPr>
          <w:p w14:paraId="3290A03C" w14:textId="77777777" w:rsidR="00DA70E6" w:rsidRPr="00DA70E6" w:rsidRDefault="00DA70E6" w:rsidP="00DA70E6">
            <w:pPr>
              <w:jc w:val="center"/>
            </w:pPr>
            <w:r w:rsidRPr="00DA70E6">
              <w:t>7,1 (3,0, 14,0)</w:t>
            </w:r>
          </w:p>
        </w:tc>
      </w:tr>
      <w:tr w:rsidR="00DA70E6" w:rsidRPr="00DA70E6" w14:paraId="615D2CB6" w14:textId="77777777" w:rsidTr="00EA3053">
        <w:tc>
          <w:tcPr>
            <w:tcW w:w="3510" w:type="dxa"/>
          </w:tcPr>
          <w:p w14:paraId="095E5D62" w14:textId="77777777" w:rsidR="00DA70E6" w:rsidRPr="00DA70E6" w:rsidRDefault="00DA70E6" w:rsidP="00DA70E6">
            <w:pPr>
              <w:autoSpaceDE w:val="0"/>
              <w:autoSpaceDN w:val="0"/>
              <w:adjustRightInd w:val="0"/>
              <w:rPr>
                <w:color w:val="000000"/>
              </w:rPr>
            </w:pPr>
            <w:r w:rsidRPr="00DA70E6">
              <w:rPr>
                <w:color w:val="000000"/>
              </w:rPr>
              <w:t>Metų, kuriuos žino apie nesiderinančią padėtį, skaičius</w:t>
            </w:r>
          </w:p>
        </w:tc>
        <w:tc>
          <w:tcPr>
            <w:tcW w:w="1560" w:type="dxa"/>
          </w:tcPr>
          <w:p w14:paraId="043127E3" w14:textId="77777777" w:rsidR="00DA70E6" w:rsidRPr="00DA70E6" w:rsidRDefault="00DA70E6" w:rsidP="00DA70E6">
            <w:r w:rsidRPr="00DA70E6">
              <w:t>0,4 (0,1, 2,0)</w:t>
            </w:r>
          </w:p>
        </w:tc>
        <w:tc>
          <w:tcPr>
            <w:tcW w:w="2126" w:type="dxa"/>
          </w:tcPr>
          <w:p w14:paraId="6CD3D42D" w14:textId="77777777" w:rsidR="00DA70E6" w:rsidRPr="00DA70E6" w:rsidRDefault="00DA70E6" w:rsidP="00DA70E6">
            <w:r w:rsidRPr="00DA70E6">
              <w:t>0,5 (0,1, 2,0)</w:t>
            </w:r>
          </w:p>
        </w:tc>
        <w:tc>
          <w:tcPr>
            <w:tcW w:w="2080" w:type="dxa"/>
          </w:tcPr>
          <w:p w14:paraId="157FC2B4" w14:textId="77777777" w:rsidR="00DA70E6" w:rsidRPr="00DA70E6" w:rsidRDefault="00DA70E6" w:rsidP="00DA70E6">
            <w:pPr>
              <w:jc w:val="center"/>
            </w:pPr>
            <w:r w:rsidRPr="00DA70E6">
              <w:t>0,4 (0,1, 2,0)</w:t>
            </w:r>
          </w:p>
        </w:tc>
      </w:tr>
    </w:tbl>
    <w:p w14:paraId="4E891A3B" w14:textId="77777777" w:rsidR="00DA70E6" w:rsidRPr="00DA70E6" w:rsidRDefault="00DA70E6" w:rsidP="00DA70E6"/>
    <w:p w14:paraId="7CC03AA6" w14:textId="77777777" w:rsidR="00DA70E6" w:rsidRPr="00DA70E6" w:rsidRDefault="00DA70E6" w:rsidP="00DA70E6">
      <w:r w:rsidRPr="00DA70E6">
        <w:t>ŽIV serokonversijos dažnis pateiktas 9 lentelėje. ŽIV-1 serokonversijos dažnis vyrams buvo 0,24/100 žmogaus metų emtricitabino / tenofoviro dizoproksilio</w:t>
      </w:r>
      <w:r w:rsidRPr="00DA70E6" w:rsidDel="006F33B1">
        <w:t xml:space="preserve"> </w:t>
      </w:r>
      <w:r w:rsidRPr="00DA70E6">
        <w:t>ekspozicijos, ŽIV-1 serokonversijos dažnis moterims buvo 0,95/100 žmogaus metų emtricitabino / tenofoviro dizoproksilio</w:t>
      </w:r>
      <w:r w:rsidRPr="00DA70E6" w:rsidDel="006F33B1">
        <w:t xml:space="preserve"> </w:t>
      </w:r>
      <w:r w:rsidRPr="00DA70E6">
        <w:t>ekspozicijos. Veiksmingumas buvo labai susijęs su vaistinio preparato vartojimo nurodymų laikymusi, įvertintu ištyrus vaistinio preparato lygius plazmoje arba ląstelėse, ir buvo didesnis tyrimo pogrupio dalyviams, dalyvavusiems aktyviuose nurodymų laikymosi mokymuose, kaip parodyta 10 lentelėje.</w:t>
      </w:r>
    </w:p>
    <w:p w14:paraId="7596DDC0" w14:textId="77777777" w:rsidR="00DA70E6" w:rsidRPr="00DA70E6" w:rsidRDefault="00DA70E6" w:rsidP="00DA70E6"/>
    <w:p w14:paraId="37C5FADF" w14:textId="77777777" w:rsidR="00DA70E6" w:rsidRPr="00DA70E6" w:rsidRDefault="00DA70E6" w:rsidP="00DA70E6">
      <w:pPr>
        <w:rPr>
          <w:b/>
        </w:rPr>
      </w:pPr>
      <w:r w:rsidRPr="00DA70E6">
        <w:rPr>
          <w:b/>
        </w:rPr>
        <w:t>9 lentelė. Veiksmingumas tyrimo CO-US-104-0380 (Partners PrEP) metu</w:t>
      </w:r>
    </w:p>
    <w:p w14:paraId="41361B0C" w14:textId="77777777" w:rsidR="00DA70E6" w:rsidRPr="00DA70E6" w:rsidRDefault="00DA70E6" w:rsidP="00DA70E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43"/>
        <w:gridCol w:w="2126"/>
        <w:gridCol w:w="2080"/>
      </w:tblGrid>
      <w:tr w:rsidR="00DA70E6" w:rsidRPr="00DA70E6" w14:paraId="00786C30" w14:textId="77777777" w:rsidTr="00EA3053">
        <w:tc>
          <w:tcPr>
            <w:tcW w:w="3227" w:type="dxa"/>
          </w:tcPr>
          <w:p w14:paraId="53B873A0" w14:textId="77777777" w:rsidR="00DA70E6" w:rsidRPr="00DA70E6" w:rsidRDefault="00DA70E6" w:rsidP="00DA70E6"/>
        </w:tc>
        <w:tc>
          <w:tcPr>
            <w:tcW w:w="1843" w:type="dxa"/>
          </w:tcPr>
          <w:p w14:paraId="663899EA" w14:textId="77777777" w:rsidR="00DA70E6" w:rsidRPr="00DA70E6" w:rsidRDefault="00DA70E6" w:rsidP="00DA70E6">
            <w:pPr>
              <w:jc w:val="center"/>
            </w:pPr>
            <w:r w:rsidRPr="00DA70E6">
              <w:rPr>
                <w:b/>
              </w:rPr>
              <w:t>Placebas</w:t>
            </w:r>
          </w:p>
        </w:tc>
        <w:tc>
          <w:tcPr>
            <w:tcW w:w="2126" w:type="dxa"/>
          </w:tcPr>
          <w:p w14:paraId="24758937" w14:textId="77777777" w:rsidR="00DA70E6" w:rsidRPr="00DA70E6" w:rsidRDefault="00DA70E6" w:rsidP="00DA70E6">
            <w:pPr>
              <w:jc w:val="center"/>
              <w:rPr>
                <w:b/>
              </w:rPr>
            </w:pPr>
            <w:r w:rsidRPr="00DA70E6">
              <w:rPr>
                <w:b/>
              </w:rPr>
              <w:t>Tenofoviras dizoproksilis</w:t>
            </w:r>
          </w:p>
          <w:p w14:paraId="4C1DC956" w14:textId="77777777" w:rsidR="00DA70E6" w:rsidRPr="00DA70E6" w:rsidRDefault="00DA70E6" w:rsidP="00DA70E6">
            <w:pPr>
              <w:jc w:val="center"/>
            </w:pPr>
            <w:r w:rsidRPr="00DA70E6">
              <w:rPr>
                <w:b/>
              </w:rPr>
              <w:t>245 mg</w:t>
            </w:r>
          </w:p>
        </w:tc>
        <w:tc>
          <w:tcPr>
            <w:tcW w:w="2080" w:type="dxa"/>
          </w:tcPr>
          <w:p w14:paraId="2DC1D796" w14:textId="77777777" w:rsidR="00DA70E6" w:rsidRPr="00DA70E6" w:rsidRDefault="00DA70E6" w:rsidP="00DA70E6">
            <w:pPr>
              <w:jc w:val="center"/>
            </w:pPr>
            <w:r w:rsidRPr="00DA70E6">
              <w:rPr>
                <w:b/>
              </w:rPr>
              <w:t>Emtricitabinas/ tenofoviras dizoproksilis</w:t>
            </w:r>
          </w:p>
        </w:tc>
      </w:tr>
      <w:tr w:rsidR="00DA70E6" w:rsidRPr="00DA70E6" w14:paraId="3DD386E8" w14:textId="77777777" w:rsidTr="00EA3053">
        <w:tc>
          <w:tcPr>
            <w:tcW w:w="3227" w:type="dxa"/>
          </w:tcPr>
          <w:p w14:paraId="26DB26FC" w14:textId="77777777" w:rsidR="00DA70E6" w:rsidRPr="00DA70E6" w:rsidRDefault="00DA70E6" w:rsidP="00DA70E6">
            <w:pPr>
              <w:autoSpaceDE w:val="0"/>
              <w:autoSpaceDN w:val="0"/>
              <w:adjustRightInd w:val="0"/>
              <w:jc w:val="center"/>
              <w:rPr>
                <w:color w:val="000000"/>
              </w:rPr>
            </w:pPr>
            <w:r w:rsidRPr="00DA70E6">
              <w:rPr>
                <w:b/>
                <w:color w:val="000000"/>
              </w:rPr>
              <w:t>Serokonversijos / N</w:t>
            </w:r>
            <w:r w:rsidRPr="00DA70E6">
              <w:rPr>
                <w:b/>
                <w:color w:val="000000"/>
                <w:vertAlign w:val="superscript"/>
              </w:rPr>
              <w:t>a</w:t>
            </w:r>
          </w:p>
        </w:tc>
        <w:tc>
          <w:tcPr>
            <w:tcW w:w="1843" w:type="dxa"/>
          </w:tcPr>
          <w:p w14:paraId="40735835" w14:textId="77777777" w:rsidR="00DA70E6" w:rsidRPr="00DA70E6" w:rsidRDefault="00DA70E6" w:rsidP="00DA70E6">
            <w:pPr>
              <w:jc w:val="center"/>
            </w:pPr>
            <w:r w:rsidRPr="00DA70E6">
              <w:t>52/ 1578</w:t>
            </w:r>
          </w:p>
        </w:tc>
        <w:tc>
          <w:tcPr>
            <w:tcW w:w="2126" w:type="dxa"/>
          </w:tcPr>
          <w:p w14:paraId="240BB33F" w14:textId="77777777" w:rsidR="00DA70E6" w:rsidRPr="00DA70E6" w:rsidRDefault="00DA70E6" w:rsidP="00DA70E6">
            <w:pPr>
              <w:jc w:val="center"/>
            </w:pPr>
            <w:r w:rsidRPr="00DA70E6">
              <w:t>17/ 1579</w:t>
            </w:r>
          </w:p>
        </w:tc>
        <w:tc>
          <w:tcPr>
            <w:tcW w:w="2080" w:type="dxa"/>
          </w:tcPr>
          <w:p w14:paraId="6FE84CB4" w14:textId="77777777" w:rsidR="00DA70E6" w:rsidRPr="00DA70E6" w:rsidRDefault="00DA70E6" w:rsidP="00DA70E6">
            <w:pPr>
              <w:jc w:val="center"/>
            </w:pPr>
            <w:r w:rsidRPr="00DA70E6">
              <w:t>13/ 1576</w:t>
            </w:r>
          </w:p>
        </w:tc>
      </w:tr>
      <w:tr w:rsidR="00DA70E6" w:rsidRPr="00DA70E6" w14:paraId="364B8436" w14:textId="77777777" w:rsidTr="00EA3053">
        <w:tc>
          <w:tcPr>
            <w:tcW w:w="3227" w:type="dxa"/>
          </w:tcPr>
          <w:p w14:paraId="76EB534F" w14:textId="77777777" w:rsidR="00DA70E6" w:rsidRPr="00DA70E6" w:rsidRDefault="00DA70E6" w:rsidP="00DA70E6">
            <w:pPr>
              <w:autoSpaceDE w:val="0"/>
              <w:autoSpaceDN w:val="0"/>
              <w:adjustRightInd w:val="0"/>
              <w:jc w:val="center"/>
              <w:rPr>
                <w:color w:val="000000"/>
              </w:rPr>
            </w:pPr>
            <w:r w:rsidRPr="00DA70E6">
              <w:rPr>
                <w:color w:val="000000"/>
              </w:rPr>
              <w:t>Dažnis per 100 žmogaus metų (95 % PI)</w:t>
            </w:r>
          </w:p>
        </w:tc>
        <w:tc>
          <w:tcPr>
            <w:tcW w:w="1843" w:type="dxa"/>
          </w:tcPr>
          <w:p w14:paraId="3CE80685" w14:textId="77777777" w:rsidR="00DA70E6" w:rsidRPr="00DA70E6" w:rsidRDefault="00DA70E6" w:rsidP="00DA70E6">
            <w:pPr>
              <w:jc w:val="center"/>
            </w:pPr>
            <w:r w:rsidRPr="00DA70E6">
              <w:t>1,99 (1,49, 2,62)</w:t>
            </w:r>
          </w:p>
        </w:tc>
        <w:tc>
          <w:tcPr>
            <w:tcW w:w="2126" w:type="dxa"/>
          </w:tcPr>
          <w:p w14:paraId="2C4EE9DE" w14:textId="77777777" w:rsidR="00DA70E6" w:rsidRPr="00DA70E6" w:rsidRDefault="00DA70E6" w:rsidP="00DA70E6">
            <w:pPr>
              <w:jc w:val="center"/>
            </w:pPr>
            <w:r w:rsidRPr="00DA70E6">
              <w:t>0,65 (0,38, 1,05)</w:t>
            </w:r>
          </w:p>
        </w:tc>
        <w:tc>
          <w:tcPr>
            <w:tcW w:w="2080" w:type="dxa"/>
          </w:tcPr>
          <w:p w14:paraId="6A6EC369" w14:textId="77777777" w:rsidR="00DA70E6" w:rsidRPr="00DA70E6" w:rsidRDefault="00DA70E6" w:rsidP="00DA70E6">
            <w:pPr>
              <w:jc w:val="center"/>
            </w:pPr>
            <w:r w:rsidRPr="00DA70E6">
              <w:t>0,50 (0,27, 0,85)</w:t>
            </w:r>
          </w:p>
        </w:tc>
      </w:tr>
      <w:tr w:rsidR="00DA70E6" w:rsidRPr="00DA70E6" w14:paraId="405BAF1D" w14:textId="77777777" w:rsidTr="00EA3053">
        <w:tc>
          <w:tcPr>
            <w:tcW w:w="3227" w:type="dxa"/>
          </w:tcPr>
          <w:p w14:paraId="0A1BE922" w14:textId="77777777" w:rsidR="00DA70E6" w:rsidRPr="00DA70E6" w:rsidRDefault="00DA70E6" w:rsidP="00DA70E6">
            <w:pPr>
              <w:autoSpaceDE w:val="0"/>
              <w:autoSpaceDN w:val="0"/>
              <w:adjustRightInd w:val="0"/>
              <w:jc w:val="center"/>
              <w:rPr>
                <w:color w:val="000000"/>
              </w:rPr>
            </w:pPr>
            <w:r w:rsidRPr="00DA70E6">
              <w:rPr>
                <w:color w:val="000000"/>
              </w:rPr>
              <w:t>Santykinės rizikos sumažėjimas (95 % PI)</w:t>
            </w:r>
          </w:p>
        </w:tc>
        <w:tc>
          <w:tcPr>
            <w:tcW w:w="1843" w:type="dxa"/>
          </w:tcPr>
          <w:p w14:paraId="6BCB64D6" w14:textId="77777777" w:rsidR="00DA70E6" w:rsidRPr="00DA70E6" w:rsidRDefault="00DA70E6" w:rsidP="00DA70E6">
            <w:pPr>
              <w:jc w:val="center"/>
            </w:pPr>
            <w:r w:rsidRPr="00DA70E6">
              <w:t>-------</w:t>
            </w:r>
          </w:p>
        </w:tc>
        <w:tc>
          <w:tcPr>
            <w:tcW w:w="2126" w:type="dxa"/>
          </w:tcPr>
          <w:p w14:paraId="74E85B60" w14:textId="77777777" w:rsidR="00DA70E6" w:rsidRPr="00DA70E6" w:rsidRDefault="00DA70E6" w:rsidP="00DA70E6">
            <w:pPr>
              <w:jc w:val="center"/>
            </w:pPr>
            <w:r w:rsidRPr="00DA70E6">
              <w:t>67 % (44 %, 81 %)</w:t>
            </w:r>
          </w:p>
        </w:tc>
        <w:tc>
          <w:tcPr>
            <w:tcW w:w="2080" w:type="dxa"/>
          </w:tcPr>
          <w:p w14:paraId="110678F9" w14:textId="77777777" w:rsidR="00DA70E6" w:rsidRPr="00DA70E6" w:rsidRDefault="00DA70E6" w:rsidP="00DA70E6">
            <w:pPr>
              <w:jc w:val="center"/>
            </w:pPr>
            <w:r w:rsidRPr="00DA70E6">
              <w:t>75 % (55 %, 87 %)</w:t>
            </w:r>
          </w:p>
        </w:tc>
      </w:tr>
    </w:tbl>
    <w:p w14:paraId="1859D064" w14:textId="77777777" w:rsidR="00DA70E6" w:rsidRPr="00DA70E6" w:rsidRDefault="00DA70E6" w:rsidP="00DA70E6">
      <w:pPr>
        <w:ind w:left="142" w:hanging="142"/>
      </w:pPr>
      <w:r w:rsidRPr="00DA70E6">
        <w:rPr>
          <w:vertAlign w:val="superscript"/>
        </w:rPr>
        <w:t>a</w:t>
      </w:r>
      <w:r w:rsidRPr="00DA70E6">
        <w:t xml:space="preserve"> Santykinės rizikos sumažėjimas apskaičiuotas mITT grupei, remiantis atsiradusia (po tyrimo pradžios) serokonversija. Palyginimai su veikliosios medžiagos tyrimo grupėmis atlikti lyginant su placebu.</w:t>
      </w:r>
    </w:p>
    <w:p w14:paraId="489C5289" w14:textId="77777777" w:rsidR="00DA70E6" w:rsidRPr="00DA70E6" w:rsidRDefault="00DA70E6" w:rsidP="00DA70E6"/>
    <w:p w14:paraId="3017332D" w14:textId="77777777" w:rsidR="00DA70E6" w:rsidRPr="00DA70E6" w:rsidRDefault="00DA70E6" w:rsidP="00DA70E6">
      <w:pPr>
        <w:rPr>
          <w:b/>
        </w:rPr>
      </w:pPr>
      <w:r w:rsidRPr="00DA70E6">
        <w:rPr>
          <w:b/>
        </w:rPr>
        <w:t>10 lentelė. Veiksmingumas ir nurodymų laikymasis tyrimo CO-US-104-0380 (Partners PrEP) metu</w:t>
      </w:r>
    </w:p>
    <w:p w14:paraId="05132449" w14:textId="77777777" w:rsidR="00DA70E6" w:rsidRPr="00DA70E6" w:rsidRDefault="00DA70E6" w:rsidP="00DA7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475"/>
        <w:gridCol w:w="2152"/>
        <w:gridCol w:w="2394"/>
        <w:gridCol w:w="1202"/>
      </w:tblGrid>
      <w:tr w:rsidR="00DA70E6" w:rsidRPr="00DA70E6" w14:paraId="38C0DA15" w14:textId="77777777" w:rsidTr="005C0E81">
        <w:tc>
          <w:tcPr>
            <w:tcW w:w="1855" w:type="dxa"/>
            <w:vMerge w:val="restart"/>
          </w:tcPr>
          <w:p w14:paraId="4A63BD51" w14:textId="77777777" w:rsidR="00DA70E6" w:rsidRPr="00DA70E6" w:rsidRDefault="00DA70E6" w:rsidP="00DA70E6">
            <w:pPr>
              <w:jc w:val="center"/>
            </w:pPr>
            <w:r w:rsidRPr="00DA70E6">
              <w:rPr>
                <w:b/>
                <w:color w:val="000000"/>
              </w:rPr>
              <w:t>Tiriamojo vaistinio preparato kiekybinis vertinimas</w:t>
            </w:r>
          </w:p>
        </w:tc>
        <w:tc>
          <w:tcPr>
            <w:tcW w:w="3713" w:type="dxa"/>
            <w:gridSpan w:val="2"/>
          </w:tcPr>
          <w:p w14:paraId="6F629A20" w14:textId="77777777" w:rsidR="00DA70E6" w:rsidRPr="00DA70E6" w:rsidRDefault="00DA70E6" w:rsidP="00DA70E6">
            <w:pPr>
              <w:autoSpaceDE w:val="0"/>
              <w:autoSpaceDN w:val="0"/>
              <w:adjustRightInd w:val="0"/>
              <w:rPr>
                <w:color w:val="000000"/>
              </w:rPr>
            </w:pPr>
            <w:r w:rsidRPr="00DA70E6">
              <w:rPr>
                <w:b/>
                <w:color w:val="000000"/>
              </w:rPr>
              <w:t>Mėginių, kuriuose aptikta tenofoviro, skaičius / visas mėginių skaičius (%)</w:t>
            </w:r>
          </w:p>
          <w:p w14:paraId="34BFA554" w14:textId="77777777" w:rsidR="00DA70E6" w:rsidRPr="00DA70E6" w:rsidRDefault="00DA70E6" w:rsidP="00DA70E6"/>
        </w:tc>
        <w:tc>
          <w:tcPr>
            <w:tcW w:w="3711" w:type="dxa"/>
            <w:gridSpan w:val="2"/>
          </w:tcPr>
          <w:p w14:paraId="373649FA" w14:textId="77777777" w:rsidR="00DA70E6" w:rsidRPr="00DA70E6" w:rsidRDefault="00DA70E6" w:rsidP="00DA70E6">
            <w:pPr>
              <w:autoSpaceDE w:val="0"/>
              <w:autoSpaceDN w:val="0"/>
              <w:adjustRightInd w:val="0"/>
              <w:rPr>
                <w:color w:val="000000"/>
              </w:rPr>
            </w:pPr>
            <w:r w:rsidRPr="00DA70E6">
              <w:rPr>
                <w:b/>
                <w:color w:val="000000"/>
              </w:rPr>
              <w:t xml:space="preserve">Rizikos įvertis pagal apsaugą nuo ŽIV-1: tenofoviro aptikimo atvejų ir jo neaptikimo atvejų santykis </w:t>
            </w:r>
          </w:p>
        </w:tc>
      </w:tr>
      <w:tr w:rsidR="00EA3053" w:rsidRPr="00DA70E6" w14:paraId="35D0959B" w14:textId="77777777" w:rsidTr="005C0E81">
        <w:tc>
          <w:tcPr>
            <w:tcW w:w="1855" w:type="dxa"/>
            <w:vMerge/>
          </w:tcPr>
          <w:p w14:paraId="597B1E6F" w14:textId="77777777" w:rsidR="00DA70E6" w:rsidRPr="00DA70E6" w:rsidRDefault="00DA70E6" w:rsidP="00DA70E6"/>
        </w:tc>
        <w:tc>
          <w:tcPr>
            <w:tcW w:w="1514" w:type="dxa"/>
          </w:tcPr>
          <w:p w14:paraId="634B7B1D" w14:textId="77777777" w:rsidR="00DA70E6" w:rsidRPr="00DA70E6" w:rsidRDefault="00DA70E6" w:rsidP="00DA70E6">
            <w:pPr>
              <w:autoSpaceDE w:val="0"/>
              <w:autoSpaceDN w:val="0"/>
              <w:adjustRightInd w:val="0"/>
              <w:rPr>
                <w:b/>
                <w:color w:val="000000"/>
              </w:rPr>
            </w:pPr>
            <w:r w:rsidRPr="00DA70E6">
              <w:rPr>
                <w:b/>
                <w:color w:val="000000"/>
              </w:rPr>
              <w:t>Atvejai</w:t>
            </w:r>
          </w:p>
        </w:tc>
        <w:tc>
          <w:tcPr>
            <w:tcW w:w="2199" w:type="dxa"/>
          </w:tcPr>
          <w:p w14:paraId="61BEEBDD" w14:textId="77777777" w:rsidR="00DA70E6" w:rsidRPr="00DA70E6" w:rsidRDefault="00DA70E6" w:rsidP="00DA70E6">
            <w:pPr>
              <w:autoSpaceDE w:val="0"/>
              <w:autoSpaceDN w:val="0"/>
              <w:adjustRightInd w:val="0"/>
              <w:rPr>
                <w:b/>
                <w:color w:val="000000"/>
              </w:rPr>
            </w:pPr>
            <w:r w:rsidRPr="00DA70E6">
              <w:rPr>
                <w:b/>
                <w:color w:val="000000"/>
              </w:rPr>
              <w:t>Grupė</w:t>
            </w:r>
          </w:p>
        </w:tc>
        <w:tc>
          <w:tcPr>
            <w:tcW w:w="2481" w:type="dxa"/>
          </w:tcPr>
          <w:p w14:paraId="746B5F70" w14:textId="77777777" w:rsidR="00DA70E6" w:rsidRPr="00DA70E6" w:rsidRDefault="00DA70E6" w:rsidP="00DA70E6">
            <w:pPr>
              <w:autoSpaceDE w:val="0"/>
              <w:autoSpaceDN w:val="0"/>
              <w:adjustRightInd w:val="0"/>
              <w:rPr>
                <w:color w:val="000000"/>
              </w:rPr>
            </w:pPr>
            <w:r w:rsidRPr="00DA70E6">
              <w:rPr>
                <w:b/>
                <w:color w:val="000000"/>
              </w:rPr>
              <w:t>Santykinės rizikos sumažėjimas (95 % PI)</w:t>
            </w:r>
          </w:p>
        </w:tc>
        <w:tc>
          <w:tcPr>
            <w:tcW w:w="1230" w:type="dxa"/>
          </w:tcPr>
          <w:p w14:paraId="563949F1" w14:textId="77777777" w:rsidR="00DA70E6" w:rsidRPr="00DA70E6" w:rsidRDefault="00DA70E6" w:rsidP="00DA70E6">
            <w:pPr>
              <w:autoSpaceDE w:val="0"/>
              <w:autoSpaceDN w:val="0"/>
              <w:adjustRightInd w:val="0"/>
              <w:rPr>
                <w:color w:val="000000"/>
              </w:rPr>
            </w:pPr>
            <w:r w:rsidRPr="00DA70E6">
              <w:rPr>
                <w:b/>
                <w:color w:val="000000"/>
              </w:rPr>
              <w:t xml:space="preserve">p vertė </w:t>
            </w:r>
          </w:p>
          <w:p w14:paraId="6ED67EEF" w14:textId="77777777" w:rsidR="00DA70E6" w:rsidRPr="00DA70E6" w:rsidRDefault="00DA70E6" w:rsidP="00DA70E6"/>
        </w:tc>
      </w:tr>
      <w:tr w:rsidR="00DA70E6" w:rsidRPr="00DA70E6" w14:paraId="500034FE" w14:textId="77777777" w:rsidTr="00EA3053">
        <w:tc>
          <w:tcPr>
            <w:tcW w:w="1855" w:type="dxa"/>
          </w:tcPr>
          <w:p w14:paraId="1E081BAD" w14:textId="77777777" w:rsidR="00DA70E6" w:rsidRPr="005C0E81" w:rsidRDefault="00DA70E6" w:rsidP="004D2A8E">
            <w:r w:rsidRPr="005C0E81">
              <w:rPr>
                <w:color w:val="000000"/>
              </w:rPr>
              <w:t xml:space="preserve">FTC / </w:t>
            </w:r>
            <w:r w:rsidR="00CD5EA1" w:rsidRPr="005C0E81">
              <w:rPr>
                <w:color w:val="000000"/>
              </w:rPr>
              <w:t>tenofoviro di</w:t>
            </w:r>
            <w:r w:rsidR="004D2A8E" w:rsidRPr="005C0E81">
              <w:rPr>
                <w:color w:val="000000"/>
              </w:rPr>
              <w:t>zo</w:t>
            </w:r>
            <w:r w:rsidR="00CD5EA1" w:rsidRPr="005C0E81">
              <w:rPr>
                <w:color w:val="000000"/>
              </w:rPr>
              <w:t xml:space="preserve">proksilio </w:t>
            </w:r>
            <w:r w:rsidRPr="005C0E81">
              <w:rPr>
                <w:color w:val="000000"/>
              </w:rPr>
              <w:t>grupė</w:t>
            </w:r>
            <w:r w:rsidRPr="005C0E81">
              <w:rPr>
                <w:color w:val="000000"/>
                <w:vertAlign w:val="superscript"/>
              </w:rPr>
              <w:t>a</w:t>
            </w:r>
          </w:p>
        </w:tc>
        <w:tc>
          <w:tcPr>
            <w:tcW w:w="1514" w:type="dxa"/>
          </w:tcPr>
          <w:p w14:paraId="381A7073" w14:textId="77777777" w:rsidR="00DA70E6" w:rsidRPr="00DA70E6" w:rsidRDefault="00DA70E6" w:rsidP="00DA70E6">
            <w:r w:rsidRPr="00DA70E6">
              <w:t>3 /12 (25 %)</w:t>
            </w:r>
          </w:p>
        </w:tc>
        <w:tc>
          <w:tcPr>
            <w:tcW w:w="2199" w:type="dxa"/>
          </w:tcPr>
          <w:p w14:paraId="6958B2E2" w14:textId="77777777" w:rsidR="00DA70E6" w:rsidRPr="00DA70E6" w:rsidRDefault="00DA70E6" w:rsidP="00DA70E6">
            <w:r w:rsidRPr="00DA70E6">
              <w:t>375 / 465 (81 %)</w:t>
            </w:r>
          </w:p>
        </w:tc>
        <w:tc>
          <w:tcPr>
            <w:tcW w:w="2481" w:type="dxa"/>
          </w:tcPr>
          <w:p w14:paraId="0AD37068" w14:textId="77777777" w:rsidR="00DA70E6" w:rsidRPr="00DA70E6" w:rsidRDefault="00DA70E6" w:rsidP="00DA70E6">
            <w:r w:rsidRPr="00DA70E6">
              <w:t>90 % (56 %, 98 %)</w:t>
            </w:r>
          </w:p>
        </w:tc>
        <w:tc>
          <w:tcPr>
            <w:tcW w:w="1230" w:type="dxa"/>
          </w:tcPr>
          <w:p w14:paraId="6C8BF343" w14:textId="77777777" w:rsidR="00DA70E6" w:rsidRPr="00DA70E6" w:rsidRDefault="00DA70E6" w:rsidP="00DA70E6">
            <w:r w:rsidRPr="00DA70E6">
              <w:t>0,002</w:t>
            </w:r>
          </w:p>
        </w:tc>
      </w:tr>
      <w:tr w:rsidR="00DA70E6" w:rsidRPr="00DA70E6" w14:paraId="423D79C9" w14:textId="77777777" w:rsidTr="00EA3053">
        <w:tc>
          <w:tcPr>
            <w:tcW w:w="1855" w:type="dxa"/>
          </w:tcPr>
          <w:p w14:paraId="32FDE498" w14:textId="77777777" w:rsidR="00DA70E6" w:rsidRPr="00613B1F" w:rsidRDefault="00CD5EA1" w:rsidP="004D2A8E">
            <w:r w:rsidRPr="005C0E81">
              <w:rPr>
                <w:color w:val="000000"/>
              </w:rPr>
              <w:t>Tenofoviro di</w:t>
            </w:r>
            <w:r w:rsidR="004D2A8E" w:rsidRPr="005C0E81">
              <w:rPr>
                <w:color w:val="000000"/>
              </w:rPr>
              <w:t>zo</w:t>
            </w:r>
            <w:r w:rsidRPr="005C0E81">
              <w:rPr>
                <w:color w:val="000000"/>
              </w:rPr>
              <w:t xml:space="preserve">proksilio </w:t>
            </w:r>
            <w:r w:rsidR="00DA70E6" w:rsidRPr="005C0E81">
              <w:rPr>
                <w:color w:val="000000"/>
              </w:rPr>
              <w:t>grupė</w:t>
            </w:r>
            <w:r w:rsidR="00DA70E6" w:rsidRPr="005C0E81">
              <w:rPr>
                <w:color w:val="000000"/>
                <w:vertAlign w:val="superscript"/>
              </w:rPr>
              <w:t>a</w:t>
            </w:r>
          </w:p>
        </w:tc>
        <w:tc>
          <w:tcPr>
            <w:tcW w:w="1514" w:type="dxa"/>
          </w:tcPr>
          <w:p w14:paraId="51375969" w14:textId="77777777" w:rsidR="00DA70E6" w:rsidRPr="00DA70E6" w:rsidRDefault="00DA70E6" w:rsidP="00DA70E6">
            <w:r w:rsidRPr="00DA70E6">
              <w:t xml:space="preserve">6/17 (35 %) </w:t>
            </w:r>
          </w:p>
        </w:tc>
        <w:tc>
          <w:tcPr>
            <w:tcW w:w="2199" w:type="dxa"/>
          </w:tcPr>
          <w:p w14:paraId="536DE1D7" w14:textId="77777777" w:rsidR="00DA70E6" w:rsidRPr="00DA70E6" w:rsidRDefault="00DA70E6" w:rsidP="00DA70E6">
            <w:r w:rsidRPr="00DA70E6">
              <w:t>363 / 437 (83 %)</w:t>
            </w:r>
          </w:p>
        </w:tc>
        <w:tc>
          <w:tcPr>
            <w:tcW w:w="2481" w:type="dxa"/>
          </w:tcPr>
          <w:p w14:paraId="397DE6FF" w14:textId="77777777" w:rsidR="00DA70E6" w:rsidRPr="00DA70E6" w:rsidRDefault="00DA70E6" w:rsidP="00DA70E6">
            <w:r w:rsidRPr="00DA70E6">
              <w:t>86 % (67 %, 95 %)</w:t>
            </w:r>
          </w:p>
        </w:tc>
        <w:tc>
          <w:tcPr>
            <w:tcW w:w="1230" w:type="dxa"/>
          </w:tcPr>
          <w:p w14:paraId="2E13A213" w14:textId="77777777" w:rsidR="00DA70E6" w:rsidRPr="00DA70E6" w:rsidRDefault="00DA70E6" w:rsidP="00DA70E6">
            <w:pPr>
              <w:autoSpaceDE w:val="0"/>
              <w:autoSpaceDN w:val="0"/>
              <w:adjustRightInd w:val="0"/>
            </w:pPr>
            <w:r w:rsidRPr="00DA70E6">
              <w:rPr>
                <w:color w:val="000000"/>
              </w:rPr>
              <w:t>&lt;</w:t>
            </w:r>
            <w:r w:rsidRPr="00DA70E6">
              <w:t> </w:t>
            </w:r>
            <w:r w:rsidRPr="00DA70E6">
              <w:rPr>
                <w:color w:val="000000"/>
              </w:rPr>
              <w:t>0,001</w:t>
            </w:r>
          </w:p>
        </w:tc>
      </w:tr>
      <w:tr w:rsidR="00DA70E6" w:rsidRPr="00DA70E6" w14:paraId="3DC6A993" w14:textId="77777777" w:rsidTr="00EA3053">
        <w:tc>
          <w:tcPr>
            <w:tcW w:w="1855" w:type="dxa"/>
            <w:tcBorders>
              <w:bottom w:val="single" w:sz="4" w:space="0" w:color="FFFFFF"/>
            </w:tcBorders>
          </w:tcPr>
          <w:p w14:paraId="4B75E76A" w14:textId="77777777" w:rsidR="00DA70E6" w:rsidRPr="00E1395D" w:rsidRDefault="00DA70E6" w:rsidP="00DA70E6">
            <w:pPr>
              <w:jc w:val="center"/>
            </w:pPr>
          </w:p>
        </w:tc>
        <w:tc>
          <w:tcPr>
            <w:tcW w:w="3713" w:type="dxa"/>
            <w:gridSpan w:val="2"/>
          </w:tcPr>
          <w:p w14:paraId="053BADB8" w14:textId="77777777" w:rsidR="00DA70E6" w:rsidRPr="00DA70E6" w:rsidRDefault="00DA70E6" w:rsidP="00DA70E6">
            <w:pPr>
              <w:jc w:val="center"/>
            </w:pPr>
            <w:r w:rsidRPr="00DA70E6">
              <w:rPr>
                <w:b/>
                <w:color w:val="000000"/>
              </w:rPr>
              <w:t>Nurodymų laikymosi tyrimo pogrupio dalyviai</w:t>
            </w:r>
            <w:r w:rsidRPr="00DA70E6">
              <w:rPr>
                <w:b/>
                <w:color w:val="000000"/>
                <w:vertAlign w:val="superscript"/>
              </w:rPr>
              <w:t>b</w:t>
            </w:r>
          </w:p>
        </w:tc>
        <w:tc>
          <w:tcPr>
            <w:tcW w:w="2481" w:type="dxa"/>
            <w:tcBorders>
              <w:bottom w:val="single" w:sz="4" w:space="0" w:color="FFFFFF"/>
            </w:tcBorders>
          </w:tcPr>
          <w:p w14:paraId="5D842802" w14:textId="77777777" w:rsidR="00DA70E6" w:rsidRPr="00DA70E6" w:rsidRDefault="00DA70E6" w:rsidP="00DA70E6">
            <w:pPr>
              <w:jc w:val="center"/>
            </w:pPr>
          </w:p>
        </w:tc>
        <w:tc>
          <w:tcPr>
            <w:tcW w:w="1230" w:type="dxa"/>
            <w:tcBorders>
              <w:bottom w:val="single" w:sz="4" w:space="0" w:color="FFFFFF"/>
            </w:tcBorders>
          </w:tcPr>
          <w:p w14:paraId="31FFCF76" w14:textId="77777777" w:rsidR="00DA70E6" w:rsidRPr="00DA70E6" w:rsidRDefault="00DA70E6" w:rsidP="00DA70E6">
            <w:pPr>
              <w:jc w:val="center"/>
            </w:pPr>
          </w:p>
        </w:tc>
      </w:tr>
      <w:tr w:rsidR="000407E7" w:rsidRPr="00DA70E6" w14:paraId="1B834E2F" w14:textId="77777777" w:rsidTr="00DA70E6">
        <w:tc>
          <w:tcPr>
            <w:tcW w:w="1855" w:type="dxa"/>
            <w:tcBorders>
              <w:top w:val="single" w:sz="4" w:space="0" w:color="FFFFFF"/>
            </w:tcBorders>
          </w:tcPr>
          <w:p w14:paraId="09643FBA" w14:textId="77777777" w:rsidR="00DA70E6" w:rsidRPr="00DA70E6" w:rsidRDefault="00DA70E6" w:rsidP="00DA70E6">
            <w:pPr>
              <w:jc w:val="center"/>
            </w:pPr>
            <w:r w:rsidRPr="00DA70E6">
              <w:rPr>
                <w:b/>
                <w:color w:val="000000"/>
              </w:rPr>
              <w:t>Nurodymų laikymosi tyrimo pogrupis</w:t>
            </w:r>
          </w:p>
        </w:tc>
        <w:tc>
          <w:tcPr>
            <w:tcW w:w="1514" w:type="dxa"/>
          </w:tcPr>
          <w:p w14:paraId="65ED7572" w14:textId="77777777" w:rsidR="00DA70E6" w:rsidRPr="00DA70E6" w:rsidRDefault="00DA70E6" w:rsidP="00DA70E6">
            <w:pPr>
              <w:autoSpaceDE w:val="0"/>
              <w:autoSpaceDN w:val="0"/>
              <w:adjustRightInd w:val="0"/>
              <w:jc w:val="center"/>
              <w:rPr>
                <w:color w:val="000000"/>
              </w:rPr>
            </w:pPr>
            <w:r w:rsidRPr="00DA70E6">
              <w:rPr>
                <w:b/>
                <w:color w:val="000000"/>
              </w:rPr>
              <w:t>Placebas</w:t>
            </w:r>
          </w:p>
          <w:p w14:paraId="61BF7D10" w14:textId="77777777" w:rsidR="00DA70E6" w:rsidRPr="00DA70E6" w:rsidRDefault="00DA70E6" w:rsidP="00DA70E6">
            <w:pPr>
              <w:jc w:val="center"/>
            </w:pPr>
          </w:p>
        </w:tc>
        <w:tc>
          <w:tcPr>
            <w:tcW w:w="2199" w:type="dxa"/>
          </w:tcPr>
          <w:p w14:paraId="0A2DC92D" w14:textId="77777777" w:rsidR="00DA70E6" w:rsidRPr="00DA70E6" w:rsidRDefault="00DA70E6" w:rsidP="00DA70E6">
            <w:pPr>
              <w:autoSpaceDE w:val="0"/>
              <w:autoSpaceDN w:val="0"/>
              <w:adjustRightInd w:val="0"/>
              <w:jc w:val="center"/>
              <w:rPr>
                <w:color w:val="000000"/>
              </w:rPr>
            </w:pPr>
            <w:r w:rsidRPr="00DA70E6">
              <w:rPr>
                <w:b/>
                <w:color w:val="000000"/>
              </w:rPr>
              <w:t>245</w:t>
            </w:r>
            <w:r w:rsidRPr="00DA70E6">
              <w:t> </w:t>
            </w:r>
            <w:r w:rsidRPr="00DA70E6">
              <w:rPr>
                <w:b/>
                <w:color w:val="000000"/>
              </w:rPr>
              <w:t>mg tenofoviro dizoproksilio + emtricitabinas/ tenofoviro dizoproksilis</w:t>
            </w:r>
          </w:p>
        </w:tc>
        <w:tc>
          <w:tcPr>
            <w:tcW w:w="2481" w:type="dxa"/>
            <w:tcBorders>
              <w:top w:val="single" w:sz="4" w:space="0" w:color="FFFFFF"/>
            </w:tcBorders>
          </w:tcPr>
          <w:p w14:paraId="198B6837" w14:textId="77777777" w:rsidR="00DA70E6" w:rsidRPr="00DA70E6" w:rsidRDefault="00DA70E6" w:rsidP="00DA70E6">
            <w:pPr>
              <w:jc w:val="center"/>
            </w:pPr>
            <w:r w:rsidRPr="00DA70E6">
              <w:rPr>
                <w:b/>
                <w:color w:val="000000"/>
              </w:rPr>
              <w:t>Santykinės rizikos sumažėjimas (95</w:t>
            </w:r>
            <w:r w:rsidRPr="00DA70E6">
              <w:t> </w:t>
            </w:r>
            <w:r w:rsidRPr="00DA70E6">
              <w:rPr>
                <w:b/>
                <w:color w:val="000000"/>
              </w:rPr>
              <w:t>% PI)</w:t>
            </w:r>
          </w:p>
        </w:tc>
        <w:tc>
          <w:tcPr>
            <w:tcW w:w="1230" w:type="dxa"/>
            <w:tcBorders>
              <w:top w:val="single" w:sz="4" w:space="0" w:color="FFFFFF"/>
            </w:tcBorders>
          </w:tcPr>
          <w:p w14:paraId="1429C78C" w14:textId="77777777" w:rsidR="00DA70E6" w:rsidRPr="00DA70E6" w:rsidRDefault="00DA70E6" w:rsidP="00DA70E6">
            <w:pPr>
              <w:autoSpaceDE w:val="0"/>
              <w:autoSpaceDN w:val="0"/>
              <w:adjustRightInd w:val="0"/>
              <w:jc w:val="center"/>
              <w:rPr>
                <w:color w:val="000000"/>
              </w:rPr>
            </w:pPr>
            <w:r w:rsidRPr="00DA70E6">
              <w:rPr>
                <w:b/>
                <w:color w:val="000000"/>
              </w:rPr>
              <w:t>p vertė</w:t>
            </w:r>
          </w:p>
          <w:p w14:paraId="21D8F6DD" w14:textId="77777777" w:rsidR="00DA70E6" w:rsidRPr="00DA70E6" w:rsidRDefault="00DA70E6" w:rsidP="00DA70E6">
            <w:pPr>
              <w:jc w:val="center"/>
            </w:pPr>
          </w:p>
        </w:tc>
      </w:tr>
      <w:tr w:rsidR="00DA70E6" w:rsidRPr="00DA70E6" w14:paraId="59A8E0FF" w14:textId="77777777" w:rsidTr="00EA3053">
        <w:tc>
          <w:tcPr>
            <w:tcW w:w="1855" w:type="dxa"/>
          </w:tcPr>
          <w:p w14:paraId="175B2902" w14:textId="77777777" w:rsidR="00DA70E6" w:rsidRPr="00DA70E6" w:rsidRDefault="00DA70E6" w:rsidP="00DA70E6">
            <w:pPr>
              <w:autoSpaceDE w:val="0"/>
              <w:autoSpaceDN w:val="0"/>
              <w:adjustRightInd w:val="0"/>
              <w:jc w:val="center"/>
              <w:rPr>
                <w:color w:val="000000"/>
              </w:rPr>
            </w:pPr>
            <w:r w:rsidRPr="00DA70E6">
              <w:rPr>
                <w:color w:val="000000"/>
              </w:rPr>
              <w:t>Serokonversijos / N</w:t>
            </w:r>
            <w:r w:rsidRPr="00DA70E6">
              <w:rPr>
                <w:color w:val="000000"/>
                <w:vertAlign w:val="superscript"/>
              </w:rPr>
              <w:t>b</w:t>
            </w:r>
          </w:p>
        </w:tc>
        <w:tc>
          <w:tcPr>
            <w:tcW w:w="1514" w:type="dxa"/>
          </w:tcPr>
          <w:p w14:paraId="1F40F397" w14:textId="77777777" w:rsidR="00DA70E6" w:rsidRPr="00DA70E6" w:rsidRDefault="00DA70E6" w:rsidP="00DA70E6">
            <w:pPr>
              <w:jc w:val="center"/>
            </w:pPr>
            <w:r w:rsidRPr="00DA70E6">
              <w:t>14/404 (3,5 %)</w:t>
            </w:r>
          </w:p>
        </w:tc>
        <w:tc>
          <w:tcPr>
            <w:tcW w:w="2199" w:type="dxa"/>
          </w:tcPr>
          <w:p w14:paraId="19CDB4BC" w14:textId="77777777" w:rsidR="00DA70E6" w:rsidRPr="00DA70E6" w:rsidRDefault="00DA70E6" w:rsidP="00DA70E6">
            <w:pPr>
              <w:jc w:val="center"/>
            </w:pPr>
            <w:r w:rsidRPr="00DA70E6">
              <w:t>0 / 745 (0 %)</w:t>
            </w:r>
          </w:p>
        </w:tc>
        <w:tc>
          <w:tcPr>
            <w:tcW w:w="2481" w:type="dxa"/>
          </w:tcPr>
          <w:p w14:paraId="039B51B7" w14:textId="77777777" w:rsidR="00DA70E6" w:rsidRPr="00DA70E6" w:rsidRDefault="00DA70E6" w:rsidP="00DA70E6">
            <w:pPr>
              <w:ind w:left="105" w:firstLine="426"/>
              <w:jc w:val="center"/>
            </w:pPr>
            <w:r w:rsidRPr="00DA70E6">
              <w:t>100 % (87 %, 100 %)</w:t>
            </w:r>
          </w:p>
        </w:tc>
        <w:tc>
          <w:tcPr>
            <w:tcW w:w="1230" w:type="dxa"/>
          </w:tcPr>
          <w:p w14:paraId="789A7C8B" w14:textId="77777777" w:rsidR="00DA70E6" w:rsidRPr="00DA70E6" w:rsidRDefault="00DA70E6" w:rsidP="00DA70E6">
            <w:pPr>
              <w:jc w:val="center"/>
            </w:pPr>
            <w:r w:rsidRPr="00DA70E6">
              <w:t>&lt; 0,001</w:t>
            </w:r>
          </w:p>
        </w:tc>
      </w:tr>
    </w:tbl>
    <w:p w14:paraId="3ECC8442" w14:textId="77777777" w:rsidR="00DA70E6" w:rsidRPr="00DA70E6" w:rsidRDefault="00DA70E6" w:rsidP="00DA70E6"/>
    <w:p w14:paraId="46FAA7DA" w14:textId="77777777" w:rsidR="00DA70E6" w:rsidRPr="00DA70E6" w:rsidRDefault="00DA70E6" w:rsidP="00DA70E6">
      <w:pPr>
        <w:ind w:left="142" w:hanging="142"/>
      </w:pPr>
      <w:r w:rsidRPr="00DA70E6">
        <w:rPr>
          <w:vertAlign w:val="superscript"/>
        </w:rPr>
        <w:t>a</w:t>
      </w:r>
      <w:r w:rsidRPr="00DA70E6">
        <w:t xml:space="preserve"> Atvejis = ŽIV serokonverteris; grupė = 100 atsitiktinių imčių būdu atrinktų tiriamųjų iš kiekvienos iš 245 mg tenofoviro dizoproksilio ir emtricitabino / tenofoviro dizoproksilio</w:t>
      </w:r>
      <w:r w:rsidRPr="00DA70E6" w:rsidDel="006F33B1">
        <w:t xml:space="preserve"> </w:t>
      </w:r>
      <w:r w:rsidRPr="00DA70E6">
        <w:t>grupių. Aptinkamas tenofoviro kiekis plazmoje įvertintas tik tiriant atvejų arba grupių mėginius, paimtus iš asmenų, atsitiktinių imčių būdu atrinktų į 245 mg tenofoviro dizoproksilio arba emtricitabino / tenofoviro dizoproksilio</w:t>
      </w:r>
      <w:r w:rsidRPr="00DA70E6" w:rsidDel="006F33B1">
        <w:t xml:space="preserve"> </w:t>
      </w:r>
      <w:r w:rsidRPr="00DA70E6">
        <w:t>grupes.</w:t>
      </w:r>
    </w:p>
    <w:p w14:paraId="190621CD" w14:textId="77777777" w:rsidR="00DA70E6" w:rsidRPr="00E1395D" w:rsidRDefault="00DA70E6" w:rsidP="00DA70E6">
      <w:pPr>
        <w:ind w:left="142" w:hanging="142"/>
      </w:pPr>
      <w:r w:rsidRPr="00DA70E6">
        <w:rPr>
          <w:vertAlign w:val="superscript"/>
        </w:rPr>
        <w:t>b</w:t>
      </w:r>
      <w:r w:rsidRPr="00DA70E6">
        <w:t xml:space="preserve"> Tyrimo pogrupio dalyviai buvo aktyviai stebimi dėl nurodymų laikymosi, pvz., netikėtai apsilankant namuose ir suskaičiuojant tabletes, patariant, kaip pagerinti tiriamojo vaistinio preparato vartojimo </w:t>
      </w:r>
      <w:r w:rsidRPr="00E1395D">
        <w:t>nurodymų laikymąsi.</w:t>
      </w:r>
    </w:p>
    <w:p w14:paraId="1B4B7384" w14:textId="77777777" w:rsidR="00DA70E6" w:rsidRPr="00613B1F" w:rsidRDefault="00DA70E6" w:rsidP="00DA70E6"/>
    <w:p w14:paraId="389B51B7" w14:textId="77777777" w:rsidR="00DA70E6" w:rsidRPr="005C0E81" w:rsidRDefault="00DA70E6" w:rsidP="00DA70E6">
      <w:pPr>
        <w:rPr>
          <w:u w:val="single"/>
        </w:rPr>
      </w:pPr>
      <w:r w:rsidRPr="005C0E81">
        <w:rPr>
          <w:u w:val="single"/>
        </w:rPr>
        <w:t>Vaikų populiacija</w:t>
      </w:r>
    </w:p>
    <w:p w14:paraId="399AAD40" w14:textId="77777777" w:rsidR="00DA70E6" w:rsidRPr="005C0E81" w:rsidRDefault="00DA70E6" w:rsidP="00DA70E6"/>
    <w:p w14:paraId="7DF54CEF" w14:textId="77777777" w:rsidR="00DA70E6" w:rsidRPr="005C0E81" w:rsidRDefault="00DA70E6" w:rsidP="00CD5EA1">
      <w:r w:rsidRPr="005C0E81">
        <w:t xml:space="preserve">Emtricitabino ir tenofoviro dizoproksilio derinio </w:t>
      </w:r>
      <w:r w:rsidR="00CD5EA1" w:rsidRPr="005C0E81">
        <w:t xml:space="preserve">saugumas ir veiksmingumas </w:t>
      </w:r>
      <w:r w:rsidR="004D2A8E" w:rsidRPr="005C0E81">
        <w:t>jaunesniems kaip</w:t>
      </w:r>
      <w:r w:rsidR="00CD5EA1" w:rsidRPr="005C0E81">
        <w:t xml:space="preserve"> 12 m</w:t>
      </w:r>
      <w:r w:rsidR="004D2A8E" w:rsidRPr="005C0E81">
        <w:t>etų vaikams</w:t>
      </w:r>
      <w:r w:rsidR="00CD5EA1" w:rsidRPr="005C0E81">
        <w:t xml:space="preserve"> nenustatytas.</w:t>
      </w:r>
    </w:p>
    <w:p w14:paraId="4695611D" w14:textId="77777777" w:rsidR="00DA70E6" w:rsidRPr="005C0E81" w:rsidRDefault="00DA70E6" w:rsidP="00DA70E6"/>
    <w:p w14:paraId="6BBB6BC6" w14:textId="77777777" w:rsidR="00EC73DA" w:rsidRPr="00E1395D" w:rsidRDefault="00EC73DA" w:rsidP="000407E7">
      <w:r w:rsidRPr="005C0E81">
        <w:rPr>
          <w:i/>
        </w:rPr>
        <w:t>ŽIV-1 infekcijos gydymas vaikų populiacijoje</w:t>
      </w:r>
      <w:r w:rsidRPr="005C0E81">
        <w:rPr>
          <w:i/>
        </w:rPr>
        <w:br/>
      </w:r>
      <w:r w:rsidR="009D706F" w:rsidRPr="005C0E81">
        <w:t>Emtricitabino  ir tenofoviro dizoproksilio derinio klinikinių tyrimų, atliktų v</w:t>
      </w:r>
      <w:r w:rsidR="004D2A8E" w:rsidRPr="005C0E81">
        <w:t xml:space="preserve">aikų, kuriems yra ŽIV-1 infekcija, populiacijoje </w:t>
      </w:r>
      <w:r w:rsidR="009D706F" w:rsidRPr="005C0E81">
        <w:t>nėra.</w:t>
      </w:r>
      <w:r w:rsidR="009D706F" w:rsidRPr="005C0E81" w:rsidDel="004D2A8E">
        <w:t xml:space="preserve"> </w:t>
      </w:r>
      <w:r w:rsidRPr="005C0E81">
        <w:br/>
        <w:t xml:space="preserve">Emtricitabino </w:t>
      </w:r>
      <w:r w:rsidR="009D706F" w:rsidRPr="005C0E81">
        <w:t>ir</w:t>
      </w:r>
      <w:r w:rsidRPr="005C0E81">
        <w:t xml:space="preserve"> tenofoviro dizoproksilio </w:t>
      </w:r>
      <w:r w:rsidR="009D706F" w:rsidRPr="005C0E81">
        <w:t xml:space="preserve">derinio </w:t>
      </w:r>
      <w:r w:rsidRPr="005C0E81">
        <w:t xml:space="preserve">klinikinis veiksmingumas ir saugumas buvo nustatyti atlikus tyrimus su emtricitabinu ir tenofoviro dizoproksilu, kai jie buvo skiriami kaip </w:t>
      </w:r>
      <w:r w:rsidR="009D706F" w:rsidRPr="005C0E81">
        <w:t>atskiri</w:t>
      </w:r>
      <w:r w:rsidRPr="005C0E81">
        <w:t xml:space="preserve"> vaist</w:t>
      </w:r>
      <w:r w:rsidR="009D706F" w:rsidRPr="005C0E81">
        <w:t>iniai preparatai</w:t>
      </w:r>
      <w:r w:rsidRPr="005C0E81">
        <w:t>.</w:t>
      </w:r>
    </w:p>
    <w:p w14:paraId="10228DC2" w14:textId="77777777" w:rsidR="00EC73DA" w:rsidRPr="00613B1F" w:rsidRDefault="00EC73DA" w:rsidP="000407E7"/>
    <w:p w14:paraId="18A504A6" w14:textId="77777777" w:rsidR="00DA70E6" w:rsidRPr="00DA70E6" w:rsidRDefault="00DA70E6" w:rsidP="00DA70E6">
      <w:pPr>
        <w:rPr>
          <w:i/>
        </w:rPr>
      </w:pPr>
      <w:r w:rsidRPr="00613B1F">
        <w:rPr>
          <w:i/>
        </w:rPr>
        <w:t>Emtricitabino tyrimai</w:t>
      </w:r>
    </w:p>
    <w:p w14:paraId="0DB01E7D" w14:textId="77777777" w:rsidR="00DA70E6" w:rsidRPr="00DA70E6" w:rsidRDefault="00DA70E6" w:rsidP="00DA70E6">
      <w:r w:rsidRPr="00DA70E6">
        <w:t>Daugumai emtricitabino vartojusių vyresnių kaip 4 mėnesių kūdikių ir vaikų buvo pasiektas arba išlaikytas visiškas ŽIV-1 RNR slopinimas plazmoje 48 savaites (89 % pasiekė ≤ 400 kopijų/ml vertę, 77 % pasiekė ≤ 50 kopijų/ml vertę).</w:t>
      </w:r>
    </w:p>
    <w:p w14:paraId="388E4E25" w14:textId="77777777" w:rsidR="00DA70E6" w:rsidRPr="00DA70E6" w:rsidRDefault="00DA70E6" w:rsidP="00DA70E6">
      <w:pPr>
        <w:rPr>
          <w:i/>
        </w:rPr>
      </w:pPr>
    </w:p>
    <w:p w14:paraId="4658A5C7" w14:textId="77777777" w:rsidR="00DA70E6" w:rsidRPr="00DA70E6" w:rsidRDefault="00DA70E6" w:rsidP="00DA70E6">
      <w:pPr>
        <w:rPr>
          <w:i/>
        </w:rPr>
      </w:pPr>
      <w:r w:rsidRPr="00DA70E6">
        <w:rPr>
          <w:i/>
        </w:rPr>
        <w:t>Tenofoviro dizoproksilio tyrimai</w:t>
      </w:r>
    </w:p>
    <w:p w14:paraId="51DC8FF2" w14:textId="77777777" w:rsidR="00DA70E6" w:rsidRPr="00DA70E6" w:rsidRDefault="00DA70E6" w:rsidP="00DA70E6">
      <w:r w:rsidRPr="00DA70E6">
        <w:t>Tyrimo GS-US-104-0321 metu 87 ŽIV-1 infekuoti anksčiau gydyti pacientai nuo 12 iki &lt; 18 metų amžiaus 48 savaites buvo gydomi tenofoviro dizoproksiliu (n = 45) arba placebu (n = 42), kartu taikant optimizuoto foninio gydymo (OFG) režimą. Dėl tyrimo apribojimų tenofoviro dizoproksilio nauda, palyginti su placebu, pagal ŽIV-1 RNR koncentraciją plazmoje po 24 savaičių nenustatyta. Tačiau paauglių populiacijai nauda yra tikėtina, remiantis suaugusiųjų duomenų ekstrapoliacija ir palyginamaisiais farmakokinetikos duomenimis (žr. 5.2 skyrių).</w:t>
      </w:r>
    </w:p>
    <w:p w14:paraId="158B09CA" w14:textId="77777777" w:rsidR="00DA70E6" w:rsidRPr="00DA70E6" w:rsidRDefault="00DA70E6" w:rsidP="00DA70E6"/>
    <w:p w14:paraId="120339D1" w14:textId="77777777" w:rsidR="00DA70E6" w:rsidRPr="00DA70E6" w:rsidRDefault="00DA70E6" w:rsidP="00DA70E6">
      <w:r w:rsidRPr="00DA70E6">
        <w:t>Pacientų, gydytų tenofoviro dizoproksilio arba placebu, pradinio įvertinimo metu vidutinis juosmeninės stuburo dalies KMT Z rodmuo atitinkamai buvo –1,004 ir –0,809, vidutinis viso kūno KMT Z rodmuo buvo –0,866 ir –0,584. Vidutiniai pokyčiai 48 savaitę (dvigubai koduotos fazės pabaigoje) tenofoviro dizoproksilio ir placebo grupėse juosmeninės stuburo dalies KMT Z rodmuo atitinkamai buvo -0,215 ir -0,165, viso kūno KMT Z rodmuo buvo –0,254 bei –0,179. Vidutinis KMT tankio didėjimo greitis tenofoviro dizoproksilio grupėje buvo mažesnis nei placebo grupėje. 48 savaitę šešiems tenofoviro dizoproksilio grupės paaugliams ir vienam placebo grupės paaugliui nustatytas reikšmingas juosmeninės stuburo dalies KMT sumažėjimas (apibūdinamas &gt; 4 % kaip sumažėjimas). 28 pacientams, vartojusiems tenofoviro dizoproksilio 96 gydymo savaites, KMT Z rodmuo vertinant juosmeninę stuburo dalį sumažėjo –0,341, vertinant visą kūną –0,458.</w:t>
      </w:r>
    </w:p>
    <w:p w14:paraId="20CDB994" w14:textId="77777777" w:rsidR="00DA70E6" w:rsidRPr="00DA70E6" w:rsidRDefault="00DA70E6" w:rsidP="00DA70E6"/>
    <w:p w14:paraId="0F553484" w14:textId="77777777" w:rsidR="00DA70E6" w:rsidRPr="00DA70E6" w:rsidRDefault="00DA70E6" w:rsidP="00DA70E6">
      <w:r w:rsidRPr="005C0E81">
        <w:t xml:space="preserve">Tyrimo GS-US-104-0352 metu 97 anksčiau gydytiems pacientams nuo 2 iki &lt; 12 metų amžiaus, kuriems taikant gydymo režimus su stavudinu arba zidovudinu, nustatytas stabilus virusų slopinimas, atsitiktinių imčių būdu buvo skirta vietoj stavudino arba zidovudino vartoti tenofoviro dizoproksilio (n = 48) arba toliau taikyti ankstesnį gydymo režimą (n = 49) 48 savaites.48 savaitę 83 % gydymo tenofoviro dizoproksiliu grupės pacientų ir 92 % gydymo stavudinu arba zidovudinu grupės pacientų nustatyta &lt; 400 kopijų/ml ŽIV-1 RNR koncentracija. Pacientų, išlaikusių &lt; 400 kopijų/ml vertę 48 savaitę, dalies skirtumą daugiausiai lėmė tai, kad gydymo tenofoviro dizoproksiliu gydymo grupėje daugiau pacientų buvo nutrauktas gydymas. Pašalinus </w:t>
      </w:r>
      <w:r w:rsidR="00824C9F" w:rsidRPr="005C0E81">
        <w:t xml:space="preserve">praleistus </w:t>
      </w:r>
      <w:r w:rsidRPr="005C0E81">
        <w:t>duomenis, 48 savaitę &lt; 400 kopijų/ml ŽIV-1 RNR koncentracija nustatyta 91 % gydymo tenofoviro dizoproksiliu grupės pacientų ir 94 % gydymo stavudinu arba zidovudinu grupės pacientų.</w:t>
      </w:r>
    </w:p>
    <w:p w14:paraId="52CC65F2" w14:textId="77777777" w:rsidR="00DA70E6" w:rsidRPr="00DA70E6" w:rsidRDefault="00DA70E6" w:rsidP="00DA70E6"/>
    <w:p w14:paraId="066FE563" w14:textId="77777777" w:rsidR="00DA70E6" w:rsidRPr="00DA70E6" w:rsidRDefault="00DA70E6" w:rsidP="00DA70E6">
      <w:r w:rsidRPr="00DA70E6">
        <w:t>Gauta pranešimų apie KMT sumažėjimą pediatriniams pacientams. Pacientų, gydytų tenofoviro dizoproksiliu arba stavudinu ar zidovudinu, pradinio įvertinimo metu vidutinis juosmeninės stuburo dalies KMT Z rodmuo buvo atitinkamai –1,034 ir –0,498, vidutinis viso kūno KMT Z rodmuo – atitinkamai –0,471 ir –0,386. Vidutiniai pokyčiai 48 savaitę (dvigubai koduotos fazės pabaigoje) tenofoviro dizoproksilio ir stavudino arba zidovudino grupėje juosmeninės stuburo dalies KMT Z rodmuo atitinkamai buvo –0,032 ir –0,087, viso kūno KMT Z rodmuo buvo –0,184 bei –0,027. Vidutinis juosmeninės stuburo dalies kaulų atsistatymo greitis 48 savaitę tenofoviro dizoproksilio gydymo grupėje ir stavudino arba zidovudino gydymo grupėje buvo panašus. Vidutinis viso kūno kaulų tankio didėjimo greitis tenofoviro dizoproksilio gydymo grupėje buvo mažesnis nei stavudino arba zidovudino gydymo grupėje. Vienam tenofoviro dizoproksiliu gydytam tiriamajam 48 savaitę nustatytas reikšmingas (&gt; 4 %) juosmeninės stuburo dalies KMT sumažėjimas, tokio sumažėjimo stavudino arba zidovudino grupėje nenustatyta nė vienam tiriamajam. 64 tiriamiesiems, tenofoviro dizoproksiliu gydytiems 96 savaites, KMT Z rodmenys vertinant juosmeninę stuburo dalį sumažėjo –0,012; vertinant visą kūną –0,338. KMT Z rodmenys pagal ūgį ir kūno masę nekoreguoti.</w:t>
      </w:r>
    </w:p>
    <w:p w14:paraId="0DBFACBB" w14:textId="77777777" w:rsidR="00DA70E6" w:rsidRPr="00DA70E6" w:rsidRDefault="00DA70E6" w:rsidP="00DA70E6"/>
    <w:p w14:paraId="0D524A65" w14:textId="77777777" w:rsidR="00DA70E6" w:rsidRPr="00E1395D" w:rsidRDefault="00DA70E6" w:rsidP="00613B1F">
      <w:pPr>
        <w:autoSpaceDE w:val="0"/>
        <w:autoSpaceDN w:val="0"/>
        <w:adjustRightInd w:val="0"/>
      </w:pPr>
      <w:r w:rsidRPr="00E1395D">
        <w:t xml:space="preserve">GS-US-104-0352 tyrimo metu </w:t>
      </w:r>
      <w:r w:rsidR="00DA61BF" w:rsidRPr="00613B1F">
        <w:t xml:space="preserve">8 </w:t>
      </w:r>
      <w:r w:rsidRPr="00613B1F">
        <w:t xml:space="preserve">iš 89 tenofoviro dizoproksiliu </w:t>
      </w:r>
      <w:r w:rsidR="00C10843" w:rsidRPr="005C0E81">
        <w:t>veikiamų</w:t>
      </w:r>
      <w:r w:rsidR="00C10843" w:rsidRPr="00E1395D">
        <w:t xml:space="preserve"> </w:t>
      </w:r>
      <w:r w:rsidRPr="00E1395D">
        <w:t xml:space="preserve">pediatrinių pacientų </w:t>
      </w:r>
      <w:r w:rsidR="00C10843" w:rsidRPr="005C0E81">
        <w:t xml:space="preserve">(9%) tiriamojo vaistinio preparato vartojimas nutrauktas </w:t>
      </w:r>
      <w:r w:rsidRPr="005C0E81">
        <w:t xml:space="preserve">dėl </w:t>
      </w:r>
      <w:r w:rsidR="00C10843" w:rsidRPr="005C0E81">
        <w:t xml:space="preserve">inkstų </w:t>
      </w:r>
      <w:r w:rsidRPr="005C0E81">
        <w:t>nepageidaujamų reakcijų</w:t>
      </w:r>
      <w:r w:rsidR="00C10843" w:rsidRPr="005C0E81">
        <w:t>. Penkių tiriamųjų (5,6 %) laboratoriniai rodmenys kliniškai atitiko proksimalinę inkstų tubulopatiją, 4 iš jų tenofoviro dizoproksilio vartojimas buvo nutrauktas (tenofoviro dizoproksilio vartojimo mediana buvo 331 savaitė).</w:t>
      </w:r>
      <w:r w:rsidR="00C10843" w:rsidRPr="00E1395D">
        <w:rPr>
          <w:szCs w:val="22"/>
        </w:rPr>
        <w:t xml:space="preserve"> </w:t>
      </w:r>
    </w:p>
    <w:p w14:paraId="28FCAA9B" w14:textId="77777777" w:rsidR="00DA70E6" w:rsidRPr="00613B1F" w:rsidRDefault="00DA70E6" w:rsidP="00DA70E6"/>
    <w:p w14:paraId="0029D2B5" w14:textId="1D11BD0D" w:rsidR="00C10843" w:rsidRPr="005C0E81" w:rsidRDefault="00C10843" w:rsidP="00C10843">
      <w:pPr>
        <w:autoSpaceDE w:val="0"/>
        <w:autoSpaceDN w:val="0"/>
        <w:adjustRightInd w:val="0"/>
        <w:rPr>
          <w:i/>
        </w:rPr>
      </w:pPr>
      <w:r w:rsidRPr="005C0E81">
        <w:rPr>
          <w:i/>
        </w:rPr>
        <w:t>Pr</w:t>
      </w:r>
      <w:r w:rsidR="00273DB3">
        <w:rPr>
          <w:i/>
        </w:rPr>
        <w:t>e</w:t>
      </w:r>
      <w:r w:rsidRPr="005C0E81">
        <w:rPr>
          <w:i/>
        </w:rPr>
        <w:t>ekspozicinė profilaktika pediatrinėje populiacijoje</w:t>
      </w:r>
    </w:p>
    <w:p w14:paraId="5F85076D" w14:textId="4C8E6C32" w:rsidR="00DA70E6" w:rsidRDefault="00C10843" w:rsidP="00DA70E6">
      <w:r w:rsidRPr="005C0E81">
        <w:t>Manoma, kad emtricitabino ir tenofoviro derinio veiksmingumas ir saugumas jo skiriant priešekspozicinei profilaktikai paaugliams, kurie laikosi paros dozavimo, yra panašūs į suaugusiųjų,</w:t>
      </w:r>
      <w:r w:rsidR="00B56CC1" w:rsidRPr="005C0E81">
        <w:t xml:space="preserve"> </w:t>
      </w:r>
      <w:r w:rsidRPr="005C0E81">
        <w:t xml:space="preserve">besilaikančių tokių pačių nurodymų. </w:t>
      </w:r>
      <w:r w:rsidR="002B67E1" w:rsidRPr="005C0E81">
        <w:t>Galimas poveikis</w:t>
      </w:r>
      <w:r w:rsidRPr="005C0E81">
        <w:t xml:space="preserve"> </w:t>
      </w:r>
      <w:r w:rsidR="002B67E1" w:rsidRPr="005C0E81">
        <w:t>paauglių, kurie ilgą laiką vartoja emtricitabino ir tenofoviro derinio pr</w:t>
      </w:r>
      <w:r w:rsidR="00273DB3">
        <w:t>ee</w:t>
      </w:r>
      <w:r w:rsidR="002B67E1" w:rsidRPr="005C0E81">
        <w:t xml:space="preserve">ekspozicinei profilaktikai, </w:t>
      </w:r>
      <w:r w:rsidRPr="005C0E81">
        <w:t>inkstams ir kaulams, nežinom</w:t>
      </w:r>
      <w:r w:rsidR="002B67E1" w:rsidRPr="005C0E81">
        <w:t>as</w:t>
      </w:r>
      <w:r w:rsidRPr="005C0E81">
        <w:t xml:space="preserve"> (žr. 4.4 skyrių).</w:t>
      </w:r>
    </w:p>
    <w:p w14:paraId="0D7AB7BE" w14:textId="77777777" w:rsidR="001A7368" w:rsidRDefault="001A7368" w:rsidP="00DA70E6"/>
    <w:p w14:paraId="37E7BF67" w14:textId="77777777" w:rsidR="001A7368" w:rsidRPr="00DA70E6" w:rsidRDefault="001A7368" w:rsidP="00DA70E6"/>
    <w:p w14:paraId="50A6A1EB" w14:textId="77777777" w:rsidR="00DA70E6" w:rsidRPr="00DA70E6" w:rsidRDefault="00DA70E6" w:rsidP="00DA70E6">
      <w:pPr>
        <w:ind w:left="567" w:hanging="567"/>
        <w:rPr>
          <w:b/>
          <w:i/>
        </w:rPr>
      </w:pPr>
      <w:r w:rsidRPr="00DA70E6">
        <w:rPr>
          <w:b/>
        </w:rPr>
        <w:t>5.2</w:t>
      </w:r>
      <w:r w:rsidRPr="00DA70E6">
        <w:rPr>
          <w:b/>
        </w:rPr>
        <w:tab/>
        <w:t>Farmakokinetinės savybės</w:t>
      </w:r>
    </w:p>
    <w:p w14:paraId="239E837F" w14:textId="77777777" w:rsidR="00DA70E6" w:rsidRPr="00DA70E6" w:rsidRDefault="00DA70E6" w:rsidP="00DA70E6"/>
    <w:p w14:paraId="132771C9" w14:textId="77777777" w:rsidR="00DA70E6" w:rsidRPr="00DA70E6" w:rsidRDefault="00DA70E6" w:rsidP="00DA70E6">
      <w:pPr>
        <w:rPr>
          <w:u w:val="single"/>
        </w:rPr>
      </w:pPr>
      <w:r w:rsidRPr="00DA70E6">
        <w:rPr>
          <w:u w:val="single"/>
        </w:rPr>
        <w:t>Absorbcija</w:t>
      </w:r>
    </w:p>
    <w:p w14:paraId="6B44ECE8" w14:textId="77777777" w:rsidR="00DA70E6" w:rsidRPr="00DA70E6" w:rsidRDefault="00DA70E6" w:rsidP="00DA70E6"/>
    <w:p w14:paraId="4E4165A9" w14:textId="77777777" w:rsidR="00DA70E6" w:rsidRPr="00DA70E6" w:rsidRDefault="00DA70E6" w:rsidP="00DA70E6">
      <w:r w:rsidRPr="00DA70E6">
        <w:t>Vienos emtricitabino ir tenofoviro dizoproksilio derinio plėvele dengtos tabletės biologinis ekvivalentiškumas vienai emtricitabino 200 mg kietai kapsulei ir vienai tenofoviro dizoproksilio 245 mg plėvele dengtai tabletei buvo nustatytas po vienkartinės dozės suvartojimo nevalgiusiems sveikiems asmenims. Sveikiems asmenims išgėrus emtricitabino ir tenofoviro dizoproksilio derinio, emtricitabinas ir tenofoviro dizoproksilis greitai absorbuojami ir tenofoviro dizoproksilis paverčiamas tenofoviru. Maksimali emtricitabino ir tenofoviro koncentracija kraujo serume atsiranda per 0,5–3 valandas išgėrus dozę nevalgius. Jeigu emtricitabino ir tenofoviro dizoproksilio derinio vartojama su maistu, didžiausia tenofoviro koncentracija serume susidaro maždaug trimis ketvirčiais valandos vėliau. Vartojant tenofovirą kartu su riebiu ar lengvu maistu, lyginant su jo vartojimu nevalgius, maždaug 35 % padidėja AUC ir 15 % C</w:t>
      </w:r>
      <w:r w:rsidRPr="00DA70E6">
        <w:rPr>
          <w:vertAlign w:val="subscript"/>
        </w:rPr>
        <w:t>max</w:t>
      </w:r>
      <w:r w:rsidRPr="00DA70E6">
        <w:t>. Optimaliai tenofoviro absorbcijai pasiekti rekomenduojama, jei įmanoma, emtricitabino ir tenofoviro dizoproksilio derinį vartoti su maistu.</w:t>
      </w:r>
    </w:p>
    <w:p w14:paraId="3DE5D518" w14:textId="77777777" w:rsidR="00DA70E6" w:rsidRPr="00DA70E6" w:rsidRDefault="00DA70E6" w:rsidP="00DA70E6"/>
    <w:p w14:paraId="352CC53F" w14:textId="77777777" w:rsidR="00DA70E6" w:rsidRPr="00DA70E6" w:rsidRDefault="00DA70E6" w:rsidP="00DA70E6">
      <w:pPr>
        <w:rPr>
          <w:u w:val="single"/>
        </w:rPr>
      </w:pPr>
      <w:r w:rsidRPr="00DA70E6">
        <w:rPr>
          <w:u w:val="single"/>
        </w:rPr>
        <w:t>Pasiskirstymas</w:t>
      </w:r>
    </w:p>
    <w:p w14:paraId="1197DF53" w14:textId="77777777" w:rsidR="00DA70E6" w:rsidRPr="00DA70E6" w:rsidRDefault="00DA70E6" w:rsidP="00DA70E6"/>
    <w:p w14:paraId="0A5F3A0A" w14:textId="77777777" w:rsidR="00DA70E6" w:rsidRPr="00DA70E6" w:rsidRDefault="00DA70E6" w:rsidP="00DA70E6">
      <w:r w:rsidRPr="00DA70E6">
        <w:t xml:space="preserve">Suleidus į veną emtricitabino ir tenofoviro pasiskirstymo tūris buvo atitinkamai maždaug 1,4 l/kg ir 800 ml/kg. Išgėrus emtricitabino ir tenofoviro dizoproksilio, emtricitabinas ir tenofoviras plačiai pasiskirsto organizme. </w:t>
      </w:r>
      <w:r w:rsidRPr="00DA70E6">
        <w:rPr>
          <w:i/>
        </w:rPr>
        <w:t>In vitro</w:t>
      </w:r>
      <w:r w:rsidRPr="00DA70E6">
        <w:t xml:space="preserve"> emtricitabino sujungimas su žmogaus plazmos baltymais buvo &lt; 4 % ir nuo koncentracijos intervale 0,02–200 μg/ml nepriklausė. Tenofoviro susijungimas su plazmos ar serumo baltymais </w:t>
      </w:r>
      <w:r w:rsidRPr="00DA70E6">
        <w:rPr>
          <w:i/>
        </w:rPr>
        <w:t>in vitro</w:t>
      </w:r>
      <w:r w:rsidRPr="00DA70E6">
        <w:t xml:space="preserve"> koncentracijos intervale 0,01–25 μg/ml buvo atitinkamai mažiau nei 0,7 % ir 7,2 % .</w:t>
      </w:r>
    </w:p>
    <w:p w14:paraId="02423EAB" w14:textId="77777777" w:rsidR="00DA70E6" w:rsidRPr="00DA70E6" w:rsidRDefault="00DA70E6" w:rsidP="00DA70E6"/>
    <w:p w14:paraId="426ADFF7" w14:textId="77777777" w:rsidR="00DA70E6" w:rsidRPr="00DA70E6" w:rsidRDefault="00DA70E6" w:rsidP="00DA70E6">
      <w:pPr>
        <w:rPr>
          <w:u w:val="single"/>
        </w:rPr>
      </w:pPr>
      <w:r w:rsidRPr="00DA70E6">
        <w:rPr>
          <w:u w:val="single"/>
        </w:rPr>
        <w:t>Biotransformacija</w:t>
      </w:r>
    </w:p>
    <w:p w14:paraId="191EE944" w14:textId="77777777" w:rsidR="00DA70E6" w:rsidRPr="00DA70E6" w:rsidRDefault="00DA70E6" w:rsidP="00DA70E6"/>
    <w:p w14:paraId="51E79AB6" w14:textId="77777777" w:rsidR="00DA70E6" w:rsidRPr="00DA70E6" w:rsidRDefault="00DA70E6" w:rsidP="00DA70E6">
      <w:r w:rsidRPr="00DA70E6">
        <w:t xml:space="preserve">Emtricitabinas metabolizuojamas ribotai. Emtricitabino biotransformacija apima tiolo grupės oksidaciją iki 3'-sulfoksido diastereomerų (maždaug 9 % dozės) ir konjugaciją su gliukurono rūgštimi, susidarant 2'-O-gliukuronidui (maždaug 4 % dozės). </w:t>
      </w:r>
      <w:r w:rsidRPr="00DA70E6">
        <w:rPr>
          <w:i/>
        </w:rPr>
        <w:t>In vitro</w:t>
      </w:r>
      <w:r w:rsidRPr="00DA70E6">
        <w:t xml:space="preserve"> tyrimais nustatyta, kad nei tenofoviras dizoproksilis, nei tenofoviras nėra CYP450 fermentų substratas. Be to, nei emtricitabinas, nei tenofoviras </w:t>
      </w:r>
      <w:r w:rsidRPr="00DA70E6">
        <w:rPr>
          <w:i/>
        </w:rPr>
        <w:t>in vitro</w:t>
      </w:r>
      <w:r w:rsidRPr="00DA70E6">
        <w:t xml:space="preserve"> neslopina vaistinių preparatų metabolizmo, kuriame dalyvauja bent vienas svarbiausių žmogaus CYP450 izoformų, dalyvaujančių vaistinių preparatų biotransformacijoje. Taip pat emtricitabinas neslopina fermento uridino-5'-difosfogliukuroniltransferazės, atsakingo už gliukuronizaciją.</w:t>
      </w:r>
    </w:p>
    <w:p w14:paraId="3D271D1F" w14:textId="77777777" w:rsidR="00DA70E6" w:rsidRPr="00DA70E6" w:rsidRDefault="00DA70E6" w:rsidP="00DA70E6"/>
    <w:p w14:paraId="20950269" w14:textId="77777777" w:rsidR="00DA70E6" w:rsidRPr="00DA70E6" w:rsidRDefault="00DA70E6" w:rsidP="00DA70E6">
      <w:pPr>
        <w:rPr>
          <w:u w:val="single"/>
        </w:rPr>
      </w:pPr>
      <w:r w:rsidRPr="00DA70E6">
        <w:rPr>
          <w:u w:val="single"/>
        </w:rPr>
        <w:t>Eliminacija</w:t>
      </w:r>
    </w:p>
    <w:p w14:paraId="0F8A28F3" w14:textId="77777777" w:rsidR="00DA70E6" w:rsidRPr="00DA70E6" w:rsidRDefault="00DA70E6" w:rsidP="00DA70E6"/>
    <w:p w14:paraId="4251AB99" w14:textId="77777777" w:rsidR="00DA70E6" w:rsidRPr="00DA70E6" w:rsidRDefault="00DA70E6" w:rsidP="00DA70E6">
      <w:r w:rsidRPr="00DA70E6">
        <w:t>Emtricitabinas visų pirma šalinamas pro inkstus su šlapimu (maždaug 86 % vartotos dozės) ir su išmatomis (maždaug 14 % dozės). Trylika procentų emtricitabino dozės randama šlapime trijų metabolitų pavidalu. Sisteminis vidutinis emtricitabino klirensas yra 307 ml/min. Išgerto emtricitabino pusinės eliminacijos periodas trunka apie 10 valandų.</w:t>
      </w:r>
    </w:p>
    <w:p w14:paraId="5230E4B2" w14:textId="77777777" w:rsidR="00DA70E6" w:rsidRPr="00DA70E6" w:rsidRDefault="00DA70E6" w:rsidP="00DA70E6"/>
    <w:p w14:paraId="38C271E2" w14:textId="77777777" w:rsidR="00DA70E6" w:rsidRPr="00DA70E6" w:rsidRDefault="00DA70E6" w:rsidP="00DA70E6">
      <w:r w:rsidRPr="00DA70E6">
        <w:t>Tenofoviras visų pirma šalinamas pro inkstus tiek filtracijos, tiek aktyvios pernašos kanalėliuose būdu. Suleisto į veną maždaug 70–80 % nepakitusio tenofoviro išsiskiria su šlapimu. Tariamas tenofoviro klirensas yra vidutiniškai maždaug 307 ml/min. Apskaičiuota, kad inkstų klirensas yra maždaug 210 ml/min., kas viršija glomerulų filtracijos greitį. Tai rodo, kad svarbų vaidmenį šalinant tenofovirą atlieka aktyvi sekrecija kanalėliuose. Išgerto tenofoviro pusinės eliminacijos periodas trunka maždaug 12–18 valandų.</w:t>
      </w:r>
    </w:p>
    <w:p w14:paraId="1697B030" w14:textId="77777777" w:rsidR="00DA70E6" w:rsidRPr="00DA70E6" w:rsidRDefault="00DA70E6" w:rsidP="00DA70E6"/>
    <w:p w14:paraId="544EE70C" w14:textId="77777777" w:rsidR="00DA70E6" w:rsidRPr="00DA70E6" w:rsidRDefault="00DA70E6" w:rsidP="00DA70E6">
      <w:pPr>
        <w:rPr>
          <w:u w:val="single"/>
        </w:rPr>
      </w:pPr>
      <w:r w:rsidRPr="00DA70E6">
        <w:rPr>
          <w:u w:val="single"/>
        </w:rPr>
        <w:t>Senyvi asmenys</w:t>
      </w:r>
    </w:p>
    <w:p w14:paraId="72028761" w14:textId="77777777" w:rsidR="00DA70E6" w:rsidRPr="00DA70E6" w:rsidRDefault="00DA70E6" w:rsidP="00DA70E6"/>
    <w:p w14:paraId="66109424" w14:textId="77777777" w:rsidR="00DA70E6" w:rsidRPr="00E1395D" w:rsidRDefault="00DA70E6" w:rsidP="00DA70E6">
      <w:r w:rsidRPr="005C0E81">
        <w:t xml:space="preserve">Emtricitabino </w:t>
      </w:r>
      <w:r w:rsidR="00B56CC1" w:rsidRPr="005C0E81">
        <w:t>a</w:t>
      </w:r>
      <w:r w:rsidRPr="005C0E81">
        <w:t>r tenofoviro</w:t>
      </w:r>
      <w:r w:rsidR="0006684D" w:rsidRPr="005C0E81">
        <w:t xml:space="preserve"> (vartojamo tenofoviro dizoproksilio pavidalu)</w:t>
      </w:r>
      <w:r w:rsidRPr="005C0E81">
        <w:t xml:space="preserve"> farmakokinetika senyviems asmenims (vyresniems nei 65 metų amžiaus) neištirta.</w:t>
      </w:r>
    </w:p>
    <w:p w14:paraId="25100551" w14:textId="77777777" w:rsidR="00DA70E6" w:rsidRPr="00613B1F" w:rsidRDefault="00DA70E6" w:rsidP="00DA70E6"/>
    <w:p w14:paraId="72A8BEE7" w14:textId="77777777" w:rsidR="00DA70E6" w:rsidRPr="00613B1F" w:rsidRDefault="00DA70E6" w:rsidP="00DA70E6">
      <w:pPr>
        <w:rPr>
          <w:u w:val="single"/>
        </w:rPr>
      </w:pPr>
      <w:r w:rsidRPr="00613B1F">
        <w:rPr>
          <w:u w:val="single"/>
        </w:rPr>
        <w:t>Lytis</w:t>
      </w:r>
    </w:p>
    <w:p w14:paraId="4EB092E3" w14:textId="77777777" w:rsidR="00DA70E6" w:rsidRPr="00613B1F" w:rsidRDefault="00DA70E6" w:rsidP="00DA70E6"/>
    <w:p w14:paraId="66FFE8C0" w14:textId="77777777" w:rsidR="00DA70E6" w:rsidRPr="00613B1F" w:rsidRDefault="00DA70E6" w:rsidP="00DA70E6">
      <w:r w:rsidRPr="00613B1F">
        <w:t>Emtricitabino ir tenofoviro farmakokinetika vyriškos ir moteriškos lyties pacientams yra panaši.</w:t>
      </w:r>
    </w:p>
    <w:p w14:paraId="0291093C" w14:textId="77777777" w:rsidR="00DA70E6" w:rsidRPr="00613B1F" w:rsidRDefault="00DA70E6" w:rsidP="00DA70E6"/>
    <w:p w14:paraId="111C0377" w14:textId="77777777" w:rsidR="00DA70E6" w:rsidRPr="005C0E81" w:rsidRDefault="00DA70E6" w:rsidP="00DA70E6">
      <w:pPr>
        <w:rPr>
          <w:u w:val="single"/>
        </w:rPr>
      </w:pPr>
      <w:r w:rsidRPr="005C0E81">
        <w:rPr>
          <w:u w:val="single"/>
        </w:rPr>
        <w:t>Etniškumas</w:t>
      </w:r>
    </w:p>
    <w:p w14:paraId="7ABD9657" w14:textId="77777777" w:rsidR="00DA70E6" w:rsidRPr="005C0E81" w:rsidRDefault="00DA70E6" w:rsidP="00DA70E6"/>
    <w:p w14:paraId="563D7B98" w14:textId="77777777" w:rsidR="00DA70E6" w:rsidRPr="00DA70E6" w:rsidRDefault="00DA70E6" w:rsidP="00DA70E6">
      <w:r w:rsidRPr="005C0E81">
        <w:t xml:space="preserve">Jokių kliniškai svarbių emtricitabino farmakokinetikos skirtumų dėl etniškumo nenustatyta. Tenofoviro </w:t>
      </w:r>
      <w:r w:rsidR="0006684D" w:rsidRPr="005C0E81">
        <w:t xml:space="preserve">(vartojamo tenofoviro dizoproksilio pavidalu) </w:t>
      </w:r>
      <w:r w:rsidRPr="005C0E81">
        <w:t>farmakokinetikos rodikliai skirtingose etninėse grupėse konkrečiai neištirti.</w:t>
      </w:r>
    </w:p>
    <w:p w14:paraId="0FBB56F4" w14:textId="77777777" w:rsidR="00DA70E6" w:rsidRPr="00DA70E6" w:rsidRDefault="00DA70E6" w:rsidP="00DA70E6"/>
    <w:p w14:paraId="2103953A" w14:textId="77777777" w:rsidR="00DA70E6" w:rsidRPr="00DA70E6" w:rsidRDefault="00DA70E6" w:rsidP="00DA70E6">
      <w:pPr>
        <w:rPr>
          <w:u w:val="single"/>
        </w:rPr>
      </w:pPr>
      <w:r w:rsidRPr="00DA70E6">
        <w:rPr>
          <w:u w:val="single"/>
        </w:rPr>
        <w:t>Vaikų populiacija</w:t>
      </w:r>
    </w:p>
    <w:p w14:paraId="21808998" w14:textId="77777777" w:rsidR="00DA70E6" w:rsidRPr="00DA70E6" w:rsidRDefault="00DA70E6" w:rsidP="00DA70E6">
      <w:pPr>
        <w:rPr>
          <w:u w:val="single"/>
        </w:rPr>
      </w:pPr>
    </w:p>
    <w:p w14:paraId="5B2B568C" w14:textId="77777777" w:rsidR="00DA70E6" w:rsidRPr="00DA70E6" w:rsidRDefault="00DA70E6" w:rsidP="00DA70E6">
      <w:r w:rsidRPr="00DA70E6">
        <w:t>Emtricitabino ir tenofoviro dizoproksilio derinio farmakokinetika vaikams ir paaugliams (iki 18 metų amžiaus) neištirta. Tenofoviro farmakokinetikos pokyčiai esant pusiausvyrinei apykaitai įvertinti 8 ŽIV-1 infekuotiems pacientams paaugliams (nuo 12 iki &lt; 18 metų amžiaus), kurių kūno svoris ≥ 35 kg, ir 23 ŽIV-1 infekuotiems vaikams, kurių amžius nuo 2 iki &lt; 12 metų. Tenofoviro ekspozicija, nustatyta šiems pacientams, vaikams per burną vartojus 245 mg tenofoviro dizoproksilio arba 6,5 mg/kg kūno svorio tenofoviro dizoproksilio dozes per parą iki maksimalios 245 mg dozės, buvo panaši, kaip ir ekspozicija suaugusiųjų, vartojusių 245 mg tenofoviro dizoproksilio vieną kartą per parą dozes, organizmuose. Tenofoviro dizoproksilio farmakokinetikos tyrimų jaunesniems kaip 2 metų vaikams neatlikta. Apskritai emtricitabino farmakokinetika kūdikiams, vaikams ir paaugliams (nuo 4 mėnesių iki 18 metų amžiaus) yra panaši į šios veikliosios medžiagos farmakokinetiką suaugusiesiems.</w:t>
      </w:r>
    </w:p>
    <w:p w14:paraId="28A419E5" w14:textId="77777777" w:rsidR="00DA70E6" w:rsidRPr="00D4041D" w:rsidRDefault="00DA70E6" w:rsidP="00DA70E6"/>
    <w:p w14:paraId="3A822249" w14:textId="77777777" w:rsidR="002B67E1" w:rsidRPr="00D4041D" w:rsidRDefault="002B67E1" w:rsidP="00D4041D">
      <w:pPr>
        <w:autoSpaceDE w:val="0"/>
        <w:autoSpaceDN w:val="0"/>
        <w:adjustRightInd w:val="0"/>
      </w:pPr>
      <w:r w:rsidRPr="005C0E81">
        <w:t>Remiantis tuo, kad ŽIV-1 infekuotų paauglių ir suaugusiųjų emtricitabino ir tenofoviro (skiriamo tenofoviro dizoproksilio pavidalu) ekspozicija yra panaši, ir tuo, kad ŽIV-1 infekuotų ir neinfekuotų suaugusiųjų emtricitabino ir tenofoviro ekspozicija yra panaši, manoma, kad ŽIV-1 infekuotų ir neinfekuotų paauglių emtricitabino ir tenofoviro farmakokinetika yra panaši.</w:t>
      </w:r>
    </w:p>
    <w:p w14:paraId="2D6A17EC" w14:textId="77777777" w:rsidR="002B67E1" w:rsidRDefault="002B67E1" w:rsidP="00DA70E6">
      <w:pPr>
        <w:rPr>
          <w:u w:val="single"/>
        </w:rPr>
      </w:pPr>
    </w:p>
    <w:p w14:paraId="5A24848F" w14:textId="77777777" w:rsidR="00DA70E6" w:rsidRPr="00DA70E6" w:rsidRDefault="00DA70E6" w:rsidP="00DA70E6">
      <w:pPr>
        <w:rPr>
          <w:u w:val="single"/>
        </w:rPr>
      </w:pPr>
      <w:r w:rsidRPr="00DA70E6">
        <w:rPr>
          <w:u w:val="single"/>
        </w:rPr>
        <w:t>Sutrikusi inkstų funkcija</w:t>
      </w:r>
    </w:p>
    <w:p w14:paraId="45FE5B42" w14:textId="77777777" w:rsidR="00DA70E6" w:rsidRPr="00DA70E6" w:rsidRDefault="00DA70E6" w:rsidP="00DA70E6"/>
    <w:p w14:paraId="49FFCFBD" w14:textId="77777777" w:rsidR="00DA70E6" w:rsidRPr="00DA70E6" w:rsidRDefault="00DA70E6" w:rsidP="00DA70E6">
      <w:r w:rsidRPr="00DA70E6">
        <w:t>Kartu vartojamų atskirų emtricitabino ir tenofoviro vaistinių preparatų arba emtricitabino ir tenofoviro dizoproksilio derinio farmakokinetikos duomenų pacientams, kurių inkstų funkcija sutrikusi, yra nedaug. Farmakokinetikos duomenys buvo daugiausia nustatyti skiriant vienkartines emtricitabino 200 mg arba tenofoviro dizoproksilio 245 mg dozes ŽIV neinfekuotiems tiriamiesiems, kuriems yra įvairaus laipsnio inkstų funkcijos sutrikimas. Inkstų funkcijos sutrikimo laipsnis buvo nustatytas remiantis prieš tyrimo pradžią nustatytu kreatinino klirensu (KrKl) (normali inkstų funkcija KrKl &gt; 80 ml/min.; lengvo laipsnio inkstų funkcijos sutrikimas – KrKl = 50-79 ml/min.; vidutinio laipsnio inkstų funkcijos sutrikimas – KrKl = 30-49 ml/min.; didelio laipsnio inkstų funkcijos sutrikimas – KrKl = 10-29 ml/min.).</w:t>
      </w:r>
    </w:p>
    <w:p w14:paraId="75D15A8D" w14:textId="77777777" w:rsidR="00DA70E6" w:rsidRPr="00DA70E6" w:rsidRDefault="00DA70E6" w:rsidP="00DA70E6"/>
    <w:p w14:paraId="7B8BCBB4" w14:textId="77777777" w:rsidR="00DA70E6" w:rsidRPr="00DA70E6" w:rsidRDefault="00DA70E6" w:rsidP="00DA70E6">
      <w:r w:rsidRPr="00DA70E6">
        <w:t>Vidutinė emtricitabino, vartojamo kaip vaistinis preparatas, ekspozicija (% CV) padidėjo nuo 12 (25 %) μg•val/ml asmenims, kurių inkstų funkcija normali, iki 20 (6 %) μg•val/ml – asmenims, kuriems yra lengvas inkstų funkcijos sutrikimas, iki 25 (23 %) μg•val/ml – asmenims, kuriems yra vidutinio sunkumo inkstų funkcijos sutrikimas, ir iki 34 (6 %) μg•val/ml – asmenims, kuriems yra sunkus inkstų funkcijos sutrikimas. Vidutinė tenofoviro, vartojamo kaip vaistinis preparatas, ekspozicija (% CV) padidėjo nuo 2185 (12 %) ng•val/ml tiriamiesiems, kurių inkstų funkcija normali, iki 3064 (30 %) ng•val/ml, iki 6009 (42 %) ng•val/ml ir iki 15985 (45 %) ng•val/ml tiriamiesiems, kuriems yra atitinkamai lengvas, vidutinio sunkumo ir sunkus inkstų funkcijos sutrikimas.</w:t>
      </w:r>
    </w:p>
    <w:p w14:paraId="3D12BB97" w14:textId="77777777" w:rsidR="00DA70E6" w:rsidRPr="00DA70E6" w:rsidRDefault="00DA70E6" w:rsidP="00DA70E6"/>
    <w:p w14:paraId="12B36BCC" w14:textId="77777777" w:rsidR="00DA70E6" w:rsidRPr="00DA70E6" w:rsidRDefault="00DA70E6" w:rsidP="00DA70E6">
      <w:r w:rsidRPr="00DA70E6">
        <w:t>Emtricitabino ir tenofoviro dizoproksilio derinio skyrimas didesniais laiko intervalais ŽIV-1 infekuotiems pacientams, kuriems yra vidutinio sunkumo inkstų funkcijos sutrikimas, gali būti priežastimi didesnės maksimalios koncentracijos plazmoje ir mažesnės C</w:t>
      </w:r>
      <w:r w:rsidRPr="00DA70E6">
        <w:rPr>
          <w:vertAlign w:val="subscript"/>
        </w:rPr>
        <w:t>min</w:t>
      </w:r>
      <w:r w:rsidRPr="00DA70E6">
        <w:t xml:space="preserve">, palyginti su pacientais, kurių inkstų funkcija yra normali. </w:t>
      </w:r>
    </w:p>
    <w:p w14:paraId="083B1FB8" w14:textId="77777777" w:rsidR="00DA70E6" w:rsidRPr="00DA70E6" w:rsidRDefault="00DA70E6" w:rsidP="00DA70E6"/>
    <w:p w14:paraId="5F3C8892" w14:textId="77777777" w:rsidR="00DA70E6" w:rsidRPr="00DA70E6" w:rsidRDefault="00DA70E6" w:rsidP="00DA70E6">
      <w:r w:rsidRPr="00DA70E6">
        <w:t>Tiriamiesiems, kuriems yra galutinė inkstų nepakankamumo stadija ir yra reikalinga hemodializė, tarp dializių tenofoviro ekspozicija per 72 valandas labai padidėja iki 53 (19 %) μg•val/ml emtricitabinui ir per 48 valandas iki 42,857 (29 %) ng•val/ml tenofovirui.</w:t>
      </w:r>
    </w:p>
    <w:p w14:paraId="305021C1" w14:textId="77777777" w:rsidR="00DA70E6" w:rsidRPr="00DA70E6" w:rsidRDefault="00DA70E6" w:rsidP="00DA70E6"/>
    <w:p w14:paraId="0D2BC55A" w14:textId="77777777" w:rsidR="00DA70E6" w:rsidRPr="00E1395D" w:rsidRDefault="00DA70E6" w:rsidP="00DA70E6">
      <w:r w:rsidRPr="00DA70E6">
        <w:t xml:space="preserve">Siekiant įvertinti tenofoviro dizoproksilio ir emtricitabino derinio saugumą, antivirusinį poveikį bei farmakokinetiką, buvo atliktas nedidelis klinikinis tyrimas ŽIV infekuotiems pacientams, kuriems yra inkstų funkcijos sutrikimas. Pacientų pogrupyje, kuriame prieš tyrimo pradžią kreatinino klirensas buvo 50–60 ml/min. ir kurie dozę vartojo kartą per parą, tenofoviro ekspozicija padidėjo 2–4 kartus ir pablogėjo inkstų </w:t>
      </w:r>
      <w:r w:rsidRPr="00E1395D">
        <w:t>funkcija.</w:t>
      </w:r>
    </w:p>
    <w:p w14:paraId="633ED82C" w14:textId="77777777" w:rsidR="00DA70E6" w:rsidRPr="00613B1F" w:rsidRDefault="00DA70E6" w:rsidP="00DA70E6"/>
    <w:p w14:paraId="7CF7FEF3" w14:textId="77777777" w:rsidR="00DA70E6" w:rsidRPr="00613B1F" w:rsidRDefault="00DA70E6" w:rsidP="00DA70E6">
      <w:r w:rsidRPr="005C0E81">
        <w:t xml:space="preserve">Emtricitabino ir tenofoviro </w:t>
      </w:r>
      <w:r w:rsidR="0006684D" w:rsidRPr="005C0E81">
        <w:t xml:space="preserve">(vartojamo tenofoviro dizoproksilio pavidalu) </w:t>
      </w:r>
      <w:r w:rsidRPr="005C0E81">
        <w:t>farmakokinetika pediatriniams pacientams, kurių inkstų funkcija sutrikusi, neištirta. Duomenų nėra, todėl dozavimo rekomendacijų pateikti negalima (žr. 4.2 ir 4.4 skyrius).</w:t>
      </w:r>
    </w:p>
    <w:p w14:paraId="50FCB0DB" w14:textId="77777777" w:rsidR="00DA70E6" w:rsidRPr="00613B1F" w:rsidRDefault="00DA70E6" w:rsidP="00DA70E6"/>
    <w:p w14:paraId="09198FB6" w14:textId="77777777" w:rsidR="00DA70E6" w:rsidRPr="00DA70E6" w:rsidRDefault="00DA70E6" w:rsidP="00DA70E6">
      <w:pPr>
        <w:rPr>
          <w:u w:val="single"/>
        </w:rPr>
      </w:pPr>
      <w:r w:rsidRPr="00613B1F">
        <w:rPr>
          <w:u w:val="single"/>
        </w:rPr>
        <w:t>Sutrikusi kepenų funkcija</w:t>
      </w:r>
    </w:p>
    <w:p w14:paraId="34AAFDE7" w14:textId="77777777" w:rsidR="00DA70E6" w:rsidRPr="00DA70E6" w:rsidRDefault="00DA70E6" w:rsidP="00DA70E6"/>
    <w:p w14:paraId="1EDB5705" w14:textId="77777777" w:rsidR="00DA70E6" w:rsidRPr="00DA70E6" w:rsidRDefault="00DA70E6" w:rsidP="00DA70E6">
      <w:r w:rsidRPr="00DA70E6">
        <w:t>Emtricitabino ir tenofoviro dizoproksilio derinio farmakokinetika asmenims, kurių kepenų funkcija sutrikusi, neištirta.</w:t>
      </w:r>
    </w:p>
    <w:p w14:paraId="5FA614F6" w14:textId="77777777" w:rsidR="00DA70E6" w:rsidRPr="00DA70E6" w:rsidRDefault="00DA70E6" w:rsidP="00DA70E6"/>
    <w:p w14:paraId="017EF969" w14:textId="77777777" w:rsidR="00DA70E6" w:rsidRPr="00DA70E6" w:rsidRDefault="00DA70E6" w:rsidP="00DA70E6">
      <w:r w:rsidRPr="00DA70E6">
        <w:t>Emtricitabino farmakokinetika neinfekuotiems HBV asmenims, kuriems yra įvairaus laipsnio kepenų nepakankamumas, neištirta. Apskritai emtricitabino farmakokinetika HBV infekuotiems asmenims, sveikiems asmenims ir ŽIV infekuotiems pacientams buvo panaši.</w:t>
      </w:r>
    </w:p>
    <w:p w14:paraId="7F32F507" w14:textId="77777777" w:rsidR="00DA70E6" w:rsidRPr="00DA70E6" w:rsidRDefault="00DA70E6" w:rsidP="00DA70E6"/>
    <w:p w14:paraId="60EEFD1C" w14:textId="77777777" w:rsidR="00DA70E6" w:rsidRPr="00DA70E6" w:rsidRDefault="00DA70E6" w:rsidP="00DA70E6">
      <w:r w:rsidRPr="00DA70E6">
        <w:t>Vienkartinė 245 mg tenofoviro dizoproksilio dozė buvo skirta ŽIV neinfekuotiems tiriamiesiems, kuriems yra įvairaus laipsnio kepenų funkcijos sutrikimas, nustatytas pagal Child-Pugh-Turcotte (CPT) klasifikaciją. Pacientams, kurių kepenų funkcija sutrikusi, tenofoviro farmakokinetika nebuvo reikšmingai pakitusi, taigi dozės tokiems pacientams koreguoti nereikia. Sveikiems asmenims vidutinė (% CV) tenofoviro C</w:t>
      </w:r>
      <w:r w:rsidRPr="00DA70E6">
        <w:rPr>
          <w:vertAlign w:val="subscript"/>
        </w:rPr>
        <w:t>max</w:t>
      </w:r>
      <w:r w:rsidRPr="00DA70E6">
        <w:t xml:space="preserve"> buvo 223 (34,8 %) ng/ml, AUC</w:t>
      </w:r>
      <w:r w:rsidRPr="00DA70E6">
        <w:rPr>
          <w:vertAlign w:val="subscript"/>
        </w:rPr>
        <w:t>0-∞</w:t>
      </w:r>
      <w:r w:rsidRPr="00DA70E6">
        <w:t xml:space="preserve"> – 2,050 (50,8 %) ng•val/ml, tiriamiesiems, kurių kepenų funkcija buvo vidutiniškai sutrikusi, C</w:t>
      </w:r>
      <w:r w:rsidRPr="00DA70E6">
        <w:rPr>
          <w:vertAlign w:val="subscript"/>
        </w:rPr>
        <w:t>max</w:t>
      </w:r>
      <w:r w:rsidRPr="00DA70E6">
        <w:t xml:space="preserve"> buvo 289 (46,0 %) ng/ml, AUC</w:t>
      </w:r>
      <w:r w:rsidRPr="00DA70E6">
        <w:rPr>
          <w:vertAlign w:val="subscript"/>
        </w:rPr>
        <w:t>0-∞</w:t>
      </w:r>
      <w:r w:rsidRPr="00DA70E6">
        <w:t xml:space="preserve"> –2,310 (43,5 %) ng•val/ml, o tiriamiesiems, kuriems buvo sunkus kepenų funkcijos sutrikimas, C</w:t>
      </w:r>
      <w:r w:rsidRPr="00DA70E6">
        <w:rPr>
          <w:vertAlign w:val="subscript"/>
        </w:rPr>
        <w:t>max</w:t>
      </w:r>
      <w:r w:rsidRPr="00DA70E6">
        <w:t xml:space="preserve"> buvo 305 (24,8 %) ng/ml, AUC</w:t>
      </w:r>
      <w:r w:rsidRPr="00DA70E6">
        <w:rPr>
          <w:vertAlign w:val="subscript"/>
        </w:rPr>
        <w:t>0-∞</w:t>
      </w:r>
      <w:r w:rsidRPr="00DA70E6">
        <w:t xml:space="preserve"> – 2,740 (44,0 %) ng•val/ml.</w:t>
      </w:r>
    </w:p>
    <w:p w14:paraId="4B711262" w14:textId="77777777" w:rsidR="00DA70E6" w:rsidRPr="00DA70E6" w:rsidRDefault="00DA70E6" w:rsidP="00DA70E6"/>
    <w:p w14:paraId="4BDB1311" w14:textId="77777777" w:rsidR="00DA70E6" w:rsidRPr="00DA70E6" w:rsidRDefault="00DA70E6" w:rsidP="00DA70E6">
      <w:pPr>
        <w:rPr>
          <w:b/>
        </w:rPr>
      </w:pPr>
      <w:r w:rsidRPr="00DA70E6">
        <w:rPr>
          <w:b/>
        </w:rPr>
        <w:t>5.3</w:t>
      </w:r>
      <w:r w:rsidRPr="00DA70E6">
        <w:rPr>
          <w:b/>
        </w:rPr>
        <w:tab/>
        <w:t>Ikiklinikinių saugumo tyrimų duomenys</w:t>
      </w:r>
    </w:p>
    <w:p w14:paraId="2E77485F" w14:textId="77777777" w:rsidR="00DA70E6" w:rsidRPr="00DA70E6" w:rsidRDefault="00DA70E6" w:rsidP="00DA70E6"/>
    <w:p w14:paraId="31202C25" w14:textId="77777777" w:rsidR="00DA70E6" w:rsidRPr="00DA70E6" w:rsidRDefault="00DA70E6" w:rsidP="00DA70E6">
      <w:r w:rsidRPr="00DA70E6">
        <w:rPr>
          <w:i/>
        </w:rPr>
        <w:t>Emtricitabinas.</w:t>
      </w:r>
      <w:r w:rsidRPr="00DA70E6">
        <w:t xml:space="preserve"> Įprastų emtricitabino farmakologinio saugumo, kartotinių dozių toksiškumo, genotoksiškumo, galimo kancerogeniškumo, toksinio poveikio reprodukcijai ir vystymuisi ikiklinikinių tyrimų duomenys specifinio pavojaus žmogui nerodo.</w:t>
      </w:r>
    </w:p>
    <w:p w14:paraId="3A4A53CB" w14:textId="77777777" w:rsidR="00DA70E6" w:rsidRPr="00DA70E6" w:rsidRDefault="00DA70E6" w:rsidP="00DA70E6"/>
    <w:p w14:paraId="507D701B" w14:textId="77777777" w:rsidR="00DA70E6" w:rsidRPr="00DA70E6" w:rsidRDefault="00DA70E6" w:rsidP="00DA70E6">
      <w:r w:rsidRPr="00DA70E6">
        <w:rPr>
          <w:i/>
        </w:rPr>
        <w:t>Tenofoviro dizoproksilis.</w:t>
      </w:r>
      <w:r w:rsidRPr="00DA70E6">
        <w:t xml:space="preserve"> Įprastų tenofoviro dizoproksilio farmakologinio saugumo ikiklinikinių tyrimų duomenys specifinio pavojaus žmogui nerodo. Su žiurkėmis, šunimis ir beždžionėmis atliktų kartotinių dozių toksiškumo tyrimų metu, esant didesnei arba tokiai pačiai, kaip klinikinės ekspozicijos metu, koncentracijai nustatytas toksinis poveikis inkstams ir kaulams bei fosfatų kiekio serume sumažėjimas, kurie gali turėti klinikinės reikšmės. Toksinis poveikis kaulams pasireiškia osteomaliacija (beždžionėms) ir sumažėjusiu KMT (žiurkėms ir šunims). Toksinis poveikis kaulams jaunoms suaugusioms žiurkėms ir šunims pasireiškė esant ekspozicijai, ≥ 5 kartus viršijančiai ekspoziciją vaikams ar suaugusiems pacientams; toksinis poveikis kaulams pasireiškė infekuotiems beždžionių jaunikliams, esant labai didelei ekspozicijai po vaistinio preparato skyrimo po oda (≥ 40 kartų viršijančiai ekspoziciją pacientams). Pokyčiai, nustatyti tyrimuose su žiurkėmis ir beždžionėmis, rodo su veikliąja medžiaga susijusį fosfatų absorbcijos sumažėjimą žarnyne kartu su galimu antriniu KMT sumažėjimu.</w:t>
      </w:r>
    </w:p>
    <w:p w14:paraId="7742A215" w14:textId="77777777" w:rsidR="00DA70E6" w:rsidRPr="00DA70E6" w:rsidRDefault="00DA70E6" w:rsidP="00DA70E6"/>
    <w:p w14:paraId="5250FD82" w14:textId="77777777" w:rsidR="00DA70E6" w:rsidRPr="00DA70E6" w:rsidRDefault="00DA70E6" w:rsidP="00DA70E6">
      <w:r w:rsidRPr="00DA70E6">
        <w:t xml:space="preserve">Genotoksiškumo tyrimais nustatytas poveikis atliekant pelių limfomos tyrimą </w:t>
      </w:r>
      <w:r w:rsidRPr="00DA70E6">
        <w:rPr>
          <w:i/>
        </w:rPr>
        <w:t>in vitro</w:t>
      </w:r>
      <w:r w:rsidRPr="00DA70E6">
        <w:t xml:space="preserve">, neaiškus poveikis atliekant </w:t>
      </w:r>
      <w:r w:rsidRPr="00DA70E6">
        <w:rPr>
          <w:i/>
        </w:rPr>
        <w:t>Ames</w:t>
      </w:r>
      <w:r w:rsidRPr="00DA70E6">
        <w:t xml:space="preserve"> testą su viena iš padermių ir silpnas poveikis atliekant UDS testą pirminiuose žiurkių hepatocituose. Tačiau poveikio nenustatyta atliekant </w:t>
      </w:r>
      <w:r w:rsidRPr="00DA70E6">
        <w:rPr>
          <w:i/>
        </w:rPr>
        <w:t>in vivo</w:t>
      </w:r>
      <w:r w:rsidRPr="00DA70E6">
        <w:t xml:space="preserve"> pelių kaulų čiulpų mikrobranduolių tyrimą.</w:t>
      </w:r>
    </w:p>
    <w:p w14:paraId="081A4410" w14:textId="77777777" w:rsidR="00DA70E6" w:rsidRPr="00DA70E6" w:rsidRDefault="00DA70E6" w:rsidP="00DA70E6"/>
    <w:p w14:paraId="72B1D980" w14:textId="77777777" w:rsidR="00DA70E6" w:rsidRPr="00DA70E6" w:rsidRDefault="00DA70E6" w:rsidP="00DA70E6">
      <w:r w:rsidRPr="00DA70E6">
        <w:t>Atliekant vartojamo per virškinimo traktą vaistinio preparato kancerogeniškumo tyrimus su žiurkėmis ir pelėmis, nustatytas tik nedidelis dvylikapirštės žarnos navikų padažnėjimas pelėms duodant ypač didelę dozę. Neįtikėtina, kad šie navikai būtų svarbūs žmogui.</w:t>
      </w:r>
    </w:p>
    <w:p w14:paraId="2BF1EC7A" w14:textId="77777777" w:rsidR="00DA70E6" w:rsidRPr="00DA70E6" w:rsidRDefault="00DA70E6" w:rsidP="00DA70E6"/>
    <w:p w14:paraId="7B09CA3A" w14:textId="77777777" w:rsidR="00DA70E6" w:rsidRPr="00DA70E6" w:rsidRDefault="00DA70E6" w:rsidP="00DA70E6">
      <w:r w:rsidRPr="00DA70E6">
        <w:t>Su žiurkėmis ir triušiais atliktais toksinio poveikio reprodukcijai tyrimais jokio poveikio poravimuisi, vaisingumui, vaikingumui ar vaisiui nenustatyta. Tačiau atliekant perinatalinio ir postnatalinio toksiškumo tyrimą, duodant toksines patelei dozes, buvo nustatyta, kad tenofoviro dizoproksilis sumažina jauniklių gyvybingumo indeksą ir svorį.</w:t>
      </w:r>
    </w:p>
    <w:p w14:paraId="419FFEF8" w14:textId="77777777" w:rsidR="00DA70E6" w:rsidRPr="00DA70E6" w:rsidRDefault="00DA70E6" w:rsidP="00DA70E6"/>
    <w:p w14:paraId="32053926" w14:textId="77777777" w:rsidR="00DA70E6" w:rsidRPr="00DA70E6" w:rsidRDefault="00DA70E6" w:rsidP="00DA70E6">
      <w:r w:rsidRPr="00DA70E6">
        <w:rPr>
          <w:i/>
        </w:rPr>
        <w:t>Emtricitabino ir tenofoviro dizoproksilio derinys</w:t>
      </w:r>
      <w:r w:rsidRPr="00DA70E6">
        <w:t>. Vieno mėnesio trukmės arba trumpesni šių dviejų veikliųjų medžiagų derinio genotoksiškumo ir kartotinių dozių toksiškumo tyrimai, lyginant su atskirų komponentų tyrimais, toksinio poveikio padidėjimo neparodė.</w:t>
      </w:r>
    </w:p>
    <w:p w14:paraId="0D6E4478" w14:textId="77777777" w:rsidR="00DA70E6" w:rsidRPr="00DA70E6" w:rsidRDefault="00DA70E6" w:rsidP="00DA70E6"/>
    <w:p w14:paraId="5A456504" w14:textId="77777777" w:rsidR="00DA70E6" w:rsidRPr="00DA70E6" w:rsidRDefault="00DA70E6" w:rsidP="00DA70E6"/>
    <w:p w14:paraId="334137D9" w14:textId="77777777" w:rsidR="00DA70E6" w:rsidRPr="00DA70E6" w:rsidRDefault="00DA70E6" w:rsidP="00DA70E6">
      <w:pPr>
        <w:ind w:left="567" w:hanging="567"/>
        <w:rPr>
          <w:b/>
        </w:rPr>
      </w:pPr>
      <w:r w:rsidRPr="00DA70E6">
        <w:rPr>
          <w:b/>
        </w:rPr>
        <w:t>6.</w:t>
      </w:r>
      <w:r w:rsidRPr="00DA70E6">
        <w:rPr>
          <w:b/>
        </w:rPr>
        <w:tab/>
        <w:t>FARMACINĖ INFORMACIJA</w:t>
      </w:r>
    </w:p>
    <w:p w14:paraId="68086129" w14:textId="77777777" w:rsidR="00DA70E6" w:rsidRPr="00DA70E6" w:rsidRDefault="00DA70E6" w:rsidP="00DA70E6">
      <w:pPr>
        <w:rPr>
          <w:b/>
        </w:rPr>
      </w:pPr>
    </w:p>
    <w:p w14:paraId="2484603A" w14:textId="77777777" w:rsidR="00DA70E6" w:rsidRPr="00DA70E6" w:rsidRDefault="00DA70E6" w:rsidP="00DA70E6">
      <w:pPr>
        <w:ind w:left="567" w:hanging="567"/>
        <w:rPr>
          <w:b/>
          <w:i/>
        </w:rPr>
      </w:pPr>
      <w:r w:rsidRPr="00DA70E6">
        <w:rPr>
          <w:b/>
        </w:rPr>
        <w:t>6.1</w:t>
      </w:r>
      <w:r w:rsidRPr="00DA70E6">
        <w:rPr>
          <w:b/>
        </w:rPr>
        <w:tab/>
        <w:t>Pagalbinių medžiagų sąrašas</w:t>
      </w:r>
    </w:p>
    <w:p w14:paraId="056C4DFE" w14:textId="77777777" w:rsidR="00DA70E6" w:rsidRPr="00DA70E6" w:rsidRDefault="00DA70E6" w:rsidP="00DA70E6"/>
    <w:p w14:paraId="26F8B03D" w14:textId="77777777" w:rsidR="00DA70E6" w:rsidRPr="00DA70E6" w:rsidRDefault="00DA70E6" w:rsidP="00DA70E6">
      <w:pPr>
        <w:rPr>
          <w:u w:val="single"/>
        </w:rPr>
      </w:pPr>
      <w:r w:rsidRPr="00DA70E6">
        <w:rPr>
          <w:u w:val="single"/>
        </w:rPr>
        <w:t>Tabletės branduolys</w:t>
      </w:r>
    </w:p>
    <w:p w14:paraId="2D8DD905" w14:textId="77777777" w:rsidR="00DA70E6" w:rsidRPr="00DA70E6" w:rsidRDefault="00DA70E6" w:rsidP="00DA70E6">
      <w:r w:rsidRPr="00DA70E6">
        <w:t xml:space="preserve">Mikrokristalinė celiuliozė </w:t>
      </w:r>
    </w:p>
    <w:p w14:paraId="35CB6BE2" w14:textId="77777777" w:rsidR="00DA70E6" w:rsidRPr="00DA70E6" w:rsidRDefault="00DA70E6" w:rsidP="00DA70E6">
      <w:r w:rsidRPr="00DA70E6">
        <w:t xml:space="preserve">Kroskarmeliozės natrio druska </w:t>
      </w:r>
    </w:p>
    <w:p w14:paraId="57F6997D" w14:textId="77777777" w:rsidR="00DA70E6" w:rsidRPr="00DA70E6" w:rsidRDefault="00DA70E6" w:rsidP="00DA70E6">
      <w:r w:rsidRPr="00DA70E6">
        <w:t xml:space="preserve">Magnio stearatas </w:t>
      </w:r>
    </w:p>
    <w:p w14:paraId="2A6B28D4" w14:textId="77777777" w:rsidR="00DA70E6" w:rsidRPr="00DA70E6" w:rsidRDefault="00DA70E6" w:rsidP="00DA70E6">
      <w:r w:rsidRPr="00DA70E6">
        <w:t>Pregelifikuotas krakmolas (kukurūzų)</w:t>
      </w:r>
    </w:p>
    <w:p w14:paraId="6C0A0D60" w14:textId="77777777" w:rsidR="00DA70E6" w:rsidRPr="00DA70E6" w:rsidRDefault="00DA70E6" w:rsidP="00DA70E6">
      <w:r w:rsidRPr="00DA70E6">
        <w:t>Laktozė monohidratas</w:t>
      </w:r>
    </w:p>
    <w:p w14:paraId="58B01D33" w14:textId="77777777" w:rsidR="00DA70E6" w:rsidRPr="00DA70E6" w:rsidRDefault="00DA70E6" w:rsidP="00DA70E6">
      <w:pPr>
        <w:rPr>
          <w:u w:val="single"/>
        </w:rPr>
      </w:pPr>
    </w:p>
    <w:p w14:paraId="775D1B25" w14:textId="77777777" w:rsidR="00DA70E6" w:rsidRPr="00DA70E6" w:rsidRDefault="00DA70E6" w:rsidP="00DA70E6">
      <w:pPr>
        <w:rPr>
          <w:u w:val="single"/>
        </w:rPr>
      </w:pPr>
      <w:r w:rsidRPr="00DA70E6">
        <w:rPr>
          <w:u w:val="single"/>
        </w:rPr>
        <w:t>Tabletės plėvelė</w:t>
      </w:r>
    </w:p>
    <w:p w14:paraId="49E750AE" w14:textId="77777777" w:rsidR="00DA70E6" w:rsidRPr="00DA70E6" w:rsidRDefault="00DA70E6" w:rsidP="00DA70E6">
      <w:r w:rsidRPr="00DA70E6">
        <w:t>Hipromeliozė</w:t>
      </w:r>
    </w:p>
    <w:p w14:paraId="4A0EEEF7" w14:textId="77777777" w:rsidR="00DA70E6" w:rsidRPr="00DA70E6" w:rsidRDefault="00DA70E6" w:rsidP="00DA70E6">
      <w:r w:rsidRPr="00DA70E6">
        <w:t>Laktozė monohidratas</w:t>
      </w:r>
    </w:p>
    <w:p w14:paraId="39F245B5" w14:textId="77777777" w:rsidR="00DA70E6" w:rsidRPr="00DA70E6" w:rsidRDefault="00DA70E6" w:rsidP="00DA70E6">
      <w:r w:rsidRPr="00DA70E6">
        <w:t>Titano dioksidas (E171)</w:t>
      </w:r>
    </w:p>
    <w:p w14:paraId="1E6911A3" w14:textId="77777777" w:rsidR="00DA70E6" w:rsidRPr="00DA70E6" w:rsidRDefault="00DA70E6" w:rsidP="00DA70E6">
      <w:r w:rsidRPr="00DA70E6">
        <w:t>Triacetinas</w:t>
      </w:r>
    </w:p>
    <w:p w14:paraId="3FD66EBC" w14:textId="77777777" w:rsidR="00DA70E6" w:rsidRPr="00DA70E6" w:rsidRDefault="00DA70E6" w:rsidP="00DA70E6">
      <w:r w:rsidRPr="00DA70E6">
        <w:t>Indigokarmino aliuminio dažalas (E132)</w:t>
      </w:r>
    </w:p>
    <w:p w14:paraId="2062F7F1" w14:textId="77777777" w:rsidR="00DA70E6" w:rsidRPr="00DA70E6" w:rsidRDefault="00DA70E6" w:rsidP="00DA70E6"/>
    <w:p w14:paraId="0FCEA3A2" w14:textId="77777777" w:rsidR="00DA70E6" w:rsidRPr="00DA70E6" w:rsidRDefault="00DA70E6" w:rsidP="00DA70E6">
      <w:pPr>
        <w:ind w:left="567" w:hanging="567"/>
        <w:rPr>
          <w:b/>
          <w:i/>
        </w:rPr>
      </w:pPr>
      <w:r w:rsidRPr="00DA70E6">
        <w:rPr>
          <w:b/>
        </w:rPr>
        <w:t>6.2</w:t>
      </w:r>
      <w:r w:rsidRPr="00DA70E6">
        <w:rPr>
          <w:b/>
        </w:rPr>
        <w:tab/>
        <w:t>Nesuderinamumas</w:t>
      </w:r>
    </w:p>
    <w:p w14:paraId="0568317B" w14:textId="77777777" w:rsidR="00DA70E6" w:rsidRPr="00DA70E6" w:rsidRDefault="00DA70E6" w:rsidP="00DA70E6"/>
    <w:p w14:paraId="093EF4EF" w14:textId="77777777" w:rsidR="00DA70E6" w:rsidRPr="00DA70E6" w:rsidRDefault="00DA70E6" w:rsidP="00DA70E6">
      <w:r w:rsidRPr="00DA70E6">
        <w:t xml:space="preserve">Duomenys nebūtini. </w:t>
      </w:r>
    </w:p>
    <w:p w14:paraId="4F471F9C" w14:textId="77777777" w:rsidR="00DA70E6" w:rsidRPr="00DA70E6" w:rsidRDefault="00DA70E6" w:rsidP="00DA70E6">
      <w:pPr>
        <w:rPr>
          <w:b/>
        </w:rPr>
      </w:pPr>
    </w:p>
    <w:p w14:paraId="769472A5" w14:textId="77777777" w:rsidR="00DA70E6" w:rsidRPr="00DA70E6" w:rsidRDefault="00DA70E6" w:rsidP="00DA70E6">
      <w:pPr>
        <w:ind w:left="567" w:hanging="567"/>
        <w:rPr>
          <w:b/>
          <w:i/>
        </w:rPr>
      </w:pPr>
      <w:r w:rsidRPr="00DA70E6">
        <w:rPr>
          <w:b/>
        </w:rPr>
        <w:t>6.3</w:t>
      </w:r>
      <w:r w:rsidRPr="00DA70E6">
        <w:rPr>
          <w:b/>
        </w:rPr>
        <w:tab/>
        <w:t>Tinkamumo laikas</w:t>
      </w:r>
    </w:p>
    <w:p w14:paraId="37FF0F04" w14:textId="77777777" w:rsidR="00DA70E6" w:rsidRPr="00DA70E6" w:rsidRDefault="00DA70E6" w:rsidP="00DA70E6"/>
    <w:p w14:paraId="4EEFD5A8" w14:textId="77777777" w:rsidR="00DA70E6" w:rsidRPr="00DA70E6" w:rsidRDefault="00DA70E6" w:rsidP="00DA70E6">
      <w:r w:rsidRPr="00DA70E6">
        <w:t>2 metai</w:t>
      </w:r>
    </w:p>
    <w:p w14:paraId="61E479A0" w14:textId="77777777" w:rsidR="00DA70E6" w:rsidRPr="00DA70E6" w:rsidRDefault="00DA70E6" w:rsidP="00DA70E6"/>
    <w:p w14:paraId="151AE909" w14:textId="77777777" w:rsidR="00DA70E6" w:rsidRPr="00DA70E6" w:rsidRDefault="00DA70E6" w:rsidP="00DA70E6">
      <w:r w:rsidRPr="00DA70E6">
        <w:t>Po buteliuko pirmojo atidarymo: 30 parų.</w:t>
      </w:r>
    </w:p>
    <w:p w14:paraId="446AC60D" w14:textId="77777777" w:rsidR="00DA70E6" w:rsidRPr="00DA70E6" w:rsidRDefault="00DA70E6" w:rsidP="00DA70E6">
      <w:pPr>
        <w:rPr>
          <w:b/>
        </w:rPr>
      </w:pPr>
    </w:p>
    <w:p w14:paraId="4F3CBB03" w14:textId="77777777" w:rsidR="00DA70E6" w:rsidRPr="00DA70E6" w:rsidRDefault="00DA70E6" w:rsidP="00DA70E6">
      <w:pPr>
        <w:ind w:left="567" w:hanging="567"/>
        <w:rPr>
          <w:b/>
          <w:i/>
        </w:rPr>
      </w:pPr>
      <w:r w:rsidRPr="00DA70E6">
        <w:rPr>
          <w:b/>
        </w:rPr>
        <w:t>6.4</w:t>
      </w:r>
      <w:r w:rsidRPr="00DA70E6">
        <w:rPr>
          <w:b/>
        </w:rPr>
        <w:tab/>
        <w:t>Specialios laikymo sąlygos</w:t>
      </w:r>
    </w:p>
    <w:p w14:paraId="67DF3735" w14:textId="77777777" w:rsidR="00DA70E6" w:rsidRPr="00DA70E6" w:rsidRDefault="00DA70E6" w:rsidP="00DA70E6"/>
    <w:p w14:paraId="7955D347" w14:textId="77777777" w:rsidR="00DA70E6" w:rsidRPr="00DA70E6" w:rsidRDefault="00DA70E6" w:rsidP="00DA70E6">
      <w:r w:rsidRPr="00DA70E6">
        <w:t xml:space="preserve">Buteliukas: </w:t>
      </w:r>
    </w:p>
    <w:p w14:paraId="6C9741A0" w14:textId="77777777" w:rsidR="00DA70E6" w:rsidRPr="00DA70E6" w:rsidRDefault="00DA70E6" w:rsidP="00DA70E6">
      <w:r w:rsidRPr="00DA70E6">
        <w:t>Laikyti gamintojo pakuotėje, kad vaistinis preparatas būtų apsaugotas nuo drėgmės. Buteliuką laikyti sandarų.</w:t>
      </w:r>
    </w:p>
    <w:p w14:paraId="01BD9AA1" w14:textId="77777777" w:rsidR="00DA70E6" w:rsidRPr="00DA70E6" w:rsidRDefault="00DA70E6" w:rsidP="00DA70E6">
      <w:r w:rsidRPr="00DA70E6">
        <w:t>Šio vaistinio preparato laikymui specialių temperatūros sąlygų nereikalaujama.</w:t>
      </w:r>
    </w:p>
    <w:p w14:paraId="61E1BD92" w14:textId="77777777" w:rsidR="00DA70E6" w:rsidRPr="00DA70E6" w:rsidRDefault="00DA70E6" w:rsidP="00DA70E6"/>
    <w:p w14:paraId="2C3274E4" w14:textId="77777777" w:rsidR="00DA70E6" w:rsidRPr="00DA70E6" w:rsidRDefault="00DA70E6" w:rsidP="00DA70E6">
      <w:r w:rsidRPr="00DA70E6">
        <w:t>Lizdinė plokštelė:</w:t>
      </w:r>
    </w:p>
    <w:p w14:paraId="26BB1A0F" w14:textId="77777777" w:rsidR="00DA70E6" w:rsidRPr="00DA70E6" w:rsidRDefault="00DA70E6" w:rsidP="00DA70E6">
      <w:r w:rsidRPr="00DA70E6">
        <w:t>Laikyti žemesnėje kaip 30 °C temperatūroje.</w:t>
      </w:r>
    </w:p>
    <w:p w14:paraId="72E37302" w14:textId="77777777" w:rsidR="00DA70E6" w:rsidRPr="00DA70E6" w:rsidRDefault="00DA70E6" w:rsidP="00DA70E6">
      <w:pPr>
        <w:rPr>
          <w:b/>
        </w:rPr>
      </w:pPr>
    </w:p>
    <w:p w14:paraId="1AC01175" w14:textId="77777777" w:rsidR="00DA70E6" w:rsidRPr="00DA70E6" w:rsidRDefault="00DA70E6" w:rsidP="00DA70E6">
      <w:pPr>
        <w:ind w:left="567" w:hanging="567"/>
        <w:rPr>
          <w:b/>
          <w:i/>
        </w:rPr>
      </w:pPr>
      <w:r w:rsidRPr="00DA70E6">
        <w:rPr>
          <w:b/>
        </w:rPr>
        <w:t>6.5</w:t>
      </w:r>
      <w:r w:rsidRPr="00DA70E6">
        <w:rPr>
          <w:b/>
        </w:rPr>
        <w:tab/>
        <w:t>Talpyklės pobūdis ir jos turinys</w:t>
      </w:r>
    </w:p>
    <w:p w14:paraId="556A878D" w14:textId="77777777" w:rsidR="00DA70E6" w:rsidRPr="00DA70E6" w:rsidRDefault="00DA70E6" w:rsidP="00DA70E6"/>
    <w:p w14:paraId="72DF0216" w14:textId="77777777" w:rsidR="00DA70E6" w:rsidRPr="00DA70E6" w:rsidRDefault="00DA70E6" w:rsidP="00DA70E6">
      <w:r w:rsidRPr="00DA70E6">
        <w:t>OPA-Al-PVC/Al lizdinė plokštelė.</w:t>
      </w:r>
    </w:p>
    <w:p w14:paraId="70600C56" w14:textId="77777777" w:rsidR="00DA70E6" w:rsidRPr="00DA70E6" w:rsidRDefault="00DA70E6" w:rsidP="00DA70E6"/>
    <w:p w14:paraId="2FC6334F" w14:textId="77777777" w:rsidR="00DA70E6" w:rsidRPr="00DA70E6" w:rsidRDefault="00DA70E6" w:rsidP="00DA70E6">
      <w:r w:rsidRPr="00DA70E6">
        <w:t>Pakuotės dydžiai: 10, 30, 60 arba 90 plėvele dengtų tablečių.</w:t>
      </w:r>
    </w:p>
    <w:p w14:paraId="61AB1F1C" w14:textId="77777777" w:rsidR="00DA70E6" w:rsidRPr="00DA70E6" w:rsidRDefault="00DA70E6" w:rsidP="00DA70E6"/>
    <w:p w14:paraId="7CD564F6" w14:textId="77777777" w:rsidR="00DA70E6" w:rsidRPr="00DA70E6" w:rsidRDefault="00DA70E6" w:rsidP="00DA70E6">
      <w:r w:rsidRPr="00DA70E6">
        <w:t>Baltas, matinis didelio tankio polietileno (DTPE) buteliukas su vaikų sunkiai atidaromu baltu matiniu polipropileno dangteliu, kuriame yra sausiklio silikagelio talpyklė.</w:t>
      </w:r>
    </w:p>
    <w:p w14:paraId="218F31DF" w14:textId="77777777" w:rsidR="00DA70E6" w:rsidRPr="00DA70E6" w:rsidRDefault="00DA70E6" w:rsidP="00DA70E6"/>
    <w:p w14:paraId="0D78FF46" w14:textId="77777777" w:rsidR="00DA70E6" w:rsidRPr="00DA70E6" w:rsidRDefault="00DA70E6" w:rsidP="00DA70E6">
      <w:r w:rsidRPr="00DA70E6">
        <w:t>Pakuotės dydžiai: 30, 60 (2x30) arba 90 (3x30) plėvele dengtų tablečių.</w:t>
      </w:r>
    </w:p>
    <w:p w14:paraId="75E5C9F0" w14:textId="77777777" w:rsidR="00DA70E6" w:rsidRPr="00DA70E6" w:rsidRDefault="00DA70E6" w:rsidP="00DA70E6">
      <w:pPr>
        <w:ind w:left="720" w:hanging="720"/>
      </w:pPr>
    </w:p>
    <w:p w14:paraId="0B80EE28" w14:textId="77777777" w:rsidR="00DA70E6" w:rsidRPr="00DA70E6" w:rsidRDefault="00DA70E6" w:rsidP="00DA70E6">
      <w:pPr>
        <w:ind w:left="720" w:hanging="720"/>
      </w:pPr>
      <w:r w:rsidRPr="00DA70E6">
        <w:t>Gali būti tiekiamos ne visų dydžių pakuotės.</w:t>
      </w:r>
    </w:p>
    <w:p w14:paraId="6C3D32A5" w14:textId="77777777" w:rsidR="00DA70E6" w:rsidRPr="00DA70E6" w:rsidRDefault="00DA70E6" w:rsidP="00DA70E6">
      <w:pPr>
        <w:rPr>
          <w:b/>
        </w:rPr>
      </w:pPr>
    </w:p>
    <w:p w14:paraId="02CCD40A" w14:textId="77777777" w:rsidR="00DA70E6" w:rsidRPr="00DA70E6" w:rsidRDefault="00DA70E6" w:rsidP="00DA70E6">
      <w:pPr>
        <w:ind w:left="567" w:hanging="567"/>
        <w:rPr>
          <w:b/>
          <w:i/>
        </w:rPr>
      </w:pPr>
      <w:r w:rsidRPr="00DA70E6">
        <w:rPr>
          <w:b/>
        </w:rPr>
        <w:t>6.6</w:t>
      </w:r>
      <w:r w:rsidRPr="00DA70E6">
        <w:rPr>
          <w:b/>
        </w:rPr>
        <w:tab/>
        <w:t>Specialūs reikalavimai atliekoms tvarkyti ir vaistiniam preparatui ruošti</w:t>
      </w:r>
    </w:p>
    <w:p w14:paraId="06EF2CEC" w14:textId="77777777" w:rsidR="00DA70E6" w:rsidRPr="00DA70E6" w:rsidRDefault="00DA70E6" w:rsidP="00DA70E6"/>
    <w:p w14:paraId="209B1070" w14:textId="77777777" w:rsidR="00DA70E6" w:rsidRPr="00DA70E6" w:rsidRDefault="00DA70E6" w:rsidP="00DA70E6">
      <w:r w:rsidRPr="00DA70E6">
        <w:t>Nesuvartotą vaistinį preparatą ar atliekas reikia tvarkyti laikantis vietinių reikalavimų.</w:t>
      </w:r>
    </w:p>
    <w:p w14:paraId="77D253B8" w14:textId="77777777" w:rsidR="00DA70E6" w:rsidRPr="00DA70E6" w:rsidRDefault="00DA70E6" w:rsidP="00DA70E6">
      <w:pPr>
        <w:rPr>
          <w:b/>
        </w:rPr>
      </w:pPr>
    </w:p>
    <w:p w14:paraId="5AE2AFE4" w14:textId="77777777" w:rsidR="00DA70E6" w:rsidRPr="00DA70E6" w:rsidRDefault="00DA70E6" w:rsidP="00DA70E6">
      <w:pPr>
        <w:rPr>
          <w:b/>
        </w:rPr>
      </w:pPr>
    </w:p>
    <w:p w14:paraId="4582B198" w14:textId="77777777" w:rsidR="00DA70E6" w:rsidRPr="00DA70E6" w:rsidRDefault="00DA70E6" w:rsidP="00DA70E6">
      <w:pPr>
        <w:ind w:left="567" w:hanging="567"/>
        <w:rPr>
          <w:b/>
        </w:rPr>
      </w:pPr>
      <w:r w:rsidRPr="00DA70E6">
        <w:rPr>
          <w:b/>
        </w:rPr>
        <w:t>7.</w:t>
      </w:r>
      <w:r w:rsidRPr="00DA70E6">
        <w:rPr>
          <w:b/>
        </w:rPr>
        <w:tab/>
        <w:t>REGISTRUOTOJAS</w:t>
      </w:r>
    </w:p>
    <w:p w14:paraId="41E3E00C" w14:textId="77777777" w:rsidR="00DA70E6" w:rsidRPr="00DA70E6" w:rsidRDefault="00DA70E6" w:rsidP="00DA70E6"/>
    <w:p w14:paraId="5E16FF4E" w14:textId="77777777" w:rsidR="00DA70E6" w:rsidRPr="00DA70E6" w:rsidRDefault="00DA70E6" w:rsidP="00DA70E6">
      <w:r w:rsidRPr="00DA70E6">
        <w:t>Sandoz d.d.</w:t>
      </w:r>
    </w:p>
    <w:p w14:paraId="334D3019" w14:textId="77777777" w:rsidR="00DA70E6" w:rsidRPr="00DA70E6" w:rsidRDefault="00DA70E6" w:rsidP="00DA70E6">
      <w:r w:rsidRPr="00DA70E6">
        <w:t>Verovškova 57</w:t>
      </w:r>
    </w:p>
    <w:p w14:paraId="333B03FA" w14:textId="77777777" w:rsidR="00DA70E6" w:rsidRPr="00DA70E6" w:rsidRDefault="00DA70E6" w:rsidP="00DA70E6">
      <w:r w:rsidRPr="00DA70E6">
        <w:t>SI-1000 Ljubljana</w:t>
      </w:r>
    </w:p>
    <w:p w14:paraId="7A145FF0" w14:textId="77777777" w:rsidR="00DA70E6" w:rsidRPr="00DA70E6" w:rsidRDefault="00DA70E6" w:rsidP="00DA70E6">
      <w:pPr>
        <w:rPr>
          <w:b/>
        </w:rPr>
      </w:pPr>
      <w:r w:rsidRPr="00DA70E6">
        <w:t>Slovėnija</w:t>
      </w:r>
    </w:p>
    <w:p w14:paraId="7AB17D62" w14:textId="77777777" w:rsidR="00DA70E6" w:rsidRPr="00DA70E6" w:rsidRDefault="00DA70E6" w:rsidP="00DA70E6"/>
    <w:p w14:paraId="06241AE8" w14:textId="77777777" w:rsidR="00DA70E6" w:rsidRPr="00DA70E6" w:rsidRDefault="00DA70E6" w:rsidP="00DA70E6"/>
    <w:p w14:paraId="3228E4F6" w14:textId="77777777" w:rsidR="00DA70E6" w:rsidRPr="00DA70E6" w:rsidRDefault="00DA70E6" w:rsidP="00DA70E6">
      <w:pPr>
        <w:ind w:left="567" w:hanging="567"/>
        <w:rPr>
          <w:b/>
        </w:rPr>
      </w:pPr>
      <w:r w:rsidRPr="00DA70E6">
        <w:rPr>
          <w:b/>
        </w:rPr>
        <w:t>8.</w:t>
      </w:r>
      <w:r w:rsidRPr="00DA70E6">
        <w:rPr>
          <w:b/>
        </w:rPr>
        <w:tab/>
        <w:t>REGISTRACIJOS PAŽYMĖJIMO NUMERIS (-IAI)</w:t>
      </w:r>
    </w:p>
    <w:p w14:paraId="65E4916C" w14:textId="77777777" w:rsidR="00DA70E6" w:rsidRPr="00DA70E6" w:rsidRDefault="00DA70E6" w:rsidP="00DA70E6">
      <w:pPr>
        <w:rPr>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159A9" w14:paraId="0B099A46" w14:textId="77777777" w:rsidTr="002B285A">
        <w:tc>
          <w:tcPr>
            <w:tcW w:w="4530" w:type="dxa"/>
          </w:tcPr>
          <w:p w14:paraId="2BF563B6" w14:textId="77777777" w:rsidR="00F159A9" w:rsidRPr="00DA70E6" w:rsidRDefault="00F159A9" w:rsidP="00F159A9">
            <w:pPr>
              <w:rPr>
                <w:u w:val="single"/>
              </w:rPr>
            </w:pPr>
            <w:r w:rsidRPr="00DA70E6">
              <w:rPr>
                <w:u w:val="single"/>
              </w:rPr>
              <w:t>Lizdinė plokštelė:</w:t>
            </w:r>
          </w:p>
          <w:p w14:paraId="38325166" w14:textId="3F67EEEE" w:rsidR="00F159A9" w:rsidRPr="00E5005B" w:rsidRDefault="00F159A9" w:rsidP="00F159A9">
            <w:r w:rsidRPr="00E5005B">
              <w:t>LT/1/17/4072/001 – N30</w:t>
            </w:r>
          </w:p>
          <w:p w14:paraId="7D698819" w14:textId="77777777" w:rsidR="00F159A9" w:rsidRPr="00E5005B" w:rsidRDefault="00F159A9" w:rsidP="00F159A9">
            <w:r w:rsidRPr="00E5005B">
              <w:t>LT/1/17/4072/002 – N60</w:t>
            </w:r>
          </w:p>
          <w:p w14:paraId="54972350" w14:textId="77777777" w:rsidR="00F159A9" w:rsidRPr="00E5005B" w:rsidRDefault="00F159A9" w:rsidP="00F159A9">
            <w:r w:rsidRPr="00E5005B">
              <w:t>LT/1/17/4072/003 – N90</w:t>
            </w:r>
          </w:p>
          <w:p w14:paraId="444A6819" w14:textId="424C7DCB" w:rsidR="00F159A9" w:rsidRDefault="00F159A9" w:rsidP="00F159A9">
            <w:pPr>
              <w:rPr>
                <w:u w:val="single"/>
              </w:rPr>
            </w:pPr>
            <w:r w:rsidRPr="00E5005B">
              <w:t>LT/1/17/4072/007 – N10</w:t>
            </w:r>
          </w:p>
        </w:tc>
        <w:tc>
          <w:tcPr>
            <w:tcW w:w="4530" w:type="dxa"/>
          </w:tcPr>
          <w:p w14:paraId="7F11D748" w14:textId="183AA6BE" w:rsidR="00F159A9" w:rsidRDefault="00F159A9" w:rsidP="00F159A9">
            <w:pPr>
              <w:rPr>
                <w:u w:val="single"/>
              </w:rPr>
            </w:pPr>
            <w:r w:rsidRPr="00F159A9">
              <w:rPr>
                <w:u w:val="single"/>
              </w:rPr>
              <w:t>Buteliukas</w:t>
            </w:r>
          </w:p>
          <w:p w14:paraId="536C0EEA" w14:textId="6E4F9B9D" w:rsidR="00F159A9" w:rsidRPr="00E5005B" w:rsidRDefault="00F159A9" w:rsidP="00F159A9">
            <w:r w:rsidRPr="00E5005B">
              <w:t>LT/1/17/4072/004 – N30</w:t>
            </w:r>
          </w:p>
          <w:p w14:paraId="7384F9F3" w14:textId="77777777" w:rsidR="00F159A9" w:rsidRPr="00E5005B" w:rsidRDefault="00F159A9" w:rsidP="00F159A9">
            <w:r w:rsidRPr="00E5005B">
              <w:t>LT/1/17/4072/005 – N60 (2x30)</w:t>
            </w:r>
          </w:p>
          <w:p w14:paraId="75885AA0" w14:textId="5E8D0F39" w:rsidR="00F159A9" w:rsidRDefault="00F159A9" w:rsidP="00DA70E6">
            <w:pPr>
              <w:rPr>
                <w:u w:val="single"/>
              </w:rPr>
            </w:pPr>
            <w:r w:rsidRPr="00E5005B">
              <w:t>LT/1/17/4072/006 – N90 (3x30)</w:t>
            </w:r>
          </w:p>
        </w:tc>
      </w:tr>
    </w:tbl>
    <w:p w14:paraId="4649D634" w14:textId="77777777" w:rsidR="00E06B9E" w:rsidRDefault="00E06B9E" w:rsidP="00DA70E6">
      <w:pPr>
        <w:rPr>
          <w:u w:val="single"/>
        </w:rPr>
      </w:pPr>
    </w:p>
    <w:p w14:paraId="57A18E15" w14:textId="77777777" w:rsidR="00DA70E6" w:rsidRPr="00DA70E6" w:rsidRDefault="00DA70E6" w:rsidP="00DA70E6">
      <w:pPr>
        <w:rPr>
          <w:u w:val="single"/>
        </w:rPr>
      </w:pPr>
    </w:p>
    <w:p w14:paraId="6BD4AE57" w14:textId="77777777" w:rsidR="00DA70E6" w:rsidRPr="00DA70E6" w:rsidRDefault="00DA70E6" w:rsidP="00DA70E6"/>
    <w:p w14:paraId="59314354" w14:textId="77777777" w:rsidR="00DA70E6" w:rsidRPr="00DA70E6" w:rsidRDefault="00DA70E6" w:rsidP="00DA70E6">
      <w:pPr>
        <w:ind w:left="567" w:hanging="567"/>
        <w:rPr>
          <w:b/>
        </w:rPr>
      </w:pPr>
      <w:r w:rsidRPr="00DA70E6">
        <w:rPr>
          <w:b/>
        </w:rPr>
        <w:t>9.</w:t>
      </w:r>
      <w:r w:rsidRPr="00DA70E6">
        <w:rPr>
          <w:b/>
        </w:rPr>
        <w:tab/>
        <w:t>REGISTRAVIMO / PERREGISTRAVIMO DATA</w:t>
      </w:r>
    </w:p>
    <w:p w14:paraId="51F0D3F1" w14:textId="77777777" w:rsidR="00DA70E6" w:rsidRPr="00DA70E6" w:rsidRDefault="00DA70E6" w:rsidP="00DA70E6">
      <w:pPr>
        <w:ind w:left="567" w:hanging="567"/>
      </w:pPr>
    </w:p>
    <w:p w14:paraId="1EFFAA02" w14:textId="77777777" w:rsidR="00DA70E6" w:rsidRPr="00DA70E6" w:rsidRDefault="00DA70E6" w:rsidP="00DA70E6">
      <w:r w:rsidRPr="00DA70E6">
        <w:t>Registravimo data 2017 m. balandžio 27 d.</w:t>
      </w:r>
    </w:p>
    <w:p w14:paraId="5129BFF4" w14:textId="1267821F" w:rsidR="00DA70E6" w:rsidRPr="00DA70E6" w:rsidRDefault="007B237D" w:rsidP="00DA70E6">
      <w:r>
        <w:t>Perregistravimo data</w:t>
      </w:r>
      <w:r w:rsidR="00E5005B">
        <w:t xml:space="preserve"> 2022 m. birželio 2</w:t>
      </w:r>
      <w:r w:rsidR="00B75EC4">
        <w:t>3</w:t>
      </w:r>
      <w:r w:rsidR="00E5005B">
        <w:t xml:space="preserve"> d.</w:t>
      </w:r>
    </w:p>
    <w:p w14:paraId="49B5DA71" w14:textId="02917838" w:rsidR="00DA70E6" w:rsidRDefault="00DA70E6" w:rsidP="00DA70E6"/>
    <w:p w14:paraId="21BDADCC" w14:textId="77777777" w:rsidR="00B751D7" w:rsidRPr="00DA70E6" w:rsidRDefault="00B751D7" w:rsidP="00DA70E6"/>
    <w:p w14:paraId="608A02FB" w14:textId="6EDF4888" w:rsidR="00DA70E6" w:rsidRDefault="00DA70E6" w:rsidP="00DA70E6">
      <w:pPr>
        <w:ind w:left="567" w:hanging="567"/>
        <w:rPr>
          <w:b/>
        </w:rPr>
      </w:pPr>
      <w:r w:rsidRPr="00DA70E6">
        <w:rPr>
          <w:b/>
        </w:rPr>
        <w:t>10.</w:t>
      </w:r>
      <w:r w:rsidRPr="00DA70E6">
        <w:rPr>
          <w:b/>
        </w:rPr>
        <w:tab/>
        <w:t>TEKSTO PERŽIŪROS DATA</w:t>
      </w:r>
    </w:p>
    <w:p w14:paraId="06EE88F0" w14:textId="11E61F9E" w:rsidR="00AD2819" w:rsidRDefault="00AD2819" w:rsidP="00DA70E6">
      <w:pPr>
        <w:ind w:left="567" w:hanging="567"/>
        <w:rPr>
          <w:b/>
        </w:rPr>
      </w:pPr>
    </w:p>
    <w:p w14:paraId="746331FC" w14:textId="578FCFD4" w:rsidR="00776246" w:rsidRDefault="002C4967" w:rsidP="00A0725F">
      <w:pPr>
        <w:ind w:left="567" w:hanging="567"/>
        <w:rPr>
          <w:rFonts w:eastAsia="SimSun"/>
        </w:rPr>
      </w:pPr>
      <w:r>
        <w:t>2024 m. gegužės 28 d.</w:t>
      </w:r>
    </w:p>
    <w:p w14:paraId="51EFBE0D" w14:textId="77777777" w:rsidR="0037496F" w:rsidRDefault="0037496F" w:rsidP="00DA70E6">
      <w:pPr>
        <w:tabs>
          <w:tab w:val="left" w:pos="5954"/>
          <w:tab w:val="left" w:pos="6237"/>
          <w:tab w:val="left" w:pos="6663"/>
          <w:tab w:val="left" w:pos="6946"/>
        </w:tabs>
        <w:rPr>
          <w:rFonts w:eastAsia="SimSun"/>
        </w:rPr>
      </w:pPr>
    </w:p>
    <w:p w14:paraId="6F46BAB0" w14:textId="53D5F39D" w:rsidR="00DA70E6" w:rsidRPr="00DA70E6" w:rsidRDefault="00DA70E6" w:rsidP="00DA70E6">
      <w:pPr>
        <w:tabs>
          <w:tab w:val="left" w:pos="5954"/>
          <w:tab w:val="left" w:pos="6237"/>
          <w:tab w:val="left" w:pos="6663"/>
          <w:tab w:val="left" w:pos="6946"/>
        </w:tabs>
        <w:rPr>
          <w:rFonts w:ascii="Calibri" w:eastAsia="SimSun" w:hAnsi="Calibri"/>
        </w:rPr>
      </w:pPr>
      <w:r w:rsidRPr="00DA70E6">
        <w:rPr>
          <w:rFonts w:eastAsia="SimSun"/>
        </w:rPr>
        <w:t>Išsami informacija apie šį vaistinį preparatą pateikiama Valstybinės vaistų kontrolės tarnybos prie Lietuvos Respublikos sveikatos apsaugos ministerijos tinklalapyje</w:t>
      </w:r>
      <w:r w:rsidRPr="00DA70E6">
        <w:rPr>
          <w:rFonts w:eastAsia="SimSun"/>
          <w:i/>
        </w:rPr>
        <w:t xml:space="preserve"> </w:t>
      </w:r>
      <w:hyperlink r:id="rId11" w:history="1">
        <w:r w:rsidRPr="00DA70E6">
          <w:rPr>
            <w:rFonts w:eastAsia="SimSun"/>
            <w:color w:val="0000FF"/>
            <w:u w:val="single"/>
          </w:rPr>
          <w:t>http://www.vvkt.lt</w:t>
        </w:r>
      </w:hyperlink>
    </w:p>
    <w:p w14:paraId="0774E3FB" w14:textId="77777777" w:rsidR="00DA70E6" w:rsidRPr="00DA70E6" w:rsidRDefault="00DA70E6" w:rsidP="00DA70E6">
      <w:r w:rsidRPr="00DA70E6">
        <w:br w:type="page"/>
      </w:r>
    </w:p>
    <w:p w14:paraId="2A5AD958" w14:textId="77777777" w:rsidR="00DA70E6" w:rsidRPr="00DA70E6" w:rsidRDefault="00DA70E6" w:rsidP="00DA70E6">
      <w:pPr>
        <w:tabs>
          <w:tab w:val="left" w:pos="567"/>
        </w:tabs>
        <w:jc w:val="center"/>
        <w:outlineLvl w:val="0"/>
      </w:pPr>
    </w:p>
    <w:p w14:paraId="7A50D18B" w14:textId="77777777" w:rsidR="00DA70E6" w:rsidRPr="00DA70E6" w:rsidRDefault="00DA70E6" w:rsidP="00DA70E6">
      <w:pPr>
        <w:tabs>
          <w:tab w:val="left" w:pos="567"/>
        </w:tabs>
        <w:jc w:val="center"/>
        <w:outlineLvl w:val="0"/>
      </w:pPr>
    </w:p>
    <w:p w14:paraId="0983B3C4" w14:textId="77777777" w:rsidR="00DA70E6" w:rsidRPr="00DA70E6" w:rsidRDefault="00DA70E6" w:rsidP="00DA70E6">
      <w:pPr>
        <w:tabs>
          <w:tab w:val="left" w:pos="567"/>
        </w:tabs>
        <w:jc w:val="center"/>
        <w:outlineLvl w:val="0"/>
      </w:pPr>
    </w:p>
    <w:p w14:paraId="1C9419D5" w14:textId="77777777" w:rsidR="00DA70E6" w:rsidRPr="00DA70E6" w:rsidRDefault="00DA70E6" w:rsidP="00DA70E6">
      <w:pPr>
        <w:tabs>
          <w:tab w:val="left" w:pos="567"/>
        </w:tabs>
        <w:jc w:val="center"/>
        <w:outlineLvl w:val="0"/>
      </w:pPr>
    </w:p>
    <w:p w14:paraId="78AFB99F" w14:textId="77777777" w:rsidR="00DA70E6" w:rsidRPr="00DA70E6" w:rsidRDefault="00DA70E6" w:rsidP="00DA70E6">
      <w:pPr>
        <w:tabs>
          <w:tab w:val="left" w:pos="567"/>
        </w:tabs>
        <w:jc w:val="center"/>
        <w:outlineLvl w:val="0"/>
      </w:pPr>
    </w:p>
    <w:p w14:paraId="08710047" w14:textId="77777777" w:rsidR="00DA70E6" w:rsidRPr="00DA70E6" w:rsidRDefault="00DA70E6" w:rsidP="00DA70E6">
      <w:pPr>
        <w:tabs>
          <w:tab w:val="left" w:pos="567"/>
        </w:tabs>
        <w:jc w:val="center"/>
        <w:outlineLvl w:val="0"/>
      </w:pPr>
    </w:p>
    <w:p w14:paraId="72244C7A" w14:textId="77777777" w:rsidR="00DA70E6" w:rsidRPr="00DA70E6" w:rsidRDefault="00DA70E6" w:rsidP="00DA70E6">
      <w:pPr>
        <w:tabs>
          <w:tab w:val="left" w:pos="567"/>
        </w:tabs>
        <w:jc w:val="center"/>
        <w:outlineLvl w:val="0"/>
      </w:pPr>
    </w:p>
    <w:p w14:paraId="7596D65C" w14:textId="77777777" w:rsidR="00DA70E6" w:rsidRPr="00DA70E6" w:rsidRDefault="00DA70E6" w:rsidP="00DA70E6">
      <w:pPr>
        <w:tabs>
          <w:tab w:val="left" w:pos="567"/>
        </w:tabs>
        <w:jc w:val="center"/>
        <w:outlineLvl w:val="0"/>
      </w:pPr>
    </w:p>
    <w:p w14:paraId="36AA72F2" w14:textId="77777777" w:rsidR="00DA70E6" w:rsidRPr="00DA70E6" w:rsidRDefault="00DA70E6" w:rsidP="00DA70E6">
      <w:pPr>
        <w:tabs>
          <w:tab w:val="left" w:pos="567"/>
        </w:tabs>
        <w:jc w:val="center"/>
        <w:outlineLvl w:val="0"/>
      </w:pPr>
    </w:p>
    <w:p w14:paraId="44087A91" w14:textId="77777777" w:rsidR="00DA70E6" w:rsidRPr="00DA70E6" w:rsidRDefault="00DA70E6" w:rsidP="00DA70E6">
      <w:pPr>
        <w:tabs>
          <w:tab w:val="left" w:pos="567"/>
        </w:tabs>
        <w:jc w:val="center"/>
        <w:outlineLvl w:val="0"/>
      </w:pPr>
    </w:p>
    <w:p w14:paraId="1452DF8D" w14:textId="77777777" w:rsidR="00DA70E6" w:rsidRPr="00DA70E6" w:rsidRDefault="00DA70E6" w:rsidP="00DA70E6">
      <w:pPr>
        <w:tabs>
          <w:tab w:val="left" w:pos="567"/>
        </w:tabs>
        <w:jc w:val="center"/>
        <w:outlineLvl w:val="0"/>
      </w:pPr>
    </w:p>
    <w:p w14:paraId="4A56D3A7" w14:textId="77777777" w:rsidR="00DA70E6" w:rsidRPr="00DA70E6" w:rsidRDefault="00DA70E6" w:rsidP="00DA70E6">
      <w:pPr>
        <w:tabs>
          <w:tab w:val="left" w:pos="567"/>
        </w:tabs>
        <w:jc w:val="center"/>
        <w:outlineLvl w:val="0"/>
      </w:pPr>
    </w:p>
    <w:p w14:paraId="000286B0" w14:textId="77777777" w:rsidR="00DA70E6" w:rsidRPr="00DA70E6" w:rsidRDefault="00DA70E6" w:rsidP="00DA70E6">
      <w:pPr>
        <w:tabs>
          <w:tab w:val="left" w:pos="567"/>
        </w:tabs>
        <w:jc w:val="center"/>
        <w:outlineLvl w:val="0"/>
      </w:pPr>
    </w:p>
    <w:p w14:paraId="7BF5B951" w14:textId="77777777" w:rsidR="00DA70E6" w:rsidRPr="00DA70E6" w:rsidRDefault="00DA70E6" w:rsidP="00DA70E6">
      <w:pPr>
        <w:tabs>
          <w:tab w:val="left" w:pos="567"/>
        </w:tabs>
        <w:jc w:val="center"/>
        <w:outlineLvl w:val="0"/>
      </w:pPr>
    </w:p>
    <w:p w14:paraId="1CD35F27" w14:textId="77777777" w:rsidR="00DA70E6" w:rsidRPr="00DA70E6" w:rsidRDefault="00DA70E6" w:rsidP="00DA70E6">
      <w:pPr>
        <w:tabs>
          <w:tab w:val="left" w:pos="567"/>
        </w:tabs>
        <w:jc w:val="center"/>
        <w:outlineLvl w:val="0"/>
      </w:pPr>
    </w:p>
    <w:p w14:paraId="73F60CD8" w14:textId="77777777" w:rsidR="00DA70E6" w:rsidRPr="00DA70E6" w:rsidRDefault="00DA70E6" w:rsidP="00DA70E6">
      <w:pPr>
        <w:tabs>
          <w:tab w:val="left" w:pos="567"/>
        </w:tabs>
        <w:jc w:val="center"/>
        <w:outlineLvl w:val="0"/>
      </w:pPr>
    </w:p>
    <w:p w14:paraId="4157A4B8" w14:textId="77777777" w:rsidR="00DA70E6" w:rsidRPr="00DA70E6" w:rsidRDefault="00DA70E6" w:rsidP="00DA70E6">
      <w:pPr>
        <w:tabs>
          <w:tab w:val="left" w:pos="567"/>
        </w:tabs>
        <w:jc w:val="center"/>
        <w:outlineLvl w:val="0"/>
      </w:pPr>
    </w:p>
    <w:p w14:paraId="5A56F033" w14:textId="77777777" w:rsidR="00DA70E6" w:rsidRPr="00DA70E6" w:rsidRDefault="00DA70E6" w:rsidP="00DA70E6">
      <w:pPr>
        <w:tabs>
          <w:tab w:val="left" w:pos="567"/>
        </w:tabs>
        <w:jc w:val="center"/>
        <w:outlineLvl w:val="0"/>
      </w:pPr>
    </w:p>
    <w:p w14:paraId="5449A7B2" w14:textId="77777777" w:rsidR="00DA70E6" w:rsidRPr="00DA70E6" w:rsidRDefault="00DA70E6" w:rsidP="00DA70E6">
      <w:pPr>
        <w:tabs>
          <w:tab w:val="left" w:pos="567"/>
        </w:tabs>
        <w:outlineLvl w:val="0"/>
      </w:pPr>
    </w:p>
    <w:p w14:paraId="28B34955" w14:textId="77777777" w:rsidR="00DA70E6" w:rsidRPr="00DA70E6" w:rsidRDefault="00DA70E6" w:rsidP="00DA70E6">
      <w:pPr>
        <w:tabs>
          <w:tab w:val="left" w:pos="567"/>
        </w:tabs>
        <w:jc w:val="center"/>
        <w:outlineLvl w:val="0"/>
      </w:pPr>
    </w:p>
    <w:p w14:paraId="01110A6A" w14:textId="77777777" w:rsidR="00DA70E6" w:rsidRPr="00DA70E6" w:rsidRDefault="00DA70E6" w:rsidP="00DA70E6">
      <w:pPr>
        <w:tabs>
          <w:tab w:val="left" w:pos="567"/>
        </w:tabs>
        <w:jc w:val="center"/>
        <w:outlineLvl w:val="0"/>
      </w:pPr>
    </w:p>
    <w:p w14:paraId="05C93165" w14:textId="77777777" w:rsidR="00DA70E6" w:rsidRPr="00DA70E6" w:rsidRDefault="00DA70E6" w:rsidP="00DA70E6">
      <w:pPr>
        <w:tabs>
          <w:tab w:val="left" w:pos="567"/>
        </w:tabs>
        <w:jc w:val="center"/>
        <w:outlineLvl w:val="0"/>
      </w:pPr>
    </w:p>
    <w:p w14:paraId="12789B9B" w14:textId="77777777" w:rsidR="00DA70E6" w:rsidRPr="00DA70E6" w:rsidRDefault="00DA70E6" w:rsidP="00DA70E6">
      <w:pPr>
        <w:tabs>
          <w:tab w:val="left" w:pos="567"/>
        </w:tabs>
        <w:jc w:val="center"/>
        <w:outlineLvl w:val="0"/>
      </w:pPr>
    </w:p>
    <w:p w14:paraId="37F632DA" w14:textId="77777777" w:rsidR="00DA70E6" w:rsidRPr="00DA70E6" w:rsidRDefault="00DA70E6" w:rsidP="00DA70E6">
      <w:pPr>
        <w:tabs>
          <w:tab w:val="left" w:pos="567"/>
        </w:tabs>
        <w:jc w:val="center"/>
        <w:outlineLvl w:val="0"/>
      </w:pPr>
      <w:r w:rsidRPr="00DA70E6">
        <w:rPr>
          <w:b/>
          <w:kern w:val="28"/>
        </w:rPr>
        <w:t>II PRIEDAS</w:t>
      </w:r>
    </w:p>
    <w:p w14:paraId="7B09AFD6" w14:textId="77777777" w:rsidR="00DA70E6" w:rsidRPr="00DA70E6" w:rsidRDefault="00DA70E6" w:rsidP="00DA70E6">
      <w:pPr>
        <w:tabs>
          <w:tab w:val="left" w:pos="567"/>
        </w:tabs>
        <w:jc w:val="center"/>
        <w:outlineLvl w:val="0"/>
      </w:pPr>
    </w:p>
    <w:p w14:paraId="3DABA492" w14:textId="77777777" w:rsidR="00DA70E6" w:rsidRPr="00DA70E6" w:rsidRDefault="00DA70E6" w:rsidP="00DA70E6">
      <w:pPr>
        <w:tabs>
          <w:tab w:val="left" w:pos="567"/>
        </w:tabs>
        <w:jc w:val="center"/>
        <w:outlineLvl w:val="0"/>
      </w:pPr>
      <w:r w:rsidRPr="00DA70E6">
        <w:rPr>
          <w:b/>
          <w:kern w:val="28"/>
        </w:rPr>
        <w:t>REGISTRACIJOS SĄLYGOS</w:t>
      </w:r>
    </w:p>
    <w:p w14:paraId="7CD54A61" w14:textId="77777777" w:rsidR="00DA70E6" w:rsidRPr="00DA70E6" w:rsidRDefault="00DA70E6" w:rsidP="00DA70E6">
      <w:pPr>
        <w:tabs>
          <w:tab w:val="left" w:pos="567"/>
        </w:tabs>
        <w:jc w:val="center"/>
        <w:outlineLvl w:val="0"/>
      </w:pPr>
    </w:p>
    <w:p w14:paraId="1D93672C" w14:textId="77777777" w:rsidR="00DA70E6" w:rsidRPr="00DA70E6" w:rsidRDefault="00DA70E6" w:rsidP="00DA70E6">
      <w:pPr>
        <w:numPr>
          <w:ilvl w:val="0"/>
          <w:numId w:val="2"/>
        </w:numPr>
        <w:tabs>
          <w:tab w:val="clear" w:pos="720"/>
          <w:tab w:val="num" w:pos="1701"/>
        </w:tabs>
        <w:ind w:left="1701" w:hanging="567"/>
        <w:rPr>
          <w:b/>
        </w:rPr>
      </w:pPr>
      <w:r w:rsidRPr="00DA70E6">
        <w:rPr>
          <w:b/>
        </w:rPr>
        <w:t>GAMINTOJAS (-AI), ATSAKINGAS (-I) UŽ SERIJŲ IŠLEIDIMĄ</w:t>
      </w:r>
    </w:p>
    <w:p w14:paraId="3AE9C73F" w14:textId="77777777" w:rsidR="00DA70E6" w:rsidRPr="00DA70E6" w:rsidRDefault="00DA70E6" w:rsidP="00DA70E6">
      <w:pPr>
        <w:tabs>
          <w:tab w:val="left" w:pos="426"/>
        </w:tabs>
        <w:spacing w:after="120"/>
        <w:rPr>
          <w:b/>
        </w:rPr>
      </w:pPr>
    </w:p>
    <w:p w14:paraId="358D8192" w14:textId="13C26AAE" w:rsidR="00DA70E6" w:rsidRDefault="00DA70E6" w:rsidP="00DA70E6">
      <w:pPr>
        <w:numPr>
          <w:ilvl w:val="0"/>
          <w:numId w:val="2"/>
        </w:numPr>
        <w:tabs>
          <w:tab w:val="clear" w:pos="720"/>
          <w:tab w:val="num" w:pos="1701"/>
        </w:tabs>
        <w:ind w:left="1701" w:hanging="567"/>
        <w:rPr>
          <w:b/>
        </w:rPr>
      </w:pPr>
      <w:r w:rsidRPr="00DA70E6">
        <w:rPr>
          <w:b/>
        </w:rPr>
        <w:t>TIEKIMO IR VARTOJIMO SĄLYGOS AR APRIBOJIMAI</w:t>
      </w:r>
    </w:p>
    <w:p w14:paraId="7E41F9E4" w14:textId="77777777" w:rsidR="0006756E" w:rsidRPr="00B751D7" w:rsidRDefault="0006756E" w:rsidP="007727FA">
      <w:pPr>
        <w:pStyle w:val="Sraopastraipa"/>
        <w:rPr>
          <w:b/>
          <w:lang w:val="lt-LT"/>
        </w:rPr>
      </w:pPr>
    </w:p>
    <w:p w14:paraId="24834F22" w14:textId="7789ECEA" w:rsidR="0006756E" w:rsidRPr="00DA70E6" w:rsidRDefault="0006756E" w:rsidP="00DA70E6">
      <w:pPr>
        <w:numPr>
          <w:ilvl w:val="0"/>
          <w:numId w:val="2"/>
        </w:numPr>
        <w:tabs>
          <w:tab w:val="clear" w:pos="720"/>
          <w:tab w:val="num" w:pos="1701"/>
        </w:tabs>
        <w:ind w:left="1701" w:hanging="567"/>
        <w:rPr>
          <w:b/>
        </w:rPr>
      </w:pPr>
      <w:r w:rsidRPr="00D63BDF">
        <w:rPr>
          <w:b/>
        </w:rPr>
        <w:t>SĄLYGOS AR APRIBOJIMAI, SKIRTI SAUGIAM IR VEIKSMINGAM VAISTINIO PREPARATO VARTOJIMUI UŽTIKRINTI</w:t>
      </w:r>
    </w:p>
    <w:p w14:paraId="10B09509" w14:textId="77777777" w:rsidR="00DA70E6" w:rsidRPr="00DA70E6" w:rsidRDefault="00DA70E6" w:rsidP="00DA70E6">
      <w:pPr>
        <w:tabs>
          <w:tab w:val="left" w:pos="567"/>
        </w:tabs>
        <w:spacing w:after="120"/>
        <w:ind w:left="360"/>
        <w:jc w:val="center"/>
      </w:pPr>
    </w:p>
    <w:p w14:paraId="61522953" w14:textId="77777777" w:rsidR="00DA70E6" w:rsidRPr="00DA70E6" w:rsidRDefault="00DA70E6" w:rsidP="00DA70E6">
      <w:pPr>
        <w:tabs>
          <w:tab w:val="left" w:pos="567"/>
        </w:tabs>
        <w:rPr>
          <w:b/>
          <w:caps/>
        </w:rPr>
      </w:pPr>
      <w:r w:rsidRPr="00DA70E6">
        <w:br w:type="page"/>
      </w:r>
      <w:r w:rsidRPr="00DA70E6">
        <w:rPr>
          <w:b/>
          <w:caps/>
        </w:rPr>
        <w:t>a.</w:t>
      </w:r>
      <w:r w:rsidRPr="00DA70E6">
        <w:rPr>
          <w:b/>
          <w:caps/>
        </w:rPr>
        <w:tab/>
        <w:t>GAMINTOJAS (-AI), ATSAKINGAS (-I) UŽ SERIJŲ IŠLEIDIMĄ</w:t>
      </w:r>
    </w:p>
    <w:p w14:paraId="280831B1" w14:textId="77777777" w:rsidR="00DA70E6" w:rsidRPr="00DA70E6" w:rsidRDefault="00DA70E6" w:rsidP="00DA70E6"/>
    <w:p w14:paraId="5D67134A" w14:textId="77777777" w:rsidR="00DA70E6" w:rsidRPr="00DA70E6" w:rsidRDefault="00DA70E6" w:rsidP="00DA70E6">
      <w:pPr>
        <w:tabs>
          <w:tab w:val="left" w:pos="567"/>
        </w:tabs>
        <w:jc w:val="both"/>
      </w:pPr>
      <w:r w:rsidRPr="00DA70E6">
        <w:rPr>
          <w:u w:val="single"/>
        </w:rPr>
        <w:t>Gamintojo (-ų), atsakingo (-ų) už serijų išleidimą, pavadinimas (-ai) ir adresas (-ai)</w:t>
      </w:r>
    </w:p>
    <w:p w14:paraId="565BDC5E" w14:textId="77777777" w:rsidR="00DA70E6" w:rsidRPr="00DA70E6" w:rsidRDefault="00DA70E6" w:rsidP="00DA70E6">
      <w:pPr>
        <w:ind w:left="567" w:hanging="567"/>
      </w:pPr>
    </w:p>
    <w:p w14:paraId="1D21DDDD" w14:textId="77777777" w:rsidR="00DA70E6" w:rsidRPr="00DA70E6" w:rsidRDefault="00DA70E6" w:rsidP="00DA70E6">
      <w:pPr>
        <w:ind w:left="567" w:hanging="567"/>
      </w:pPr>
      <w:r w:rsidRPr="00DA70E6">
        <w:t xml:space="preserve">Pharmadox Healthcare Ltd </w:t>
      </w:r>
    </w:p>
    <w:p w14:paraId="3749275A" w14:textId="77777777" w:rsidR="00DA70E6" w:rsidRPr="00DA70E6" w:rsidRDefault="00DA70E6" w:rsidP="00DA70E6">
      <w:pPr>
        <w:ind w:left="567" w:hanging="567"/>
      </w:pPr>
      <w:r w:rsidRPr="00DA70E6">
        <w:t>KW20A Kordin Industrial Park</w:t>
      </w:r>
    </w:p>
    <w:p w14:paraId="0C7766CA" w14:textId="77777777" w:rsidR="00DA70E6" w:rsidRPr="00DA70E6" w:rsidRDefault="00DA70E6" w:rsidP="00DA70E6">
      <w:pPr>
        <w:ind w:left="567" w:hanging="567"/>
      </w:pPr>
      <w:r w:rsidRPr="00DA70E6">
        <w:t xml:space="preserve">PLA 3000, Paola </w:t>
      </w:r>
    </w:p>
    <w:p w14:paraId="5BAF049C" w14:textId="77777777" w:rsidR="00DA70E6" w:rsidRPr="00DA70E6" w:rsidRDefault="00DA70E6" w:rsidP="00DA70E6">
      <w:pPr>
        <w:ind w:left="567" w:hanging="567"/>
      </w:pPr>
      <w:r w:rsidRPr="00DA70E6">
        <w:t xml:space="preserve">Malta </w:t>
      </w:r>
    </w:p>
    <w:p w14:paraId="6450BB79" w14:textId="77777777" w:rsidR="00DA70E6" w:rsidRPr="00DA70E6" w:rsidRDefault="00DA70E6" w:rsidP="00DA70E6"/>
    <w:p w14:paraId="0834F2E4" w14:textId="77777777" w:rsidR="00DA70E6" w:rsidRPr="00DA70E6" w:rsidRDefault="00DA70E6" w:rsidP="00DA70E6">
      <w:pPr>
        <w:ind w:left="567" w:hanging="567"/>
        <w:rPr>
          <w:b/>
          <w:szCs w:val="22"/>
        </w:rPr>
      </w:pPr>
      <w:r w:rsidRPr="00DA70E6">
        <w:rPr>
          <w:szCs w:val="22"/>
        </w:rPr>
        <w:t>Salutas Pharma GmbH</w:t>
      </w:r>
    </w:p>
    <w:p w14:paraId="7256D7D0" w14:textId="77777777" w:rsidR="00DA70E6" w:rsidRPr="00DA70E6" w:rsidRDefault="00DA70E6" w:rsidP="00DA70E6">
      <w:pPr>
        <w:ind w:left="567" w:hanging="567"/>
        <w:rPr>
          <w:b/>
          <w:szCs w:val="22"/>
        </w:rPr>
      </w:pPr>
      <w:r w:rsidRPr="00DA70E6">
        <w:rPr>
          <w:szCs w:val="22"/>
        </w:rPr>
        <w:t>Otto-von-Guericke-Allee 1</w:t>
      </w:r>
    </w:p>
    <w:p w14:paraId="08A22F3E" w14:textId="77777777" w:rsidR="00DA70E6" w:rsidRPr="00DA70E6" w:rsidRDefault="00DA70E6" w:rsidP="00DA70E6">
      <w:pPr>
        <w:ind w:left="567" w:hanging="567"/>
        <w:rPr>
          <w:b/>
          <w:szCs w:val="22"/>
        </w:rPr>
      </w:pPr>
      <w:r w:rsidRPr="00DA70E6">
        <w:rPr>
          <w:szCs w:val="22"/>
        </w:rPr>
        <w:t>39179 Barleben</w:t>
      </w:r>
    </w:p>
    <w:p w14:paraId="50FB078F" w14:textId="77777777" w:rsidR="00DA70E6" w:rsidRDefault="00DA70E6" w:rsidP="00DA70E6">
      <w:pPr>
        <w:ind w:left="567" w:hanging="567"/>
        <w:rPr>
          <w:szCs w:val="22"/>
        </w:rPr>
      </w:pPr>
      <w:r w:rsidRPr="00DA70E6">
        <w:rPr>
          <w:szCs w:val="22"/>
        </w:rPr>
        <w:t xml:space="preserve">Vokietija </w:t>
      </w:r>
    </w:p>
    <w:p w14:paraId="47EB3DB7" w14:textId="77777777" w:rsidR="009150E2" w:rsidRPr="00DA70E6" w:rsidRDefault="009150E2" w:rsidP="00D55286">
      <w:pPr>
        <w:ind w:left="567" w:hanging="567"/>
        <w:rPr>
          <w:szCs w:val="22"/>
        </w:rPr>
      </w:pPr>
    </w:p>
    <w:p w14:paraId="042B9856" w14:textId="77777777" w:rsidR="009150E2" w:rsidRDefault="009150E2" w:rsidP="009150E2">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177FC7E7" w14:textId="77777777" w:rsidR="009150E2" w:rsidRDefault="009150E2" w:rsidP="009150E2">
      <w:proofErr w:type="spellStart"/>
      <w:r>
        <w:t>Verovškova</w:t>
      </w:r>
      <w:proofErr w:type="spellEnd"/>
      <w:r>
        <w:t xml:space="preserve"> </w:t>
      </w:r>
      <w:proofErr w:type="spellStart"/>
      <w:r>
        <w:t>ulica</w:t>
      </w:r>
      <w:proofErr w:type="spellEnd"/>
      <w:r>
        <w:t xml:space="preserve"> 57 </w:t>
      </w:r>
    </w:p>
    <w:p w14:paraId="1C24A649" w14:textId="77777777" w:rsidR="009150E2" w:rsidRDefault="009150E2" w:rsidP="009150E2">
      <w:proofErr w:type="spellStart"/>
      <w:r>
        <w:t>Ljubljana</w:t>
      </w:r>
      <w:proofErr w:type="spellEnd"/>
      <w:r>
        <w:t xml:space="preserve"> 1526, </w:t>
      </w:r>
    </w:p>
    <w:p w14:paraId="6484CB96" w14:textId="6E18C544" w:rsidR="009150E2" w:rsidRDefault="009150E2" w:rsidP="009150E2">
      <w:r>
        <w:t>Slovėnija</w:t>
      </w:r>
    </w:p>
    <w:p w14:paraId="53BFD067" w14:textId="77777777" w:rsidR="00C92DC0" w:rsidRDefault="00C92DC0" w:rsidP="009150E2"/>
    <w:p w14:paraId="71E019DF" w14:textId="77777777" w:rsidR="00C92DC0" w:rsidRPr="00C92DC0" w:rsidRDefault="00C92DC0" w:rsidP="00C92DC0">
      <w:pPr>
        <w:tabs>
          <w:tab w:val="left" w:pos="567"/>
        </w:tabs>
        <w:rPr>
          <w:snapToGrid w:val="0"/>
          <w:szCs w:val="24"/>
          <w:lang w:eastAsia="en-US"/>
        </w:rPr>
      </w:pPr>
      <w:r w:rsidRPr="00C92DC0">
        <w:rPr>
          <w:snapToGrid w:val="0"/>
          <w:szCs w:val="24"/>
          <w:lang w:eastAsia="en-US"/>
        </w:rPr>
        <w:t>Su pakuote pateikiamame lapelyje nurodomas gamintojo, atsakingo už konkrečios serijos išleidimą, pavadinimas ir adresas.</w:t>
      </w:r>
    </w:p>
    <w:p w14:paraId="38DB4933" w14:textId="77777777" w:rsidR="00C92DC0" w:rsidRPr="00DA70E6" w:rsidRDefault="00C92DC0" w:rsidP="009150E2"/>
    <w:p w14:paraId="2ED9C7A7" w14:textId="77777777" w:rsidR="00DA70E6" w:rsidRPr="00DA70E6" w:rsidRDefault="00DA70E6" w:rsidP="00DA70E6"/>
    <w:p w14:paraId="73CD170C" w14:textId="77777777" w:rsidR="00DA70E6" w:rsidRPr="00DA70E6" w:rsidRDefault="00DA70E6" w:rsidP="00DA70E6">
      <w:pPr>
        <w:rPr>
          <w:b/>
        </w:rPr>
      </w:pPr>
      <w:r w:rsidRPr="00DA70E6">
        <w:rPr>
          <w:b/>
        </w:rPr>
        <w:t>B.</w:t>
      </w:r>
      <w:r w:rsidRPr="00DA70E6">
        <w:rPr>
          <w:b/>
        </w:rPr>
        <w:tab/>
        <w:t>TIEKIMO IR VARTOJIMO SĄLYGOS AR APRIBOJIMAI</w:t>
      </w:r>
    </w:p>
    <w:p w14:paraId="1DFA2F35" w14:textId="77777777" w:rsidR="00DA70E6" w:rsidRPr="00DA70E6" w:rsidRDefault="00DA70E6" w:rsidP="00DA70E6"/>
    <w:p w14:paraId="21F1C3DF" w14:textId="602F5E4D" w:rsidR="00DA70E6" w:rsidRDefault="00DA70E6" w:rsidP="00DA70E6">
      <w:r w:rsidRPr="00DA70E6">
        <w:t>Receptinis vaistinis preparatas.</w:t>
      </w:r>
    </w:p>
    <w:p w14:paraId="1441A0F8" w14:textId="77777777" w:rsidR="00D94211" w:rsidRDefault="00D94211" w:rsidP="00DA70E6"/>
    <w:p w14:paraId="4A21B8E3" w14:textId="4FF1D0B1" w:rsidR="00D94211" w:rsidRDefault="00D94211" w:rsidP="00D94211">
      <w:pPr>
        <w:pStyle w:val="Default"/>
        <w:rPr>
          <w:b/>
          <w:bCs/>
          <w:sz w:val="22"/>
          <w:szCs w:val="22"/>
        </w:rPr>
      </w:pPr>
      <w:r w:rsidRPr="007727FA">
        <w:rPr>
          <w:b/>
        </w:rPr>
        <w:t>C</w:t>
      </w:r>
      <w:r>
        <w:t>.</w:t>
      </w:r>
      <w:r w:rsidRPr="00D94211">
        <w:rPr>
          <w:b/>
          <w:color w:val="auto"/>
          <w:sz w:val="22"/>
          <w:szCs w:val="20"/>
          <w:lang w:val="lt-LT" w:eastAsia="lt-LT"/>
        </w:rPr>
        <w:t xml:space="preserve"> </w:t>
      </w:r>
      <w:r w:rsidRPr="00D63BDF">
        <w:rPr>
          <w:b/>
          <w:color w:val="auto"/>
          <w:sz w:val="22"/>
          <w:szCs w:val="20"/>
          <w:lang w:val="lt-LT" w:eastAsia="lt-LT"/>
        </w:rPr>
        <w:t>SĄLYGOS AR APRIBOJIMAI, SKIRTI SAUGIAM IR VEIKSMINGAM VAISTINIO PREPARATO VARTOJIMUI UŽTIKRINTI</w:t>
      </w:r>
      <w:r>
        <w:rPr>
          <w:b/>
          <w:bCs/>
          <w:sz w:val="22"/>
          <w:szCs w:val="22"/>
        </w:rPr>
        <w:t xml:space="preserve"> </w:t>
      </w:r>
    </w:p>
    <w:p w14:paraId="1A4AFED0" w14:textId="77777777" w:rsidR="00D94211" w:rsidRDefault="00D94211" w:rsidP="00D94211">
      <w:pPr>
        <w:pStyle w:val="Default"/>
        <w:rPr>
          <w:sz w:val="22"/>
          <w:szCs w:val="22"/>
        </w:rPr>
      </w:pPr>
    </w:p>
    <w:p w14:paraId="2C3A3685" w14:textId="77777777" w:rsidR="00D94211" w:rsidRDefault="00D94211" w:rsidP="00D94211">
      <w:pPr>
        <w:pStyle w:val="Default"/>
        <w:rPr>
          <w:sz w:val="22"/>
          <w:szCs w:val="22"/>
        </w:rPr>
      </w:pPr>
      <w:r>
        <w:rPr>
          <w:sz w:val="22"/>
          <w:szCs w:val="22"/>
        </w:rPr>
        <w:t xml:space="preserve">• </w:t>
      </w:r>
      <w:r>
        <w:rPr>
          <w:b/>
          <w:bCs/>
          <w:sz w:val="22"/>
          <w:szCs w:val="22"/>
        </w:rPr>
        <w:t xml:space="preserve">Papildomos rizikos mažinimo priemonės </w:t>
      </w:r>
    </w:p>
    <w:p w14:paraId="4EF098B7" w14:textId="56F9CF8C" w:rsidR="00D94211" w:rsidRDefault="00D94211" w:rsidP="00D94211">
      <w:pPr>
        <w:pStyle w:val="Default"/>
        <w:rPr>
          <w:sz w:val="22"/>
          <w:szCs w:val="22"/>
        </w:rPr>
      </w:pPr>
    </w:p>
    <w:p w14:paraId="7F1F7EB1" w14:textId="2D36E643" w:rsidR="00D94211" w:rsidRDefault="00D94211" w:rsidP="00D94211">
      <w:pPr>
        <w:pStyle w:val="Default"/>
        <w:rPr>
          <w:sz w:val="22"/>
          <w:szCs w:val="22"/>
        </w:rPr>
      </w:pPr>
      <w:r>
        <w:rPr>
          <w:sz w:val="22"/>
          <w:szCs w:val="22"/>
        </w:rPr>
        <w:t xml:space="preserve">• Kad tenofoviras dizoproksilis gali sukelti KMT sumažėjimą ir kad tenofoviro dizoproksilio sukeltų KMT pokyčių poveikis pacientų vaikų ir paauglių ilgalaikei kaulų būklei ir lūžių rizikai ateityje </w:t>
      </w:r>
      <w:r>
        <w:rPr>
          <w:b/>
          <w:bCs/>
          <w:sz w:val="22"/>
          <w:szCs w:val="22"/>
        </w:rPr>
        <w:t>nėra aiškus</w:t>
      </w:r>
      <w:r>
        <w:rPr>
          <w:sz w:val="22"/>
          <w:szCs w:val="22"/>
        </w:rPr>
        <w:t xml:space="preserve">. </w:t>
      </w:r>
    </w:p>
    <w:p w14:paraId="7556DFFC" w14:textId="77777777" w:rsidR="00DA70E6" w:rsidRPr="00DA70E6" w:rsidRDefault="00DA70E6" w:rsidP="00DA70E6">
      <w:pPr>
        <w:tabs>
          <w:tab w:val="left" w:pos="567"/>
        </w:tabs>
      </w:pPr>
      <w:r w:rsidRPr="00DA70E6">
        <w:br w:type="page"/>
      </w:r>
    </w:p>
    <w:p w14:paraId="20DBAB1A" w14:textId="77777777" w:rsidR="00DA70E6" w:rsidRPr="00DA70E6" w:rsidRDefault="00DA70E6" w:rsidP="00DA70E6">
      <w:pPr>
        <w:tabs>
          <w:tab w:val="left" w:pos="567"/>
        </w:tabs>
      </w:pPr>
    </w:p>
    <w:p w14:paraId="263FD54B" w14:textId="77777777" w:rsidR="00DA70E6" w:rsidRPr="00DA70E6" w:rsidRDefault="00DA70E6" w:rsidP="00DA70E6">
      <w:pPr>
        <w:tabs>
          <w:tab w:val="left" w:pos="567"/>
        </w:tabs>
      </w:pPr>
    </w:p>
    <w:p w14:paraId="79E677B5" w14:textId="77777777" w:rsidR="00DA70E6" w:rsidRPr="00DA70E6" w:rsidRDefault="00DA70E6" w:rsidP="00DA70E6">
      <w:pPr>
        <w:tabs>
          <w:tab w:val="left" w:pos="567"/>
        </w:tabs>
      </w:pPr>
    </w:p>
    <w:p w14:paraId="198B5650" w14:textId="77777777" w:rsidR="00DA70E6" w:rsidRPr="00DA70E6" w:rsidRDefault="00DA70E6" w:rsidP="00DA70E6">
      <w:pPr>
        <w:tabs>
          <w:tab w:val="left" w:pos="567"/>
        </w:tabs>
      </w:pPr>
    </w:p>
    <w:p w14:paraId="117B02C6" w14:textId="77777777" w:rsidR="00DA70E6" w:rsidRPr="00DA70E6" w:rsidRDefault="00DA70E6" w:rsidP="00DA70E6">
      <w:pPr>
        <w:tabs>
          <w:tab w:val="left" w:pos="567"/>
        </w:tabs>
      </w:pPr>
    </w:p>
    <w:p w14:paraId="372612E3" w14:textId="77777777" w:rsidR="00DA70E6" w:rsidRPr="00DA70E6" w:rsidRDefault="00DA70E6" w:rsidP="00DA70E6">
      <w:pPr>
        <w:tabs>
          <w:tab w:val="left" w:pos="567"/>
        </w:tabs>
      </w:pPr>
    </w:p>
    <w:p w14:paraId="4AAF67B4" w14:textId="77777777" w:rsidR="00DA70E6" w:rsidRPr="00DA70E6" w:rsidRDefault="00DA70E6" w:rsidP="00DA70E6">
      <w:pPr>
        <w:tabs>
          <w:tab w:val="left" w:pos="567"/>
        </w:tabs>
      </w:pPr>
    </w:p>
    <w:p w14:paraId="462A4B0B" w14:textId="77777777" w:rsidR="00DA70E6" w:rsidRPr="00DA70E6" w:rsidRDefault="00DA70E6" w:rsidP="00DA70E6">
      <w:pPr>
        <w:tabs>
          <w:tab w:val="left" w:pos="567"/>
        </w:tabs>
      </w:pPr>
    </w:p>
    <w:p w14:paraId="5F8DB8FD" w14:textId="77777777" w:rsidR="00DA70E6" w:rsidRPr="00DA70E6" w:rsidRDefault="00DA70E6" w:rsidP="00DA70E6">
      <w:pPr>
        <w:tabs>
          <w:tab w:val="left" w:pos="567"/>
        </w:tabs>
      </w:pPr>
    </w:p>
    <w:p w14:paraId="5AFEB380" w14:textId="77777777" w:rsidR="00DA70E6" w:rsidRPr="00DA70E6" w:rsidRDefault="00DA70E6" w:rsidP="00DA70E6">
      <w:pPr>
        <w:tabs>
          <w:tab w:val="left" w:pos="567"/>
        </w:tabs>
      </w:pPr>
    </w:p>
    <w:p w14:paraId="78391D6C" w14:textId="77777777" w:rsidR="00DA70E6" w:rsidRPr="00DA70E6" w:rsidRDefault="00DA70E6" w:rsidP="00DA70E6">
      <w:pPr>
        <w:tabs>
          <w:tab w:val="left" w:pos="567"/>
        </w:tabs>
      </w:pPr>
    </w:p>
    <w:p w14:paraId="422AB5F7" w14:textId="77777777" w:rsidR="00DA70E6" w:rsidRPr="00DA70E6" w:rsidRDefault="00DA70E6" w:rsidP="00DA70E6">
      <w:pPr>
        <w:tabs>
          <w:tab w:val="left" w:pos="567"/>
        </w:tabs>
      </w:pPr>
    </w:p>
    <w:p w14:paraId="7B9396C6" w14:textId="77777777" w:rsidR="00DA70E6" w:rsidRPr="00DA70E6" w:rsidRDefault="00DA70E6" w:rsidP="00DA70E6">
      <w:pPr>
        <w:tabs>
          <w:tab w:val="left" w:pos="567"/>
        </w:tabs>
      </w:pPr>
    </w:p>
    <w:p w14:paraId="680C2629" w14:textId="77777777" w:rsidR="00DA70E6" w:rsidRPr="00DA70E6" w:rsidRDefault="00DA70E6" w:rsidP="00DA70E6">
      <w:pPr>
        <w:tabs>
          <w:tab w:val="left" w:pos="567"/>
        </w:tabs>
      </w:pPr>
    </w:p>
    <w:p w14:paraId="3520D307" w14:textId="77777777" w:rsidR="00DA70E6" w:rsidRPr="00DA70E6" w:rsidRDefault="00DA70E6" w:rsidP="00DA70E6">
      <w:pPr>
        <w:tabs>
          <w:tab w:val="left" w:pos="567"/>
        </w:tabs>
      </w:pPr>
    </w:p>
    <w:p w14:paraId="474C8F1B" w14:textId="77777777" w:rsidR="00DA70E6" w:rsidRPr="00DA70E6" w:rsidRDefault="00DA70E6" w:rsidP="00DA70E6">
      <w:pPr>
        <w:tabs>
          <w:tab w:val="left" w:pos="567"/>
        </w:tabs>
        <w:rPr>
          <w:i/>
        </w:rPr>
      </w:pPr>
    </w:p>
    <w:p w14:paraId="5F1AD74C" w14:textId="77777777" w:rsidR="00DA70E6" w:rsidRPr="00DA70E6" w:rsidRDefault="00DA70E6" w:rsidP="00DA70E6">
      <w:pPr>
        <w:jc w:val="center"/>
        <w:outlineLvl w:val="0"/>
      </w:pPr>
    </w:p>
    <w:p w14:paraId="23C26C4E" w14:textId="77777777" w:rsidR="00DA70E6" w:rsidRPr="00DA70E6" w:rsidRDefault="00DA70E6" w:rsidP="00DA70E6">
      <w:pPr>
        <w:jc w:val="center"/>
        <w:outlineLvl w:val="0"/>
      </w:pPr>
    </w:p>
    <w:p w14:paraId="74C1C32D" w14:textId="77777777" w:rsidR="00DA70E6" w:rsidRPr="00DA70E6" w:rsidRDefault="00DA70E6" w:rsidP="00DA70E6">
      <w:pPr>
        <w:jc w:val="center"/>
        <w:outlineLvl w:val="0"/>
      </w:pPr>
    </w:p>
    <w:p w14:paraId="48698331" w14:textId="77777777" w:rsidR="00DA70E6" w:rsidRPr="00DA70E6" w:rsidRDefault="00DA70E6" w:rsidP="00DA70E6">
      <w:pPr>
        <w:jc w:val="center"/>
        <w:outlineLvl w:val="0"/>
      </w:pPr>
    </w:p>
    <w:p w14:paraId="12DAD3BB" w14:textId="77777777" w:rsidR="00DA70E6" w:rsidRPr="00DA70E6" w:rsidRDefault="00DA70E6" w:rsidP="00DA70E6">
      <w:pPr>
        <w:jc w:val="center"/>
        <w:outlineLvl w:val="0"/>
      </w:pPr>
    </w:p>
    <w:p w14:paraId="6FF97A1B" w14:textId="77777777" w:rsidR="00DA70E6" w:rsidRPr="00DA70E6" w:rsidRDefault="00DA70E6" w:rsidP="00DA70E6">
      <w:pPr>
        <w:jc w:val="center"/>
        <w:outlineLvl w:val="0"/>
      </w:pPr>
    </w:p>
    <w:p w14:paraId="50CE6175" w14:textId="77777777" w:rsidR="00DA70E6" w:rsidRPr="00DA70E6" w:rsidRDefault="00DA70E6" w:rsidP="00DA70E6">
      <w:pPr>
        <w:jc w:val="center"/>
        <w:outlineLvl w:val="0"/>
      </w:pPr>
    </w:p>
    <w:p w14:paraId="187DA4E4" w14:textId="77777777" w:rsidR="00DA70E6" w:rsidRPr="00DA70E6" w:rsidRDefault="00DA70E6" w:rsidP="00DA70E6">
      <w:pPr>
        <w:jc w:val="center"/>
        <w:outlineLvl w:val="0"/>
      </w:pPr>
      <w:r w:rsidRPr="00DA70E6">
        <w:rPr>
          <w:b/>
          <w:kern w:val="28"/>
        </w:rPr>
        <w:t>III PRIEDAS</w:t>
      </w:r>
    </w:p>
    <w:p w14:paraId="272B7B13" w14:textId="77777777" w:rsidR="00DA70E6" w:rsidRPr="00DA70E6" w:rsidRDefault="00DA70E6" w:rsidP="00DA70E6">
      <w:pPr>
        <w:rPr>
          <w:i/>
        </w:rPr>
      </w:pPr>
    </w:p>
    <w:p w14:paraId="4A1D3CE0" w14:textId="77777777" w:rsidR="00DA70E6" w:rsidRPr="00DA70E6" w:rsidRDefault="00DA70E6" w:rsidP="00DA70E6">
      <w:pPr>
        <w:jc w:val="center"/>
        <w:rPr>
          <w:b/>
        </w:rPr>
      </w:pPr>
      <w:r w:rsidRPr="00DA70E6">
        <w:rPr>
          <w:b/>
        </w:rPr>
        <w:t>ŽENKLINIMAS IR PAKUOTĖS LAPELIS</w:t>
      </w:r>
    </w:p>
    <w:p w14:paraId="5EB54752" w14:textId="77777777" w:rsidR="00DA70E6" w:rsidRPr="00DA70E6" w:rsidRDefault="00DA70E6" w:rsidP="00DA70E6">
      <w:pPr>
        <w:rPr>
          <w:i/>
        </w:rPr>
      </w:pPr>
      <w:r w:rsidRPr="00DA70E6">
        <w:rPr>
          <w:i/>
        </w:rPr>
        <w:br w:type="page"/>
      </w:r>
    </w:p>
    <w:p w14:paraId="6B7E0ED8" w14:textId="77777777" w:rsidR="00DA70E6" w:rsidRPr="00DA70E6" w:rsidRDefault="00DA70E6" w:rsidP="00DA70E6">
      <w:pPr>
        <w:rPr>
          <w:i/>
        </w:rPr>
      </w:pPr>
    </w:p>
    <w:p w14:paraId="5E0C708C" w14:textId="77777777" w:rsidR="00DA70E6" w:rsidRPr="00DA70E6" w:rsidRDefault="00DA70E6" w:rsidP="00DA70E6">
      <w:pPr>
        <w:rPr>
          <w:i/>
        </w:rPr>
      </w:pPr>
    </w:p>
    <w:p w14:paraId="1E46A346" w14:textId="77777777" w:rsidR="00DA70E6" w:rsidRPr="00DA70E6" w:rsidRDefault="00DA70E6" w:rsidP="00DA70E6">
      <w:pPr>
        <w:rPr>
          <w:i/>
        </w:rPr>
      </w:pPr>
    </w:p>
    <w:p w14:paraId="16F263F0" w14:textId="77777777" w:rsidR="00DA70E6" w:rsidRPr="00DA70E6" w:rsidRDefault="00DA70E6" w:rsidP="00DA70E6">
      <w:pPr>
        <w:rPr>
          <w:i/>
        </w:rPr>
      </w:pPr>
    </w:p>
    <w:p w14:paraId="6BF0A7CE" w14:textId="77777777" w:rsidR="00DA70E6" w:rsidRPr="00DA70E6" w:rsidRDefault="00DA70E6" w:rsidP="00DA70E6">
      <w:pPr>
        <w:rPr>
          <w:i/>
        </w:rPr>
      </w:pPr>
    </w:p>
    <w:p w14:paraId="0A627DD4" w14:textId="77777777" w:rsidR="00DA70E6" w:rsidRPr="00DA70E6" w:rsidRDefault="00DA70E6" w:rsidP="00DA70E6">
      <w:pPr>
        <w:rPr>
          <w:i/>
        </w:rPr>
      </w:pPr>
    </w:p>
    <w:p w14:paraId="7F81E862" w14:textId="77777777" w:rsidR="00DA70E6" w:rsidRPr="00DA70E6" w:rsidRDefault="00DA70E6" w:rsidP="00DA70E6">
      <w:pPr>
        <w:rPr>
          <w:i/>
        </w:rPr>
      </w:pPr>
    </w:p>
    <w:p w14:paraId="35BCE48C" w14:textId="77777777" w:rsidR="00DA70E6" w:rsidRPr="00DA70E6" w:rsidRDefault="00DA70E6" w:rsidP="00DA70E6">
      <w:pPr>
        <w:rPr>
          <w:i/>
        </w:rPr>
      </w:pPr>
    </w:p>
    <w:p w14:paraId="2A98ACE5" w14:textId="77777777" w:rsidR="00DA70E6" w:rsidRPr="00DA70E6" w:rsidRDefault="00DA70E6" w:rsidP="00DA70E6">
      <w:pPr>
        <w:rPr>
          <w:i/>
        </w:rPr>
      </w:pPr>
    </w:p>
    <w:p w14:paraId="3E2DA575" w14:textId="77777777" w:rsidR="00DA70E6" w:rsidRPr="00DA70E6" w:rsidRDefault="00DA70E6" w:rsidP="00DA70E6">
      <w:pPr>
        <w:rPr>
          <w:i/>
        </w:rPr>
      </w:pPr>
    </w:p>
    <w:p w14:paraId="7831524A" w14:textId="77777777" w:rsidR="00DA70E6" w:rsidRPr="00DA70E6" w:rsidRDefault="00DA70E6" w:rsidP="00DA70E6">
      <w:pPr>
        <w:rPr>
          <w:i/>
        </w:rPr>
      </w:pPr>
    </w:p>
    <w:p w14:paraId="172EEA74" w14:textId="77777777" w:rsidR="00DA70E6" w:rsidRPr="00DA70E6" w:rsidRDefault="00DA70E6" w:rsidP="00DA70E6">
      <w:pPr>
        <w:rPr>
          <w:i/>
        </w:rPr>
      </w:pPr>
    </w:p>
    <w:p w14:paraId="7DE52A7F" w14:textId="77777777" w:rsidR="00DA70E6" w:rsidRPr="00DA70E6" w:rsidRDefault="00DA70E6" w:rsidP="00DA70E6">
      <w:pPr>
        <w:rPr>
          <w:i/>
        </w:rPr>
      </w:pPr>
    </w:p>
    <w:p w14:paraId="5B9C397B" w14:textId="77777777" w:rsidR="00DA70E6" w:rsidRPr="00DA70E6" w:rsidRDefault="00DA70E6" w:rsidP="00DA70E6">
      <w:pPr>
        <w:rPr>
          <w:i/>
        </w:rPr>
      </w:pPr>
    </w:p>
    <w:p w14:paraId="1355FA87" w14:textId="77777777" w:rsidR="00DA70E6" w:rsidRPr="00DA70E6" w:rsidRDefault="00DA70E6" w:rsidP="00DA70E6">
      <w:pPr>
        <w:rPr>
          <w:i/>
        </w:rPr>
      </w:pPr>
    </w:p>
    <w:p w14:paraId="6478D486" w14:textId="77777777" w:rsidR="00DA70E6" w:rsidRPr="00DA70E6" w:rsidRDefault="00DA70E6" w:rsidP="00DA70E6">
      <w:pPr>
        <w:rPr>
          <w:i/>
        </w:rPr>
      </w:pPr>
    </w:p>
    <w:p w14:paraId="0A7DFD76" w14:textId="77777777" w:rsidR="00DA70E6" w:rsidRPr="00DA70E6" w:rsidRDefault="00DA70E6" w:rsidP="00DA70E6">
      <w:pPr>
        <w:jc w:val="center"/>
        <w:outlineLvl w:val="0"/>
      </w:pPr>
    </w:p>
    <w:p w14:paraId="1E71571C" w14:textId="77777777" w:rsidR="00DA70E6" w:rsidRPr="00DA70E6" w:rsidRDefault="00DA70E6" w:rsidP="00DA70E6">
      <w:pPr>
        <w:jc w:val="center"/>
        <w:outlineLvl w:val="0"/>
      </w:pPr>
    </w:p>
    <w:p w14:paraId="7D278C55" w14:textId="77777777" w:rsidR="00DA70E6" w:rsidRPr="00DA70E6" w:rsidRDefault="00DA70E6" w:rsidP="00DA70E6">
      <w:pPr>
        <w:jc w:val="center"/>
        <w:outlineLvl w:val="0"/>
      </w:pPr>
    </w:p>
    <w:p w14:paraId="713F9DCD" w14:textId="77777777" w:rsidR="00DA70E6" w:rsidRPr="00DA70E6" w:rsidRDefault="00DA70E6" w:rsidP="00DA70E6">
      <w:pPr>
        <w:jc w:val="center"/>
        <w:outlineLvl w:val="0"/>
      </w:pPr>
    </w:p>
    <w:p w14:paraId="3095A44E" w14:textId="77777777" w:rsidR="00DA70E6" w:rsidRPr="00DA70E6" w:rsidRDefault="00DA70E6" w:rsidP="00DA70E6">
      <w:pPr>
        <w:jc w:val="center"/>
        <w:outlineLvl w:val="0"/>
      </w:pPr>
    </w:p>
    <w:p w14:paraId="77CD0E49" w14:textId="77777777" w:rsidR="00DA70E6" w:rsidRPr="00DA70E6" w:rsidRDefault="00DA70E6" w:rsidP="00DA70E6">
      <w:pPr>
        <w:jc w:val="center"/>
        <w:outlineLvl w:val="0"/>
      </w:pPr>
    </w:p>
    <w:p w14:paraId="10AA1171" w14:textId="77777777" w:rsidR="00DA70E6" w:rsidRPr="00DA70E6" w:rsidRDefault="00DA70E6" w:rsidP="00DA70E6">
      <w:pPr>
        <w:jc w:val="center"/>
        <w:outlineLvl w:val="0"/>
      </w:pPr>
    </w:p>
    <w:p w14:paraId="676BC688" w14:textId="77777777" w:rsidR="00DA70E6" w:rsidRPr="00DA70E6" w:rsidRDefault="00DA70E6" w:rsidP="00DA70E6">
      <w:pPr>
        <w:jc w:val="center"/>
        <w:outlineLvl w:val="0"/>
      </w:pPr>
      <w:r w:rsidRPr="00DA70E6">
        <w:rPr>
          <w:b/>
          <w:kern w:val="28"/>
        </w:rPr>
        <w:t>A. ŽENKLINIMAS</w:t>
      </w:r>
    </w:p>
    <w:p w14:paraId="2CAC4F3C" w14:textId="77777777" w:rsidR="00DA70E6" w:rsidRPr="00DA70E6" w:rsidRDefault="00DA70E6" w:rsidP="00DA70E6">
      <w:pPr>
        <w:ind w:left="567" w:hanging="567"/>
      </w:pPr>
      <w:r w:rsidRPr="00DA70E6">
        <w:rPr>
          <w:i/>
        </w:rPr>
        <w:br w:type="page"/>
      </w:r>
    </w:p>
    <w:p w14:paraId="696885FD" w14:textId="2A3ADE12" w:rsidR="00DA70E6" w:rsidRPr="00DA70E6" w:rsidRDefault="00DA70E6" w:rsidP="00DA70E6">
      <w:pPr>
        <w:pBdr>
          <w:top w:val="single" w:sz="4" w:space="0" w:color="auto"/>
          <w:left w:val="single" w:sz="4" w:space="4" w:color="auto"/>
          <w:bottom w:val="single" w:sz="4" w:space="1" w:color="auto"/>
          <w:right w:val="single" w:sz="4" w:space="4" w:color="auto"/>
        </w:pBdr>
        <w:rPr>
          <w:b/>
          <w:caps/>
        </w:rPr>
      </w:pPr>
      <w:r w:rsidRPr="00DA70E6">
        <w:rPr>
          <w:b/>
          <w:caps/>
        </w:rPr>
        <w:t xml:space="preserve">Informacija ant </w:t>
      </w:r>
      <w:r w:rsidRPr="00DA70E6">
        <w:rPr>
          <w:b/>
        </w:rPr>
        <w:t>IŠORINĖS</w:t>
      </w:r>
      <w:r w:rsidRPr="00DA70E6">
        <w:t xml:space="preserve"> </w:t>
      </w:r>
      <w:r w:rsidRPr="00DA70E6">
        <w:rPr>
          <w:b/>
          <w:caps/>
        </w:rPr>
        <w:t xml:space="preserve">pakuotės </w:t>
      </w:r>
      <w:r w:rsidR="007E428A">
        <w:rPr>
          <w:b/>
          <w:caps/>
        </w:rPr>
        <w:t>IR VIDINĖS PAKUOTĖ</w:t>
      </w:r>
      <w:r w:rsidR="0006756E">
        <w:rPr>
          <w:b/>
          <w:caps/>
        </w:rPr>
        <w:t>s</w:t>
      </w:r>
    </w:p>
    <w:p w14:paraId="69E928E7" w14:textId="77777777" w:rsidR="00DA70E6" w:rsidRPr="00DA70E6" w:rsidRDefault="00DA70E6" w:rsidP="00DA70E6">
      <w:pPr>
        <w:pBdr>
          <w:top w:val="single" w:sz="4" w:space="0" w:color="auto"/>
          <w:left w:val="single" w:sz="4" w:space="4" w:color="auto"/>
          <w:bottom w:val="single" w:sz="4" w:space="1" w:color="auto"/>
          <w:right w:val="single" w:sz="4" w:space="4" w:color="auto"/>
        </w:pBdr>
        <w:ind w:left="567" w:hanging="567"/>
      </w:pPr>
    </w:p>
    <w:p w14:paraId="30D318A2" w14:textId="77777777" w:rsidR="00DA70E6" w:rsidRPr="00DA70E6" w:rsidRDefault="00DA70E6" w:rsidP="00DA70E6">
      <w:pPr>
        <w:pBdr>
          <w:top w:val="single" w:sz="4" w:space="0" w:color="auto"/>
          <w:left w:val="single" w:sz="4" w:space="4" w:color="auto"/>
          <w:bottom w:val="single" w:sz="4" w:space="1" w:color="auto"/>
          <w:right w:val="single" w:sz="4" w:space="4" w:color="auto"/>
        </w:pBdr>
        <w:ind w:left="567" w:hanging="567"/>
      </w:pPr>
      <w:r w:rsidRPr="00DA70E6">
        <w:rPr>
          <w:rFonts w:ascii="Times New Roman Bold" w:hAnsi="Times New Roman Bold"/>
          <w:b/>
          <w:szCs w:val="22"/>
        </w:rPr>
        <w:t xml:space="preserve">KARTONO DĖŽUTĖ LIZDINEI PLOKŠTELEI </w:t>
      </w:r>
    </w:p>
    <w:p w14:paraId="2D64DC37" w14:textId="77777777" w:rsidR="00DA70E6" w:rsidRPr="00DA70E6" w:rsidRDefault="00DA70E6" w:rsidP="00DA70E6">
      <w:pPr>
        <w:ind w:left="567" w:hanging="567"/>
      </w:pPr>
    </w:p>
    <w:p w14:paraId="1160E9E6" w14:textId="77777777" w:rsidR="00DA70E6" w:rsidRPr="00DA70E6" w:rsidRDefault="00DA70E6" w:rsidP="00DA70E6">
      <w:pPr>
        <w:ind w:left="567" w:hanging="567"/>
      </w:pPr>
    </w:p>
    <w:p w14:paraId="4DF9CDB5"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w:t>
      </w:r>
      <w:r w:rsidRPr="00DA70E6">
        <w:rPr>
          <w:b/>
          <w:caps/>
        </w:rPr>
        <w:tab/>
        <w:t>vaistinio preparato pavadinimas</w:t>
      </w:r>
    </w:p>
    <w:p w14:paraId="03557897" w14:textId="77777777" w:rsidR="00DA70E6" w:rsidRPr="00DA70E6" w:rsidRDefault="00DA70E6" w:rsidP="00DA70E6">
      <w:pPr>
        <w:ind w:left="567" w:hanging="567"/>
      </w:pPr>
    </w:p>
    <w:p w14:paraId="00FFF88C" w14:textId="77777777" w:rsidR="00DA70E6" w:rsidRPr="00DA70E6" w:rsidRDefault="00DA70E6" w:rsidP="00DA70E6">
      <w:pPr>
        <w:rPr>
          <w:rFonts w:ascii="Calibri" w:eastAsia="Calibri" w:hAnsi="Calibri"/>
          <w:b/>
        </w:rPr>
      </w:pPr>
      <w:r w:rsidRPr="00DA70E6">
        <w:rPr>
          <w:rFonts w:eastAsia="TimesNewRoman"/>
        </w:rPr>
        <w:t>Emtricitabine/Tenofovir disoproxil Sandoz 200 mg/245 mg plėvele dengtos tabletės</w:t>
      </w:r>
    </w:p>
    <w:p w14:paraId="76EED578" w14:textId="77777777" w:rsidR="00DA70E6" w:rsidRPr="00DA70E6" w:rsidRDefault="00DA70E6" w:rsidP="00DA70E6">
      <w:pPr>
        <w:ind w:left="567" w:hanging="567"/>
      </w:pPr>
    </w:p>
    <w:p w14:paraId="438048CB" w14:textId="493FD2D5" w:rsidR="00DA70E6" w:rsidRPr="00DA70E6" w:rsidRDefault="002872CD" w:rsidP="00DA70E6">
      <w:pPr>
        <w:ind w:left="567" w:hanging="567"/>
      </w:pPr>
      <w:r>
        <w:t>e</w:t>
      </w:r>
      <w:r w:rsidR="00DA70E6" w:rsidRPr="00DA70E6">
        <w:t xml:space="preserve">mtricitabinum / </w:t>
      </w:r>
      <w:r>
        <w:t>t</w:t>
      </w:r>
      <w:r w:rsidR="00DA70E6" w:rsidRPr="00DA70E6">
        <w:t>enofovirum disoproxilum</w:t>
      </w:r>
    </w:p>
    <w:p w14:paraId="2B755DDA" w14:textId="77777777" w:rsidR="00DA70E6" w:rsidRPr="00DA70E6" w:rsidRDefault="00DA70E6" w:rsidP="00DA70E6">
      <w:pPr>
        <w:ind w:left="567" w:hanging="567"/>
      </w:pPr>
    </w:p>
    <w:p w14:paraId="509E4052" w14:textId="77777777" w:rsidR="00DA70E6" w:rsidRPr="00DA70E6" w:rsidRDefault="00DA70E6" w:rsidP="00DA70E6">
      <w:pPr>
        <w:ind w:left="567" w:hanging="567"/>
      </w:pPr>
    </w:p>
    <w:p w14:paraId="6216789B"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2.</w:t>
      </w:r>
      <w:r w:rsidRPr="00DA70E6">
        <w:rPr>
          <w:b/>
          <w:caps/>
        </w:rPr>
        <w:tab/>
        <w:t>VEIKLIOJI (-IOS) MEDŽIAGA (-OS) IR JOS (-Ų) KIEKIS (-IAI)</w:t>
      </w:r>
    </w:p>
    <w:p w14:paraId="131DC4F4" w14:textId="77777777" w:rsidR="00DA70E6" w:rsidRPr="00DA70E6" w:rsidRDefault="00DA70E6" w:rsidP="00DA70E6">
      <w:pPr>
        <w:ind w:left="567" w:hanging="567"/>
        <w:rPr>
          <w:caps/>
        </w:rPr>
      </w:pPr>
    </w:p>
    <w:p w14:paraId="781974AB" w14:textId="77777777" w:rsidR="00DA70E6" w:rsidRPr="00DA70E6" w:rsidRDefault="00DA70E6" w:rsidP="00DA70E6">
      <w:pPr>
        <w:spacing w:line="240" w:lineRule="exact"/>
      </w:pPr>
      <w:r w:rsidRPr="00DA70E6">
        <w:t>Kiekvienoje plėvele dengtoje tabletėje yra 200 mg emtricitabino ir 245 mg tenofoviro dizoproksilio.</w:t>
      </w:r>
    </w:p>
    <w:p w14:paraId="039DAE86" w14:textId="77777777" w:rsidR="00DA70E6" w:rsidRPr="00DA70E6" w:rsidRDefault="00DA70E6" w:rsidP="00DA70E6"/>
    <w:p w14:paraId="533CFB75" w14:textId="77777777" w:rsidR="00DA70E6" w:rsidRPr="00DA70E6" w:rsidRDefault="00DA70E6" w:rsidP="00DA70E6">
      <w:pPr>
        <w:spacing w:line="240" w:lineRule="exact"/>
      </w:pPr>
    </w:p>
    <w:p w14:paraId="65879ADB"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3.</w:t>
      </w:r>
      <w:r w:rsidRPr="00DA70E6">
        <w:rPr>
          <w:b/>
          <w:caps/>
        </w:rPr>
        <w:tab/>
        <w:t>pagalbinių medžiagų sąrašas</w:t>
      </w:r>
    </w:p>
    <w:p w14:paraId="1E4CBE38" w14:textId="77777777" w:rsidR="00DA70E6" w:rsidRPr="00DA70E6" w:rsidRDefault="00DA70E6" w:rsidP="00DA70E6">
      <w:pPr>
        <w:ind w:left="567" w:hanging="567"/>
      </w:pPr>
    </w:p>
    <w:p w14:paraId="012A2B16" w14:textId="77777777" w:rsidR="00DA70E6" w:rsidRPr="00DA70E6" w:rsidRDefault="00DA70E6" w:rsidP="00DA70E6">
      <w:pPr>
        <w:ind w:left="567" w:hanging="567"/>
      </w:pPr>
      <w:r w:rsidRPr="00DA70E6">
        <w:t xml:space="preserve">Sudėtyje yra laktozės. </w:t>
      </w:r>
      <w:r w:rsidRPr="000407E7">
        <w:rPr>
          <w:highlight w:val="lightGray"/>
        </w:rPr>
        <w:t>Daugiau informacijos žr. pakuotės lapelyje.</w:t>
      </w:r>
    </w:p>
    <w:p w14:paraId="49C39C12" w14:textId="77777777" w:rsidR="00DA70E6" w:rsidRPr="00DA70E6" w:rsidRDefault="00DA70E6" w:rsidP="00DA70E6">
      <w:pPr>
        <w:ind w:left="567" w:hanging="567"/>
        <w:rPr>
          <w:caps/>
        </w:rPr>
      </w:pPr>
    </w:p>
    <w:p w14:paraId="70473767" w14:textId="77777777" w:rsidR="00DA70E6" w:rsidRPr="00DA70E6" w:rsidRDefault="00DA70E6" w:rsidP="00DA70E6">
      <w:pPr>
        <w:ind w:left="567" w:hanging="567"/>
        <w:rPr>
          <w:caps/>
        </w:rPr>
      </w:pPr>
    </w:p>
    <w:p w14:paraId="7725600D"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4.</w:t>
      </w:r>
      <w:r w:rsidRPr="00DA70E6">
        <w:rPr>
          <w:b/>
          <w:caps/>
        </w:rPr>
        <w:tab/>
        <w:t>FARMACINĖ forma ir KIEKIS PAKUOTĖJE</w:t>
      </w:r>
    </w:p>
    <w:p w14:paraId="6FE2D9D1" w14:textId="77777777" w:rsidR="00DA70E6" w:rsidRPr="00DA70E6" w:rsidRDefault="00DA70E6" w:rsidP="00DA70E6">
      <w:pPr>
        <w:ind w:left="567" w:hanging="567"/>
      </w:pPr>
    </w:p>
    <w:p w14:paraId="6CCB13F2" w14:textId="77777777" w:rsidR="00DA70E6" w:rsidRPr="00DA70E6" w:rsidRDefault="00DA70E6" w:rsidP="00DA70E6">
      <w:pPr>
        <w:ind w:left="567" w:hanging="567"/>
      </w:pPr>
      <w:r w:rsidRPr="000407E7">
        <w:rPr>
          <w:highlight w:val="lightGray"/>
        </w:rPr>
        <w:t>Plėvele dengta tabletė</w:t>
      </w:r>
    </w:p>
    <w:p w14:paraId="45C90FD8" w14:textId="77777777" w:rsidR="00DA70E6" w:rsidRPr="00DA70E6" w:rsidRDefault="00DA70E6" w:rsidP="00DA70E6">
      <w:pPr>
        <w:ind w:left="567" w:hanging="567"/>
      </w:pPr>
    </w:p>
    <w:p w14:paraId="4D719EB8" w14:textId="77777777" w:rsidR="00DA70E6" w:rsidRPr="00DA70E6" w:rsidRDefault="00DA70E6" w:rsidP="00DA70E6">
      <w:pPr>
        <w:ind w:left="567" w:hanging="567"/>
        <w:rPr>
          <w:szCs w:val="22"/>
        </w:rPr>
      </w:pPr>
      <w:r w:rsidRPr="00DA70E6">
        <w:rPr>
          <w:szCs w:val="22"/>
        </w:rPr>
        <w:t xml:space="preserve">10 </w:t>
      </w:r>
      <w:r w:rsidRPr="000407E7">
        <w:rPr>
          <w:highlight w:val="lightGray"/>
        </w:rPr>
        <w:t>plėvele dengtų</w:t>
      </w:r>
      <w:r w:rsidRPr="00DA70E6">
        <w:rPr>
          <w:szCs w:val="22"/>
        </w:rPr>
        <w:t xml:space="preserve"> tablečių</w:t>
      </w:r>
    </w:p>
    <w:p w14:paraId="1AE2DD1A" w14:textId="77777777" w:rsidR="00DA70E6" w:rsidRPr="00DA70E6" w:rsidRDefault="00DA70E6" w:rsidP="00DA70E6">
      <w:pPr>
        <w:ind w:left="567" w:hanging="567"/>
        <w:rPr>
          <w:rFonts w:ascii="Calibri" w:eastAsia="Calibri" w:hAnsi="Calibri"/>
        </w:rPr>
      </w:pPr>
      <w:r w:rsidRPr="000407E7">
        <w:rPr>
          <w:highlight w:val="lightGray"/>
        </w:rPr>
        <w:t>30 plėvele dengtų tablečių</w:t>
      </w:r>
    </w:p>
    <w:p w14:paraId="0C48E346" w14:textId="77777777" w:rsidR="00DA70E6" w:rsidRPr="000407E7" w:rsidRDefault="00DA70E6" w:rsidP="00DA70E6">
      <w:pPr>
        <w:ind w:left="567" w:hanging="567"/>
        <w:rPr>
          <w:highlight w:val="lightGray"/>
        </w:rPr>
      </w:pPr>
      <w:r w:rsidRPr="000407E7">
        <w:rPr>
          <w:highlight w:val="lightGray"/>
        </w:rPr>
        <w:t>60 plėvele dengtų tablečių</w:t>
      </w:r>
    </w:p>
    <w:p w14:paraId="6343AA14" w14:textId="77777777" w:rsidR="00DA70E6" w:rsidRPr="00DA70E6" w:rsidRDefault="00DA70E6" w:rsidP="00DA70E6">
      <w:pPr>
        <w:ind w:left="567" w:hanging="567"/>
        <w:rPr>
          <w:highlight w:val="lightGray"/>
        </w:rPr>
      </w:pPr>
      <w:r w:rsidRPr="000407E7">
        <w:rPr>
          <w:highlight w:val="lightGray"/>
        </w:rPr>
        <w:t>90 plėvele dengt</w:t>
      </w:r>
      <w:r w:rsidRPr="00DA70E6">
        <w:rPr>
          <w:highlight w:val="lightGray"/>
        </w:rPr>
        <w:t>ų tablečių</w:t>
      </w:r>
    </w:p>
    <w:p w14:paraId="35E09D34" w14:textId="77777777" w:rsidR="00DA70E6" w:rsidRPr="00DA70E6" w:rsidRDefault="00DA70E6" w:rsidP="00DA70E6">
      <w:pPr>
        <w:ind w:left="567" w:hanging="567"/>
        <w:rPr>
          <w:caps/>
        </w:rPr>
      </w:pPr>
    </w:p>
    <w:p w14:paraId="04FBA8DD" w14:textId="77777777" w:rsidR="00DA70E6" w:rsidRPr="00DA70E6" w:rsidRDefault="00DA70E6" w:rsidP="00DA70E6">
      <w:pPr>
        <w:ind w:left="567" w:hanging="567"/>
        <w:rPr>
          <w:caps/>
        </w:rPr>
      </w:pPr>
    </w:p>
    <w:p w14:paraId="4589D903"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5.</w:t>
      </w:r>
      <w:r w:rsidRPr="00DA70E6">
        <w:rPr>
          <w:b/>
          <w:caps/>
        </w:rPr>
        <w:tab/>
        <w:t>vartojimo METODAS IR būdas (-AI)</w:t>
      </w:r>
    </w:p>
    <w:p w14:paraId="545720CE" w14:textId="77777777" w:rsidR="00DA70E6" w:rsidRPr="00DA70E6" w:rsidRDefault="00DA70E6" w:rsidP="00DA70E6">
      <w:pPr>
        <w:ind w:left="567" w:hanging="567"/>
      </w:pPr>
    </w:p>
    <w:p w14:paraId="2D925B13" w14:textId="77777777" w:rsidR="00DA70E6" w:rsidRPr="00DA70E6" w:rsidRDefault="00DA70E6" w:rsidP="00DA70E6">
      <w:pPr>
        <w:ind w:left="567" w:hanging="567"/>
      </w:pPr>
      <w:r w:rsidRPr="00DA70E6">
        <w:t>Vartoti per burną.</w:t>
      </w:r>
    </w:p>
    <w:p w14:paraId="62BCB261" w14:textId="77777777" w:rsidR="00DA70E6" w:rsidRPr="00DA70E6" w:rsidRDefault="00DA70E6" w:rsidP="00DA70E6">
      <w:pPr>
        <w:ind w:left="567" w:hanging="567"/>
      </w:pPr>
      <w:r w:rsidRPr="00DA70E6">
        <w:t>Prieš vartojimą perskaitykite pakuotės lapelį.</w:t>
      </w:r>
    </w:p>
    <w:p w14:paraId="7C142234" w14:textId="77777777" w:rsidR="00DA70E6" w:rsidRPr="00DA70E6" w:rsidRDefault="00DA70E6" w:rsidP="00DA70E6">
      <w:pPr>
        <w:ind w:left="567" w:hanging="567"/>
        <w:rPr>
          <w:caps/>
        </w:rPr>
      </w:pPr>
    </w:p>
    <w:p w14:paraId="2B712578" w14:textId="77777777" w:rsidR="00DA70E6" w:rsidRPr="00DA70E6" w:rsidRDefault="00DA70E6" w:rsidP="00DA70E6">
      <w:pPr>
        <w:ind w:left="567" w:hanging="567"/>
        <w:rPr>
          <w:caps/>
        </w:rPr>
      </w:pPr>
    </w:p>
    <w:p w14:paraId="2EB73ABF"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6.</w:t>
      </w:r>
      <w:r w:rsidRPr="00DA70E6">
        <w:rPr>
          <w:b/>
          <w:caps/>
        </w:rPr>
        <w:tab/>
        <w:t>SPECIALUS Įspėjimas</w:t>
      </w:r>
      <w:r w:rsidRPr="00DA70E6">
        <w:t xml:space="preserve">, </w:t>
      </w:r>
      <w:r w:rsidRPr="00DA70E6">
        <w:rPr>
          <w:b/>
        </w:rPr>
        <w:t xml:space="preserve">KAD VAISTINĮ PREPARATĄ BŪTINA LAIKYTI </w:t>
      </w:r>
      <w:r w:rsidRPr="00DA70E6">
        <w:rPr>
          <w:b/>
          <w:caps/>
        </w:rPr>
        <w:t>vaikams NEPASTEBIMOJE IR  NEPASIEKIAMOJE vietoje</w:t>
      </w:r>
    </w:p>
    <w:p w14:paraId="4655762C" w14:textId="77777777" w:rsidR="00DA70E6" w:rsidRPr="00DA70E6" w:rsidRDefault="00DA70E6" w:rsidP="00DA70E6">
      <w:pPr>
        <w:ind w:left="567" w:hanging="567"/>
      </w:pPr>
    </w:p>
    <w:p w14:paraId="57A34615" w14:textId="77777777" w:rsidR="00DA70E6" w:rsidRPr="00DA70E6" w:rsidRDefault="00DA70E6" w:rsidP="00DA70E6">
      <w:pPr>
        <w:ind w:left="567" w:hanging="567"/>
      </w:pPr>
      <w:r w:rsidRPr="00DA70E6">
        <w:t>Laikyti vaikams nepastebimoje ir nepasiekiamoje vietoje.</w:t>
      </w:r>
    </w:p>
    <w:p w14:paraId="2DC47423" w14:textId="77777777" w:rsidR="00DA70E6" w:rsidRPr="00DA70E6" w:rsidRDefault="00DA70E6" w:rsidP="00DA70E6">
      <w:pPr>
        <w:ind w:left="567" w:hanging="567"/>
      </w:pPr>
    </w:p>
    <w:p w14:paraId="64A83AC1" w14:textId="77777777" w:rsidR="00DA70E6" w:rsidRPr="00DA70E6" w:rsidRDefault="00DA70E6" w:rsidP="00DA70E6">
      <w:pPr>
        <w:ind w:left="567" w:hanging="567"/>
      </w:pPr>
    </w:p>
    <w:p w14:paraId="24E2E85D"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7.</w:t>
      </w:r>
      <w:r w:rsidRPr="00DA70E6">
        <w:rPr>
          <w:b/>
          <w:caps/>
        </w:rPr>
        <w:tab/>
        <w:t>KITAS (-I) SPECIALUS (-ŪS) ĮSPĖJIMAS (-AI) (JEI REIKIA)</w:t>
      </w:r>
    </w:p>
    <w:p w14:paraId="2FF900FE" w14:textId="77777777" w:rsidR="00DA70E6" w:rsidRPr="00DA70E6" w:rsidRDefault="00DA70E6" w:rsidP="00DA70E6">
      <w:pPr>
        <w:ind w:left="567" w:hanging="567"/>
        <w:rPr>
          <w:caps/>
        </w:rPr>
      </w:pPr>
    </w:p>
    <w:p w14:paraId="7EA7D581" w14:textId="77777777" w:rsidR="00DA70E6" w:rsidRPr="00DA70E6" w:rsidRDefault="00DA70E6" w:rsidP="00DA70E6">
      <w:pPr>
        <w:ind w:left="567" w:hanging="567"/>
        <w:rPr>
          <w:caps/>
        </w:rPr>
      </w:pPr>
    </w:p>
    <w:p w14:paraId="07B6AFC6"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8.</w:t>
      </w:r>
      <w:r w:rsidRPr="00DA70E6">
        <w:rPr>
          <w:b/>
          <w:caps/>
        </w:rPr>
        <w:tab/>
        <w:t>tinkamumo laikas</w:t>
      </w:r>
    </w:p>
    <w:p w14:paraId="068206CA" w14:textId="77777777" w:rsidR="00DA70E6" w:rsidRPr="00DA70E6" w:rsidRDefault="00DA70E6" w:rsidP="00DA70E6">
      <w:pPr>
        <w:ind w:left="567" w:hanging="567"/>
      </w:pPr>
    </w:p>
    <w:p w14:paraId="454B2E47" w14:textId="77777777" w:rsidR="00DA70E6" w:rsidRPr="00DA70E6" w:rsidRDefault="00DA70E6" w:rsidP="00DA70E6">
      <w:pPr>
        <w:ind w:left="567" w:hanging="567"/>
        <w:rPr>
          <w:i/>
        </w:rPr>
      </w:pPr>
      <w:r w:rsidRPr="00DA70E6">
        <w:t xml:space="preserve">EXP {mm MMMM} </w:t>
      </w:r>
    </w:p>
    <w:p w14:paraId="703B2ACA" w14:textId="77777777" w:rsidR="00DA70E6" w:rsidRPr="00DA70E6" w:rsidRDefault="00DA70E6" w:rsidP="00DA70E6">
      <w:pPr>
        <w:ind w:left="567" w:hanging="567"/>
      </w:pPr>
    </w:p>
    <w:p w14:paraId="28E56EC9" w14:textId="77777777" w:rsidR="00DA70E6" w:rsidRPr="00DA70E6" w:rsidRDefault="00DA70E6" w:rsidP="00DA70E6">
      <w:pPr>
        <w:ind w:left="567" w:hanging="567"/>
      </w:pPr>
    </w:p>
    <w:p w14:paraId="04D7E1FA"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9.</w:t>
      </w:r>
      <w:r w:rsidRPr="00DA70E6">
        <w:rPr>
          <w:b/>
          <w:caps/>
        </w:rPr>
        <w:tab/>
        <w:t>SPECIALIOS laikymo sąlygos</w:t>
      </w:r>
    </w:p>
    <w:p w14:paraId="6904D5D6" w14:textId="77777777" w:rsidR="00DA70E6" w:rsidRPr="00DA70E6" w:rsidRDefault="00DA70E6" w:rsidP="00DA70E6">
      <w:pPr>
        <w:ind w:left="567" w:hanging="567"/>
      </w:pPr>
    </w:p>
    <w:p w14:paraId="798C5E69" w14:textId="77777777" w:rsidR="00DA70E6" w:rsidRPr="00DA70E6" w:rsidRDefault="00DA70E6" w:rsidP="00DA70E6">
      <w:r w:rsidRPr="00DA70E6">
        <w:t>Laikyti žemesnėje kaip 30 °C temperatūroje.</w:t>
      </w:r>
    </w:p>
    <w:p w14:paraId="190EE306" w14:textId="77777777" w:rsidR="00DA70E6" w:rsidRPr="00DA70E6" w:rsidRDefault="00DA70E6" w:rsidP="00DA70E6"/>
    <w:p w14:paraId="6B2820D6" w14:textId="77777777" w:rsidR="00DA70E6" w:rsidRPr="00DA70E6" w:rsidRDefault="00DA70E6" w:rsidP="00DA70E6"/>
    <w:p w14:paraId="7D80B2C4" w14:textId="77777777" w:rsidR="00DA70E6" w:rsidRPr="00DA70E6" w:rsidRDefault="00DA70E6" w:rsidP="00DA70E6">
      <w:pPr>
        <w:pBdr>
          <w:top w:val="single" w:sz="4" w:space="0" w:color="auto"/>
          <w:left w:val="single" w:sz="4" w:space="4" w:color="auto"/>
          <w:bottom w:val="single" w:sz="4" w:space="1" w:color="auto"/>
          <w:right w:val="single" w:sz="4" w:space="4" w:color="auto"/>
        </w:pBdr>
        <w:ind w:left="567" w:hanging="567"/>
        <w:rPr>
          <w:b/>
          <w:caps/>
        </w:rPr>
      </w:pPr>
      <w:r w:rsidRPr="00DA70E6">
        <w:rPr>
          <w:b/>
          <w:caps/>
        </w:rPr>
        <w:t>10.</w:t>
      </w:r>
      <w:r w:rsidRPr="00DA70E6">
        <w:rPr>
          <w:b/>
          <w:caps/>
        </w:rPr>
        <w:tab/>
        <w:t>specialios atsargumo priemonės</w:t>
      </w:r>
      <w:r w:rsidRPr="00DA70E6">
        <w:rPr>
          <w:b/>
        </w:rPr>
        <w:t xml:space="preserve"> DĖL NESUVARTOTO VAISTINIO PREPARATO AR JO ATLIEKŲ TVARKYMO (JEI REIKIA)</w:t>
      </w:r>
    </w:p>
    <w:p w14:paraId="4D570150" w14:textId="77777777" w:rsidR="00DA70E6" w:rsidRPr="00DA70E6" w:rsidRDefault="00DA70E6" w:rsidP="00DA70E6">
      <w:pPr>
        <w:ind w:left="567" w:hanging="567"/>
        <w:rPr>
          <w:caps/>
        </w:rPr>
      </w:pPr>
    </w:p>
    <w:p w14:paraId="1DDA3A7F" w14:textId="77777777" w:rsidR="00DA70E6" w:rsidRPr="00DA70E6" w:rsidRDefault="00DA70E6" w:rsidP="00DA70E6">
      <w:pPr>
        <w:ind w:left="567" w:hanging="567"/>
        <w:rPr>
          <w:caps/>
        </w:rPr>
      </w:pPr>
    </w:p>
    <w:p w14:paraId="5802EB35" w14:textId="77777777" w:rsidR="00DA70E6" w:rsidRPr="00DA70E6" w:rsidRDefault="00DA70E6" w:rsidP="00DA70E6">
      <w:pPr>
        <w:pBdr>
          <w:top w:val="single" w:sz="4" w:space="1" w:color="auto"/>
          <w:left w:val="single" w:sz="4" w:space="2" w:color="auto"/>
          <w:bottom w:val="single" w:sz="4" w:space="1" w:color="auto"/>
          <w:right w:val="single" w:sz="4" w:space="4" w:color="auto"/>
        </w:pBdr>
        <w:ind w:left="567" w:hanging="567"/>
        <w:rPr>
          <w:b/>
          <w:caps/>
        </w:rPr>
      </w:pPr>
      <w:r w:rsidRPr="00DA70E6">
        <w:rPr>
          <w:b/>
          <w:caps/>
        </w:rPr>
        <w:t>11.</w:t>
      </w:r>
      <w:r w:rsidRPr="00DA70E6">
        <w:rPr>
          <w:b/>
          <w:caps/>
        </w:rPr>
        <w:tab/>
        <w:t>rEGISTRUOTOJO PAVADINIMAS IR ADRESAS</w:t>
      </w:r>
    </w:p>
    <w:p w14:paraId="03063EA1" w14:textId="77777777" w:rsidR="00DA70E6" w:rsidRPr="00DA70E6" w:rsidRDefault="00DA70E6" w:rsidP="00DA70E6">
      <w:pPr>
        <w:tabs>
          <w:tab w:val="left" w:pos="720"/>
        </w:tabs>
        <w:spacing w:line="240" w:lineRule="exact"/>
      </w:pPr>
    </w:p>
    <w:p w14:paraId="219D48F5" w14:textId="77777777" w:rsidR="00DA70E6" w:rsidRPr="00DA70E6" w:rsidRDefault="00DA70E6" w:rsidP="00DA70E6">
      <w:r w:rsidRPr="00DA70E6">
        <w:t>Sandoz d.d.</w:t>
      </w:r>
    </w:p>
    <w:p w14:paraId="2A04A7C3" w14:textId="77777777" w:rsidR="00DA70E6" w:rsidRPr="00DA70E6" w:rsidRDefault="00DA70E6" w:rsidP="00DA70E6">
      <w:r w:rsidRPr="00DA70E6">
        <w:t>Verovškova 57</w:t>
      </w:r>
    </w:p>
    <w:p w14:paraId="0FA4BCA2" w14:textId="77777777" w:rsidR="00DA70E6" w:rsidRPr="00DA70E6" w:rsidRDefault="00DA70E6" w:rsidP="00DA70E6">
      <w:r w:rsidRPr="00DA70E6">
        <w:t>SI-1000 Ljubljana</w:t>
      </w:r>
    </w:p>
    <w:p w14:paraId="3DE54FB2" w14:textId="77777777" w:rsidR="00DA70E6" w:rsidRPr="00DA70E6" w:rsidRDefault="00DA70E6" w:rsidP="00DA70E6">
      <w:pPr>
        <w:rPr>
          <w:b/>
        </w:rPr>
      </w:pPr>
      <w:r w:rsidRPr="00DA70E6">
        <w:t>Slovėnija</w:t>
      </w:r>
    </w:p>
    <w:p w14:paraId="212F2606" w14:textId="77777777" w:rsidR="00DA70E6" w:rsidRPr="00DA70E6" w:rsidRDefault="00DA70E6" w:rsidP="00DA70E6">
      <w:pPr>
        <w:ind w:left="567" w:hanging="567"/>
        <w:rPr>
          <w:caps/>
        </w:rPr>
      </w:pPr>
    </w:p>
    <w:p w14:paraId="28D27D29" w14:textId="77777777" w:rsidR="00DA70E6" w:rsidRPr="00DA70E6" w:rsidRDefault="00DA70E6" w:rsidP="00DA70E6">
      <w:pPr>
        <w:ind w:left="567" w:hanging="567"/>
        <w:rPr>
          <w:caps/>
        </w:rPr>
      </w:pPr>
    </w:p>
    <w:p w14:paraId="2E186497"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12.</w:t>
      </w:r>
      <w:r w:rsidRPr="00DA70E6">
        <w:rPr>
          <w:b/>
          <w:caps/>
        </w:rPr>
        <w:tab/>
        <w:t>REGISTRACIJOS PAŽYMĖJIMO NUMERIS (-IAI)</w:t>
      </w:r>
    </w:p>
    <w:p w14:paraId="78D7AE66" w14:textId="77777777" w:rsidR="00DA70E6" w:rsidRPr="00DA70E6" w:rsidRDefault="00DA70E6" w:rsidP="00DA70E6">
      <w:pPr>
        <w:ind w:left="567" w:hanging="567"/>
      </w:pPr>
    </w:p>
    <w:p w14:paraId="13F76B40" w14:textId="77777777" w:rsidR="00133B04" w:rsidRPr="00FA7974" w:rsidRDefault="00133B04" w:rsidP="0054435B">
      <w:pPr>
        <w:ind w:left="567" w:hanging="567"/>
        <w:rPr>
          <w:szCs w:val="22"/>
          <w:shd w:val="clear" w:color="auto" w:fill="D9D9D9" w:themeFill="background1" w:themeFillShade="D9"/>
          <w:lang w:eastAsia="en-US"/>
        </w:rPr>
      </w:pPr>
      <w:r w:rsidRPr="0054435B">
        <w:rPr>
          <w:szCs w:val="22"/>
          <w:lang w:eastAsia="en-US"/>
        </w:rPr>
        <w:t xml:space="preserve">LT/1/17/4072/007 </w:t>
      </w:r>
      <w:r w:rsidRPr="00FA7974">
        <w:rPr>
          <w:szCs w:val="22"/>
          <w:shd w:val="clear" w:color="auto" w:fill="D9D9D9" w:themeFill="background1" w:themeFillShade="D9"/>
          <w:lang w:eastAsia="en-US"/>
        </w:rPr>
        <w:t>– N10</w:t>
      </w:r>
    </w:p>
    <w:p w14:paraId="231E6279" w14:textId="107C8498" w:rsidR="0054435B" w:rsidRPr="00FA7974" w:rsidRDefault="0054435B" w:rsidP="0054435B">
      <w:pPr>
        <w:ind w:left="567" w:hanging="567"/>
        <w:rPr>
          <w:szCs w:val="22"/>
          <w:shd w:val="clear" w:color="auto" w:fill="D9D9D9" w:themeFill="background1" w:themeFillShade="D9"/>
          <w:lang w:eastAsia="en-US"/>
        </w:rPr>
      </w:pPr>
      <w:r w:rsidRPr="00FA7974">
        <w:rPr>
          <w:szCs w:val="22"/>
          <w:shd w:val="clear" w:color="auto" w:fill="D9D9D9" w:themeFill="background1" w:themeFillShade="D9"/>
          <w:lang w:eastAsia="en-US"/>
        </w:rPr>
        <w:t>LT/1/17/4072/001 – N30</w:t>
      </w:r>
    </w:p>
    <w:p w14:paraId="5FB4835D" w14:textId="77777777" w:rsidR="0054435B" w:rsidRPr="00FA7974" w:rsidRDefault="0054435B" w:rsidP="0054435B">
      <w:pPr>
        <w:ind w:left="567" w:hanging="567"/>
        <w:rPr>
          <w:szCs w:val="22"/>
          <w:shd w:val="clear" w:color="auto" w:fill="D9D9D9" w:themeFill="background1" w:themeFillShade="D9"/>
          <w:lang w:eastAsia="en-US"/>
        </w:rPr>
      </w:pPr>
      <w:r w:rsidRPr="00FA7974">
        <w:rPr>
          <w:szCs w:val="22"/>
          <w:shd w:val="clear" w:color="auto" w:fill="D9D9D9" w:themeFill="background1" w:themeFillShade="D9"/>
          <w:lang w:eastAsia="en-US"/>
        </w:rPr>
        <w:t>LT/1/17/4072/002 – N60</w:t>
      </w:r>
    </w:p>
    <w:p w14:paraId="2B206499" w14:textId="77777777" w:rsidR="0054435B" w:rsidRPr="00FA7974" w:rsidRDefault="0054435B" w:rsidP="0054435B">
      <w:pPr>
        <w:ind w:left="567" w:hanging="567"/>
        <w:rPr>
          <w:szCs w:val="22"/>
          <w:shd w:val="clear" w:color="auto" w:fill="D9D9D9" w:themeFill="background1" w:themeFillShade="D9"/>
          <w:lang w:eastAsia="en-US"/>
        </w:rPr>
      </w:pPr>
      <w:r w:rsidRPr="00FA7974">
        <w:rPr>
          <w:szCs w:val="22"/>
          <w:shd w:val="clear" w:color="auto" w:fill="D9D9D9" w:themeFill="background1" w:themeFillShade="D9"/>
          <w:lang w:eastAsia="en-US"/>
        </w:rPr>
        <w:t>LT/1/17/4072/003 – N90</w:t>
      </w:r>
    </w:p>
    <w:p w14:paraId="124F80D4" w14:textId="6F4560EF" w:rsidR="00133B04" w:rsidRPr="00DA70E6" w:rsidRDefault="0054435B" w:rsidP="00133B04">
      <w:pPr>
        <w:ind w:left="567" w:hanging="567"/>
      </w:pPr>
      <w:r w:rsidRPr="0054435B">
        <w:rPr>
          <w:szCs w:val="22"/>
          <w:lang w:eastAsia="en-US"/>
        </w:rPr>
        <w:tab/>
      </w:r>
    </w:p>
    <w:p w14:paraId="5A050C4C" w14:textId="77777777" w:rsidR="00DA70E6" w:rsidRPr="00DA70E6" w:rsidRDefault="00DA70E6" w:rsidP="00DA70E6">
      <w:pPr>
        <w:ind w:left="567" w:hanging="567"/>
      </w:pPr>
    </w:p>
    <w:p w14:paraId="0EB59AF3"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13.</w:t>
      </w:r>
      <w:r w:rsidRPr="00DA70E6">
        <w:rPr>
          <w:b/>
          <w:caps/>
        </w:rPr>
        <w:tab/>
        <w:t>serijos numeris</w:t>
      </w:r>
    </w:p>
    <w:p w14:paraId="68061FDC" w14:textId="77777777" w:rsidR="00DA70E6" w:rsidRPr="00DA70E6" w:rsidRDefault="00DA70E6" w:rsidP="00DA70E6">
      <w:pPr>
        <w:ind w:left="567" w:hanging="567"/>
      </w:pPr>
    </w:p>
    <w:p w14:paraId="4E0134FB" w14:textId="77777777" w:rsidR="00DA70E6" w:rsidRPr="00DA70E6" w:rsidRDefault="00DA70E6" w:rsidP="00DA70E6">
      <w:pPr>
        <w:ind w:left="567" w:hanging="567"/>
      </w:pPr>
      <w:r w:rsidRPr="00DA70E6">
        <w:t>Lot {numeris}</w:t>
      </w:r>
    </w:p>
    <w:p w14:paraId="1F5A56E7" w14:textId="77777777" w:rsidR="00DA70E6" w:rsidRPr="00DA70E6" w:rsidRDefault="00DA70E6" w:rsidP="00DA70E6">
      <w:pPr>
        <w:ind w:left="567" w:hanging="567"/>
      </w:pPr>
    </w:p>
    <w:p w14:paraId="67C4ADF6" w14:textId="77777777" w:rsidR="00DA70E6" w:rsidRPr="00DA70E6" w:rsidRDefault="00DA70E6" w:rsidP="00DA70E6">
      <w:pPr>
        <w:ind w:left="567" w:hanging="567"/>
      </w:pPr>
    </w:p>
    <w:p w14:paraId="7F52B298"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14.</w:t>
      </w:r>
      <w:r w:rsidRPr="00DA70E6">
        <w:rPr>
          <w:b/>
          <w:caps/>
        </w:rPr>
        <w:tab/>
        <w:t>PARDAVIMO (IŠDAVIMO) TVARKA</w:t>
      </w:r>
    </w:p>
    <w:p w14:paraId="229A7791" w14:textId="77777777" w:rsidR="00DA70E6" w:rsidRPr="00DA70E6" w:rsidRDefault="00DA70E6" w:rsidP="00DA70E6">
      <w:pPr>
        <w:ind w:left="567" w:hanging="567"/>
      </w:pPr>
    </w:p>
    <w:p w14:paraId="1AE9C361" w14:textId="77777777" w:rsidR="00DA70E6" w:rsidRPr="00DA70E6" w:rsidRDefault="00DA70E6" w:rsidP="00DA70E6">
      <w:pPr>
        <w:ind w:left="567" w:hanging="567"/>
      </w:pPr>
      <w:r w:rsidRPr="00DA70E6">
        <w:t>Receptinis vaistas.</w:t>
      </w:r>
    </w:p>
    <w:p w14:paraId="14F92194" w14:textId="77777777" w:rsidR="00DA70E6" w:rsidRPr="00DA70E6" w:rsidRDefault="00DA70E6" w:rsidP="00DA70E6">
      <w:pPr>
        <w:ind w:left="567" w:hanging="567"/>
      </w:pPr>
    </w:p>
    <w:p w14:paraId="3489ED3A" w14:textId="77777777" w:rsidR="00DA70E6" w:rsidRPr="00DA70E6" w:rsidRDefault="00DA70E6" w:rsidP="00DA70E6">
      <w:pPr>
        <w:ind w:left="567" w:hanging="567"/>
      </w:pPr>
    </w:p>
    <w:p w14:paraId="2A5EA855"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15.</w:t>
      </w:r>
      <w:r w:rsidRPr="00DA70E6">
        <w:rPr>
          <w:b/>
          <w:caps/>
        </w:rPr>
        <w:tab/>
        <w:t>vartojimo instrukcijA</w:t>
      </w:r>
    </w:p>
    <w:p w14:paraId="0C6C8BB1" w14:textId="77777777" w:rsidR="00DA70E6" w:rsidRPr="00DA70E6" w:rsidRDefault="00DA70E6" w:rsidP="00DA70E6">
      <w:pPr>
        <w:ind w:left="567" w:hanging="567"/>
      </w:pPr>
    </w:p>
    <w:p w14:paraId="3B37AB5D" w14:textId="77777777" w:rsidR="00DA70E6" w:rsidRPr="00DA70E6" w:rsidRDefault="00DA70E6" w:rsidP="00DA70E6">
      <w:pPr>
        <w:ind w:left="567" w:hanging="567"/>
      </w:pPr>
    </w:p>
    <w:p w14:paraId="61B5F31D" w14:textId="77777777" w:rsidR="00DA70E6" w:rsidRPr="00DA70E6" w:rsidRDefault="00DA70E6" w:rsidP="00DA70E6">
      <w:pPr>
        <w:pBdr>
          <w:top w:val="single" w:sz="4" w:space="1" w:color="auto"/>
          <w:left w:val="single" w:sz="4" w:space="4" w:color="auto"/>
          <w:bottom w:val="single" w:sz="4" w:space="0" w:color="auto"/>
          <w:right w:val="single" w:sz="4" w:space="4" w:color="auto"/>
        </w:pBdr>
        <w:tabs>
          <w:tab w:val="left" w:pos="567"/>
        </w:tabs>
      </w:pPr>
      <w:r w:rsidRPr="00DA70E6">
        <w:rPr>
          <w:b/>
        </w:rPr>
        <w:t>16.</w:t>
      </w:r>
      <w:r w:rsidRPr="00DA70E6">
        <w:rPr>
          <w:b/>
        </w:rPr>
        <w:tab/>
        <w:t>INFORMACIJA BRAILIO RAŠTU</w:t>
      </w:r>
    </w:p>
    <w:p w14:paraId="1C3C81B2" w14:textId="77777777" w:rsidR="00DA70E6" w:rsidRPr="00DA70E6" w:rsidRDefault="00DA70E6" w:rsidP="00DA70E6">
      <w:pPr>
        <w:tabs>
          <w:tab w:val="left" w:pos="567"/>
          <w:tab w:val="left" w:pos="5954"/>
          <w:tab w:val="left" w:pos="7938"/>
        </w:tabs>
        <w:ind w:right="-2"/>
      </w:pPr>
    </w:p>
    <w:p w14:paraId="58483B31" w14:textId="77777777" w:rsidR="00DA70E6" w:rsidRPr="00DA70E6" w:rsidRDefault="00DA70E6" w:rsidP="00DA70E6">
      <w:pPr>
        <w:tabs>
          <w:tab w:val="left" w:pos="567"/>
        </w:tabs>
      </w:pPr>
      <w:r w:rsidRPr="00DA70E6">
        <w:t>Emtricitabine/Tenofovir disoproxil Sandoz</w:t>
      </w:r>
    </w:p>
    <w:p w14:paraId="6613A31C" w14:textId="77777777" w:rsidR="00DA70E6" w:rsidRPr="00DA70E6" w:rsidRDefault="00DA70E6" w:rsidP="00DA70E6">
      <w:pPr>
        <w:tabs>
          <w:tab w:val="left" w:pos="567"/>
        </w:tabs>
      </w:pPr>
    </w:p>
    <w:p w14:paraId="1A6560FC" w14:textId="77777777" w:rsidR="00DA70E6" w:rsidRPr="00DA70E6" w:rsidRDefault="00DA70E6" w:rsidP="00DA70E6">
      <w:pPr>
        <w:rPr>
          <w:shd w:val="clear" w:color="auto" w:fill="CCCCCC"/>
        </w:rPr>
      </w:pPr>
    </w:p>
    <w:p w14:paraId="3E466808" w14:textId="77777777" w:rsidR="00DA70E6" w:rsidRPr="00DA70E6" w:rsidRDefault="00DA70E6" w:rsidP="00DA70E6">
      <w:pPr>
        <w:keepNext/>
        <w:pBdr>
          <w:top w:val="single" w:sz="4" w:space="1" w:color="auto"/>
          <w:left w:val="single" w:sz="4" w:space="4" w:color="auto"/>
          <w:bottom w:val="single" w:sz="4" w:space="1" w:color="auto"/>
          <w:right w:val="single" w:sz="4" w:space="4" w:color="auto"/>
        </w:pBdr>
        <w:tabs>
          <w:tab w:val="left" w:pos="0"/>
        </w:tabs>
        <w:outlineLvl w:val="0"/>
        <w:rPr>
          <w:i/>
        </w:rPr>
      </w:pPr>
      <w:r w:rsidRPr="00DA70E6">
        <w:rPr>
          <w:b/>
        </w:rPr>
        <w:t>17.</w:t>
      </w:r>
      <w:r w:rsidRPr="00DA70E6">
        <w:rPr>
          <w:b/>
        </w:rPr>
        <w:tab/>
        <w:t>UNIKALUS IDENTIFIKATORIUS – 2D BRŪKŠNINIS KODAS</w:t>
      </w:r>
    </w:p>
    <w:p w14:paraId="2E11D57F" w14:textId="77777777" w:rsidR="00DA70E6" w:rsidRPr="00DA70E6" w:rsidRDefault="00DA70E6" w:rsidP="00DA70E6"/>
    <w:p w14:paraId="7D3833C3" w14:textId="77777777" w:rsidR="00DA70E6" w:rsidRPr="00DA70E6" w:rsidRDefault="00DA70E6" w:rsidP="00DA70E6">
      <w:pPr>
        <w:rPr>
          <w:shd w:val="clear" w:color="auto" w:fill="CCCCCC"/>
        </w:rPr>
      </w:pPr>
      <w:r w:rsidRPr="000407E7">
        <w:rPr>
          <w:highlight w:val="lightGray"/>
        </w:rPr>
        <w:t>2D brūkšninis kodas su nurodytu unikaliu identifikatoriumi.</w:t>
      </w:r>
    </w:p>
    <w:p w14:paraId="7026BCBE" w14:textId="77777777" w:rsidR="00DA70E6" w:rsidRPr="00DA70E6" w:rsidRDefault="00DA70E6" w:rsidP="00DA70E6">
      <w:pPr>
        <w:rPr>
          <w:shd w:val="clear" w:color="auto" w:fill="CCCCCC"/>
        </w:rPr>
      </w:pPr>
    </w:p>
    <w:p w14:paraId="1923BD70" w14:textId="77777777" w:rsidR="00DA70E6" w:rsidRPr="00DA70E6" w:rsidRDefault="00DA70E6" w:rsidP="00DA70E6"/>
    <w:p w14:paraId="0B272145" w14:textId="77777777" w:rsidR="00DA70E6" w:rsidRPr="00DA70E6" w:rsidRDefault="00DA70E6" w:rsidP="00DA70E6">
      <w:pPr>
        <w:keepNext/>
        <w:pBdr>
          <w:top w:val="single" w:sz="4" w:space="1" w:color="auto"/>
          <w:left w:val="single" w:sz="4" w:space="4" w:color="auto"/>
          <w:bottom w:val="single" w:sz="4" w:space="1" w:color="auto"/>
          <w:right w:val="single" w:sz="4" w:space="4" w:color="auto"/>
        </w:pBdr>
        <w:tabs>
          <w:tab w:val="left" w:pos="0"/>
        </w:tabs>
        <w:outlineLvl w:val="0"/>
        <w:rPr>
          <w:i/>
        </w:rPr>
      </w:pPr>
      <w:r w:rsidRPr="00DA70E6">
        <w:rPr>
          <w:b/>
        </w:rPr>
        <w:t>18.</w:t>
      </w:r>
      <w:r w:rsidRPr="00DA70E6">
        <w:rPr>
          <w:b/>
        </w:rPr>
        <w:tab/>
        <w:t>UNIKALUS IDENTIFIKATORIUS – ŽMONĖMS SUPRANTAMI DUOMENYS</w:t>
      </w:r>
    </w:p>
    <w:p w14:paraId="773414A7" w14:textId="77777777" w:rsidR="00DA70E6" w:rsidRPr="00DA70E6" w:rsidRDefault="00DA70E6" w:rsidP="00DA70E6"/>
    <w:p w14:paraId="24093A8A" w14:textId="77777777" w:rsidR="00DA70E6" w:rsidRPr="00DA70E6" w:rsidRDefault="00DA70E6" w:rsidP="00DA70E6">
      <w:r w:rsidRPr="00DA70E6">
        <w:t>PC: {numeris}</w:t>
      </w:r>
    </w:p>
    <w:p w14:paraId="11177AF4" w14:textId="77777777" w:rsidR="00DA70E6" w:rsidRPr="00DA70E6" w:rsidRDefault="00DA70E6" w:rsidP="00DA70E6">
      <w:r w:rsidRPr="00DA70E6">
        <w:t>SN: {numeris}</w:t>
      </w:r>
    </w:p>
    <w:p w14:paraId="4CD4ACAB" w14:textId="77777777" w:rsidR="00DA70E6" w:rsidRPr="00DA70E6" w:rsidRDefault="00DA70E6" w:rsidP="00DA70E6">
      <w:r w:rsidRPr="000407E7">
        <w:rPr>
          <w:highlight w:val="lightGray"/>
        </w:rPr>
        <w:t>NN: {numeris}</w:t>
      </w:r>
      <w:r w:rsidRPr="00DA70E6">
        <w:br w:type="page"/>
      </w:r>
    </w:p>
    <w:p w14:paraId="15F107A5" w14:textId="77777777" w:rsidR="00DA70E6" w:rsidRPr="00DA70E6" w:rsidRDefault="00DA70E6" w:rsidP="00DA70E6">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DA70E6">
        <w:rPr>
          <w:b/>
        </w:rPr>
        <w:t>MINIMALI INFORMACIJA ANT LIZDINIŲ PLOKŠTELIŲ ARBA DVISLUOKSNIŲ JUOSTELIŲ</w:t>
      </w:r>
    </w:p>
    <w:p w14:paraId="5ABF1184" w14:textId="77777777" w:rsidR="00DA70E6" w:rsidRPr="00DA70E6" w:rsidRDefault="00DA70E6" w:rsidP="00DA70E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6F0FE737" w14:textId="77777777" w:rsidR="00DA70E6" w:rsidRPr="00DA70E6" w:rsidRDefault="00DA70E6" w:rsidP="00DA70E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DA70E6">
        <w:rPr>
          <w:b/>
        </w:rPr>
        <w:t>LIZDINĖS PLOKŠTELĖS ETIKETĖ</w:t>
      </w:r>
    </w:p>
    <w:p w14:paraId="50262942" w14:textId="77777777" w:rsidR="00DA70E6" w:rsidRPr="00DA70E6" w:rsidRDefault="00DA70E6" w:rsidP="00DA70E6">
      <w:pPr>
        <w:tabs>
          <w:tab w:val="left" w:pos="567"/>
        </w:tabs>
        <w:spacing w:line="260" w:lineRule="exact"/>
      </w:pPr>
    </w:p>
    <w:p w14:paraId="6309A19D" w14:textId="77777777" w:rsidR="00DA70E6" w:rsidRPr="00DA70E6" w:rsidRDefault="00DA70E6" w:rsidP="00DA70E6">
      <w:pPr>
        <w:tabs>
          <w:tab w:val="left" w:pos="567"/>
        </w:tabs>
        <w:spacing w:line="260" w:lineRule="exact"/>
      </w:pPr>
    </w:p>
    <w:p w14:paraId="0389FFAC" w14:textId="77777777" w:rsidR="00DA70E6" w:rsidRPr="00DA70E6" w:rsidRDefault="00DA70E6" w:rsidP="00DA70E6">
      <w:pPr>
        <w:pBdr>
          <w:top w:val="single" w:sz="4" w:space="1" w:color="auto"/>
          <w:left w:val="single" w:sz="4" w:space="4" w:color="auto"/>
          <w:bottom w:val="single" w:sz="4" w:space="1" w:color="auto"/>
          <w:right w:val="single" w:sz="4" w:space="4" w:color="auto"/>
        </w:pBdr>
        <w:tabs>
          <w:tab w:val="left" w:pos="567"/>
        </w:tabs>
        <w:outlineLvl w:val="0"/>
        <w:rPr>
          <w:b/>
        </w:rPr>
      </w:pPr>
      <w:r w:rsidRPr="00DA70E6">
        <w:rPr>
          <w:b/>
        </w:rPr>
        <w:t>1.</w:t>
      </w:r>
      <w:r w:rsidRPr="00DA70E6">
        <w:rPr>
          <w:b/>
        </w:rPr>
        <w:tab/>
      </w:r>
      <w:r w:rsidRPr="00DA70E6">
        <w:rPr>
          <w:b/>
          <w:caps/>
        </w:rPr>
        <w:t>VAISTINIO</w:t>
      </w:r>
      <w:r w:rsidRPr="00DA70E6">
        <w:rPr>
          <w:b/>
        </w:rPr>
        <w:t xml:space="preserve"> PREPARATO PAVADINIMAS</w:t>
      </w:r>
    </w:p>
    <w:p w14:paraId="602211B8" w14:textId="77777777" w:rsidR="00DA70E6" w:rsidRPr="00DA70E6" w:rsidRDefault="00DA70E6" w:rsidP="00DA70E6">
      <w:pPr>
        <w:tabs>
          <w:tab w:val="left" w:pos="567"/>
          <w:tab w:val="left" w:pos="5954"/>
          <w:tab w:val="left" w:pos="7938"/>
        </w:tabs>
        <w:ind w:right="-2"/>
      </w:pPr>
    </w:p>
    <w:p w14:paraId="160EAE71" w14:textId="77777777" w:rsidR="00DA70E6" w:rsidRPr="00DA70E6" w:rsidRDefault="00DA70E6" w:rsidP="00DA70E6">
      <w:pPr>
        <w:tabs>
          <w:tab w:val="left" w:pos="567"/>
          <w:tab w:val="left" w:pos="5954"/>
          <w:tab w:val="left" w:pos="7938"/>
        </w:tabs>
        <w:spacing w:line="260" w:lineRule="exact"/>
        <w:ind w:right="-2"/>
        <w:rPr>
          <w:rFonts w:ascii="Calibri" w:eastAsia="Calibri" w:hAnsi="Calibri"/>
        </w:rPr>
      </w:pPr>
      <w:r w:rsidRPr="00DA70E6">
        <w:rPr>
          <w:rFonts w:eastAsia="TimesNewRoman"/>
        </w:rPr>
        <w:t xml:space="preserve">Emtricitabine/Tenofovir disoproxil Sandoz 200 mg/245 mg </w:t>
      </w:r>
      <w:r w:rsidRPr="000407E7">
        <w:rPr>
          <w:rFonts w:eastAsia="TimesNewRoman"/>
          <w:highlight w:val="lightGray"/>
        </w:rPr>
        <w:t>plėvele dengtos</w:t>
      </w:r>
      <w:r w:rsidRPr="00DA70E6">
        <w:rPr>
          <w:rFonts w:eastAsia="TimesNewRoman"/>
        </w:rPr>
        <w:t xml:space="preserve"> tabletės</w:t>
      </w:r>
    </w:p>
    <w:p w14:paraId="4C46DC6C" w14:textId="77777777" w:rsidR="00DA70E6" w:rsidRPr="00DA70E6" w:rsidRDefault="00DA70E6" w:rsidP="00DA70E6">
      <w:pPr>
        <w:tabs>
          <w:tab w:val="left" w:pos="567"/>
        </w:tabs>
        <w:spacing w:line="260" w:lineRule="exact"/>
      </w:pPr>
    </w:p>
    <w:p w14:paraId="5582FDFD" w14:textId="01628C82" w:rsidR="00DA70E6" w:rsidRPr="00DA70E6" w:rsidRDefault="002872CD" w:rsidP="00DA70E6">
      <w:pPr>
        <w:tabs>
          <w:tab w:val="left" w:pos="567"/>
        </w:tabs>
        <w:spacing w:line="260" w:lineRule="exact"/>
      </w:pPr>
      <w:r>
        <w:t>e</w:t>
      </w:r>
      <w:r w:rsidR="00DA70E6" w:rsidRPr="00DA70E6">
        <w:t>mtricitabinum/</w:t>
      </w:r>
      <w:r>
        <w:t>t</w:t>
      </w:r>
      <w:r w:rsidR="00DA70E6" w:rsidRPr="00DA70E6">
        <w:t>enofovirum disoproxilum</w:t>
      </w:r>
    </w:p>
    <w:p w14:paraId="1D56BC30" w14:textId="77777777" w:rsidR="00DA70E6" w:rsidRPr="00DA70E6" w:rsidRDefault="00DA70E6" w:rsidP="00DA70E6">
      <w:pPr>
        <w:tabs>
          <w:tab w:val="left" w:pos="567"/>
        </w:tabs>
        <w:spacing w:line="260" w:lineRule="exact"/>
      </w:pPr>
    </w:p>
    <w:p w14:paraId="237E38C8" w14:textId="77777777" w:rsidR="00DA70E6" w:rsidRPr="00DA70E6" w:rsidRDefault="00DA70E6" w:rsidP="00DA70E6">
      <w:pPr>
        <w:tabs>
          <w:tab w:val="left" w:pos="567"/>
        </w:tabs>
        <w:spacing w:line="260" w:lineRule="exact"/>
      </w:pPr>
    </w:p>
    <w:p w14:paraId="3C55251A" w14:textId="77777777" w:rsidR="00DA70E6" w:rsidRPr="00DA70E6" w:rsidRDefault="00DA70E6" w:rsidP="00DA70E6">
      <w:pPr>
        <w:pBdr>
          <w:top w:val="single" w:sz="4" w:space="1" w:color="auto"/>
          <w:left w:val="single" w:sz="4" w:space="4" w:color="auto"/>
          <w:bottom w:val="single" w:sz="4" w:space="1" w:color="auto"/>
          <w:right w:val="single" w:sz="4" w:space="4" w:color="auto"/>
        </w:pBdr>
        <w:tabs>
          <w:tab w:val="left" w:pos="567"/>
        </w:tabs>
        <w:outlineLvl w:val="0"/>
        <w:rPr>
          <w:b/>
        </w:rPr>
      </w:pPr>
      <w:r w:rsidRPr="00DA70E6">
        <w:rPr>
          <w:b/>
        </w:rPr>
        <w:t>2.</w:t>
      </w:r>
      <w:r w:rsidRPr="00DA70E6">
        <w:rPr>
          <w:b/>
        </w:rPr>
        <w:tab/>
      </w:r>
      <w:r w:rsidRPr="00DA70E6">
        <w:rPr>
          <w:b/>
          <w:caps/>
        </w:rPr>
        <w:t>REGISTRUOTOJO pavadinimas</w:t>
      </w:r>
    </w:p>
    <w:p w14:paraId="297D251F" w14:textId="77777777" w:rsidR="00DA70E6" w:rsidRPr="00DA70E6" w:rsidRDefault="00DA70E6" w:rsidP="00DA70E6">
      <w:pPr>
        <w:tabs>
          <w:tab w:val="left" w:pos="567"/>
        </w:tabs>
        <w:spacing w:line="260" w:lineRule="exact"/>
      </w:pPr>
    </w:p>
    <w:p w14:paraId="4105E576" w14:textId="77777777" w:rsidR="00DA70E6" w:rsidRPr="00DA70E6" w:rsidRDefault="00DA70E6" w:rsidP="00DA70E6">
      <w:pPr>
        <w:tabs>
          <w:tab w:val="left" w:pos="567"/>
        </w:tabs>
        <w:spacing w:line="260" w:lineRule="exact"/>
      </w:pPr>
      <w:r w:rsidRPr="00DA70E6">
        <w:t xml:space="preserve">SANDOZ </w:t>
      </w:r>
    </w:p>
    <w:p w14:paraId="1A40B97C" w14:textId="77777777" w:rsidR="00DA70E6" w:rsidRPr="00DA70E6" w:rsidRDefault="00DA70E6" w:rsidP="00DA70E6">
      <w:pPr>
        <w:tabs>
          <w:tab w:val="left" w:pos="567"/>
        </w:tabs>
        <w:spacing w:line="260" w:lineRule="exact"/>
      </w:pPr>
    </w:p>
    <w:p w14:paraId="401886D0" w14:textId="77777777" w:rsidR="00DA70E6" w:rsidRPr="00DA70E6" w:rsidRDefault="00DA70E6" w:rsidP="00DA70E6">
      <w:pPr>
        <w:tabs>
          <w:tab w:val="left" w:pos="567"/>
        </w:tabs>
        <w:spacing w:line="260" w:lineRule="exact"/>
      </w:pPr>
    </w:p>
    <w:p w14:paraId="07F8BF52" w14:textId="77777777" w:rsidR="00DA70E6" w:rsidRPr="00DA70E6" w:rsidRDefault="00DA70E6" w:rsidP="00DA70E6">
      <w:pPr>
        <w:pBdr>
          <w:top w:val="single" w:sz="4" w:space="1" w:color="auto"/>
          <w:left w:val="single" w:sz="4" w:space="4" w:color="auto"/>
          <w:bottom w:val="single" w:sz="4" w:space="2" w:color="auto"/>
          <w:right w:val="single" w:sz="4" w:space="4" w:color="auto"/>
        </w:pBdr>
        <w:tabs>
          <w:tab w:val="left" w:pos="567"/>
        </w:tabs>
        <w:outlineLvl w:val="0"/>
        <w:rPr>
          <w:b/>
        </w:rPr>
      </w:pPr>
      <w:r w:rsidRPr="00DA70E6">
        <w:rPr>
          <w:b/>
        </w:rPr>
        <w:t>3.</w:t>
      </w:r>
      <w:r w:rsidRPr="00DA70E6">
        <w:rPr>
          <w:b/>
        </w:rPr>
        <w:tab/>
        <w:t>TINKAMUMO LAIKAS</w:t>
      </w:r>
    </w:p>
    <w:p w14:paraId="6CD05386" w14:textId="77777777" w:rsidR="00DA70E6" w:rsidRPr="00DA70E6" w:rsidRDefault="00DA70E6" w:rsidP="00DA70E6">
      <w:pPr>
        <w:tabs>
          <w:tab w:val="left" w:pos="567"/>
        </w:tabs>
        <w:spacing w:line="260" w:lineRule="exact"/>
      </w:pPr>
    </w:p>
    <w:p w14:paraId="0F21385D" w14:textId="77777777" w:rsidR="00DA70E6" w:rsidRPr="00DA70E6" w:rsidRDefault="00DA70E6" w:rsidP="00DA70E6">
      <w:pPr>
        <w:tabs>
          <w:tab w:val="left" w:pos="567"/>
        </w:tabs>
        <w:spacing w:line="260" w:lineRule="exact"/>
      </w:pPr>
      <w:r w:rsidRPr="000407E7">
        <w:rPr>
          <w:highlight w:val="lightGray"/>
        </w:rPr>
        <w:t>EXP</w:t>
      </w:r>
      <w:r w:rsidRPr="00DA70E6">
        <w:t xml:space="preserve"> {mm MMMM}</w:t>
      </w:r>
    </w:p>
    <w:p w14:paraId="087C04DB" w14:textId="77777777" w:rsidR="00DA70E6" w:rsidRPr="00DA70E6" w:rsidRDefault="00DA70E6" w:rsidP="00DA70E6">
      <w:pPr>
        <w:tabs>
          <w:tab w:val="left" w:pos="567"/>
        </w:tabs>
        <w:spacing w:line="260" w:lineRule="exact"/>
      </w:pPr>
    </w:p>
    <w:p w14:paraId="18D2FA76" w14:textId="77777777" w:rsidR="00DA70E6" w:rsidRPr="00DA70E6" w:rsidRDefault="00DA70E6" w:rsidP="00DA70E6">
      <w:pPr>
        <w:tabs>
          <w:tab w:val="left" w:pos="567"/>
        </w:tabs>
        <w:spacing w:line="260" w:lineRule="exact"/>
      </w:pPr>
    </w:p>
    <w:p w14:paraId="70DF3D7B" w14:textId="77777777" w:rsidR="00DA70E6" w:rsidRPr="00DA70E6" w:rsidRDefault="00DA70E6" w:rsidP="00DA70E6">
      <w:pPr>
        <w:suppressLineNumbers/>
        <w:pBdr>
          <w:top w:val="single" w:sz="4" w:space="1" w:color="auto"/>
          <w:left w:val="single" w:sz="4" w:space="4" w:color="auto"/>
          <w:bottom w:val="single" w:sz="4" w:space="1" w:color="auto"/>
          <w:right w:val="single" w:sz="4" w:space="4" w:color="auto"/>
        </w:pBdr>
        <w:tabs>
          <w:tab w:val="left" w:pos="567"/>
        </w:tabs>
        <w:outlineLvl w:val="0"/>
        <w:rPr>
          <w:b/>
        </w:rPr>
      </w:pPr>
      <w:r w:rsidRPr="00DA70E6">
        <w:rPr>
          <w:b/>
        </w:rPr>
        <w:t>4.</w:t>
      </w:r>
      <w:r w:rsidRPr="00DA70E6">
        <w:rPr>
          <w:b/>
        </w:rPr>
        <w:tab/>
        <w:t>SERIJOS NUMERIS</w:t>
      </w:r>
    </w:p>
    <w:p w14:paraId="3F4695DD" w14:textId="77777777" w:rsidR="00DA70E6" w:rsidRPr="00DA70E6" w:rsidRDefault="00DA70E6" w:rsidP="00DA70E6">
      <w:pPr>
        <w:tabs>
          <w:tab w:val="left" w:pos="567"/>
        </w:tabs>
        <w:spacing w:line="260" w:lineRule="exact"/>
      </w:pPr>
    </w:p>
    <w:p w14:paraId="11F014A2" w14:textId="77777777" w:rsidR="00DA70E6" w:rsidRPr="00DA70E6" w:rsidRDefault="00DA70E6" w:rsidP="00DA70E6">
      <w:pPr>
        <w:tabs>
          <w:tab w:val="left" w:pos="567"/>
        </w:tabs>
        <w:spacing w:line="260" w:lineRule="exact"/>
      </w:pPr>
      <w:r w:rsidRPr="000407E7">
        <w:rPr>
          <w:highlight w:val="lightGray"/>
        </w:rPr>
        <w:t>Lot</w:t>
      </w:r>
    </w:p>
    <w:p w14:paraId="42543A0E" w14:textId="77777777" w:rsidR="00DA70E6" w:rsidRPr="00DA70E6" w:rsidRDefault="00DA70E6" w:rsidP="00DA70E6">
      <w:pPr>
        <w:tabs>
          <w:tab w:val="left" w:pos="567"/>
        </w:tabs>
        <w:spacing w:line="260" w:lineRule="exact"/>
      </w:pPr>
    </w:p>
    <w:p w14:paraId="3444158F" w14:textId="77777777" w:rsidR="00DA70E6" w:rsidRPr="00DA70E6" w:rsidRDefault="00DA70E6" w:rsidP="00DA70E6">
      <w:pPr>
        <w:tabs>
          <w:tab w:val="left" w:pos="567"/>
        </w:tabs>
        <w:spacing w:line="260" w:lineRule="exact"/>
      </w:pPr>
    </w:p>
    <w:p w14:paraId="32FBED0F" w14:textId="77777777" w:rsidR="00DA70E6" w:rsidRPr="00DA70E6" w:rsidRDefault="00DA70E6" w:rsidP="00DA70E6">
      <w:pPr>
        <w:pBdr>
          <w:top w:val="single" w:sz="4" w:space="1" w:color="auto"/>
          <w:left w:val="single" w:sz="4" w:space="4" w:color="auto"/>
          <w:bottom w:val="single" w:sz="4" w:space="1" w:color="auto"/>
          <w:right w:val="single" w:sz="4" w:space="4" w:color="auto"/>
        </w:pBdr>
        <w:tabs>
          <w:tab w:val="left" w:pos="567"/>
        </w:tabs>
        <w:outlineLvl w:val="0"/>
        <w:rPr>
          <w:b/>
        </w:rPr>
      </w:pPr>
      <w:r w:rsidRPr="00DA70E6">
        <w:rPr>
          <w:b/>
        </w:rPr>
        <w:t>5.</w:t>
      </w:r>
      <w:r w:rsidRPr="00DA70E6">
        <w:rPr>
          <w:b/>
        </w:rPr>
        <w:tab/>
        <w:t>KITA</w:t>
      </w:r>
    </w:p>
    <w:p w14:paraId="05C237B0" w14:textId="77777777" w:rsidR="00DA70E6" w:rsidRPr="00DA70E6" w:rsidRDefault="00DA70E6" w:rsidP="00DA70E6">
      <w:pPr>
        <w:tabs>
          <w:tab w:val="left" w:pos="567"/>
        </w:tabs>
        <w:spacing w:line="260" w:lineRule="exact"/>
      </w:pPr>
    </w:p>
    <w:p w14:paraId="06DF093F" w14:textId="77777777" w:rsidR="00DA70E6" w:rsidRPr="00DA70E6" w:rsidRDefault="00DA70E6" w:rsidP="00DA70E6">
      <w:pPr>
        <w:tabs>
          <w:tab w:val="left" w:pos="567"/>
        </w:tabs>
        <w:spacing w:line="260" w:lineRule="exact"/>
      </w:pPr>
    </w:p>
    <w:p w14:paraId="3572731B" w14:textId="77777777" w:rsidR="00DA70E6" w:rsidRPr="00DA70E6" w:rsidRDefault="00DA70E6" w:rsidP="00DA70E6">
      <w:pPr>
        <w:pBdr>
          <w:top w:val="single" w:sz="4" w:space="0" w:color="auto"/>
          <w:left w:val="single" w:sz="4" w:space="4" w:color="auto"/>
          <w:bottom w:val="single" w:sz="4" w:space="1" w:color="auto"/>
          <w:right w:val="single" w:sz="4" w:space="4" w:color="auto"/>
        </w:pBdr>
        <w:rPr>
          <w:b/>
          <w:caps/>
        </w:rPr>
      </w:pPr>
      <w:r w:rsidRPr="00DA70E6">
        <w:br w:type="page"/>
      </w:r>
      <w:r w:rsidRPr="00DA70E6">
        <w:rPr>
          <w:b/>
          <w:caps/>
        </w:rPr>
        <w:t xml:space="preserve">Informacija ant </w:t>
      </w:r>
      <w:r w:rsidRPr="00DA70E6">
        <w:rPr>
          <w:b/>
        </w:rPr>
        <w:t>IŠORINĖS IR VIDINĖS</w:t>
      </w:r>
      <w:r w:rsidRPr="00DA70E6">
        <w:t xml:space="preserve"> </w:t>
      </w:r>
      <w:r w:rsidRPr="00DA70E6">
        <w:rPr>
          <w:b/>
          <w:caps/>
        </w:rPr>
        <w:t xml:space="preserve">pakuotės </w:t>
      </w:r>
    </w:p>
    <w:p w14:paraId="02B695A6" w14:textId="77777777" w:rsidR="00DA70E6" w:rsidRPr="00DA70E6" w:rsidRDefault="00DA70E6" w:rsidP="00DA70E6">
      <w:pPr>
        <w:pBdr>
          <w:top w:val="single" w:sz="4" w:space="0" w:color="auto"/>
          <w:left w:val="single" w:sz="4" w:space="4" w:color="auto"/>
          <w:bottom w:val="single" w:sz="4" w:space="1" w:color="auto"/>
          <w:right w:val="single" w:sz="4" w:space="4" w:color="auto"/>
        </w:pBdr>
        <w:ind w:left="567" w:hanging="567"/>
      </w:pPr>
    </w:p>
    <w:p w14:paraId="3197B5AE" w14:textId="77777777" w:rsidR="00DA70E6" w:rsidRPr="00DA70E6" w:rsidRDefault="00DA70E6" w:rsidP="00DA70E6">
      <w:pPr>
        <w:pBdr>
          <w:top w:val="single" w:sz="4" w:space="0" w:color="auto"/>
          <w:left w:val="single" w:sz="4" w:space="4" w:color="auto"/>
          <w:bottom w:val="single" w:sz="4" w:space="1" w:color="auto"/>
          <w:right w:val="single" w:sz="4" w:space="4" w:color="auto"/>
        </w:pBdr>
        <w:ind w:left="567" w:hanging="567"/>
      </w:pPr>
      <w:r w:rsidRPr="00DA70E6">
        <w:rPr>
          <w:rFonts w:ascii="Times New Roman Bold" w:hAnsi="Times New Roman Bold"/>
          <w:b/>
          <w:szCs w:val="22"/>
        </w:rPr>
        <w:t xml:space="preserve">KARTONO DĖŽUTĖ BUTELIUKUI IR BUTELIUKO ETIKETĖ </w:t>
      </w:r>
    </w:p>
    <w:p w14:paraId="2421ACC8" w14:textId="77777777" w:rsidR="00DA70E6" w:rsidRPr="00DA70E6" w:rsidRDefault="00DA70E6" w:rsidP="00DA70E6">
      <w:pPr>
        <w:ind w:left="567" w:hanging="567"/>
      </w:pPr>
    </w:p>
    <w:p w14:paraId="3AEE3399" w14:textId="77777777" w:rsidR="00DA70E6" w:rsidRPr="00DA70E6" w:rsidRDefault="00DA70E6" w:rsidP="00DA70E6">
      <w:pPr>
        <w:ind w:left="567" w:hanging="567"/>
      </w:pPr>
    </w:p>
    <w:p w14:paraId="5F3E3E3C"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w:t>
      </w:r>
      <w:r w:rsidRPr="00DA70E6">
        <w:rPr>
          <w:b/>
          <w:caps/>
        </w:rPr>
        <w:tab/>
        <w:t>vaistinio preparato pavadinimas</w:t>
      </w:r>
    </w:p>
    <w:p w14:paraId="71E672D6" w14:textId="77777777" w:rsidR="00DA70E6" w:rsidRPr="00DA70E6" w:rsidRDefault="00DA70E6" w:rsidP="00DA70E6">
      <w:pPr>
        <w:ind w:left="567" w:hanging="567"/>
      </w:pPr>
    </w:p>
    <w:p w14:paraId="30D0834A" w14:textId="77777777" w:rsidR="00DA70E6" w:rsidRPr="00DA70E6" w:rsidRDefault="00DA70E6" w:rsidP="00DA70E6">
      <w:pPr>
        <w:rPr>
          <w:rFonts w:ascii="Calibri" w:eastAsia="Calibri" w:hAnsi="Calibri"/>
          <w:b/>
        </w:rPr>
      </w:pPr>
      <w:r w:rsidRPr="00DA70E6">
        <w:rPr>
          <w:rFonts w:eastAsia="TimesNewRoman"/>
        </w:rPr>
        <w:t>Emtricitabine/Tenofovir disoproxil Sandoz 200 mg/245 mg plėvele dengtos tabletės</w:t>
      </w:r>
    </w:p>
    <w:p w14:paraId="4A4977FD" w14:textId="77777777" w:rsidR="00DA70E6" w:rsidRPr="00DA70E6" w:rsidRDefault="00DA70E6" w:rsidP="00DA70E6">
      <w:pPr>
        <w:ind w:left="567" w:hanging="567"/>
      </w:pPr>
    </w:p>
    <w:p w14:paraId="7F8CF109" w14:textId="7378A097" w:rsidR="00DA70E6" w:rsidRPr="00DA70E6" w:rsidRDefault="002872CD" w:rsidP="00DA70E6">
      <w:pPr>
        <w:ind w:left="567" w:hanging="567"/>
      </w:pPr>
      <w:r>
        <w:t>e</w:t>
      </w:r>
      <w:r w:rsidR="00DA70E6" w:rsidRPr="00DA70E6">
        <w:t xml:space="preserve">mtricitabinum / </w:t>
      </w:r>
      <w:r>
        <w:t>t</w:t>
      </w:r>
      <w:r w:rsidR="00DA70E6" w:rsidRPr="00DA70E6">
        <w:t>enofovirum disoproxilum</w:t>
      </w:r>
    </w:p>
    <w:p w14:paraId="5D07D516" w14:textId="77777777" w:rsidR="00DA70E6" w:rsidRPr="00DA70E6" w:rsidRDefault="00DA70E6" w:rsidP="00DA70E6">
      <w:pPr>
        <w:ind w:left="567" w:hanging="567"/>
      </w:pPr>
    </w:p>
    <w:p w14:paraId="10869FB6" w14:textId="77777777" w:rsidR="00DA70E6" w:rsidRPr="00DA70E6" w:rsidRDefault="00DA70E6" w:rsidP="00DA70E6">
      <w:pPr>
        <w:ind w:left="567" w:hanging="567"/>
      </w:pPr>
    </w:p>
    <w:p w14:paraId="17A9C01E"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2.</w:t>
      </w:r>
      <w:r w:rsidRPr="00DA70E6">
        <w:rPr>
          <w:b/>
          <w:caps/>
        </w:rPr>
        <w:tab/>
        <w:t>VEIKLIOJI (-IOS) MEDŽIAGA (-OS) IR JOS (-Ų) KIEKIS (-IAI)</w:t>
      </w:r>
    </w:p>
    <w:p w14:paraId="663BFECF" w14:textId="77777777" w:rsidR="00DA70E6" w:rsidRPr="00DA70E6" w:rsidRDefault="00DA70E6" w:rsidP="00DA70E6">
      <w:pPr>
        <w:ind w:left="567" w:hanging="567"/>
        <w:rPr>
          <w:caps/>
        </w:rPr>
      </w:pPr>
    </w:p>
    <w:p w14:paraId="26AB4915" w14:textId="77777777" w:rsidR="00DA70E6" w:rsidRPr="00DA70E6" w:rsidRDefault="00DA70E6" w:rsidP="00DA70E6">
      <w:pPr>
        <w:spacing w:line="240" w:lineRule="exact"/>
      </w:pPr>
      <w:r w:rsidRPr="00DA70E6">
        <w:t>Kiekvienoje plėvele dengtoje tabletėje yra 200 mg emtricitabino ir 245 mg tenofoviro dizoproksilio.</w:t>
      </w:r>
    </w:p>
    <w:p w14:paraId="141F641A" w14:textId="77777777" w:rsidR="00DA70E6" w:rsidRPr="00DA70E6" w:rsidRDefault="00DA70E6" w:rsidP="00DA70E6"/>
    <w:p w14:paraId="134FF923" w14:textId="77777777" w:rsidR="00DA70E6" w:rsidRPr="00DA70E6" w:rsidRDefault="00DA70E6" w:rsidP="00DA70E6">
      <w:pPr>
        <w:spacing w:line="240" w:lineRule="exact"/>
      </w:pPr>
    </w:p>
    <w:p w14:paraId="7E157653"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3.</w:t>
      </w:r>
      <w:r w:rsidRPr="00DA70E6">
        <w:rPr>
          <w:b/>
          <w:caps/>
        </w:rPr>
        <w:tab/>
        <w:t>pagalbinių medžiagų sąrašas</w:t>
      </w:r>
    </w:p>
    <w:p w14:paraId="18693A5A" w14:textId="77777777" w:rsidR="00DA70E6" w:rsidRPr="00DA70E6" w:rsidRDefault="00DA70E6" w:rsidP="00DA70E6">
      <w:pPr>
        <w:ind w:left="567" w:hanging="567"/>
      </w:pPr>
    </w:p>
    <w:p w14:paraId="17F04D43" w14:textId="77777777" w:rsidR="00DA70E6" w:rsidRPr="00DA70E6" w:rsidRDefault="00DA70E6" w:rsidP="00DA70E6">
      <w:pPr>
        <w:ind w:left="567" w:hanging="567"/>
      </w:pPr>
      <w:r w:rsidRPr="00DA70E6">
        <w:t xml:space="preserve">Sudėtyje yra laktozės. </w:t>
      </w:r>
      <w:r w:rsidRPr="007727FA">
        <w:rPr>
          <w:highlight w:val="lightGray"/>
        </w:rPr>
        <w:t>Daugiau informacijos žr. pakuotės lapelyje.</w:t>
      </w:r>
    </w:p>
    <w:p w14:paraId="78D0D083" w14:textId="77777777" w:rsidR="00DA70E6" w:rsidRPr="00DA70E6" w:rsidRDefault="00DA70E6" w:rsidP="00DA70E6">
      <w:pPr>
        <w:ind w:left="567" w:hanging="567"/>
        <w:rPr>
          <w:caps/>
        </w:rPr>
      </w:pPr>
    </w:p>
    <w:p w14:paraId="7DDC353C" w14:textId="77777777" w:rsidR="00DA70E6" w:rsidRPr="00DA70E6" w:rsidRDefault="00DA70E6" w:rsidP="00DA70E6">
      <w:pPr>
        <w:ind w:left="567" w:hanging="567"/>
        <w:rPr>
          <w:caps/>
        </w:rPr>
      </w:pPr>
    </w:p>
    <w:p w14:paraId="03F3448C"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4.</w:t>
      </w:r>
      <w:r w:rsidRPr="00DA70E6">
        <w:rPr>
          <w:b/>
          <w:caps/>
        </w:rPr>
        <w:tab/>
        <w:t>FARMACINĖ forma ir KIEKIS PAKUOTĖJE</w:t>
      </w:r>
    </w:p>
    <w:p w14:paraId="26996B2E" w14:textId="77777777" w:rsidR="00DA70E6" w:rsidRPr="00DA70E6" w:rsidRDefault="00DA70E6" w:rsidP="00DA70E6">
      <w:pPr>
        <w:ind w:left="567" w:hanging="567"/>
      </w:pPr>
    </w:p>
    <w:p w14:paraId="66B17FA7" w14:textId="77777777" w:rsidR="00DA70E6" w:rsidRPr="00DA70E6" w:rsidRDefault="00DA70E6" w:rsidP="00DA70E6">
      <w:pPr>
        <w:ind w:left="567" w:hanging="567"/>
      </w:pPr>
      <w:r w:rsidRPr="000407E7">
        <w:rPr>
          <w:highlight w:val="lightGray"/>
        </w:rPr>
        <w:t>Plėvele dengta tabletė</w:t>
      </w:r>
    </w:p>
    <w:p w14:paraId="427B0F7F" w14:textId="77777777" w:rsidR="00DA70E6" w:rsidRPr="00DA70E6" w:rsidRDefault="00DA70E6" w:rsidP="00DA70E6">
      <w:pPr>
        <w:ind w:left="567" w:hanging="567"/>
      </w:pPr>
    </w:p>
    <w:p w14:paraId="060E4F36" w14:textId="77777777" w:rsidR="00DA70E6" w:rsidRPr="00DA70E6" w:rsidRDefault="00DA70E6" w:rsidP="00DA70E6">
      <w:pPr>
        <w:ind w:left="567" w:hanging="567"/>
      </w:pPr>
      <w:r w:rsidRPr="00DA70E6">
        <w:t xml:space="preserve">30 </w:t>
      </w:r>
      <w:r w:rsidRPr="000407E7">
        <w:rPr>
          <w:highlight w:val="lightGray"/>
        </w:rPr>
        <w:t xml:space="preserve">plėvele dengtų </w:t>
      </w:r>
      <w:r w:rsidRPr="00DA70E6">
        <w:t>tablečių</w:t>
      </w:r>
    </w:p>
    <w:p w14:paraId="6E017673" w14:textId="77777777" w:rsidR="00DA70E6" w:rsidRPr="000407E7" w:rsidRDefault="00DA70E6" w:rsidP="00DA70E6">
      <w:pPr>
        <w:ind w:left="567" w:hanging="567"/>
        <w:rPr>
          <w:highlight w:val="lightGray"/>
        </w:rPr>
      </w:pPr>
      <w:r w:rsidRPr="000407E7">
        <w:rPr>
          <w:highlight w:val="lightGray"/>
        </w:rPr>
        <w:t>60 (2x30) plėvele dengtų tablečių</w:t>
      </w:r>
    </w:p>
    <w:p w14:paraId="4929FD95" w14:textId="77777777" w:rsidR="00DA70E6" w:rsidRPr="000407E7" w:rsidRDefault="00DA70E6" w:rsidP="00DA70E6">
      <w:pPr>
        <w:ind w:left="567" w:hanging="567"/>
        <w:rPr>
          <w:highlight w:val="lightGray"/>
        </w:rPr>
      </w:pPr>
      <w:r w:rsidRPr="000407E7">
        <w:rPr>
          <w:highlight w:val="lightGray"/>
        </w:rPr>
        <w:t>90 (3x30) plėvele dengtų tablečių</w:t>
      </w:r>
    </w:p>
    <w:p w14:paraId="6AF214DE" w14:textId="77777777" w:rsidR="00DA70E6" w:rsidRPr="00DA70E6" w:rsidRDefault="00DA70E6" w:rsidP="00DA70E6">
      <w:pPr>
        <w:ind w:left="567" w:hanging="567"/>
        <w:rPr>
          <w:caps/>
        </w:rPr>
      </w:pPr>
    </w:p>
    <w:p w14:paraId="64177D63" w14:textId="77777777" w:rsidR="00DA70E6" w:rsidRPr="00DA70E6" w:rsidRDefault="00DA70E6" w:rsidP="00DA70E6">
      <w:pPr>
        <w:ind w:left="567" w:hanging="567"/>
        <w:rPr>
          <w:caps/>
        </w:rPr>
      </w:pPr>
    </w:p>
    <w:p w14:paraId="743218CD"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5.</w:t>
      </w:r>
      <w:r w:rsidRPr="00DA70E6">
        <w:rPr>
          <w:b/>
          <w:caps/>
        </w:rPr>
        <w:tab/>
        <w:t>vartojimo METODAS IR būdas (-AI)</w:t>
      </w:r>
    </w:p>
    <w:p w14:paraId="40EE6882" w14:textId="77777777" w:rsidR="00DA70E6" w:rsidRPr="00DA70E6" w:rsidRDefault="00DA70E6" w:rsidP="00DA70E6">
      <w:pPr>
        <w:ind w:left="567" w:hanging="567"/>
      </w:pPr>
    </w:p>
    <w:p w14:paraId="152C1CC5" w14:textId="77777777" w:rsidR="00DA70E6" w:rsidRPr="00DA70E6" w:rsidRDefault="00DA70E6" w:rsidP="00DA70E6">
      <w:pPr>
        <w:ind w:left="567" w:hanging="567"/>
      </w:pPr>
      <w:r w:rsidRPr="00DA70E6">
        <w:t>Vartoti per burną.</w:t>
      </w:r>
    </w:p>
    <w:p w14:paraId="5858675D" w14:textId="77777777" w:rsidR="00DA70E6" w:rsidRPr="00DA70E6" w:rsidRDefault="00DA70E6" w:rsidP="00DA70E6">
      <w:pPr>
        <w:ind w:left="567" w:hanging="567"/>
      </w:pPr>
      <w:r w:rsidRPr="00DA70E6">
        <w:t>Prieš vartojimą perskaitykite pakuotės lapelį.</w:t>
      </w:r>
    </w:p>
    <w:p w14:paraId="528244A8" w14:textId="77777777" w:rsidR="00DA70E6" w:rsidRPr="00DA70E6" w:rsidRDefault="00DA70E6" w:rsidP="00DA70E6">
      <w:pPr>
        <w:ind w:left="567" w:hanging="567"/>
        <w:rPr>
          <w:caps/>
        </w:rPr>
      </w:pPr>
    </w:p>
    <w:p w14:paraId="6A90D41E" w14:textId="77777777" w:rsidR="00DA70E6" w:rsidRPr="00DA70E6" w:rsidRDefault="00DA70E6" w:rsidP="00DA70E6">
      <w:pPr>
        <w:ind w:left="567" w:hanging="567"/>
        <w:rPr>
          <w:caps/>
        </w:rPr>
      </w:pPr>
    </w:p>
    <w:p w14:paraId="5126831A"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6.</w:t>
      </w:r>
      <w:r w:rsidRPr="00DA70E6">
        <w:rPr>
          <w:b/>
          <w:caps/>
        </w:rPr>
        <w:tab/>
        <w:t>SPECIALUS Įspėjimas</w:t>
      </w:r>
      <w:r w:rsidRPr="00DA70E6">
        <w:t xml:space="preserve">, </w:t>
      </w:r>
      <w:r w:rsidRPr="00DA70E6">
        <w:rPr>
          <w:b/>
        </w:rPr>
        <w:t xml:space="preserve">KAD VAISTINĮ PREPARATĄ BŪTINA LAIKYTI </w:t>
      </w:r>
      <w:r w:rsidRPr="00DA70E6">
        <w:rPr>
          <w:b/>
          <w:caps/>
        </w:rPr>
        <w:t>vaikams NEPASTEBIMOJE IR  NEPASIEKIAMOJE vietoje</w:t>
      </w:r>
    </w:p>
    <w:p w14:paraId="4D804E1E" w14:textId="77777777" w:rsidR="00DA70E6" w:rsidRPr="00DA70E6" w:rsidRDefault="00DA70E6" w:rsidP="00DA70E6">
      <w:pPr>
        <w:ind w:left="567" w:hanging="567"/>
      </w:pPr>
    </w:p>
    <w:p w14:paraId="4E41AE4A" w14:textId="77777777" w:rsidR="00DA70E6" w:rsidRPr="00DA70E6" w:rsidRDefault="00DA70E6" w:rsidP="00DA70E6">
      <w:pPr>
        <w:ind w:left="567" w:hanging="567"/>
      </w:pPr>
      <w:r w:rsidRPr="00DA70E6">
        <w:t>Laikyti vaikams nepastebimoje ir nepasiekiamoje vietoje.</w:t>
      </w:r>
    </w:p>
    <w:p w14:paraId="48C81B1C" w14:textId="77777777" w:rsidR="00DA70E6" w:rsidRPr="00DA70E6" w:rsidRDefault="00DA70E6" w:rsidP="00DA70E6">
      <w:pPr>
        <w:ind w:left="567" w:hanging="567"/>
      </w:pPr>
    </w:p>
    <w:p w14:paraId="3FC4CCED" w14:textId="77777777" w:rsidR="00DA70E6" w:rsidRPr="00DA70E6" w:rsidRDefault="00DA70E6" w:rsidP="00DA70E6">
      <w:pPr>
        <w:ind w:left="567" w:hanging="567"/>
      </w:pPr>
    </w:p>
    <w:p w14:paraId="7BF66C12"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7.</w:t>
      </w:r>
      <w:r w:rsidRPr="00DA70E6">
        <w:rPr>
          <w:b/>
          <w:caps/>
        </w:rPr>
        <w:tab/>
        <w:t>KITAS (-I) SPECIALUS (-ŪS) ĮSPĖJIMAS (-AI) (JEI REIKIA)</w:t>
      </w:r>
    </w:p>
    <w:p w14:paraId="379CF5C9" w14:textId="77777777" w:rsidR="00DA70E6" w:rsidRPr="00DA70E6" w:rsidRDefault="00DA70E6" w:rsidP="00DA70E6">
      <w:pPr>
        <w:ind w:left="567" w:hanging="567"/>
        <w:rPr>
          <w:caps/>
        </w:rPr>
      </w:pPr>
    </w:p>
    <w:p w14:paraId="1B8DF49E" w14:textId="77777777" w:rsidR="00DA70E6" w:rsidRPr="00DA70E6" w:rsidRDefault="00DA70E6" w:rsidP="00DA70E6">
      <w:pPr>
        <w:ind w:left="567" w:hanging="567"/>
        <w:rPr>
          <w:caps/>
        </w:rPr>
      </w:pPr>
    </w:p>
    <w:p w14:paraId="2FEE07A6"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8.</w:t>
      </w:r>
      <w:r w:rsidRPr="00DA70E6">
        <w:rPr>
          <w:b/>
          <w:caps/>
        </w:rPr>
        <w:tab/>
        <w:t>tinkamumo laikas</w:t>
      </w:r>
    </w:p>
    <w:p w14:paraId="59A83243" w14:textId="77777777" w:rsidR="00DA70E6" w:rsidRPr="00DA70E6" w:rsidRDefault="00DA70E6" w:rsidP="00DA70E6">
      <w:pPr>
        <w:ind w:left="567" w:hanging="567"/>
      </w:pPr>
    </w:p>
    <w:p w14:paraId="249D0EB5" w14:textId="77777777" w:rsidR="00DA70E6" w:rsidRPr="00DA70E6" w:rsidRDefault="00DA70E6" w:rsidP="00DA70E6">
      <w:pPr>
        <w:ind w:left="567" w:hanging="567"/>
        <w:rPr>
          <w:i/>
        </w:rPr>
      </w:pPr>
      <w:r w:rsidRPr="00DA70E6">
        <w:t xml:space="preserve">EXP{mm MMMM} </w:t>
      </w:r>
    </w:p>
    <w:p w14:paraId="3849EB7A" w14:textId="77777777" w:rsidR="00DA70E6" w:rsidRPr="00DA70E6" w:rsidRDefault="00DA70E6" w:rsidP="00DA70E6">
      <w:pPr>
        <w:ind w:left="567" w:hanging="567"/>
      </w:pPr>
      <w:r w:rsidRPr="00DA70E6">
        <w:t>Po buteliuko pirmojo atidarymo: suvartoti per 30 parų.</w:t>
      </w:r>
    </w:p>
    <w:p w14:paraId="06DB8A3B" w14:textId="77777777" w:rsidR="00DA70E6" w:rsidRPr="00DA70E6" w:rsidRDefault="00DA70E6" w:rsidP="00DA70E6">
      <w:pPr>
        <w:ind w:left="567" w:hanging="567"/>
      </w:pPr>
    </w:p>
    <w:p w14:paraId="2F52A3EB" w14:textId="77777777" w:rsidR="00DA70E6" w:rsidRPr="00DA70E6" w:rsidRDefault="00DA70E6" w:rsidP="00DA70E6">
      <w:pPr>
        <w:ind w:left="567" w:hanging="567"/>
      </w:pPr>
    </w:p>
    <w:p w14:paraId="106747D7"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9.</w:t>
      </w:r>
      <w:r w:rsidRPr="00DA70E6">
        <w:rPr>
          <w:b/>
          <w:caps/>
        </w:rPr>
        <w:tab/>
        <w:t>SPECIALIOS laikymo sąlygos</w:t>
      </w:r>
    </w:p>
    <w:p w14:paraId="653BB1EF" w14:textId="77777777" w:rsidR="00DA70E6" w:rsidRPr="00DA70E6" w:rsidRDefault="00DA70E6" w:rsidP="00DA70E6">
      <w:pPr>
        <w:ind w:left="567" w:hanging="567"/>
      </w:pPr>
    </w:p>
    <w:p w14:paraId="3E260BD2" w14:textId="77777777" w:rsidR="00DA70E6" w:rsidRPr="00DA70E6" w:rsidRDefault="00DA70E6" w:rsidP="00DA70E6">
      <w:r w:rsidRPr="00DA70E6">
        <w:t>Laikyti gamintojo pakuotėje, kad vaistas būtų apsaugotas nuo drėgmės. Buteliuką laikyti sandarų.</w:t>
      </w:r>
    </w:p>
    <w:p w14:paraId="54A043A4" w14:textId="77777777" w:rsidR="00DA70E6" w:rsidRPr="00DA70E6" w:rsidRDefault="00DA70E6" w:rsidP="00DA70E6"/>
    <w:p w14:paraId="234FC7F1" w14:textId="77777777" w:rsidR="00DA70E6" w:rsidRPr="00DA70E6" w:rsidRDefault="00DA70E6" w:rsidP="00DA70E6"/>
    <w:p w14:paraId="46B62877" w14:textId="77777777" w:rsidR="00DA70E6" w:rsidRPr="00DA70E6" w:rsidRDefault="00DA70E6" w:rsidP="00DA70E6">
      <w:pPr>
        <w:pBdr>
          <w:top w:val="single" w:sz="4" w:space="0" w:color="auto"/>
          <w:left w:val="single" w:sz="4" w:space="4" w:color="auto"/>
          <w:bottom w:val="single" w:sz="4" w:space="1" w:color="auto"/>
          <w:right w:val="single" w:sz="4" w:space="4" w:color="auto"/>
        </w:pBdr>
        <w:ind w:left="567" w:hanging="567"/>
        <w:rPr>
          <w:b/>
          <w:caps/>
        </w:rPr>
      </w:pPr>
      <w:r w:rsidRPr="00DA70E6">
        <w:rPr>
          <w:b/>
          <w:caps/>
        </w:rPr>
        <w:t>10.</w:t>
      </w:r>
      <w:r w:rsidRPr="00DA70E6">
        <w:rPr>
          <w:b/>
          <w:caps/>
        </w:rPr>
        <w:tab/>
        <w:t>specialios atsargumo priemonės</w:t>
      </w:r>
      <w:r w:rsidRPr="00DA70E6">
        <w:rPr>
          <w:b/>
        </w:rPr>
        <w:t xml:space="preserve"> DĖL NESUVARTOTO VAISTINIO PREPARATO AR JO ATLIEKŲ TVARKYMO (JEI REIKIA)</w:t>
      </w:r>
    </w:p>
    <w:p w14:paraId="553B34BF" w14:textId="77777777" w:rsidR="00DA70E6" w:rsidRPr="00DA70E6" w:rsidRDefault="00DA70E6" w:rsidP="00DA70E6">
      <w:pPr>
        <w:ind w:left="567" w:hanging="567"/>
        <w:rPr>
          <w:caps/>
        </w:rPr>
      </w:pPr>
    </w:p>
    <w:p w14:paraId="5B636338" w14:textId="77777777" w:rsidR="00DA70E6" w:rsidRPr="00DA70E6" w:rsidRDefault="00DA70E6" w:rsidP="00DA70E6">
      <w:pPr>
        <w:ind w:left="567" w:hanging="567"/>
        <w:rPr>
          <w:caps/>
        </w:rPr>
      </w:pPr>
    </w:p>
    <w:p w14:paraId="0EE24166" w14:textId="77777777" w:rsidR="00DA70E6" w:rsidRPr="00DA70E6" w:rsidRDefault="00DA70E6" w:rsidP="00DA70E6">
      <w:pPr>
        <w:pBdr>
          <w:top w:val="single" w:sz="4" w:space="1" w:color="auto"/>
          <w:left w:val="single" w:sz="4" w:space="2" w:color="auto"/>
          <w:bottom w:val="single" w:sz="4" w:space="1" w:color="auto"/>
          <w:right w:val="single" w:sz="4" w:space="4" w:color="auto"/>
        </w:pBdr>
        <w:ind w:left="567" w:hanging="567"/>
        <w:rPr>
          <w:b/>
          <w:caps/>
        </w:rPr>
      </w:pPr>
      <w:r w:rsidRPr="00DA70E6">
        <w:rPr>
          <w:b/>
          <w:caps/>
        </w:rPr>
        <w:t>11.</w:t>
      </w:r>
      <w:r w:rsidRPr="00DA70E6">
        <w:rPr>
          <w:b/>
          <w:caps/>
        </w:rPr>
        <w:tab/>
        <w:t>rEGISTRUOTOJO PAVADINIMAS IR ADRESAS</w:t>
      </w:r>
    </w:p>
    <w:p w14:paraId="18F3A8AB" w14:textId="77777777" w:rsidR="00DA70E6" w:rsidRPr="00DA70E6" w:rsidRDefault="00DA70E6" w:rsidP="00DA70E6">
      <w:pPr>
        <w:tabs>
          <w:tab w:val="left" w:pos="720"/>
        </w:tabs>
        <w:spacing w:line="240" w:lineRule="exact"/>
      </w:pPr>
    </w:p>
    <w:p w14:paraId="569A6DF4" w14:textId="77777777" w:rsidR="00DA70E6" w:rsidRPr="00DA70E6" w:rsidRDefault="00DA70E6" w:rsidP="00DA70E6">
      <w:r w:rsidRPr="000407E7">
        <w:rPr>
          <w:highlight w:val="lightGray"/>
        </w:rPr>
        <w:t>[tik kartono dėžutei]</w:t>
      </w:r>
    </w:p>
    <w:p w14:paraId="7D790E91" w14:textId="77777777" w:rsidR="00DA70E6" w:rsidRPr="00DA70E6" w:rsidRDefault="00DA70E6" w:rsidP="00DA70E6">
      <w:r w:rsidRPr="00DA70E6">
        <w:t>Sandoz d.d.</w:t>
      </w:r>
    </w:p>
    <w:p w14:paraId="2830C438" w14:textId="77777777" w:rsidR="00DA70E6" w:rsidRPr="00DA70E6" w:rsidRDefault="00DA70E6" w:rsidP="00DA70E6">
      <w:r w:rsidRPr="00DA70E6">
        <w:t>Verovškova 57</w:t>
      </w:r>
    </w:p>
    <w:p w14:paraId="71E44F6A" w14:textId="77777777" w:rsidR="00DA70E6" w:rsidRPr="00DA70E6" w:rsidRDefault="00DA70E6" w:rsidP="00DA70E6">
      <w:r w:rsidRPr="00DA70E6">
        <w:t>SI-1000 Ljubljana</w:t>
      </w:r>
    </w:p>
    <w:p w14:paraId="5EC782C0" w14:textId="77777777" w:rsidR="00DA70E6" w:rsidRPr="00DA70E6" w:rsidRDefault="00DA70E6" w:rsidP="00DA70E6">
      <w:pPr>
        <w:rPr>
          <w:b/>
        </w:rPr>
      </w:pPr>
      <w:r w:rsidRPr="00DA70E6">
        <w:t>Slovėnija</w:t>
      </w:r>
    </w:p>
    <w:p w14:paraId="26EFF9A9" w14:textId="77777777" w:rsidR="00DA70E6" w:rsidRPr="00DA70E6" w:rsidRDefault="00DA70E6" w:rsidP="00DA70E6">
      <w:pPr>
        <w:ind w:left="567" w:hanging="567"/>
        <w:rPr>
          <w:caps/>
        </w:rPr>
      </w:pPr>
    </w:p>
    <w:p w14:paraId="5F49902D" w14:textId="77777777" w:rsidR="00DA70E6" w:rsidRPr="00DA70E6" w:rsidRDefault="00DA70E6" w:rsidP="00DA70E6">
      <w:pPr>
        <w:ind w:left="567" w:hanging="567"/>
      </w:pPr>
      <w:r w:rsidRPr="000407E7">
        <w:rPr>
          <w:highlight w:val="lightGray"/>
        </w:rPr>
        <w:t>[tik buteliuko etiketei]</w:t>
      </w:r>
    </w:p>
    <w:p w14:paraId="242CE8A3" w14:textId="77777777" w:rsidR="00DA70E6" w:rsidRPr="00DA70E6" w:rsidRDefault="00DA70E6" w:rsidP="00DA70E6">
      <w:pPr>
        <w:ind w:left="567" w:hanging="567"/>
        <w:rPr>
          <w:caps/>
        </w:rPr>
      </w:pPr>
      <w:r w:rsidRPr="00DA70E6">
        <w:t xml:space="preserve">SANDOZ </w:t>
      </w:r>
    </w:p>
    <w:p w14:paraId="69E58A55" w14:textId="77777777" w:rsidR="00DA70E6" w:rsidRPr="00DA70E6" w:rsidRDefault="00DA70E6" w:rsidP="00DA70E6">
      <w:pPr>
        <w:ind w:left="567" w:hanging="567"/>
        <w:rPr>
          <w:caps/>
        </w:rPr>
      </w:pPr>
    </w:p>
    <w:p w14:paraId="25F8C5E8" w14:textId="77777777" w:rsidR="00DA70E6" w:rsidRPr="00DA70E6" w:rsidRDefault="00DA70E6" w:rsidP="00DA70E6">
      <w:pPr>
        <w:ind w:left="567" w:hanging="567"/>
        <w:rPr>
          <w:caps/>
        </w:rPr>
      </w:pPr>
    </w:p>
    <w:p w14:paraId="53CD25C1"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12.</w:t>
      </w:r>
      <w:r w:rsidRPr="00DA70E6">
        <w:rPr>
          <w:b/>
          <w:caps/>
        </w:rPr>
        <w:tab/>
        <w:t>REGISTRACIJOS PAŽYMĖJIMO NUMERIS (-IAI)</w:t>
      </w:r>
    </w:p>
    <w:p w14:paraId="002E3A1A" w14:textId="77777777" w:rsidR="00DA70E6" w:rsidRPr="00DA70E6" w:rsidRDefault="00DA70E6" w:rsidP="00DA70E6">
      <w:pPr>
        <w:ind w:left="567" w:hanging="567"/>
      </w:pPr>
    </w:p>
    <w:p w14:paraId="0877BAE2" w14:textId="77777777" w:rsidR="00DA70E6" w:rsidRPr="00DA70E6" w:rsidRDefault="00DA70E6" w:rsidP="00DA70E6">
      <w:pPr>
        <w:ind w:left="567" w:hanging="567"/>
      </w:pPr>
      <w:r w:rsidRPr="000407E7">
        <w:rPr>
          <w:highlight w:val="lightGray"/>
        </w:rPr>
        <w:t>[tik kartono dėžutei]</w:t>
      </w:r>
    </w:p>
    <w:p w14:paraId="41AEE229" w14:textId="77777777" w:rsidR="00133B04" w:rsidRPr="00FA7974" w:rsidRDefault="00133B04" w:rsidP="00133B04">
      <w:pPr>
        <w:ind w:left="567" w:hanging="567"/>
        <w:rPr>
          <w:szCs w:val="22"/>
          <w:shd w:val="clear" w:color="auto" w:fill="D9D9D9" w:themeFill="background1" w:themeFillShade="D9"/>
          <w:lang w:eastAsia="en-US"/>
        </w:rPr>
      </w:pPr>
      <w:r>
        <w:t xml:space="preserve">LT/1/17/4072/004 </w:t>
      </w:r>
      <w:r w:rsidRPr="00FA7974">
        <w:rPr>
          <w:szCs w:val="22"/>
          <w:shd w:val="clear" w:color="auto" w:fill="D9D9D9" w:themeFill="background1" w:themeFillShade="D9"/>
          <w:lang w:eastAsia="en-US"/>
        </w:rPr>
        <w:t>– N30</w:t>
      </w:r>
    </w:p>
    <w:p w14:paraId="6D27174F" w14:textId="77777777" w:rsidR="00133B04" w:rsidRPr="00FA7974" w:rsidRDefault="00133B04" w:rsidP="00133B04">
      <w:pPr>
        <w:ind w:left="567" w:hanging="567"/>
        <w:rPr>
          <w:szCs w:val="22"/>
          <w:shd w:val="clear" w:color="auto" w:fill="D9D9D9" w:themeFill="background1" w:themeFillShade="D9"/>
          <w:lang w:eastAsia="en-US"/>
        </w:rPr>
      </w:pPr>
      <w:r w:rsidRPr="00FA7974">
        <w:rPr>
          <w:szCs w:val="22"/>
          <w:shd w:val="clear" w:color="auto" w:fill="D9D9D9" w:themeFill="background1" w:themeFillShade="D9"/>
          <w:lang w:eastAsia="en-US"/>
        </w:rPr>
        <w:t>LT/1/17/4072/005 – N60 (2x30)</w:t>
      </w:r>
    </w:p>
    <w:p w14:paraId="4E2A4887" w14:textId="13B0785A" w:rsidR="00DA70E6" w:rsidRPr="00FA7974" w:rsidRDefault="00133B04" w:rsidP="00133B04">
      <w:pPr>
        <w:ind w:left="567" w:hanging="567"/>
        <w:rPr>
          <w:szCs w:val="22"/>
          <w:shd w:val="clear" w:color="auto" w:fill="D9D9D9" w:themeFill="background1" w:themeFillShade="D9"/>
          <w:lang w:eastAsia="en-US"/>
        </w:rPr>
      </w:pPr>
      <w:r w:rsidRPr="00FA7974">
        <w:rPr>
          <w:szCs w:val="22"/>
          <w:shd w:val="clear" w:color="auto" w:fill="D9D9D9" w:themeFill="background1" w:themeFillShade="D9"/>
          <w:lang w:eastAsia="en-US"/>
        </w:rPr>
        <w:t>LT/1/17/4072/006 – N90 (3x30)</w:t>
      </w:r>
    </w:p>
    <w:p w14:paraId="7405E10B" w14:textId="77777777" w:rsidR="00133B04" w:rsidRPr="00DA70E6" w:rsidRDefault="00133B04" w:rsidP="00133B04">
      <w:pPr>
        <w:ind w:left="567" w:hanging="567"/>
      </w:pPr>
    </w:p>
    <w:p w14:paraId="472D358A" w14:textId="77777777" w:rsidR="00DA70E6" w:rsidRPr="00DA70E6" w:rsidRDefault="00DA70E6" w:rsidP="00DA70E6">
      <w:pPr>
        <w:ind w:left="567" w:hanging="567"/>
      </w:pPr>
    </w:p>
    <w:p w14:paraId="2C6BC873"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13.</w:t>
      </w:r>
      <w:r w:rsidRPr="00DA70E6">
        <w:rPr>
          <w:b/>
          <w:caps/>
        </w:rPr>
        <w:tab/>
        <w:t>serijos numeris</w:t>
      </w:r>
    </w:p>
    <w:p w14:paraId="3DF5AB09" w14:textId="77777777" w:rsidR="00DA70E6" w:rsidRPr="00DA70E6" w:rsidRDefault="00DA70E6" w:rsidP="00DA70E6">
      <w:pPr>
        <w:ind w:left="567" w:hanging="567"/>
      </w:pPr>
    </w:p>
    <w:p w14:paraId="14AF4825" w14:textId="77777777" w:rsidR="00DA70E6" w:rsidRPr="00DA70E6" w:rsidRDefault="00DA70E6" w:rsidP="00DA70E6">
      <w:pPr>
        <w:ind w:left="567" w:hanging="567"/>
      </w:pPr>
      <w:r w:rsidRPr="00DA70E6">
        <w:t>Lot{numeris}</w:t>
      </w:r>
    </w:p>
    <w:p w14:paraId="236F7F0C" w14:textId="77777777" w:rsidR="00DA70E6" w:rsidRPr="00DA70E6" w:rsidRDefault="00DA70E6" w:rsidP="00DA70E6">
      <w:pPr>
        <w:ind w:left="567" w:hanging="567"/>
      </w:pPr>
    </w:p>
    <w:p w14:paraId="0769AD67" w14:textId="77777777" w:rsidR="00DA70E6" w:rsidRPr="00DA70E6" w:rsidRDefault="00DA70E6" w:rsidP="00DA70E6">
      <w:pPr>
        <w:ind w:left="567" w:hanging="567"/>
      </w:pPr>
    </w:p>
    <w:p w14:paraId="7C2E0B2D"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14.</w:t>
      </w:r>
      <w:r w:rsidRPr="00DA70E6">
        <w:rPr>
          <w:b/>
          <w:caps/>
        </w:rPr>
        <w:tab/>
        <w:t>PARDAVIMO (IŠDAVIMO) TVARKA</w:t>
      </w:r>
    </w:p>
    <w:p w14:paraId="0D6FB77C" w14:textId="77777777" w:rsidR="00DA70E6" w:rsidRPr="00DA70E6" w:rsidRDefault="00DA70E6" w:rsidP="00DA70E6">
      <w:pPr>
        <w:ind w:left="567" w:hanging="567"/>
      </w:pPr>
    </w:p>
    <w:p w14:paraId="11DEC686" w14:textId="77777777" w:rsidR="00DA70E6" w:rsidRPr="00DA70E6" w:rsidRDefault="00DA70E6" w:rsidP="00DA70E6">
      <w:pPr>
        <w:ind w:left="567" w:hanging="567"/>
      </w:pPr>
      <w:r w:rsidRPr="000407E7">
        <w:rPr>
          <w:highlight w:val="lightGray"/>
        </w:rPr>
        <w:t>[tik kartono dėžutei]</w:t>
      </w:r>
    </w:p>
    <w:p w14:paraId="2A72B82E" w14:textId="77777777" w:rsidR="00DA70E6" w:rsidRPr="00DA70E6" w:rsidRDefault="00DA70E6" w:rsidP="00DA70E6">
      <w:pPr>
        <w:ind w:left="567" w:hanging="567"/>
      </w:pPr>
      <w:r w:rsidRPr="00DA70E6">
        <w:t>Receptinis vaistas.</w:t>
      </w:r>
    </w:p>
    <w:p w14:paraId="0E108AB7" w14:textId="77777777" w:rsidR="00DA70E6" w:rsidRPr="00DA70E6" w:rsidRDefault="00DA70E6" w:rsidP="00DA70E6">
      <w:pPr>
        <w:ind w:left="567" w:hanging="567"/>
      </w:pPr>
    </w:p>
    <w:p w14:paraId="2BA64554" w14:textId="77777777" w:rsidR="00DA70E6" w:rsidRPr="00DA70E6" w:rsidRDefault="00DA70E6" w:rsidP="00DA70E6">
      <w:pPr>
        <w:ind w:left="567" w:hanging="567"/>
      </w:pPr>
    </w:p>
    <w:p w14:paraId="24BE7FDC" w14:textId="77777777" w:rsidR="00DA70E6" w:rsidRPr="00DA70E6" w:rsidRDefault="00DA70E6" w:rsidP="00DA70E6">
      <w:pPr>
        <w:pBdr>
          <w:top w:val="single" w:sz="4" w:space="1" w:color="auto"/>
          <w:left w:val="single" w:sz="4" w:space="4" w:color="auto"/>
          <w:bottom w:val="single" w:sz="4" w:space="1" w:color="auto"/>
          <w:right w:val="single" w:sz="4" w:space="4" w:color="auto"/>
        </w:pBdr>
        <w:ind w:left="567" w:hanging="567"/>
        <w:rPr>
          <w:b/>
          <w:caps/>
        </w:rPr>
      </w:pPr>
      <w:r w:rsidRPr="00DA70E6">
        <w:rPr>
          <w:b/>
          <w:caps/>
        </w:rPr>
        <w:t>15.</w:t>
      </w:r>
      <w:r w:rsidRPr="00DA70E6">
        <w:rPr>
          <w:b/>
          <w:caps/>
        </w:rPr>
        <w:tab/>
        <w:t>vartojimo instrukcijA</w:t>
      </w:r>
    </w:p>
    <w:p w14:paraId="3B3BD451" w14:textId="77777777" w:rsidR="00DA70E6" w:rsidRPr="00DA70E6" w:rsidRDefault="00DA70E6" w:rsidP="00DA70E6">
      <w:pPr>
        <w:ind w:left="567" w:hanging="567"/>
      </w:pPr>
    </w:p>
    <w:p w14:paraId="014D0684" w14:textId="77777777" w:rsidR="00DA70E6" w:rsidRPr="00DA70E6" w:rsidRDefault="00DA70E6" w:rsidP="00DA70E6">
      <w:pPr>
        <w:ind w:left="567" w:hanging="567"/>
      </w:pPr>
    </w:p>
    <w:p w14:paraId="02FF9654" w14:textId="77777777" w:rsidR="00DA70E6" w:rsidRPr="00DA70E6" w:rsidRDefault="00DA70E6" w:rsidP="00DA70E6">
      <w:pPr>
        <w:pBdr>
          <w:top w:val="single" w:sz="4" w:space="1" w:color="auto"/>
          <w:left w:val="single" w:sz="4" w:space="4" w:color="auto"/>
          <w:bottom w:val="single" w:sz="4" w:space="0" w:color="auto"/>
          <w:right w:val="single" w:sz="4" w:space="4" w:color="auto"/>
        </w:pBdr>
        <w:tabs>
          <w:tab w:val="left" w:pos="567"/>
        </w:tabs>
      </w:pPr>
      <w:r w:rsidRPr="00DA70E6">
        <w:rPr>
          <w:b/>
        </w:rPr>
        <w:t>16.</w:t>
      </w:r>
      <w:r w:rsidRPr="00DA70E6">
        <w:rPr>
          <w:b/>
        </w:rPr>
        <w:tab/>
        <w:t>INFORMACIJA BRAILIO RAŠTU</w:t>
      </w:r>
    </w:p>
    <w:p w14:paraId="2236B39D" w14:textId="77777777" w:rsidR="00DA70E6" w:rsidRPr="00DA70E6" w:rsidRDefault="00DA70E6" w:rsidP="00DA70E6">
      <w:pPr>
        <w:tabs>
          <w:tab w:val="left" w:pos="567"/>
          <w:tab w:val="left" w:pos="5954"/>
          <w:tab w:val="left" w:pos="7938"/>
        </w:tabs>
        <w:ind w:right="-2"/>
      </w:pPr>
    </w:p>
    <w:p w14:paraId="27955B9F" w14:textId="77777777" w:rsidR="00DA70E6" w:rsidRPr="00DA70E6" w:rsidRDefault="00DA70E6" w:rsidP="00DA70E6">
      <w:pPr>
        <w:tabs>
          <w:tab w:val="left" w:pos="567"/>
        </w:tabs>
      </w:pPr>
      <w:r w:rsidRPr="000407E7">
        <w:rPr>
          <w:highlight w:val="lightGray"/>
        </w:rPr>
        <w:t>[tik kartono dėžutei]</w:t>
      </w:r>
    </w:p>
    <w:p w14:paraId="27E8BC31" w14:textId="77777777" w:rsidR="00DA70E6" w:rsidRPr="00DA70E6" w:rsidRDefault="00DA70E6" w:rsidP="00DA70E6">
      <w:pPr>
        <w:tabs>
          <w:tab w:val="left" w:pos="567"/>
        </w:tabs>
      </w:pPr>
      <w:r w:rsidRPr="00DA70E6">
        <w:t>Emtricitabine/Tenofovir disoproxil Sandoz</w:t>
      </w:r>
    </w:p>
    <w:p w14:paraId="26886255" w14:textId="77777777" w:rsidR="00DA70E6" w:rsidRPr="00DA70E6" w:rsidRDefault="00DA70E6" w:rsidP="00DA70E6">
      <w:pPr>
        <w:tabs>
          <w:tab w:val="left" w:pos="567"/>
        </w:tabs>
      </w:pPr>
    </w:p>
    <w:p w14:paraId="59310D63" w14:textId="77777777" w:rsidR="00DA70E6" w:rsidRPr="00DA70E6" w:rsidRDefault="00DA70E6" w:rsidP="00DA70E6">
      <w:pPr>
        <w:rPr>
          <w:shd w:val="clear" w:color="auto" w:fill="CCCCCC"/>
        </w:rPr>
      </w:pPr>
    </w:p>
    <w:p w14:paraId="49DB817E" w14:textId="77777777" w:rsidR="00DA70E6" w:rsidRPr="00DA70E6" w:rsidRDefault="00DA70E6" w:rsidP="00DA70E6">
      <w:pPr>
        <w:keepNext/>
        <w:pBdr>
          <w:top w:val="single" w:sz="4" w:space="1" w:color="auto"/>
          <w:left w:val="single" w:sz="4" w:space="4" w:color="auto"/>
          <w:bottom w:val="single" w:sz="4" w:space="1" w:color="auto"/>
          <w:right w:val="single" w:sz="4" w:space="4" w:color="auto"/>
        </w:pBdr>
        <w:tabs>
          <w:tab w:val="left" w:pos="0"/>
        </w:tabs>
        <w:outlineLvl w:val="0"/>
        <w:rPr>
          <w:i/>
        </w:rPr>
      </w:pPr>
      <w:r w:rsidRPr="00DA70E6">
        <w:rPr>
          <w:b/>
        </w:rPr>
        <w:t>17.</w:t>
      </w:r>
      <w:r w:rsidRPr="00DA70E6">
        <w:rPr>
          <w:b/>
        </w:rPr>
        <w:tab/>
        <w:t>UNIKALUS IDENTIFIKATORIUS – 2D BRŪKŠNINIS KODAS</w:t>
      </w:r>
    </w:p>
    <w:p w14:paraId="05039DF0" w14:textId="77777777" w:rsidR="00DA70E6" w:rsidRPr="00DA70E6" w:rsidRDefault="00DA70E6" w:rsidP="00DA70E6"/>
    <w:p w14:paraId="76CEA786" w14:textId="77777777" w:rsidR="00DA70E6" w:rsidRPr="000407E7" w:rsidRDefault="00DA70E6" w:rsidP="00DA70E6">
      <w:pPr>
        <w:rPr>
          <w:highlight w:val="lightGray"/>
        </w:rPr>
      </w:pPr>
      <w:r w:rsidRPr="000407E7">
        <w:rPr>
          <w:highlight w:val="lightGray"/>
        </w:rPr>
        <w:t>[tik kartono dėžutei]</w:t>
      </w:r>
    </w:p>
    <w:p w14:paraId="70FDA761" w14:textId="77777777" w:rsidR="00DA70E6" w:rsidRPr="00DA70E6" w:rsidRDefault="00DA70E6" w:rsidP="00DA70E6">
      <w:pPr>
        <w:rPr>
          <w:shd w:val="clear" w:color="auto" w:fill="CCCCCC"/>
        </w:rPr>
      </w:pPr>
      <w:r w:rsidRPr="000407E7">
        <w:rPr>
          <w:highlight w:val="lightGray"/>
        </w:rPr>
        <w:t xml:space="preserve">2D </w:t>
      </w:r>
      <w:r w:rsidRPr="00DA70E6">
        <w:rPr>
          <w:highlight w:val="lightGray"/>
        </w:rPr>
        <w:t>brūkšninis kodas su nurodytu unikaliu identifikatoriumi.</w:t>
      </w:r>
    </w:p>
    <w:p w14:paraId="4E0B1D10" w14:textId="77777777" w:rsidR="00DA70E6" w:rsidRPr="00DA70E6" w:rsidRDefault="00DA70E6" w:rsidP="00DA70E6">
      <w:pPr>
        <w:rPr>
          <w:shd w:val="clear" w:color="auto" w:fill="CCCCCC"/>
        </w:rPr>
      </w:pPr>
    </w:p>
    <w:p w14:paraId="1B66CD26" w14:textId="77777777" w:rsidR="00DA70E6" w:rsidRPr="00DA70E6" w:rsidRDefault="00DA70E6" w:rsidP="00DA70E6"/>
    <w:p w14:paraId="51D8F894" w14:textId="77777777" w:rsidR="00DA70E6" w:rsidRPr="00DA70E6" w:rsidRDefault="00DA70E6" w:rsidP="00DA70E6">
      <w:pPr>
        <w:keepNext/>
        <w:pBdr>
          <w:top w:val="single" w:sz="4" w:space="1" w:color="auto"/>
          <w:left w:val="single" w:sz="4" w:space="4" w:color="auto"/>
          <w:bottom w:val="single" w:sz="4" w:space="1" w:color="auto"/>
          <w:right w:val="single" w:sz="4" w:space="4" w:color="auto"/>
        </w:pBdr>
        <w:tabs>
          <w:tab w:val="left" w:pos="0"/>
        </w:tabs>
        <w:outlineLvl w:val="0"/>
        <w:rPr>
          <w:i/>
        </w:rPr>
      </w:pPr>
      <w:r w:rsidRPr="00DA70E6">
        <w:rPr>
          <w:b/>
        </w:rPr>
        <w:t>18.</w:t>
      </w:r>
      <w:r w:rsidRPr="00DA70E6">
        <w:rPr>
          <w:b/>
        </w:rPr>
        <w:tab/>
        <w:t>UNIKALUS IDENTIFIKATORIUS – ŽMONĖMS SUPRANTAMI DUOMENYS</w:t>
      </w:r>
    </w:p>
    <w:p w14:paraId="0BC53470" w14:textId="77777777" w:rsidR="00DA70E6" w:rsidRPr="00DA70E6" w:rsidRDefault="00DA70E6" w:rsidP="00DA70E6"/>
    <w:p w14:paraId="27796B08" w14:textId="77777777" w:rsidR="00DA70E6" w:rsidRPr="00DA70E6" w:rsidRDefault="00DA70E6" w:rsidP="00DA70E6">
      <w:r w:rsidRPr="000407E7">
        <w:rPr>
          <w:highlight w:val="lightGray"/>
        </w:rPr>
        <w:t>[tik kartono dėžutei]</w:t>
      </w:r>
    </w:p>
    <w:p w14:paraId="780BCA2D" w14:textId="77777777" w:rsidR="00DA70E6" w:rsidRPr="00DA70E6" w:rsidRDefault="00DA70E6" w:rsidP="00DA70E6">
      <w:r w:rsidRPr="00DA70E6">
        <w:t>PC: {numeris}</w:t>
      </w:r>
    </w:p>
    <w:p w14:paraId="775809FE" w14:textId="77777777" w:rsidR="00DA70E6" w:rsidRPr="00DA70E6" w:rsidRDefault="00DA70E6" w:rsidP="00DA70E6">
      <w:r w:rsidRPr="00DA70E6">
        <w:t>SN: {numeris}</w:t>
      </w:r>
    </w:p>
    <w:p w14:paraId="078459FA" w14:textId="77777777" w:rsidR="00DA70E6" w:rsidRPr="00DA70E6" w:rsidRDefault="00DA70E6" w:rsidP="00DA70E6">
      <w:pPr>
        <w:rPr>
          <w:vanish/>
        </w:rPr>
      </w:pPr>
      <w:r w:rsidRPr="000407E7">
        <w:rPr>
          <w:highlight w:val="lightGray"/>
        </w:rPr>
        <w:t>NN: {numeris}</w:t>
      </w:r>
    </w:p>
    <w:p w14:paraId="7B7C734E" w14:textId="77777777" w:rsidR="00DA70E6" w:rsidRPr="00DA70E6" w:rsidRDefault="00DA70E6" w:rsidP="00DA70E6"/>
    <w:p w14:paraId="70606CF9" w14:textId="77777777" w:rsidR="00DA70E6" w:rsidRPr="00DA70E6" w:rsidRDefault="00DA70E6" w:rsidP="00DA70E6">
      <w:pPr>
        <w:ind w:left="567" w:hanging="567"/>
      </w:pPr>
      <w:r w:rsidRPr="00DA70E6">
        <w:br w:type="page"/>
      </w:r>
    </w:p>
    <w:p w14:paraId="3E416D31" w14:textId="77777777" w:rsidR="00DA70E6" w:rsidRPr="00DA70E6" w:rsidRDefault="00DA70E6" w:rsidP="00DA70E6">
      <w:pPr>
        <w:jc w:val="center"/>
        <w:rPr>
          <w:b/>
        </w:rPr>
      </w:pPr>
    </w:p>
    <w:p w14:paraId="6F06B775" w14:textId="77777777" w:rsidR="00DA70E6" w:rsidRPr="00DA70E6" w:rsidRDefault="00DA70E6" w:rsidP="00DA70E6">
      <w:pPr>
        <w:jc w:val="center"/>
        <w:rPr>
          <w:b/>
        </w:rPr>
      </w:pPr>
    </w:p>
    <w:p w14:paraId="6FB8E85B" w14:textId="77777777" w:rsidR="00DA70E6" w:rsidRPr="00DA70E6" w:rsidRDefault="00DA70E6" w:rsidP="00DA70E6">
      <w:pPr>
        <w:jc w:val="center"/>
        <w:rPr>
          <w:b/>
        </w:rPr>
      </w:pPr>
    </w:p>
    <w:p w14:paraId="23B6D7C8" w14:textId="77777777" w:rsidR="00DA70E6" w:rsidRPr="00DA70E6" w:rsidRDefault="00DA70E6" w:rsidP="00DA70E6">
      <w:pPr>
        <w:jc w:val="center"/>
        <w:rPr>
          <w:b/>
        </w:rPr>
      </w:pPr>
    </w:p>
    <w:p w14:paraId="3880DCB6" w14:textId="77777777" w:rsidR="00DA70E6" w:rsidRPr="00DA70E6" w:rsidRDefault="00DA70E6" w:rsidP="00DA70E6">
      <w:pPr>
        <w:jc w:val="center"/>
        <w:rPr>
          <w:b/>
        </w:rPr>
      </w:pPr>
    </w:p>
    <w:p w14:paraId="42A00FC7" w14:textId="77777777" w:rsidR="00DA70E6" w:rsidRPr="00DA70E6" w:rsidRDefault="00DA70E6" w:rsidP="00DA70E6">
      <w:pPr>
        <w:jc w:val="center"/>
        <w:rPr>
          <w:b/>
        </w:rPr>
      </w:pPr>
    </w:p>
    <w:p w14:paraId="118A2115" w14:textId="77777777" w:rsidR="00DA70E6" w:rsidRPr="00DA70E6" w:rsidRDefault="00DA70E6" w:rsidP="00DA70E6">
      <w:pPr>
        <w:jc w:val="center"/>
        <w:rPr>
          <w:b/>
        </w:rPr>
      </w:pPr>
    </w:p>
    <w:p w14:paraId="7B23E9A8" w14:textId="77777777" w:rsidR="00DA70E6" w:rsidRPr="00DA70E6" w:rsidRDefault="00DA70E6" w:rsidP="00DA70E6">
      <w:pPr>
        <w:jc w:val="center"/>
        <w:rPr>
          <w:b/>
        </w:rPr>
      </w:pPr>
    </w:p>
    <w:p w14:paraId="2BC7D9BA" w14:textId="77777777" w:rsidR="00DA70E6" w:rsidRPr="00DA70E6" w:rsidRDefault="00DA70E6" w:rsidP="00DA70E6">
      <w:pPr>
        <w:jc w:val="center"/>
        <w:rPr>
          <w:b/>
        </w:rPr>
      </w:pPr>
    </w:p>
    <w:p w14:paraId="2CF88C9D" w14:textId="77777777" w:rsidR="00DA70E6" w:rsidRPr="00DA70E6" w:rsidRDefault="00DA70E6" w:rsidP="00DA70E6">
      <w:pPr>
        <w:jc w:val="center"/>
        <w:rPr>
          <w:b/>
        </w:rPr>
      </w:pPr>
    </w:p>
    <w:p w14:paraId="563726EB" w14:textId="77777777" w:rsidR="00DA70E6" w:rsidRPr="00DA70E6" w:rsidRDefault="00DA70E6" w:rsidP="00DA70E6">
      <w:pPr>
        <w:jc w:val="center"/>
        <w:rPr>
          <w:b/>
        </w:rPr>
      </w:pPr>
    </w:p>
    <w:p w14:paraId="1CDCF4F1" w14:textId="77777777" w:rsidR="00DA70E6" w:rsidRPr="00DA70E6" w:rsidRDefault="00DA70E6" w:rsidP="00DA70E6">
      <w:pPr>
        <w:jc w:val="center"/>
        <w:rPr>
          <w:b/>
        </w:rPr>
      </w:pPr>
    </w:p>
    <w:p w14:paraId="63AD86C8" w14:textId="77777777" w:rsidR="00DA70E6" w:rsidRPr="00DA70E6" w:rsidRDefault="00DA70E6" w:rsidP="00DA70E6">
      <w:pPr>
        <w:jc w:val="center"/>
        <w:rPr>
          <w:b/>
        </w:rPr>
      </w:pPr>
    </w:p>
    <w:p w14:paraId="1318A091" w14:textId="77777777" w:rsidR="00DA70E6" w:rsidRPr="00DA70E6" w:rsidRDefault="00DA70E6" w:rsidP="00DA70E6">
      <w:pPr>
        <w:jc w:val="center"/>
        <w:rPr>
          <w:b/>
        </w:rPr>
      </w:pPr>
    </w:p>
    <w:p w14:paraId="32D4A275" w14:textId="77777777" w:rsidR="00DA70E6" w:rsidRPr="00DA70E6" w:rsidRDefault="00DA70E6" w:rsidP="00DA70E6">
      <w:pPr>
        <w:jc w:val="center"/>
        <w:rPr>
          <w:b/>
        </w:rPr>
      </w:pPr>
    </w:p>
    <w:p w14:paraId="22693CCB" w14:textId="77777777" w:rsidR="00DA70E6" w:rsidRPr="00DA70E6" w:rsidRDefault="00DA70E6" w:rsidP="00DA70E6">
      <w:pPr>
        <w:jc w:val="center"/>
        <w:rPr>
          <w:b/>
        </w:rPr>
      </w:pPr>
    </w:p>
    <w:p w14:paraId="3A4E0CDE" w14:textId="77777777" w:rsidR="00DA70E6" w:rsidRPr="00DA70E6" w:rsidRDefault="00DA70E6" w:rsidP="00DA70E6">
      <w:pPr>
        <w:jc w:val="center"/>
        <w:rPr>
          <w:b/>
        </w:rPr>
      </w:pPr>
    </w:p>
    <w:p w14:paraId="5F50614F" w14:textId="77777777" w:rsidR="00DA70E6" w:rsidRPr="00DA70E6" w:rsidRDefault="00DA70E6" w:rsidP="00DA70E6">
      <w:pPr>
        <w:jc w:val="center"/>
        <w:rPr>
          <w:b/>
        </w:rPr>
      </w:pPr>
    </w:p>
    <w:p w14:paraId="29B20A8A" w14:textId="77777777" w:rsidR="00DA70E6" w:rsidRPr="00DA70E6" w:rsidRDefault="00DA70E6" w:rsidP="00DA70E6">
      <w:pPr>
        <w:jc w:val="center"/>
        <w:rPr>
          <w:b/>
        </w:rPr>
      </w:pPr>
    </w:p>
    <w:p w14:paraId="2E4B06C2" w14:textId="77777777" w:rsidR="00DA70E6" w:rsidRPr="00DA70E6" w:rsidRDefault="00DA70E6" w:rsidP="00DA70E6">
      <w:pPr>
        <w:jc w:val="center"/>
        <w:rPr>
          <w:b/>
        </w:rPr>
      </w:pPr>
    </w:p>
    <w:p w14:paraId="0F4F03EA" w14:textId="77777777" w:rsidR="00DA70E6" w:rsidRPr="00DA70E6" w:rsidRDefault="00DA70E6" w:rsidP="00DA70E6">
      <w:pPr>
        <w:jc w:val="center"/>
        <w:rPr>
          <w:b/>
        </w:rPr>
      </w:pPr>
    </w:p>
    <w:p w14:paraId="6555EDC4" w14:textId="77777777" w:rsidR="00DA70E6" w:rsidRPr="00DA70E6" w:rsidRDefault="00DA70E6" w:rsidP="00DA70E6">
      <w:pPr>
        <w:jc w:val="center"/>
        <w:rPr>
          <w:b/>
        </w:rPr>
      </w:pPr>
    </w:p>
    <w:p w14:paraId="2C8F562A" w14:textId="77777777" w:rsidR="00DA70E6" w:rsidRPr="00DA70E6" w:rsidRDefault="00DA70E6" w:rsidP="00DA70E6">
      <w:pPr>
        <w:jc w:val="center"/>
        <w:rPr>
          <w:b/>
        </w:rPr>
      </w:pPr>
    </w:p>
    <w:p w14:paraId="11E95A8F" w14:textId="77777777" w:rsidR="00DA70E6" w:rsidRPr="00DA70E6" w:rsidRDefault="00DA70E6" w:rsidP="00DA70E6">
      <w:pPr>
        <w:jc w:val="center"/>
        <w:rPr>
          <w:b/>
        </w:rPr>
      </w:pPr>
      <w:r w:rsidRPr="00DA70E6">
        <w:rPr>
          <w:b/>
        </w:rPr>
        <w:t>B. PAKUOTĖS LAPELIS</w:t>
      </w:r>
    </w:p>
    <w:p w14:paraId="4043D67F" w14:textId="77777777" w:rsidR="00DA70E6" w:rsidRPr="00DA70E6" w:rsidRDefault="00DA70E6" w:rsidP="00DA70E6">
      <w:pPr>
        <w:jc w:val="center"/>
        <w:rPr>
          <w:b/>
        </w:rPr>
      </w:pPr>
      <w:r w:rsidRPr="00DA70E6">
        <w:rPr>
          <w:b/>
        </w:rPr>
        <w:br w:type="page"/>
      </w:r>
    </w:p>
    <w:p w14:paraId="0588A8F9" w14:textId="77777777" w:rsidR="00DA70E6" w:rsidRPr="00DA70E6" w:rsidRDefault="00DA70E6" w:rsidP="00DA70E6">
      <w:pPr>
        <w:jc w:val="center"/>
        <w:rPr>
          <w:b/>
          <w:caps/>
        </w:rPr>
      </w:pPr>
      <w:r w:rsidRPr="00DA70E6">
        <w:rPr>
          <w:b/>
        </w:rPr>
        <w:t>Pakuotės lapelis: informacija vartotojui</w:t>
      </w:r>
    </w:p>
    <w:p w14:paraId="66C6FBF9" w14:textId="77777777" w:rsidR="00DA70E6" w:rsidRPr="00DA70E6" w:rsidRDefault="00DA70E6" w:rsidP="00DA70E6">
      <w:pPr>
        <w:ind w:left="567" w:hanging="567"/>
        <w:jc w:val="center"/>
        <w:rPr>
          <w:b/>
        </w:rPr>
      </w:pPr>
    </w:p>
    <w:p w14:paraId="7ABD5D0A" w14:textId="77777777" w:rsidR="00DA70E6" w:rsidRPr="00DA70E6" w:rsidRDefault="00DA70E6" w:rsidP="00DA70E6">
      <w:pPr>
        <w:ind w:left="567" w:hanging="567"/>
        <w:jc w:val="center"/>
      </w:pPr>
      <w:r w:rsidRPr="00DA70E6">
        <w:rPr>
          <w:b/>
        </w:rPr>
        <w:t>Emtricitabine/Tenofovir disoproxil Sandoz 200 mg/245 mg plėvele dengtos tabletės</w:t>
      </w:r>
    </w:p>
    <w:p w14:paraId="4DA743D0" w14:textId="77777777" w:rsidR="00DA70E6" w:rsidRPr="00DA70E6" w:rsidRDefault="00DA70E6" w:rsidP="00DA70E6">
      <w:pPr>
        <w:ind w:left="567" w:hanging="567"/>
        <w:jc w:val="center"/>
      </w:pPr>
    </w:p>
    <w:p w14:paraId="24E17415" w14:textId="55B9D0DB" w:rsidR="00DA70E6" w:rsidRPr="00DA70E6" w:rsidRDefault="002872CD" w:rsidP="00DA70E6">
      <w:pPr>
        <w:ind w:left="567" w:hanging="567"/>
        <w:jc w:val="center"/>
      </w:pPr>
      <w:r>
        <w:t>e</w:t>
      </w:r>
      <w:r w:rsidR="00DA70E6" w:rsidRPr="00DA70E6">
        <w:t>mtricitabinas / tenofoviras dizoproksilis</w:t>
      </w:r>
    </w:p>
    <w:p w14:paraId="782F0438" w14:textId="77777777" w:rsidR="00DA70E6" w:rsidRPr="00DA70E6" w:rsidRDefault="00DA70E6" w:rsidP="00DA70E6">
      <w:pPr>
        <w:suppressAutoHyphens/>
        <w:ind w:left="142" w:hanging="142"/>
        <w:rPr>
          <w:b/>
        </w:rPr>
      </w:pPr>
    </w:p>
    <w:p w14:paraId="3EC1DA32" w14:textId="77777777" w:rsidR="00DA70E6" w:rsidRPr="00DA70E6" w:rsidRDefault="00DA70E6" w:rsidP="00DA70E6">
      <w:pPr>
        <w:suppressAutoHyphens/>
      </w:pPr>
      <w:r w:rsidRPr="00DA70E6">
        <w:rPr>
          <w:b/>
        </w:rPr>
        <w:t>Atidžiai perskaitykite visą šį lapelį, prieš pradėdami vartoti vaistą, nes jame pateikiama Jums svarbi informacija.</w:t>
      </w:r>
    </w:p>
    <w:p w14:paraId="2DDC81C3" w14:textId="77777777" w:rsidR="00DA70E6" w:rsidRPr="00DA70E6" w:rsidRDefault="00DA70E6" w:rsidP="00DA70E6">
      <w:pPr>
        <w:numPr>
          <w:ilvl w:val="0"/>
          <w:numId w:val="1"/>
        </w:numPr>
        <w:tabs>
          <w:tab w:val="left" w:pos="567"/>
        </w:tabs>
        <w:spacing w:line="260" w:lineRule="exact"/>
        <w:ind w:left="567" w:right="-2" w:hanging="567"/>
      </w:pPr>
      <w:r w:rsidRPr="00DA70E6">
        <w:t xml:space="preserve">Neišmeskite šio lapelio, nes vėl gali prireikti jį perskaityti. </w:t>
      </w:r>
    </w:p>
    <w:p w14:paraId="7F6AE842" w14:textId="77777777" w:rsidR="00DA70E6" w:rsidRPr="00DA70E6" w:rsidRDefault="00DA70E6" w:rsidP="00DA70E6">
      <w:pPr>
        <w:numPr>
          <w:ilvl w:val="0"/>
          <w:numId w:val="1"/>
        </w:numPr>
        <w:tabs>
          <w:tab w:val="left" w:pos="567"/>
        </w:tabs>
        <w:spacing w:line="260" w:lineRule="exact"/>
        <w:ind w:left="567" w:right="-2" w:hanging="567"/>
      </w:pPr>
      <w:r w:rsidRPr="00DA70E6">
        <w:t>Jeigu kiltų daugiau klausimų, kreipkitės į gydytoją arba vaistininką.</w:t>
      </w:r>
    </w:p>
    <w:p w14:paraId="435D24B0" w14:textId="77777777" w:rsidR="00DA70E6" w:rsidRPr="00DA70E6" w:rsidRDefault="00DA70E6" w:rsidP="00DA70E6">
      <w:pPr>
        <w:tabs>
          <w:tab w:val="left" w:pos="567"/>
        </w:tabs>
        <w:ind w:left="567" w:right="-2" w:hanging="567"/>
      </w:pPr>
      <w:r w:rsidRPr="00DA70E6">
        <w:t>-</w:t>
      </w:r>
      <w:r w:rsidRPr="00DA70E6">
        <w:tab/>
        <w:t>Šis vaistas skirtas tik Jums, todėl kitiems žmonėms jo duoti negalima. Vaistas gali jiems pakenkti (net tiems, kurių ligos požymiai yra tokie patys kaip Jūsų).</w:t>
      </w:r>
    </w:p>
    <w:p w14:paraId="67553F63" w14:textId="77777777" w:rsidR="00DA70E6" w:rsidRPr="00DA70E6" w:rsidRDefault="00DA70E6" w:rsidP="00DA70E6">
      <w:pPr>
        <w:numPr>
          <w:ilvl w:val="0"/>
          <w:numId w:val="1"/>
        </w:numPr>
        <w:tabs>
          <w:tab w:val="left" w:pos="567"/>
        </w:tabs>
        <w:spacing w:line="260" w:lineRule="exact"/>
        <w:ind w:left="567" w:hanging="567"/>
      </w:pPr>
      <w:r w:rsidRPr="00DA70E6">
        <w:t xml:space="preserve">Jeigu pasireiškė šalutinis poveikis (net jeigu jis šiame lapelyje nenurodytas), kreipkitės į gydytoją arba vaistininką. Žr. 4 skyrių. </w:t>
      </w:r>
    </w:p>
    <w:p w14:paraId="4C6DB5CC" w14:textId="77777777" w:rsidR="00DA70E6" w:rsidRPr="00DA70E6" w:rsidRDefault="00DA70E6" w:rsidP="00DA70E6">
      <w:pPr>
        <w:ind w:left="567" w:hanging="567"/>
      </w:pPr>
    </w:p>
    <w:p w14:paraId="27E41E1D" w14:textId="77777777" w:rsidR="00DA70E6" w:rsidRPr="00DA70E6" w:rsidRDefault="00DA70E6" w:rsidP="00DA70E6">
      <w:pPr>
        <w:keepNext/>
        <w:tabs>
          <w:tab w:val="left" w:pos="567"/>
        </w:tabs>
        <w:spacing w:line="260" w:lineRule="exact"/>
        <w:jc w:val="both"/>
        <w:outlineLvl w:val="3"/>
        <w:rPr>
          <w:b/>
        </w:rPr>
      </w:pPr>
      <w:r w:rsidRPr="00DA70E6">
        <w:rPr>
          <w:b/>
        </w:rPr>
        <w:t>Apie ką rašoma šiame lapelyje?</w:t>
      </w:r>
    </w:p>
    <w:p w14:paraId="7564118E" w14:textId="77777777" w:rsidR="00DA70E6" w:rsidRPr="00DA70E6" w:rsidRDefault="00DA70E6" w:rsidP="00DA70E6">
      <w:pPr>
        <w:ind w:left="567" w:hanging="567"/>
      </w:pPr>
    </w:p>
    <w:p w14:paraId="1B025851" w14:textId="77777777" w:rsidR="00DA70E6" w:rsidRPr="00DA70E6" w:rsidRDefault="00DA70E6" w:rsidP="00DA70E6">
      <w:pPr>
        <w:ind w:left="567" w:hanging="567"/>
      </w:pPr>
      <w:r w:rsidRPr="00DA70E6">
        <w:t>1.</w:t>
      </w:r>
      <w:r w:rsidRPr="00DA70E6">
        <w:tab/>
        <w:t>Kas yra Emtricitabine/Tenofovir disoproxil Sandoz ir kam jis vartojamas</w:t>
      </w:r>
    </w:p>
    <w:p w14:paraId="4402EC46" w14:textId="77777777" w:rsidR="00DA70E6" w:rsidRPr="00DA70E6" w:rsidRDefault="00DA70E6" w:rsidP="00DA70E6">
      <w:pPr>
        <w:ind w:left="567" w:hanging="567"/>
      </w:pPr>
      <w:r w:rsidRPr="00DA70E6">
        <w:t>2.</w:t>
      </w:r>
      <w:r w:rsidRPr="00DA70E6">
        <w:tab/>
        <w:t>Kas žinotina prieš vartojant Emtricitabine/Tenofovir disoproxil Sandoz</w:t>
      </w:r>
    </w:p>
    <w:p w14:paraId="3F2F12E5" w14:textId="77777777" w:rsidR="00DA70E6" w:rsidRPr="00DA70E6" w:rsidRDefault="00DA70E6" w:rsidP="00DA70E6">
      <w:pPr>
        <w:ind w:left="567" w:hanging="567"/>
      </w:pPr>
      <w:r w:rsidRPr="00DA70E6">
        <w:t>3.</w:t>
      </w:r>
      <w:r w:rsidRPr="00DA70E6">
        <w:tab/>
        <w:t>Kaip vartoti Emtricitabine/Tenofovir disoproxil Sandoz</w:t>
      </w:r>
    </w:p>
    <w:p w14:paraId="0BF4B063" w14:textId="77777777" w:rsidR="00DA70E6" w:rsidRPr="00DA70E6" w:rsidRDefault="00DA70E6" w:rsidP="00DA70E6">
      <w:pPr>
        <w:ind w:left="567" w:hanging="567"/>
      </w:pPr>
      <w:r w:rsidRPr="00DA70E6">
        <w:t>4.</w:t>
      </w:r>
      <w:r w:rsidRPr="00DA70E6">
        <w:tab/>
        <w:t>Galimas šalutinis poveikis</w:t>
      </w:r>
    </w:p>
    <w:p w14:paraId="451F8D99" w14:textId="77777777" w:rsidR="00DA70E6" w:rsidRPr="00DA70E6" w:rsidRDefault="00DA70E6" w:rsidP="00DA70E6">
      <w:pPr>
        <w:ind w:left="567" w:hanging="567"/>
      </w:pPr>
      <w:r w:rsidRPr="00DA70E6">
        <w:t>5.</w:t>
      </w:r>
      <w:r w:rsidRPr="00DA70E6">
        <w:tab/>
        <w:t>Kaip laikyti Emtricitabine/Tenofovir disoproxil Sandoz</w:t>
      </w:r>
    </w:p>
    <w:p w14:paraId="6687F2EF" w14:textId="77777777" w:rsidR="00DA70E6" w:rsidRPr="00DA70E6" w:rsidRDefault="00DA70E6" w:rsidP="00DA70E6">
      <w:pPr>
        <w:ind w:left="567" w:hanging="567"/>
      </w:pPr>
      <w:r w:rsidRPr="00DA70E6">
        <w:t>6.</w:t>
      </w:r>
      <w:r w:rsidRPr="00DA70E6">
        <w:tab/>
        <w:t>Pakuotės turinys ir kita informacija</w:t>
      </w:r>
    </w:p>
    <w:p w14:paraId="087F9830" w14:textId="77777777" w:rsidR="00DA70E6" w:rsidRPr="00DA70E6" w:rsidRDefault="00DA70E6" w:rsidP="00DA70E6">
      <w:pPr>
        <w:ind w:left="567" w:hanging="567"/>
      </w:pPr>
    </w:p>
    <w:p w14:paraId="21FE295A" w14:textId="77777777" w:rsidR="00DA70E6" w:rsidRPr="00DA70E6" w:rsidRDefault="00DA70E6" w:rsidP="00DA70E6">
      <w:pPr>
        <w:ind w:left="567" w:hanging="567"/>
      </w:pPr>
    </w:p>
    <w:p w14:paraId="2E853937" w14:textId="77777777" w:rsidR="00DA70E6" w:rsidRPr="00DA70E6" w:rsidRDefault="00DA70E6" w:rsidP="00DA70E6">
      <w:pPr>
        <w:numPr>
          <w:ilvl w:val="12"/>
          <w:numId w:val="0"/>
        </w:numPr>
        <w:ind w:left="567" w:hanging="567"/>
        <w:outlineLvl w:val="0"/>
        <w:rPr>
          <w:b/>
          <w:caps/>
        </w:rPr>
      </w:pPr>
      <w:r w:rsidRPr="00DA70E6">
        <w:rPr>
          <w:b/>
        </w:rPr>
        <w:t>1.</w:t>
      </w:r>
      <w:r w:rsidRPr="00DA70E6">
        <w:rPr>
          <w:b/>
        </w:rPr>
        <w:tab/>
        <w:t>Kas yra Emtricitabine/Tenofovir disoproxil Sandoz ir kam jis vartojamas</w:t>
      </w:r>
    </w:p>
    <w:p w14:paraId="47F0AC73" w14:textId="77777777" w:rsidR="00DA70E6" w:rsidRPr="00DA70E6" w:rsidRDefault="00DA70E6" w:rsidP="00DA70E6">
      <w:pPr>
        <w:ind w:left="567" w:hanging="567"/>
      </w:pPr>
    </w:p>
    <w:p w14:paraId="77149DD4" w14:textId="77777777" w:rsidR="00DA70E6" w:rsidRPr="00DA70E6" w:rsidRDefault="00DA70E6" w:rsidP="00DA70E6">
      <w:r w:rsidRPr="00DA70E6">
        <w:rPr>
          <w:b/>
        </w:rPr>
        <w:t>Emtricitabine/Tenofovir disoproxil Sandoz sudėtyje yra dvi veikliosios medžiagos</w:t>
      </w:r>
      <w:r w:rsidRPr="00DA70E6">
        <w:t xml:space="preserve"> – </w:t>
      </w:r>
      <w:r w:rsidRPr="00DA70E6">
        <w:rPr>
          <w:i/>
        </w:rPr>
        <w:t>emtricitabinas ir tenofoviro dizoproksilis</w:t>
      </w:r>
      <w:r w:rsidRPr="00DA70E6">
        <w:t>. Abi šios veikliosios medžiagos yra antiretrovirusiniai vaistai, vartojami gydyti nuo ŽIV infekcijos. Emtricitabinas yra nukleozidų atvirkštinės transkriptazės inhibitorius, o tenofoviras – nukleotidų atvirkštinės transkriptazės inhibitorius. Tačiau paprastai abu yra žinomi kaip NATI ir veikia trikdydami normalią fermento (atvirkštinės transkriptazės), kuris yra būtinas viruso dauginimuisi, veiklą.</w:t>
      </w:r>
    </w:p>
    <w:p w14:paraId="6CF7B6FD" w14:textId="77777777" w:rsidR="00DA70E6" w:rsidRPr="00DA70E6" w:rsidRDefault="00DA70E6" w:rsidP="00DA70E6"/>
    <w:p w14:paraId="7633F42E" w14:textId="77777777" w:rsidR="00DA70E6" w:rsidRPr="00DA70E6" w:rsidRDefault="00DA70E6" w:rsidP="00DA70E6">
      <w:pPr>
        <w:numPr>
          <w:ilvl w:val="0"/>
          <w:numId w:val="38"/>
        </w:numPr>
      </w:pPr>
      <w:r w:rsidRPr="00DA70E6">
        <w:rPr>
          <w:b/>
        </w:rPr>
        <w:t>Emtricitabine/Tenofovir disoproxil Sandoz vartojamas suaugusiųjų gydymui nuo</w:t>
      </w:r>
      <w:r w:rsidRPr="00DA70E6">
        <w:t xml:space="preserve"> </w:t>
      </w:r>
      <w:r w:rsidRPr="00DA70E6">
        <w:rPr>
          <w:b/>
        </w:rPr>
        <w:t>1-ojo tipo žmogaus imunodeficito viruso (ŽIV-1) infekcijos</w:t>
      </w:r>
      <w:r w:rsidRPr="00DA70E6">
        <w:t>.</w:t>
      </w:r>
    </w:p>
    <w:p w14:paraId="422B74AF" w14:textId="77777777" w:rsidR="00DA70E6" w:rsidRPr="00DA70E6" w:rsidRDefault="00DA70E6" w:rsidP="00DA70E6">
      <w:pPr>
        <w:numPr>
          <w:ilvl w:val="0"/>
          <w:numId w:val="38"/>
        </w:numPr>
      </w:pPr>
      <w:r w:rsidRPr="00DA70E6">
        <w:t>Jis taip pat skiriamas ŽIV infekcijai gydyti nuo 12 iki mažiau kaip 18 metų amžiaus, ne mažiau kaip 35 kg sveriantiems paaugliams, jau vartojusiems kitų vaistų nuo ŽIV, kurie jau neveiksmingi arba sukėlė šalutinį poveikį.</w:t>
      </w:r>
    </w:p>
    <w:p w14:paraId="18282DAD" w14:textId="77777777" w:rsidR="00DA70E6" w:rsidRPr="00DA70E6" w:rsidRDefault="00DA70E6" w:rsidP="00DA70E6">
      <w:pPr>
        <w:numPr>
          <w:ilvl w:val="0"/>
          <w:numId w:val="37"/>
        </w:numPr>
        <w:ind w:left="1134"/>
      </w:pPr>
      <w:r w:rsidRPr="00DA70E6">
        <w:t>Gydant nuo ŽIV infekcijos Emtricitabine/Tenofovir disoproxil Sandoz visada turi būti vartojamas derinyje su kitais vaistais.</w:t>
      </w:r>
    </w:p>
    <w:p w14:paraId="586CFFFE" w14:textId="77777777" w:rsidR="00DA70E6" w:rsidRDefault="00DA70E6" w:rsidP="00DA70E6">
      <w:pPr>
        <w:numPr>
          <w:ilvl w:val="0"/>
          <w:numId w:val="37"/>
        </w:numPr>
        <w:ind w:left="1134"/>
      </w:pPr>
      <w:r w:rsidRPr="00DA70E6">
        <w:t>Emtricitabine/Tenofovir disoproxil Sandoz galima vartoti vietoj atskirai vartotų emtricitabino ir tenofoviro dizoproksilio tokiomis pat dozėmis.</w:t>
      </w:r>
    </w:p>
    <w:p w14:paraId="56C5E4E4" w14:textId="33E4607A" w:rsidR="00452706" w:rsidRPr="00A0725F" w:rsidRDefault="00452706" w:rsidP="00A0725F">
      <w:pPr>
        <w:kinsoku w:val="0"/>
        <w:overflowPunct w:val="0"/>
        <w:autoSpaceDE w:val="0"/>
        <w:autoSpaceDN w:val="0"/>
        <w:adjustRightInd w:val="0"/>
        <w:spacing w:before="163"/>
        <w:rPr>
          <w:szCs w:val="22"/>
          <w:lang w:val="pt-PT" w:eastAsia="en-US"/>
        </w:rPr>
      </w:pPr>
      <w:r w:rsidRPr="00A0725F">
        <w:rPr>
          <w:b/>
          <w:bCs/>
          <w:szCs w:val="22"/>
          <w:lang w:val="pt-PT" w:eastAsia="en-US"/>
        </w:rPr>
        <w:t xml:space="preserve">Šis vaistas neišgydo ŽIV infekcijos. </w:t>
      </w:r>
      <w:r w:rsidRPr="00A0725F">
        <w:rPr>
          <w:szCs w:val="22"/>
          <w:lang w:val="pt-PT" w:eastAsia="en-US"/>
        </w:rPr>
        <w:t xml:space="preserve">Vartojant </w:t>
      </w:r>
      <w:r w:rsidRPr="003128F3">
        <w:t>Emtricitabine/Tenofovir disoproxil Sandoz</w:t>
      </w:r>
      <w:r w:rsidRPr="00A0725F">
        <w:rPr>
          <w:szCs w:val="22"/>
          <w:lang w:val="pt-PT" w:eastAsia="en-US"/>
        </w:rPr>
        <w:t xml:space="preserve"> Jums vis tiek gali išsivystyti infekcijos ar kitos ligos, susijusios su ŽIV infekcija.</w:t>
      </w:r>
    </w:p>
    <w:p w14:paraId="764EFD84" w14:textId="22E167C2" w:rsidR="00DA70E6" w:rsidRPr="00DA70E6" w:rsidRDefault="00DA70E6" w:rsidP="00DA70E6"/>
    <w:p w14:paraId="4F609F19" w14:textId="77777777" w:rsidR="00DA70E6" w:rsidRPr="00DA70E6" w:rsidRDefault="00DA70E6" w:rsidP="00DA70E6">
      <w:pPr>
        <w:numPr>
          <w:ilvl w:val="0"/>
          <w:numId w:val="39"/>
        </w:numPr>
        <w:ind w:left="567" w:hanging="567"/>
      </w:pPr>
      <w:r w:rsidRPr="00E1395D">
        <w:rPr>
          <w:b/>
        </w:rPr>
        <w:t>Emtricitabine/Tenofovir disoproxil Sandoz taip pat vartojamas užsikrėtimo ŽIV-1 infekcija rizikai mažinti suaugusiesiems</w:t>
      </w:r>
      <w:r w:rsidR="00D4754D" w:rsidRPr="00E1395D">
        <w:rPr>
          <w:rFonts w:ascii="TimesNewRomanPS-BoldMT" w:hAnsi="TimesNewRomanPS-BoldMT" w:cs="TimesNewRomanPS-BoldMT"/>
          <w:b/>
          <w:bCs/>
          <w:szCs w:val="22"/>
        </w:rPr>
        <w:t xml:space="preserve"> </w:t>
      </w:r>
      <w:r w:rsidR="00D4754D" w:rsidRPr="005C0E81">
        <w:rPr>
          <w:rFonts w:ascii="TimesNewRomanPS-BoldMT" w:hAnsi="TimesNewRomanPS-BoldMT"/>
          <w:b/>
        </w:rPr>
        <w:t xml:space="preserve">ir nuo 12 </w:t>
      </w:r>
      <w:r w:rsidR="00824C9F" w:rsidRPr="005C0E81">
        <w:rPr>
          <w:rFonts w:ascii="TimesNewRomanPS-BoldMT" w:hAnsi="TimesNewRomanPS-BoldMT"/>
          <w:b/>
        </w:rPr>
        <w:t>met</w:t>
      </w:r>
      <w:r w:rsidR="00824C9F" w:rsidRPr="005C0E81">
        <w:rPr>
          <w:rFonts w:ascii="TimesNewRomanPS-BoldMT" w:hAnsi="TimesNewRomanPS-BoldMT" w:hint="eastAsia"/>
          <w:b/>
        </w:rPr>
        <w:t>ų</w:t>
      </w:r>
      <w:r w:rsidR="00824C9F" w:rsidRPr="005C0E81">
        <w:rPr>
          <w:rFonts w:ascii="TimesNewRomanPS-BoldMT" w:hAnsi="TimesNewRomanPS-BoldMT"/>
          <w:b/>
        </w:rPr>
        <w:t xml:space="preserve"> </w:t>
      </w:r>
      <w:r w:rsidR="00D4754D" w:rsidRPr="005C0E81">
        <w:rPr>
          <w:rFonts w:ascii="TimesNewRomanPS-BoldMT" w:hAnsi="TimesNewRomanPS-BoldMT"/>
          <w:b/>
        </w:rPr>
        <w:t>iki mažiau kaip 18 met</w:t>
      </w:r>
      <w:r w:rsidR="00D4754D" w:rsidRPr="005C0E81">
        <w:rPr>
          <w:rFonts w:ascii="TimesNewRomanPS-BoldMT" w:hAnsi="TimesNewRomanPS-BoldMT" w:hint="eastAsia"/>
          <w:b/>
        </w:rPr>
        <w:t>ų</w:t>
      </w:r>
      <w:r w:rsidR="00D4754D" w:rsidRPr="005C0E81">
        <w:rPr>
          <w:rFonts w:ascii="TimesNewRomanPS-BoldMT" w:hAnsi="TimesNewRomanPS-BoldMT"/>
          <w:b/>
        </w:rPr>
        <w:t xml:space="preserve"> paaugliams, sveriantiems ne mažiau kaip 35 kg</w:t>
      </w:r>
      <w:r w:rsidRPr="005C0E81">
        <w:t>,</w:t>
      </w:r>
      <w:r w:rsidRPr="00E1395D">
        <w:t xml:space="preserve"> kai vaisto</w:t>
      </w:r>
      <w:r w:rsidRPr="00DA70E6">
        <w:t xml:space="preserve"> vartojama kasdien ir laikomasi saugių lytinių santykių taisyklių:</w:t>
      </w:r>
    </w:p>
    <w:p w14:paraId="48C45C85" w14:textId="77777777" w:rsidR="00DA70E6" w:rsidRPr="00DA70E6" w:rsidRDefault="00DA70E6" w:rsidP="00DA70E6">
      <w:pPr>
        <w:ind w:left="567"/>
      </w:pPr>
      <w:r w:rsidRPr="00DA70E6">
        <w:t>Žr. 2 skyrių, kur išvardytos atsargumo priemonės, kurių reikia imtis saugantis nuo ŽIV infekcijos.</w:t>
      </w:r>
    </w:p>
    <w:p w14:paraId="301E3D5F" w14:textId="77777777" w:rsidR="00DA70E6" w:rsidRPr="00DA70E6" w:rsidRDefault="00DA70E6" w:rsidP="00DA70E6"/>
    <w:p w14:paraId="1325444D" w14:textId="77777777" w:rsidR="00DA70E6" w:rsidRPr="00DA70E6" w:rsidRDefault="00DA70E6" w:rsidP="00DA70E6"/>
    <w:p w14:paraId="17B9E8D6" w14:textId="77777777" w:rsidR="00DA70E6" w:rsidRPr="00DA70E6" w:rsidRDefault="00DA70E6" w:rsidP="00DA70E6">
      <w:pPr>
        <w:numPr>
          <w:ilvl w:val="12"/>
          <w:numId w:val="0"/>
        </w:numPr>
        <w:ind w:left="567" w:hanging="567"/>
        <w:outlineLvl w:val="0"/>
        <w:rPr>
          <w:b/>
          <w:caps/>
        </w:rPr>
      </w:pPr>
      <w:r w:rsidRPr="00DA70E6">
        <w:rPr>
          <w:b/>
        </w:rPr>
        <w:t>2.</w:t>
      </w:r>
      <w:r w:rsidRPr="00DA70E6">
        <w:rPr>
          <w:b/>
        </w:rPr>
        <w:tab/>
        <w:t>Kas žinotina prieš vartojant Emtricitabine/Tenofovir disoproxil Sandoz</w:t>
      </w:r>
    </w:p>
    <w:p w14:paraId="52260952" w14:textId="77777777" w:rsidR="00DA70E6" w:rsidRPr="00DA70E6" w:rsidRDefault="00DA70E6" w:rsidP="00DA70E6">
      <w:pPr>
        <w:ind w:left="567" w:hanging="567"/>
      </w:pPr>
    </w:p>
    <w:p w14:paraId="184075BE" w14:textId="77777777" w:rsidR="00DA70E6" w:rsidRPr="00DA70E6" w:rsidRDefault="00DA70E6" w:rsidP="00DA70E6">
      <w:pPr>
        <w:rPr>
          <w:b/>
        </w:rPr>
      </w:pPr>
      <w:r w:rsidRPr="00DA70E6">
        <w:rPr>
          <w:b/>
        </w:rPr>
        <w:t xml:space="preserve">Emtricitabine/Tenofovir disoproxil Sandoz vartoti negalima gydyti nuo ŽIV arba užsikrėtimo ŽIV rizikai sumažinti, jeigu yra </w:t>
      </w:r>
      <w:r w:rsidRPr="00DA70E6">
        <w:t>alergija emtricitabinui, tenofovirui, tenofoviro dizoproksiliui arba bet kuriai pagalbinei šio vaisto medžiagai (jos išvardytos 6 skyriuje).</w:t>
      </w:r>
    </w:p>
    <w:p w14:paraId="7BF1C386" w14:textId="77777777" w:rsidR="00DA70E6" w:rsidRPr="00DA70E6" w:rsidRDefault="00DA70E6" w:rsidP="00DA70E6">
      <w:pPr>
        <w:tabs>
          <w:tab w:val="left" w:pos="567"/>
        </w:tabs>
      </w:pPr>
    </w:p>
    <w:p w14:paraId="04E6F327" w14:textId="77777777" w:rsidR="00DA70E6" w:rsidRPr="00DA70E6" w:rsidRDefault="00DA70E6" w:rsidP="00DA70E6">
      <w:pPr>
        <w:tabs>
          <w:tab w:val="left" w:pos="567"/>
        </w:tabs>
        <w:ind w:left="567"/>
        <w:rPr>
          <w:b/>
        </w:rPr>
      </w:pPr>
      <w:r w:rsidRPr="00DA70E6">
        <w:rPr>
          <w:rFonts w:ascii="Wingdings" w:hAnsi="Wingdings" w:cs="Wingdings"/>
          <w:szCs w:val="22"/>
        </w:rPr>
        <w:t></w:t>
      </w:r>
      <w:r w:rsidRPr="00DA70E6">
        <w:rPr>
          <w:rFonts w:ascii="Wingdings" w:hAnsi="Wingdings" w:cs="Wingdings"/>
          <w:szCs w:val="22"/>
        </w:rPr>
        <w:t></w:t>
      </w:r>
      <w:r w:rsidRPr="00DA70E6">
        <w:rPr>
          <w:b/>
        </w:rPr>
        <w:t>Jeigu tai tinka Jums, nedelsdami pasakykite savo gydytojui.</w:t>
      </w:r>
    </w:p>
    <w:p w14:paraId="2B0AE23B" w14:textId="77777777" w:rsidR="00DA70E6" w:rsidRPr="00DA70E6" w:rsidRDefault="00DA70E6" w:rsidP="00DA70E6">
      <w:pPr>
        <w:tabs>
          <w:tab w:val="left" w:pos="567"/>
        </w:tabs>
      </w:pPr>
    </w:p>
    <w:p w14:paraId="5B95BAB6" w14:textId="77777777" w:rsidR="00DA70E6" w:rsidRPr="00DA70E6" w:rsidRDefault="00DA70E6" w:rsidP="00DA70E6">
      <w:pPr>
        <w:tabs>
          <w:tab w:val="left" w:pos="567"/>
        </w:tabs>
        <w:rPr>
          <w:b/>
        </w:rPr>
      </w:pPr>
      <w:r w:rsidRPr="00DA70E6">
        <w:rPr>
          <w:b/>
        </w:rPr>
        <w:t>Prieš vartojant Emtricitabine/Tenofovir disoproxil Sandoz užsikrėtimo ŽIV rizikai sumažinti:</w:t>
      </w:r>
    </w:p>
    <w:p w14:paraId="1A28CAAF" w14:textId="77777777" w:rsidR="00DA70E6" w:rsidRPr="00DA70E6" w:rsidRDefault="00DA70E6" w:rsidP="00DA70E6">
      <w:pPr>
        <w:tabs>
          <w:tab w:val="left" w:pos="567"/>
        </w:tabs>
      </w:pPr>
    </w:p>
    <w:p w14:paraId="29F46B00" w14:textId="77777777" w:rsidR="00DA70E6" w:rsidRPr="00DA70E6" w:rsidRDefault="00DA70E6" w:rsidP="00DA70E6">
      <w:pPr>
        <w:tabs>
          <w:tab w:val="left" w:pos="567"/>
        </w:tabs>
      </w:pPr>
      <w:r w:rsidRPr="00DA70E6">
        <w:t xml:space="preserve">Emtricitabine/Tenofovir disoproxil Sandoz gali tik padėti sumažinti riziką Jums užsikrėsti ŽIV prieš tai, kol dar nesate užsikrėtęs. </w:t>
      </w:r>
    </w:p>
    <w:p w14:paraId="20B9A728" w14:textId="77777777" w:rsidR="00DA70E6" w:rsidRPr="00DA70E6" w:rsidRDefault="00DA70E6" w:rsidP="00DA70E6">
      <w:pPr>
        <w:tabs>
          <w:tab w:val="left" w:pos="567"/>
        </w:tabs>
      </w:pPr>
    </w:p>
    <w:p w14:paraId="0D4E804D" w14:textId="77777777" w:rsidR="00DA70E6" w:rsidRPr="00DA70E6" w:rsidRDefault="00DA70E6" w:rsidP="00DA70E6">
      <w:pPr>
        <w:numPr>
          <w:ilvl w:val="0"/>
          <w:numId w:val="39"/>
        </w:numPr>
        <w:tabs>
          <w:tab w:val="left" w:pos="567"/>
        </w:tabs>
        <w:ind w:left="567" w:hanging="567"/>
      </w:pPr>
      <w:r w:rsidRPr="00DA70E6">
        <w:rPr>
          <w:b/>
        </w:rPr>
        <w:t>Prieš pradedant vartoti Emtricitabine/Tenofovir disoproxil Sandoz Jūsų ŽIV tyrimo rezultatas turi būti neigiamas, kad būtų sumažinta užsikrėtimo ŽIV rizika.</w:t>
      </w:r>
      <w:r w:rsidRPr="00DA70E6">
        <w:t xml:space="preserve"> Turite išsitirti, kad įsitikintumėte, jog dar neturite ŽIV infekcijos. Nevartokite Emtricitabine/Tenofovir disoproxil Sandoz rizikai sumažinti kol nėra patvirtinta, kad Jūsų ŽIV tyrimo rezultatas neigiamas. Žmonės, kurie užsikrėtę ŽIV, turi vartoti Emtricitabine/Tenofovir disoproxil Sandoz kartu su kitais vaistais.</w:t>
      </w:r>
    </w:p>
    <w:p w14:paraId="179CCA7D" w14:textId="77777777" w:rsidR="00DA70E6" w:rsidRPr="00DA70E6" w:rsidRDefault="00DA70E6" w:rsidP="00DA70E6">
      <w:pPr>
        <w:tabs>
          <w:tab w:val="left" w:pos="567"/>
        </w:tabs>
      </w:pPr>
    </w:p>
    <w:p w14:paraId="7510DFF2" w14:textId="77777777" w:rsidR="00DA70E6" w:rsidRPr="00DA70E6" w:rsidRDefault="00DA70E6" w:rsidP="00DA70E6">
      <w:pPr>
        <w:numPr>
          <w:ilvl w:val="0"/>
          <w:numId w:val="39"/>
        </w:numPr>
        <w:tabs>
          <w:tab w:val="left" w:pos="567"/>
        </w:tabs>
        <w:ind w:left="567" w:hanging="567"/>
      </w:pPr>
      <w:r w:rsidRPr="00DA70E6">
        <w:rPr>
          <w:b/>
        </w:rPr>
        <w:t>Daugelis ŽIV tyrimų gali neaptikti neseniai atsiradusios infekcijos</w:t>
      </w:r>
      <w:r w:rsidRPr="00DA70E6">
        <w:t xml:space="preserve">. Jeigu susirgote į gripą panašia liga, gali būti, kad neseniai užsikrėtėte ŽIV. </w:t>
      </w:r>
    </w:p>
    <w:p w14:paraId="236C2C25" w14:textId="77777777" w:rsidR="00DA70E6" w:rsidRPr="00DA70E6" w:rsidRDefault="00DA70E6" w:rsidP="00DA70E6">
      <w:pPr>
        <w:tabs>
          <w:tab w:val="left" w:pos="567"/>
        </w:tabs>
        <w:ind w:left="567"/>
      </w:pPr>
      <w:r w:rsidRPr="00DA70E6">
        <w:t>ŽIV infekcijos požymiai gali būti:</w:t>
      </w:r>
    </w:p>
    <w:p w14:paraId="07E64A35" w14:textId="77777777" w:rsidR="00DA70E6" w:rsidRPr="00DA70E6" w:rsidRDefault="00DA70E6" w:rsidP="00DA70E6">
      <w:pPr>
        <w:numPr>
          <w:ilvl w:val="0"/>
          <w:numId w:val="39"/>
        </w:numPr>
        <w:tabs>
          <w:tab w:val="left" w:pos="567"/>
        </w:tabs>
        <w:ind w:left="1134" w:hanging="567"/>
      </w:pPr>
      <w:r w:rsidRPr="00DA70E6">
        <w:t>nuovargis;</w:t>
      </w:r>
    </w:p>
    <w:p w14:paraId="28B980AA" w14:textId="77777777" w:rsidR="00DA70E6" w:rsidRPr="00DA70E6" w:rsidRDefault="00DA70E6" w:rsidP="00DA70E6">
      <w:pPr>
        <w:numPr>
          <w:ilvl w:val="0"/>
          <w:numId w:val="39"/>
        </w:numPr>
        <w:tabs>
          <w:tab w:val="left" w:pos="567"/>
        </w:tabs>
        <w:ind w:left="1134" w:hanging="567"/>
      </w:pPr>
      <w:r w:rsidRPr="00DA70E6">
        <w:t>karščiavimas;</w:t>
      </w:r>
    </w:p>
    <w:p w14:paraId="6F89B014" w14:textId="77777777" w:rsidR="00DA70E6" w:rsidRPr="00DA70E6" w:rsidRDefault="00DA70E6" w:rsidP="00DA70E6">
      <w:pPr>
        <w:numPr>
          <w:ilvl w:val="0"/>
          <w:numId w:val="39"/>
        </w:numPr>
        <w:tabs>
          <w:tab w:val="left" w:pos="567"/>
        </w:tabs>
        <w:ind w:left="1134" w:hanging="567"/>
      </w:pPr>
      <w:r w:rsidRPr="00DA70E6">
        <w:t>sąnarių arba raumenų skausmas;</w:t>
      </w:r>
    </w:p>
    <w:p w14:paraId="1034E38F" w14:textId="77777777" w:rsidR="00DA70E6" w:rsidRPr="00DA70E6" w:rsidRDefault="00DA70E6" w:rsidP="00DA70E6">
      <w:pPr>
        <w:numPr>
          <w:ilvl w:val="0"/>
          <w:numId w:val="39"/>
        </w:numPr>
        <w:tabs>
          <w:tab w:val="left" w:pos="567"/>
        </w:tabs>
        <w:ind w:left="1134" w:hanging="567"/>
      </w:pPr>
      <w:r w:rsidRPr="00DA70E6">
        <w:t>galvos skausmas;</w:t>
      </w:r>
    </w:p>
    <w:p w14:paraId="580A94D4" w14:textId="77777777" w:rsidR="00DA70E6" w:rsidRPr="00DA70E6" w:rsidRDefault="00DA70E6" w:rsidP="00DA70E6">
      <w:pPr>
        <w:numPr>
          <w:ilvl w:val="0"/>
          <w:numId w:val="39"/>
        </w:numPr>
        <w:tabs>
          <w:tab w:val="left" w:pos="567"/>
        </w:tabs>
        <w:ind w:left="1134" w:hanging="567"/>
      </w:pPr>
      <w:r w:rsidRPr="00DA70E6">
        <w:t>vėmimas arba viduriavimas;</w:t>
      </w:r>
    </w:p>
    <w:p w14:paraId="28FC657B" w14:textId="77777777" w:rsidR="00DA70E6" w:rsidRPr="00DA70E6" w:rsidRDefault="00DA70E6" w:rsidP="00DA70E6">
      <w:pPr>
        <w:numPr>
          <w:ilvl w:val="0"/>
          <w:numId w:val="39"/>
        </w:numPr>
        <w:tabs>
          <w:tab w:val="left" w:pos="567"/>
        </w:tabs>
        <w:ind w:left="1134" w:hanging="567"/>
      </w:pPr>
      <w:r w:rsidRPr="00DA70E6">
        <w:t>išbėrimas;</w:t>
      </w:r>
    </w:p>
    <w:p w14:paraId="75CDD8B3" w14:textId="77777777" w:rsidR="00DA70E6" w:rsidRPr="00DA70E6" w:rsidRDefault="00DA70E6" w:rsidP="00DA70E6">
      <w:pPr>
        <w:numPr>
          <w:ilvl w:val="0"/>
          <w:numId w:val="39"/>
        </w:numPr>
        <w:tabs>
          <w:tab w:val="left" w:pos="567"/>
        </w:tabs>
        <w:ind w:left="1134" w:hanging="567"/>
      </w:pPr>
      <w:r w:rsidRPr="00DA70E6">
        <w:t>naktinis prakaitavimas;</w:t>
      </w:r>
    </w:p>
    <w:p w14:paraId="74FF53FE" w14:textId="77777777" w:rsidR="00DA70E6" w:rsidRPr="00DA70E6" w:rsidRDefault="00DA70E6" w:rsidP="00DA70E6">
      <w:pPr>
        <w:numPr>
          <w:ilvl w:val="0"/>
          <w:numId w:val="39"/>
        </w:numPr>
        <w:tabs>
          <w:tab w:val="left" w:pos="567"/>
        </w:tabs>
        <w:ind w:left="1134" w:hanging="567"/>
      </w:pPr>
      <w:r w:rsidRPr="00DA70E6">
        <w:t>padidėję kaklo arba kirkšnių limfmazgiai.</w:t>
      </w:r>
    </w:p>
    <w:p w14:paraId="024638FA" w14:textId="77777777" w:rsidR="00DA70E6" w:rsidRPr="00DA70E6" w:rsidRDefault="00DA70E6" w:rsidP="00DA70E6">
      <w:pPr>
        <w:tabs>
          <w:tab w:val="left" w:pos="567"/>
        </w:tabs>
        <w:ind w:left="207"/>
      </w:pPr>
    </w:p>
    <w:p w14:paraId="5B04927B" w14:textId="77777777" w:rsidR="00DA70E6" w:rsidRPr="00DA70E6" w:rsidRDefault="00DA70E6" w:rsidP="00DA70E6">
      <w:pPr>
        <w:tabs>
          <w:tab w:val="left" w:pos="993"/>
        </w:tabs>
        <w:ind w:left="993" w:hanging="426"/>
      </w:pPr>
      <w:r w:rsidRPr="00DA70E6">
        <w:rPr>
          <w:rFonts w:ascii="Wingdings" w:hAnsi="Wingdings" w:cs="Wingdings"/>
          <w:szCs w:val="22"/>
        </w:rPr>
        <w:t></w:t>
      </w:r>
      <w:r w:rsidRPr="00DA70E6">
        <w:rPr>
          <w:rFonts w:ascii="Wingdings" w:hAnsi="Wingdings" w:cs="Wingdings"/>
          <w:szCs w:val="22"/>
        </w:rPr>
        <w:t></w:t>
      </w:r>
      <w:r w:rsidRPr="00DA70E6">
        <w:rPr>
          <w:b/>
        </w:rPr>
        <w:t>Pasakykite gydytojui apie bet kokį į gripą panašų susirgimą</w:t>
      </w:r>
      <w:r w:rsidRPr="00DA70E6">
        <w:t>, kuris pasireiškė per mėnesį prieš pradedant vartoti Emtricitabine/Tenofovir disoproxil Sandoz arba bet kuriuo Emtricitabine/Tenofovir disoproxil Sandoz vartojimo laiku.</w:t>
      </w:r>
    </w:p>
    <w:p w14:paraId="59745359" w14:textId="77777777" w:rsidR="00DA70E6" w:rsidRPr="00DA70E6" w:rsidRDefault="00DA70E6" w:rsidP="00DA70E6">
      <w:pPr>
        <w:tabs>
          <w:tab w:val="left" w:pos="567"/>
        </w:tabs>
      </w:pPr>
    </w:p>
    <w:p w14:paraId="5EAE65EE" w14:textId="77777777" w:rsidR="00DA70E6" w:rsidRPr="00DA70E6" w:rsidRDefault="00DA70E6" w:rsidP="00DA70E6">
      <w:pPr>
        <w:tabs>
          <w:tab w:val="left" w:pos="567"/>
        </w:tabs>
        <w:rPr>
          <w:b/>
        </w:rPr>
      </w:pPr>
      <w:r w:rsidRPr="00DA70E6">
        <w:rPr>
          <w:b/>
        </w:rPr>
        <w:t>Įspėjimai ir atsargumo priemonės</w:t>
      </w:r>
    </w:p>
    <w:p w14:paraId="63894B2D" w14:textId="77777777" w:rsidR="00DA70E6" w:rsidRPr="00DA70E6" w:rsidRDefault="00DA70E6" w:rsidP="00DA70E6">
      <w:pPr>
        <w:tabs>
          <w:tab w:val="left" w:pos="567"/>
        </w:tabs>
      </w:pPr>
    </w:p>
    <w:p w14:paraId="2515F6E2" w14:textId="77777777" w:rsidR="00DA70E6" w:rsidRPr="00DA70E6" w:rsidRDefault="00DA70E6" w:rsidP="00DA70E6">
      <w:pPr>
        <w:tabs>
          <w:tab w:val="left" w:pos="567"/>
        </w:tabs>
        <w:rPr>
          <w:b/>
        </w:rPr>
      </w:pPr>
      <w:r w:rsidRPr="00DA70E6">
        <w:rPr>
          <w:b/>
        </w:rPr>
        <w:t>Vartojant Emtricitabine/Tenofovir disoproxil Sandoz užsikrėtimo ŽIV rizikai sumažinti:</w:t>
      </w:r>
    </w:p>
    <w:p w14:paraId="56AD0767" w14:textId="77777777" w:rsidR="00DA70E6" w:rsidRPr="00DA70E6" w:rsidRDefault="00DA70E6" w:rsidP="00DA70E6">
      <w:pPr>
        <w:numPr>
          <w:ilvl w:val="0"/>
          <w:numId w:val="39"/>
        </w:numPr>
        <w:tabs>
          <w:tab w:val="left" w:pos="567"/>
        </w:tabs>
        <w:ind w:left="567" w:hanging="567"/>
      </w:pPr>
      <w:r w:rsidRPr="00DA70E6">
        <w:t xml:space="preserve">Vartokite Emtricitabine/Tenofovir disoproxil Sandoz kasdien </w:t>
      </w:r>
      <w:r w:rsidRPr="00DA70E6">
        <w:rPr>
          <w:b/>
        </w:rPr>
        <w:t>rizikai sumažinti, o ne tik tada, kai manote, kad Jums buvo rizika užsikrėsti ŽIV.</w:t>
      </w:r>
      <w:r w:rsidRPr="00DA70E6">
        <w:t xml:space="preserve"> Nepraleiskite nė vienos Emtricitabine/Tenofovir disoproxil Sandoz dozės ir nenustokite jo vartoti. Dozių praleidimas gali didinti Jūsų riziką tapti užsikrėtusiam ŽIV infekcija.</w:t>
      </w:r>
    </w:p>
    <w:p w14:paraId="4701E950" w14:textId="77777777" w:rsidR="00DA70E6" w:rsidRPr="00DA70E6" w:rsidRDefault="00DA70E6" w:rsidP="00DA70E6">
      <w:pPr>
        <w:tabs>
          <w:tab w:val="left" w:pos="567"/>
        </w:tabs>
      </w:pPr>
    </w:p>
    <w:p w14:paraId="2F60754F" w14:textId="77777777" w:rsidR="00DA70E6" w:rsidRPr="00DA70E6" w:rsidRDefault="00DA70E6" w:rsidP="00DA70E6">
      <w:pPr>
        <w:numPr>
          <w:ilvl w:val="0"/>
          <w:numId w:val="39"/>
        </w:numPr>
        <w:tabs>
          <w:tab w:val="left" w:pos="567"/>
        </w:tabs>
        <w:ind w:left="567" w:hanging="567"/>
      </w:pPr>
      <w:r w:rsidRPr="00DA70E6">
        <w:t>Reguliariai tirkitės, ar neužsikrėtėte ŽIV.</w:t>
      </w:r>
    </w:p>
    <w:p w14:paraId="228129F9" w14:textId="77777777" w:rsidR="00DA70E6" w:rsidRPr="00DA70E6" w:rsidRDefault="00DA70E6" w:rsidP="00DA70E6">
      <w:pPr>
        <w:tabs>
          <w:tab w:val="left" w:pos="567"/>
        </w:tabs>
      </w:pPr>
    </w:p>
    <w:p w14:paraId="5033F9DE" w14:textId="77777777" w:rsidR="00DA70E6" w:rsidRPr="00DA70E6" w:rsidRDefault="00DA70E6" w:rsidP="00DA70E6">
      <w:pPr>
        <w:numPr>
          <w:ilvl w:val="0"/>
          <w:numId w:val="39"/>
        </w:numPr>
        <w:tabs>
          <w:tab w:val="left" w:pos="567"/>
        </w:tabs>
        <w:ind w:left="567" w:hanging="567"/>
      </w:pPr>
      <w:r w:rsidRPr="00DA70E6">
        <w:t>Jeigu manote, kad esate užsikrėtęs ŽIV, nedelsdami apie tai pasakykite savo gydytojui. Gydytojui gali būti reikalinga atlikti daugiau tyrimų, kad įsitikintų, jog vis dar nesate užsikrėtę ŽIV.</w:t>
      </w:r>
    </w:p>
    <w:p w14:paraId="75058D44" w14:textId="77777777" w:rsidR="00DA70E6" w:rsidRPr="00DA70E6" w:rsidRDefault="00DA70E6" w:rsidP="00DA70E6">
      <w:pPr>
        <w:tabs>
          <w:tab w:val="left" w:pos="567"/>
        </w:tabs>
      </w:pPr>
    </w:p>
    <w:p w14:paraId="71095ED0" w14:textId="77777777" w:rsidR="00DA70E6" w:rsidRPr="00DA70E6" w:rsidRDefault="00DA70E6" w:rsidP="00DA70E6">
      <w:pPr>
        <w:numPr>
          <w:ilvl w:val="0"/>
          <w:numId w:val="39"/>
        </w:numPr>
        <w:tabs>
          <w:tab w:val="left" w:pos="567"/>
        </w:tabs>
        <w:ind w:left="567" w:hanging="567"/>
      </w:pPr>
      <w:r w:rsidRPr="00DA70E6">
        <w:rPr>
          <w:b/>
        </w:rPr>
        <w:t>Vien tik Emtricitabine/Tenofovir disoproxil Sandoz vartojimas Jūsų gali neapsaugoti nuo užsikrėtimo ŽIV</w:t>
      </w:r>
      <w:r w:rsidRPr="00DA70E6">
        <w:t>.</w:t>
      </w:r>
    </w:p>
    <w:p w14:paraId="0F874E2C" w14:textId="77777777" w:rsidR="00DA70E6" w:rsidRPr="00DA70E6" w:rsidRDefault="00DA70E6" w:rsidP="00DA70E6">
      <w:pPr>
        <w:numPr>
          <w:ilvl w:val="0"/>
          <w:numId w:val="39"/>
        </w:numPr>
        <w:tabs>
          <w:tab w:val="left" w:pos="567"/>
        </w:tabs>
        <w:ind w:left="1134" w:hanging="567"/>
      </w:pPr>
      <w:r w:rsidRPr="00DA70E6">
        <w:t>Visada užtikrinkite lytinių santykių saugumą. Naudokite prezervatyvus, kad sumažėtų sąlytis su sėkla, makšties skysčiais arba krauju.</w:t>
      </w:r>
    </w:p>
    <w:p w14:paraId="54CEA428" w14:textId="77777777" w:rsidR="00DA70E6" w:rsidRPr="00DA70E6" w:rsidRDefault="00DA70E6" w:rsidP="00DA70E6">
      <w:pPr>
        <w:numPr>
          <w:ilvl w:val="0"/>
          <w:numId w:val="39"/>
        </w:numPr>
        <w:tabs>
          <w:tab w:val="left" w:pos="567"/>
        </w:tabs>
        <w:ind w:left="1134" w:hanging="567"/>
      </w:pPr>
      <w:r w:rsidRPr="00DA70E6">
        <w:t>Nesinaudokite kartu su kitais žmonėmis tais pačiais asmeniniais daiktais, ant kurių gali būti užsilikę kraujo arba kūno skysčių, pvz., dantų šepetėliais ir skutimosi peiliukais.</w:t>
      </w:r>
    </w:p>
    <w:p w14:paraId="167C78E3" w14:textId="77777777" w:rsidR="00DA70E6" w:rsidRPr="00DA70E6" w:rsidRDefault="00DA70E6" w:rsidP="00DA70E6">
      <w:pPr>
        <w:numPr>
          <w:ilvl w:val="0"/>
          <w:numId w:val="39"/>
        </w:numPr>
        <w:tabs>
          <w:tab w:val="left" w:pos="567"/>
        </w:tabs>
        <w:ind w:left="1134" w:hanging="567"/>
      </w:pPr>
      <w:r w:rsidRPr="00DA70E6">
        <w:t>Nesinaudokite kartu su kitais žmonėmis ir kartotinai nenaudokite tų pačių adatų arba kitų įtaisų injekcijoms arba vaistams.</w:t>
      </w:r>
    </w:p>
    <w:p w14:paraId="40365496" w14:textId="77777777" w:rsidR="00DA70E6" w:rsidRPr="00DA70E6" w:rsidRDefault="00DA70E6" w:rsidP="00DA70E6">
      <w:pPr>
        <w:numPr>
          <w:ilvl w:val="0"/>
          <w:numId w:val="39"/>
        </w:numPr>
        <w:tabs>
          <w:tab w:val="left" w:pos="567"/>
        </w:tabs>
        <w:ind w:left="1134" w:hanging="567"/>
      </w:pPr>
      <w:r w:rsidRPr="00DA70E6">
        <w:t xml:space="preserve">Išsitirkite dėl kitų lytiškai plintančių infekcijų, pvz., sifilio ir gonorėjos. </w:t>
      </w:r>
      <w:r w:rsidRPr="00DA70E6">
        <w:br/>
        <w:t>Šios infekcijos padaro Jus lengviau užkrečiamu ŽIV.</w:t>
      </w:r>
    </w:p>
    <w:p w14:paraId="7F57DA33" w14:textId="77777777" w:rsidR="00DA70E6" w:rsidRPr="00DA70E6" w:rsidRDefault="00DA70E6" w:rsidP="00DA70E6">
      <w:pPr>
        <w:tabs>
          <w:tab w:val="left" w:pos="567"/>
        </w:tabs>
      </w:pPr>
    </w:p>
    <w:p w14:paraId="685AE351" w14:textId="77777777" w:rsidR="00DA70E6" w:rsidRPr="00DA70E6" w:rsidRDefault="00DA70E6" w:rsidP="00DA70E6">
      <w:pPr>
        <w:tabs>
          <w:tab w:val="left" w:pos="567"/>
        </w:tabs>
      </w:pPr>
      <w:r w:rsidRPr="00DA70E6">
        <w:t>Kreipkitės į savo gydytoją, jeigu turite kokių nors dar klausimų apie tai, kaip užkirsti kelią užsikrėtimui ŽIV arba jo perdavimui kitiems žmonėms.</w:t>
      </w:r>
    </w:p>
    <w:p w14:paraId="01CF7FF5" w14:textId="77777777" w:rsidR="00DA70E6" w:rsidRPr="00DA70E6" w:rsidRDefault="00DA70E6" w:rsidP="00DA70E6">
      <w:pPr>
        <w:tabs>
          <w:tab w:val="left" w:pos="567"/>
        </w:tabs>
      </w:pPr>
    </w:p>
    <w:p w14:paraId="106C9234" w14:textId="77777777" w:rsidR="00DA70E6" w:rsidRPr="00DA70E6" w:rsidRDefault="00DA70E6" w:rsidP="00DA70E6">
      <w:pPr>
        <w:tabs>
          <w:tab w:val="left" w:pos="567"/>
        </w:tabs>
        <w:rPr>
          <w:b/>
        </w:rPr>
      </w:pPr>
      <w:r w:rsidRPr="00DA70E6">
        <w:rPr>
          <w:b/>
        </w:rPr>
        <w:t>Vartojant Emtricitabine/Tenofovir disoproxil Sandoz gydyti nuo ŽIV arba užsikrėtimo ŽIV rizikai sumažinti:</w:t>
      </w:r>
    </w:p>
    <w:p w14:paraId="30319136" w14:textId="77777777" w:rsidR="00DA70E6" w:rsidRPr="00DA70E6" w:rsidRDefault="00DA70E6" w:rsidP="00DA70E6">
      <w:pPr>
        <w:tabs>
          <w:tab w:val="left" w:pos="567"/>
        </w:tabs>
        <w:ind w:left="567" w:hanging="567"/>
      </w:pPr>
    </w:p>
    <w:p w14:paraId="789C978F" w14:textId="77777777" w:rsidR="00DA70E6" w:rsidRDefault="00DA70E6" w:rsidP="00DA70E6">
      <w:pPr>
        <w:numPr>
          <w:ilvl w:val="0"/>
          <w:numId w:val="40"/>
        </w:numPr>
        <w:tabs>
          <w:tab w:val="left" w:pos="567"/>
        </w:tabs>
        <w:ind w:left="567" w:hanging="567"/>
      </w:pPr>
      <w:r w:rsidRPr="00DA70E6">
        <w:rPr>
          <w:b/>
        </w:rPr>
        <w:t>Emtricitabine/Tenofovir disoproxil Sandoz gali pakenkti inkstams</w:t>
      </w:r>
      <w:r w:rsidRPr="00DA70E6">
        <w:t>. Prieš pradėdamas gydymą ir gydymo metu Jūsų gydytojas gali paskirti kraujo tyrimus inkstų funkcijai įvertinti. Jeigu sergate inkstų liga arba tyrimai rodo inkstų sutrikimus, pasakykite apie tai savo gydytojui. Emtricitabine/Tenofovir disoproxil Sandoz turi būti neskiriamas paaugliams, kurių inkstų funkcija sutrikusi. Jeigu inkstų funkcija sutrikusi, Jūsų gydytojas gali patarti nustoti vartoti Emtricitabine/Tenofovir disoproxil Sandoz arba, jeigu jau yra ŽIV, vartoti Emtricitabine/Tenofovir disoproxil Sandoz rečiau. Emtricitabine/Tenofovir disoproxil Sandoz vartoti nerekomenduojama, jei sergate sunkia inkstų liga arba Jums taikoma dializė.</w:t>
      </w:r>
    </w:p>
    <w:p w14:paraId="3CE8A8A0" w14:textId="77777777" w:rsidR="0030376D" w:rsidRDefault="0030376D" w:rsidP="00A0725F">
      <w:pPr>
        <w:tabs>
          <w:tab w:val="left" w:pos="567"/>
        </w:tabs>
        <w:ind w:left="567"/>
      </w:pPr>
    </w:p>
    <w:p w14:paraId="5E136A00" w14:textId="3C562FAE" w:rsidR="0030376D" w:rsidRPr="00A0725F" w:rsidRDefault="0030376D" w:rsidP="00A0725F">
      <w:pPr>
        <w:autoSpaceDE w:val="0"/>
        <w:autoSpaceDN w:val="0"/>
        <w:adjustRightInd w:val="0"/>
        <w:rPr>
          <w:b/>
        </w:rPr>
      </w:pPr>
      <w:r w:rsidRPr="00A0725F">
        <w:rPr>
          <w:b/>
        </w:rPr>
        <w:t>Pasakykite gydytojui, jeigu sergate osteoporoze, esate patyrę kaulų lūžių arba sergate</w:t>
      </w:r>
      <w:r w:rsidR="0045422A">
        <w:rPr>
          <w:b/>
        </w:rPr>
        <w:t xml:space="preserve"> </w:t>
      </w:r>
      <w:r w:rsidRPr="00A0725F">
        <w:rPr>
          <w:b/>
        </w:rPr>
        <w:t>kaulų ligomis.</w:t>
      </w:r>
    </w:p>
    <w:p w14:paraId="2A6F4C13" w14:textId="77777777" w:rsidR="00DA70E6" w:rsidRPr="00DA70E6" w:rsidRDefault="00DA70E6" w:rsidP="00DA70E6">
      <w:pPr>
        <w:tabs>
          <w:tab w:val="left" w:pos="567"/>
        </w:tabs>
        <w:ind w:left="567" w:hanging="567"/>
      </w:pPr>
    </w:p>
    <w:p w14:paraId="6F1D038A" w14:textId="548E39E6" w:rsidR="002013EE" w:rsidRDefault="002013EE" w:rsidP="00DA70E6">
      <w:pPr>
        <w:tabs>
          <w:tab w:val="left" w:pos="567"/>
        </w:tabs>
        <w:ind w:left="567"/>
      </w:pPr>
      <w:r>
        <w:t>K</w:t>
      </w:r>
      <w:r w:rsidR="00DA70E6" w:rsidRPr="00DA70E6">
        <w:t>aul</w:t>
      </w:r>
      <w:r>
        <w:t>ų sutrikimai:</w:t>
      </w:r>
    </w:p>
    <w:p w14:paraId="3E17D180" w14:textId="77777777" w:rsidR="002013EE" w:rsidRDefault="002013EE" w:rsidP="007727FA">
      <w:pPr>
        <w:pStyle w:val="Default"/>
        <w:ind w:firstLine="567"/>
        <w:rPr>
          <w:sz w:val="22"/>
          <w:szCs w:val="22"/>
        </w:rPr>
      </w:pPr>
      <w:r>
        <w:rPr>
          <w:i/>
          <w:iCs/>
          <w:sz w:val="22"/>
          <w:szCs w:val="22"/>
        </w:rPr>
        <w:t xml:space="preserve">Suaugusiems pacientams </w:t>
      </w:r>
    </w:p>
    <w:p w14:paraId="32CCF6D7" w14:textId="6EC69AED" w:rsidR="002013EE" w:rsidRDefault="002013EE" w:rsidP="002013EE">
      <w:pPr>
        <w:pStyle w:val="Default"/>
        <w:ind w:left="567" w:firstLine="567"/>
        <w:rPr>
          <w:b/>
          <w:bCs/>
          <w:sz w:val="22"/>
          <w:szCs w:val="22"/>
        </w:rPr>
      </w:pPr>
      <w:r>
        <w:rPr>
          <w:sz w:val="22"/>
          <w:szCs w:val="22"/>
        </w:rPr>
        <w:t>Kaulų sutrikimų (</w:t>
      </w:r>
      <w:r>
        <w:rPr>
          <w:b/>
          <w:bCs/>
          <w:sz w:val="22"/>
          <w:szCs w:val="22"/>
        </w:rPr>
        <w:t xml:space="preserve">pasireiškiančių nuolatiniu ar stiprėjančiu kaulų skausmu ir </w:t>
      </w:r>
      <w:r>
        <w:rPr>
          <w:sz w:val="22"/>
          <w:szCs w:val="22"/>
        </w:rPr>
        <w:t xml:space="preserve">kartais sukeliančių lūžius) taip pat gali atsirasti dėl inkstų kanalėlių ląstelių pažeidimų (žr. 4 skyrių </w:t>
      </w:r>
      <w:r>
        <w:rPr>
          <w:i/>
          <w:iCs/>
          <w:sz w:val="22"/>
          <w:szCs w:val="22"/>
        </w:rPr>
        <w:t>Galimas šalutinis poveikis</w:t>
      </w:r>
      <w:r>
        <w:rPr>
          <w:sz w:val="22"/>
          <w:szCs w:val="22"/>
        </w:rPr>
        <w:t xml:space="preserve">). </w:t>
      </w:r>
      <w:r>
        <w:rPr>
          <w:b/>
          <w:bCs/>
          <w:sz w:val="22"/>
          <w:szCs w:val="22"/>
        </w:rPr>
        <w:t xml:space="preserve">Pasakykite gydytojui, jei Jums skauda kaulus arba patyrėte kaulų lūžių. </w:t>
      </w:r>
    </w:p>
    <w:p w14:paraId="1E9CF9D9" w14:textId="77777777" w:rsidR="002013EE" w:rsidRDefault="002013EE" w:rsidP="007727FA">
      <w:pPr>
        <w:pStyle w:val="Default"/>
        <w:ind w:left="567" w:firstLine="567"/>
        <w:rPr>
          <w:sz w:val="22"/>
          <w:szCs w:val="22"/>
        </w:rPr>
      </w:pPr>
    </w:p>
    <w:p w14:paraId="7C2659B0" w14:textId="382C3B9B" w:rsidR="002013EE" w:rsidRDefault="002013EE" w:rsidP="002013EE">
      <w:pPr>
        <w:pStyle w:val="Default"/>
        <w:ind w:left="567"/>
        <w:rPr>
          <w:b/>
          <w:bCs/>
          <w:sz w:val="22"/>
          <w:szCs w:val="22"/>
        </w:rPr>
      </w:pPr>
      <w:r>
        <w:rPr>
          <w:b/>
          <w:bCs/>
          <w:sz w:val="22"/>
          <w:szCs w:val="22"/>
        </w:rPr>
        <w:t xml:space="preserve">Tenofoviras dizoproksilis taip pat gali sukelti kaulų masės mažėjimą. Ryškiausias kaulų masės sumažėjimas nustatytas klinikinių tyrimų metu, kai pacientams buvo taikomas </w:t>
      </w:r>
      <w:r w:rsidR="00D80526">
        <w:rPr>
          <w:b/>
          <w:bCs/>
          <w:sz w:val="22"/>
          <w:szCs w:val="22"/>
        </w:rPr>
        <w:t xml:space="preserve">nuo </w:t>
      </w:r>
      <w:r w:rsidR="00D80526">
        <w:rPr>
          <w:b/>
          <w:bCs/>
          <w:sz w:val="22"/>
          <w:szCs w:val="22"/>
          <w:lang w:val="lt-LT"/>
        </w:rPr>
        <w:t xml:space="preserve">ŽIV </w:t>
      </w:r>
      <w:r>
        <w:rPr>
          <w:b/>
          <w:bCs/>
          <w:sz w:val="22"/>
          <w:szCs w:val="22"/>
        </w:rPr>
        <w:t xml:space="preserve">gydymas tenofoviro dizoproksilio ir sustiprinto proteazių inhibitoriaus deriniu. </w:t>
      </w:r>
    </w:p>
    <w:p w14:paraId="38E907EB" w14:textId="77777777" w:rsidR="002013EE" w:rsidRDefault="002013EE" w:rsidP="007727FA">
      <w:pPr>
        <w:pStyle w:val="Default"/>
        <w:ind w:left="567"/>
        <w:rPr>
          <w:sz w:val="22"/>
          <w:szCs w:val="22"/>
        </w:rPr>
      </w:pPr>
    </w:p>
    <w:p w14:paraId="664BAEFE" w14:textId="77777777" w:rsidR="002013EE" w:rsidRDefault="002013EE" w:rsidP="007727FA">
      <w:pPr>
        <w:pStyle w:val="Default"/>
        <w:ind w:left="567"/>
        <w:rPr>
          <w:sz w:val="22"/>
          <w:szCs w:val="22"/>
        </w:rPr>
      </w:pPr>
      <w:r>
        <w:rPr>
          <w:b/>
          <w:bCs/>
          <w:sz w:val="22"/>
          <w:szCs w:val="22"/>
        </w:rPr>
        <w:t xml:space="preserve">Vertinant apskritai, tenofoviro dizoproksilio poveikis suaugusiųjų ir vaikų ilgalaikei kaulų sveikatai ir lūžių rizikai ateityje nėra aiškus. </w:t>
      </w:r>
    </w:p>
    <w:p w14:paraId="67FD5F1E" w14:textId="77777777" w:rsidR="00DA70E6" w:rsidRPr="00DA70E6" w:rsidRDefault="00DA70E6" w:rsidP="00DA70E6">
      <w:pPr>
        <w:tabs>
          <w:tab w:val="left" w:pos="567"/>
        </w:tabs>
        <w:ind w:left="567"/>
      </w:pPr>
    </w:p>
    <w:p w14:paraId="7E36E147" w14:textId="77777777" w:rsidR="00DA70E6" w:rsidRPr="00DA70E6" w:rsidRDefault="00DA70E6" w:rsidP="00DA70E6">
      <w:pPr>
        <w:numPr>
          <w:ilvl w:val="0"/>
          <w:numId w:val="40"/>
        </w:numPr>
        <w:tabs>
          <w:tab w:val="left" w:pos="567"/>
        </w:tabs>
        <w:ind w:left="567" w:hanging="567"/>
      </w:pPr>
      <w:r w:rsidRPr="00DA70E6">
        <w:rPr>
          <w:b/>
        </w:rPr>
        <w:t>Pasakykite savo gydytojui, jeigu sirgote kepenų liga, įskaitant hepatitą</w:t>
      </w:r>
      <w:r w:rsidRPr="00DA70E6">
        <w:t>. ŽIV užsikrėtusiems pacientams, kurie taip pat serga kepenų liga (įskaitant lėtinį hepatitą B arba C), gydomiems antiretrovirusiniais vaistais, yra didesnė rizika sunkioms ir net mirtinoms kepenų komplikacijoms išsivystyti. Jeigu Jums yra hepatitas B arba C, Jūsų gydytojas atidžiai apgalvos Jums geriausią gydymo režimą.</w:t>
      </w:r>
    </w:p>
    <w:p w14:paraId="1A6D69C4" w14:textId="77777777" w:rsidR="00DA70E6" w:rsidRPr="00DA70E6" w:rsidRDefault="00DA70E6" w:rsidP="00DA70E6">
      <w:pPr>
        <w:tabs>
          <w:tab w:val="left" w:pos="567"/>
        </w:tabs>
      </w:pPr>
    </w:p>
    <w:p w14:paraId="727F392D" w14:textId="77777777" w:rsidR="00DA70E6" w:rsidRPr="00DA70E6" w:rsidRDefault="00DA70E6" w:rsidP="00DA70E6">
      <w:pPr>
        <w:numPr>
          <w:ilvl w:val="0"/>
          <w:numId w:val="40"/>
        </w:numPr>
        <w:tabs>
          <w:tab w:val="left" w:pos="567"/>
        </w:tabs>
        <w:ind w:left="567" w:hanging="567"/>
      </w:pPr>
      <w:r w:rsidRPr="00DA70E6">
        <w:rPr>
          <w:b/>
        </w:rPr>
        <w:t>Sužinokite, ar nesate užsikrėtę hepatito B virusu (HBV)</w:t>
      </w:r>
      <w:r w:rsidRPr="00DA70E6">
        <w:t xml:space="preserve"> prieš pradėdami vartoti Emtricitabine/Tenofovir disoproxil Sandoz. Jeigu Jums yra HBV, yra didelė kepenų sutrikimų rizika, nustojus vartoti Emtricitabine/Tenofovir disoproxil Sandoz, nepriklausomai nuo to, yra ar nėra kartu ŽIV. Svarbu, kad nenustotumėte vartoti Emtricitabine/Tenofovir disoproxil Sandoz, nepasitarę su savo gydytoju: žr. 3 skyriaus poskyrį „Nustojus vartoti Emtricitabine/Tenofovir disoproxil Sandoz“.</w:t>
      </w:r>
    </w:p>
    <w:p w14:paraId="15C15D4D" w14:textId="77777777" w:rsidR="00DA70E6" w:rsidRPr="00DA70E6" w:rsidRDefault="00DA70E6" w:rsidP="00DA70E6">
      <w:pPr>
        <w:tabs>
          <w:tab w:val="left" w:pos="567"/>
        </w:tabs>
        <w:ind w:left="567" w:hanging="567"/>
      </w:pPr>
    </w:p>
    <w:p w14:paraId="36250074" w14:textId="77777777" w:rsidR="00DA70E6" w:rsidRPr="00DA70E6" w:rsidRDefault="00DA70E6" w:rsidP="00DA70E6">
      <w:pPr>
        <w:numPr>
          <w:ilvl w:val="0"/>
          <w:numId w:val="40"/>
        </w:numPr>
        <w:tabs>
          <w:tab w:val="left" w:pos="567"/>
        </w:tabs>
        <w:ind w:left="567" w:hanging="567"/>
        <w:rPr>
          <w:b/>
        </w:rPr>
      </w:pPr>
      <w:r w:rsidRPr="00DA70E6">
        <w:rPr>
          <w:b/>
        </w:rPr>
        <w:t>Jeigu Jūs esate vyresni nei 65 metų, pasakykite savo gydytojui. Emtricitabine/Tenofovir disoproxil Sandoz nebuvo tirtas vyresniems nei 65 metų amžiaus pacientams.</w:t>
      </w:r>
    </w:p>
    <w:p w14:paraId="448F45CC" w14:textId="77777777" w:rsidR="00DA70E6" w:rsidRPr="00DA70E6" w:rsidRDefault="00DA70E6" w:rsidP="00DA70E6">
      <w:pPr>
        <w:ind w:left="720"/>
        <w:contextualSpacing/>
      </w:pPr>
    </w:p>
    <w:p w14:paraId="47756CEA" w14:textId="77777777" w:rsidR="00DA70E6" w:rsidRPr="00DA70E6" w:rsidRDefault="00DA70E6" w:rsidP="00DA70E6">
      <w:pPr>
        <w:numPr>
          <w:ilvl w:val="0"/>
          <w:numId w:val="40"/>
        </w:numPr>
        <w:tabs>
          <w:tab w:val="left" w:pos="567"/>
        </w:tabs>
        <w:ind w:left="567" w:hanging="567"/>
      </w:pPr>
      <w:r w:rsidRPr="00DA70E6">
        <w:rPr>
          <w:b/>
        </w:rPr>
        <w:t>Pasakykite savo gydytojui, jeigu netoleruojate laktozės</w:t>
      </w:r>
      <w:r w:rsidRPr="00DA70E6">
        <w:t xml:space="preserve"> (žr. „Emtricitabine/Tenofovir disoproxil Sandoz sudėtyje yra laktozės“ toliau šiame skyriuje“).</w:t>
      </w:r>
    </w:p>
    <w:p w14:paraId="7EE0239F" w14:textId="77777777" w:rsidR="00DA70E6" w:rsidRPr="00DA70E6" w:rsidRDefault="00DA70E6" w:rsidP="00DA70E6">
      <w:pPr>
        <w:tabs>
          <w:tab w:val="left" w:pos="567"/>
        </w:tabs>
        <w:ind w:left="567" w:hanging="567"/>
      </w:pPr>
    </w:p>
    <w:p w14:paraId="2A8D09B8" w14:textId="77777777" w:rsidR="002013EE" w:rsidRDefault="002013EE" w:rsidP="002013EE">
      <w:pPr>
        <w:pStyle w:val="Default"/>
        <w:rPr>
          <w:i/>
          <w:iCs/>
          <w:sz w:val="22"/>
          <w:szCs w:val="22"/>
        </w:rPr>
      </w:pPr>
      <w:r>
        <w:rPr>
          <w:i/>
          <w:iCs/>
          <w:sz w:val="22"/>
          <w:szCs w:val="22"/>
        </w:rPr>
        <w:t>Pacientams paaugliams / vaikų populiacijos pacientams</w:t>
      </w:r>
    </w:p>
    <w:p w14:paraId="332932D5" w14:textId="77777777" w:rsidR="002013EE" w:rsidRDefault="002013EE" w:rsidP="002013EE">
      <w:pPr>
        <w:pStyle w:val="Default"/>
        <w:rPr>
          <w:i/>
          <w:iCs/>
          <w:sz w:val="22"/>
          <w:szCs w:val="22"/>
        </w:rPr>
      </w:pPr>
    </w:p>
    <w:p w14:paraId="4456496C" w14:textId="4378FCFD" w:rsidR="00E21FE8" w:rsidRDefault="002013EE" w:rsidP="002013EE">
      <w:pPr>
        <w:pStyle w:val="Default"/>
        <w:rPr>
          <w:b/>
          <w:bCs/>
          <w:sz w:val="22"/>
          <w:szCs w:val="22"/>
        </w:rPr>
      </w:pPr>
      <w:r>
        <w:rPr>
          <w:i/>
          <w:iCs/>
          <w:szCs w:val="22"/>
        </w:rPr>
        <w:t xml:space="preserve"> </w:t>
      </w:r>
      <w:r>
        <w:rPr>
          <w:sz w:val="22"/>
          <w:szCs w:val="22"/>
        </w:rPr>
        <w:t>Kaulų sutrikimų (</w:t>
      </w:r>
      <w:r>
        <w:rPr>
          <w:b/>
          <w:bCs/>
          <w:sz w:val="22"/>
          <w:szCs w:val="22"/>
        </w:rPr>
        <w:t xml:space="preserve">pasireiškiančių nuolatiniu ar stiprėjančiu kaulų skausmu ir </w:t>
      </w:r>
      <w:r>
        <w:rPr>
          <w:sz w:val="22"/>
          <w:szCs w:val="22"/>
        </w:rPr>
        <w:t xml:space="preserve">kartais sukeliančių lūžius) taip pat gali atsirasti dėl inkstų kanalėlių ląstelių pažeidimų (žr. 4 skyrių </w:t>
      </w:r>
      <w:r>
        <w:rPr>
          <w:i/>
          <w:iCs/>
          <w:sz w:val="22"/>
          <w:szCs w:val="22"/>
        </w:rPr>
        <w:t>Galimas šalutinis poveikis</w:t>
      </w:r>
      <w:r>
        <w:rPr>
          <w:sz w:val="22"/>
          <w:szCs w:val="22"/>
        </w:rPr>
        <w:t xml:space="preserve">). </w:t>
      </w:r>
      <w:r>
        <w:rPr>
          <w:b/>
          <w:bCs/>
          <w:sz w:val="22"/>
          <w:szCs w:val="22"/>
        </w:rPr>
        <w:t>Pasakykite vaiko gydytojui, jei Jūsų vaikui skauda kaulus arba jis patyrė kaulų lūžių.</w:t>
      </w:r>
    </w:p>
    <w:p w14:paraId="5577E3CB" w14:textId="45395A9E" w:rsidR="002013EE" w:rsidRDefault="002013EE" w:rsidP="002013EE">
      <w:pPr>
        <w:pStyle w:val="Default"/>
        <w:rPr>
          <w:sz w:val="22"/>
          <w:szCs w:val="22"/>
        </w:rPr>
      </w:pPr>
      <w:r>
        <w:rPr>
          <w:b/>
          <w:bCs/>
          <w:sz w:val="22"/>
          <w:szCs w:val="22"/>
        </w:rPr>
        <w:t xml:space="preserve"> </w:t>
      </w:r>
    </w:p>
    <w:p w14:paraId="736AC101" w14:textId="3D4B8EE6" w:rsidR="002013EE" w:rsidRDefault="002013EE" w:rsidP="002013EE">
      <w:pPr>
        <w:pStyle w:val="Default"/>
        <w:rPr>
          <w:b/>
          <w:bCs/>
          <w:sz w:val="22"/>
          <w:szCs w:val="22"/>
        </w:rPr>
      </w:pPr>
      <w:r>
        <w:rPr>
          <w:b/>
          <w:bCs/>
          <w:sz w:val="22"/>
          <w:szCs w:val="22"/>
        </w:rPr>
        <w:t xml:space="preserve">Tenofoviras dizoproksilis taip pat gali sukelti kaulų masės mažėjimą. Ryškiausias kaulų masės sumažėjimas nustatytas klinikinių tyrimų metu, kai pacientams buvo taikomas gydymas tenofoviro dizoproksilio ir sustiprinto proteazių inhibitoriaus deriniu. </w:t>
      </w:r>
    </w:p>
    <w:p w14:paraId="16B5DF28" w14:textId="77777777" w:rsidR="00E21FE8" w:rsidRDefault="00E21FE8" w:rsidP="002013EE">
      <w:pPr>
        <w:pStyle w:val="Default"/>
        <w:rPr>
          <w:sz w:val="22"/>
          <w:szCs w:val="22"/>
        </w:rPr>
      </w:pPr>
    </w:p>
    <w:p w14:paraId="31964C34" w14:textId="77777777" w:rsidR="00E21FE8" w:rsidRDefault="002013EE" w:rsidP="002013EE">
      <w:pPr>
        <w:pStyle w:val="Default"/>
        <w:rPr>
          <w:b/>
          <w:bCs/>
          <w:sz w:val="22"/>
          <w:szCs w:val="22"/>
        </w:rPr>
      </w:pPr>
      <w:r>
        <w:rPr>
          <w:b/>
          <w:bCs/>
          <w:sz w:val="22"/>
          <w:szCs w:val="22"/>
        </w:rPr>
        <w:t>Vertinant apskritai, tenofoviro dizoproksilio poveikis suaugusiųjų ir vaikų ilgalaikei kaulų sveikatai ir lūžių rizikai ateityje nėra aiškus.</w:t>
      </w:r>
    </w:p>
    <w:p w14:paraId="617B3088" w14:textId="5A3EAD96" w:rsidR="002013EE" w:rsidRDefault="002013EE" w:rsidP="002013EE">
      <w:pPr>
        <w:pStyle w:val="Default"/>
        <w:rPr>
          <w:sz w:val="22"/>
          <w:szCs w:val="22"/>
        </w:rPr>
      </w:pPr>
      <w:r>
        <w:rPr>
          <w:b/>
          <w:bCs/>
          <w:sz w:val="22"/>
          <w:szCs w:val="22"/>
        </w:rPr>
        <w:t xml:space="preserve"> </w:t>
      </w:r>
    </w:p>
    <w:p w14:paraId="4E01C445" w14:textId="77777777" w:rsidR="002013EE" w:rsidRDefault="002013EE" w:rsidP="002013EE">
      <w:pPr>
        <w:pStyle w:val="Default"/>
        <w:rPr>
          <w:sz w:val="22"/>
          <w:szCs w:val="22"/>
        </w:rPr>
      </w:pPr>
      <w:r>
        <w:rPr>
          <w:b/>
          <w:bCs/>
          <w:sz w:val="22"/>
          <w:szCs w:val="22"/>
        </w:rPr>
        <w:t xml:space="preserve">Pasakykite vaiko gydytojui, jei Jūsų vaikui yra osteoporozė. Osteoporoze sergantiems pacientams kaulų lūžių rizika yra didesnė. </w:t>
      </w:r>
    </w:p>
    <w:p w14:paraId="4BBA13DD" w14:textId="77777777" w:rsidR="002013EE" w:rsidRPr="00DA70E6" w:rsidRDefault="002013EE" w:rsidP="007727FA">
      <w:pPr>
        <w:tabs>
          <w:tab w:val="left" w:pos="567"/>
        </w:tabs>
      </w:pPr>
    </w:p>
    <w:p w14:paraId="11F3ED11" w14:textId="77777777" w:rsidR="00DA70E6" w:rsidRPr="00DA70E6" w:rsidRDefault="00DA70E6" w:rsidP="00DA70E6">
      <w:pPr>
        <w:tabs>
          <w:tab w:val="left" w:pos="0"/>
        </w:tabs>
      </w:pPr>
      <w:r w:rsidRPr="00DA70E6">
        <w:t>Emtricitabine/Tenofovir disoproxil Sandoz netinka vartoti jaunesniems kaip 12 metų vaikams.</w:t>
      </w:r>
    </w:p>
    <w:p w14:paraId="55DA71C0" w14:textId="77777777" w:rsidR="00DA70E6" w:rsidRPr="00DA70E6" w:rsidRDefault="00DA70E6" w:rsidP="00DA70E6">
      <w:pPr>
        <w:tabs>
          <w:tab w:val="left" w:pos="567"/>
        </w:tabs>
        <w:ind w:left="567" w:hanging="567"/>
      </w:pPr>
    </w:p>
    <w:p w14:paraId="384AC504" w14:textId="77777777" w:rsidR="00DA70E6" w:rsidRPr="00DA70E6" w:rsidRDefault="00DA70E6" w:rsidP="00DA70E6">
      <w:pPr>
        <w:tabs>
          <w:tab w:val="left" w:pos="567"/>
        </w:tabs>
        <w:ind w:left="567" w:hanging="567"/>
        <w:rPr>
          <w:b/>
        </w:rPr>
      </w:pPr>
      <w:r w:rsidRPr="00DA70E6">
        <w:rPr>
          <w:b/>
        </w:rPr>
        <w:t>Kiti vaistai ir Emtricitabine/Tenofovir disoproxil Sandoz</w:t>
      </w:r>
    </w:p>
    <w:p w14:paraId="2775045E" w14:textId="77777777" w:rsidR="00DA70E6" w:rsidRPr="00DA70E6" w:rsidRDefault="00DA70E6" w:rsidP="00DA70E6">
      <w:pPr>
        <w:tabs>
          <w:tab w:val="left" w:pos="567"/>
        </w:tabs>
        <w:ind w:left="567" w:hanging="567"/>
      </w:pPr>
    </w:p>
    <w:p w14:paraId="4F3562CA" w14:textId="77777777" w:rsidR="00DA70E6" w:rsidRPr="00DA70E6" w:rsidRDefault="00DA70E6" w:rsidP="00DA70E6">
      <w:pPr>
        <w:tabs>
          <w:tab w:val="left" w:pos="0"/>
        </w:tabs>
      </w:pPr>
      <w:r w:rsidRPr="00DA70E6">
        <w:t>Nevartokite Emtricitabine/Tenofovir disoproxil Sandoz, jeigu jau vartojate kitų vaistų, kurių sudėtyje yra Emtricitabine/Tenofovir disoproxil Sandoz sudedamųjų dalių (emtricitabino ir tenofoviro dizoproksilio), arba kitų antivirusinių vaistų, kurių sudėtyje yra tenofoviro alafenamido, lamivudino ar adefoviro dipivoksilio.</w:t>
      </w:r>
    </w:p>
    <w:p w14:paraId="4E1BB4A7" w14:textId="77777777" w:rsidR="00DA70E6" w:rsidRPr="00DA70E6" w:rsidRDefault="00DA70E6" w:rsidP="00DA70E6">
      <w:pPr>
        <w:tabs>
          <w:tab w:val="left" w:pos="567"/>
        </w:tabs>
        <w:ind w:left="567" w:hanging="567"/>
      </w:pPr>
    </w:p>
    <w:p w14:paraId="17EE3945" w14:textId="77777777" w:rsidR="00DA70E6" w:rsidRPr="00DA70E6" w:rsidRDefault="00DA70E6" w:rsidP="00DA70E6">
      <w:pPr>
        <w:tabs>
          <w:tab w:val="left" w:pos="0"/>
        </w:tabs>
      </w:pPr>
      <w:r w:rsidRPr="00DA70E6">
        <w:rPr>
          <w:b/>
        </w:rPr>
        <w:t>Emtricitabine/Tenofovir disoproxil Sandoz vartojimas kartu su kitais vaistais, kurie gali pakenkti Jūsų inkstams:</w:t>
      </w:r>
      <w:r w:rsidRPr="00DA70E6">
        <w:t xml:space="preserve"> ypač svarbu pasakyti savo gydytojui, jeigu vartojate bet kurio iš šių vaistų, įskaitant:</w:t>
      </w:r>
    </w:p>
    <w:p w14:paraId="2917D44D" w14:textId="77777777" w:rsidR="00DA70E6" w:rsidRPr="00DA70E6" w:rsidRDefault="00DA70E6" w:rsidP="00DA70E6">
      <w:pPr>
        <w:numPr>
          <w:ilvl w:val="0"/>
          <w:numId w:val="40"/>
        </w:numPr>
        <w:tabs>
          <w:tab w:val="left" w:pos="567"/>
        </w:tabs>
        <w:ind w:left="567" w:hanging="567"/>
      </w:pPr>
      <w:r w:rsidRPr="00DA70E6">
        <w:t>aminoglikozidus (nuo bakterinės infekcijos);</w:t>
      </w:r>
    </w:p>
    <w:p w14:paraId="12384559" w14:textId="77777777" w:rsidR="00DA70E6" w:rsidRPr="00DA70E6" w:rsidRDefault="00DA70E6" w:rsidP="00DA70E6">
      <w:pPr>
        <w:numPr>
          <w:ilvl w:val="0"/>
          <w:numId w:val="40"/>
        </w:numPr>
        <w:tabs>
          <w:tab w:val="left" w:pos="567"/>
        </w:tabs>
        <w:ind w:left="567" w:hanging="567"/>
      </w:pPr>
      <w:r w:rsidRPr="00DA70E6">
        <w:t>amfotericiną B (nuo grybelinės infekcijos);</w:t>
      </w:r>
    </w:p>
    <w:p w14:paraId="13C923BA" w14:textId="77777777" w:rsidR="00DA70E6" w:rsidRPr="00DA70E6" w:rsidRDefault="00DA70E6" w:rsidP="00DA70E6">
      <w:pPr>
        <w:numPr>
          <w:ilvl w:val="0"/>
          <w:numId w:val="40"/>
        </w:numPr>
        <w:tabs>
          <w:tab w:val="left" w:pos="567"/>
        </w:tabs>
        <w:ind w:left="567" w:hanging="567"/>
      </w:pPr>
      <w:r w:rsidRPr="00DA70E6">
        <w:t>foskarnetą (nuo virusinės infekcijos);</w:t>
      </w:r>
    </w:p>
    <w:p w14:paraId="266C597C" w14:textId="77777777" w:rsidR="00DA70E6" w:rsidRPr="00DA70E6" w:rsidRDefault="00DA70E6" w:rsidP="00DA70E6">
      <w:pPr>
        <w:numPr>
          <w:ilvl w:val="0"/>
          <w:numId w:val="40"/>
        </w:numPr>
        <w:tabs>
          <w:tab w:val="left" w:pos="567"/>
        </w:tabs>
        <w:ind w:left="567" w:hanging="567"/>
      </w:pPr>
      <w:r w:rsidRPr="00DA70E6">
        <w:t>ganciklovirą (nuo virusinės infekcijos);</w:t>
      </w:r>
    </w:p>
    <w:p w14:paraId="25B1A564" w14:textId="77777777" w:rsidR="00DA70E6" w:rsidRPr="00DA70E6" w:rsidRDefault="00DA70E6" w:rsidP="00DA70E6">
      <w:pPr>
        <w:numPr>
          <w:ilvl w:val="0"/>
          <w:numId w:val="40"/>
        </w:numPr>
        <w:tabs>
          <w:tab w:val="left" w:pos="567"/>
        </w:tabs>
        <w:ind w:left="567" w:hanging="567"/>
      </w:pPr>
      <w:r w:rsidRPr="00DA70E6">
        <w:t>pentamidiną ( nuo infekcijų);</w:t>
      </w:r>
    </w:p>
    <w:p w14:paraId="2B22C1C6" w14:textId="77777777" w:rsidR="00DA70E6" w:rsidRPr="00DA70E6" w:rsidRDefault="00DA70E6" w:rsidP="00DA70E6">
      <w:pPr>
        <w:numPr>
          <w:ilvl w:val="0"/>
          <w:numId w:val="40"/>
        </w:numPr>
        <w:tabs>
          <w:tab w:val="left" w:pos="567"/>
        </w:tabs>
        <w:ind w:left="567" w:hanging="567"/>
      </w:pPr>
      <w:r w:rsidRPr="00DA70E6">
        <w:t>vankomiciną (nuo bakterinės infekcijos);</w:t>
      </w:r>
    </w:p>
    <w:p w14:paraId="6F70979A" w14:textId="77777777" w:rsidR="00DA70E6" w:rsidRPr="00DA70E6" w:rsidRDefault="00DA70E6" w:rsidP="00DA70E6">
      <w:pPr>
        <w:numPr>
          <w:ilvl w:val="0"/>
          <w:numId w:val="40"/>
        </w:numPr>
        <w:tabs>
          <w:tab w:val="left" w:pos="567"/>
        </w:tabs>
        <w:ind w:left="567" w:hanging="567"/>
      </w:pPr>
      <w:r w:rsidRPr="00DA70E6">
        <w:t>interleukiną-2 (vėžiui gydyti);</w:t>
      </w:r>
    </w:p>
    <w:p w14:paraId="4D74E482" w14:textId="77777777" w:rsidR="00DA70E6" w:rsidRPr="00DA70E6" w:rsidRDefault="00DA70E6" w:rsidP="00DA70E6">
      <w:pPr>
        <w:numPr>
          <w:ilvl w:val="0"/>
          <w:numId w:val="40"/>
        </w:numPr>
        <w:tabs>
          <w:tab w:val="left" w:pos="567"/>
        </w:tabs>
        <w:ind w:left="567" w:hanging="567"/>
      </w:pPr>
      <w:r w:rsidRPr="00DA70E6">
        <w:t>cidofovirą (nuo virusinės infekcijos);</w:t>
      </w:r>
    </w:p>
    <w:p w14:paraId="186F28EB" w14:textId="77777777" w:rsidR="00DA70E6" w:rsidRPr="00DA70E6" w:rsidRDefault="00DA70E6" w:rsidP="00DA70E6">
      <w:pPr>
        <w:numPr>
          <w:ilvl w:val="0"/>
          <w:numId w:val="40"/>
        </w:numPr>
        <w:tabs>
          <w:tab w:val="left" w:pos="567"/>
        </w:tabs>
        <w:ind w:left="567" w:hanging="567"/>
      </w:pPr>
      <w:r w:rsidRPr="00DA70E6">
        <w:t>nesteroidinius vaistus nuo uždegimo (NVNU, kaulų ar raumenų skausmui malšinti).</w:t>
      </w:r>
    </w:p>
    <w:p w14:paraId="7B81831A" w14:textId="77777777" w:rsidR="00DA70E6" w:rsidRPr="00DA70E6" w:rsidRDefault="00DA70E6" w:rsidP="00DA70E6">
      <w:pPr>
        <w:tabs>
          <w:tab w:val="left" w:pos="567"/>
        </w:tabs>
        <w:ind w:left="567" w:hanging="567"/>
      </w:pPr>
    </w:p>
    <w:p w14:paraId="328F8471" w14:textId="77777777" w:rsidR="00DA70E6" w:rsidRPr="00DA70E6" w:rsidRDefault="00DA70E6" w:rsidP="00DA70E6">
      <w:pPr>
        <w:tabs>
          <w:tab w:val="left" w:pos="0"/>
        </w:tabs>
      </w:pPr>
      <w:r w:rsidRPr="00DA70E6">
        <w:t>Jeigu gydymui nuo ŽIV vartojate kito antivirusinio vaisto, vadinamo proteazės inhibitoriumi, Jūsų gydytojas gali nurodyti atlikti kraujo tyrimus, kad galėtų atidžiai stebėti Jūsų inkstų funkciją.</w:t>
      </w:r>
    </w:p>
    <w:p w14:paraId="46D8B09A" w14:textId="77777777" w:rsidR="00DA70E6" w:rsidRPr="00DA70E6" w:rsidRDefault="00DA70E6" w:rsidP="00DA70E6">
      <w:pPr>
        <w:tabs>
          <w:tab w:val="left" w:pos="0"/>
        </w:tabs>
      </w:pPr>
    </w:p>
    <w:p w14:paraId="01FBDDB7" w14:textId="77777777" w:rsidR="00DA70E6" w:rsidRPr="00BA00AB" w:rsidRDefault="00DA70E6" w:rsidP="00DA70E6">
      <w:pPr>
        <w:tabs>
          <w:tab w:val="left" w:pos="0"/>
        </w:tabs>
      </w:pPr>
      <w:r w:rsidRPr="00DA70E6">
        <w:rPr>
          <w:b/>
        </w:rPr>
        <w:t>Taip pat svarbu pasakyti savo gydytojui,</w:t>
      </w:r>
      <w:r w:rsidRPr="00DA70E6">
        <w:t xml:space="preserve"> jeigu gydymui nuo </w:t>
      </w:r>
      <w:r w:rsidRPr="00BA00AB">
        <w:t>hepatito C infekcijos vartojate ledipasviro</w:t>
      </w:r>
      <w:r w:rsidR="00D4754D" w:rsidRPr="00BA00AB">
        <w:t xml:space="preserve"> </w:t>
      </w:r>
      <w:r w:rsidRPr="00613B1F">
        <w:t>/ sofosbuviro</w:t>
      </w:r>
      <w:r w:rsidR="00D4754D" w:rsidRPr="00613B1F">
        <w:t>,</w:t>
      </w:r>
      <w:r w:rsidRPr="00613B1F">
        <w:t xml:space="preserve"> sofosbuviro</w:t>
      </w:r>
      <w:r w:rsidR="00D4754D" w:rsidRPr="00613B1F">
        <w:t xml:space="preserve"> </w:t>
      </w:r>
      <w:r w:rsidRPr="00613B1F">
        <w:t>/</w:t>
      </w:r>
      <w:r w:rsidR="00D4754D" w:rsidRPr="00613B1F">
        <w:t xml:space="preserve"> </w:t>
      </w:r>
      <w:r w:rsidRPr="005C0E81">
        <w:t>velpatasviro</w:t>
      </w:r>
      <w:r w:rsidR="00D4754D" w:rsidRPr="005C0E81">
        <w:t xml:space="preserve"> ar sofosbuviro / velpatasviro / voksilapreviro</w:t>
      </w:r>
      <w:r w:rsidRPr="005C0E81">
        <w:t>.</w:t>
      </w:r>
      <w:r w:rsidRPr="00BA00AB">
        <w:t xml:space="preserve"> </w:t>
      </w:r>
    </w:p>
    <w:p w14:paraId="367559D2" w14:textId="77777777" w:rsidR="00DA70E6" w:rsidRPr="00613B1F" w:rsidRDefault="00DA70E6" w:rsidP="00DA70E6">
      <w:pPr>
        <w:tabs>
          <w:tab w:val="left" w:pos="567"/>
        </w:tabs>
        <w:ind w:left="567" w:hanging="567"/>
      </w:pPr>
    </w:p>
    <w:p w14:paraId="4F03AACD" w14:textId="77777777" w:rsidR="00DA70E6" w:rsidRPr="00DA70E6" w:rsidRDefault="00DA70E6" w:rsidP="00DA70E6">
      <w:pPr>
        <w:tabs>
          <w:tab w:val="left" w:pos="0"/>
        </w:tabs>
      </w:pPr>
      <w:r w:rsidRPr="00613B1F">
        <w:rPr>
          <w:b/>
        </w:rPr>
        <w:t>Emtricitabine/Tenofovir disoproxil Sandoz vartojimas kartu su kitais vaistais, kurių sudėtyje yra didanozino (gydymui nuo ŽIV infekcijos)</w:t>
      </w:r>
      <w:r w:rsidRPr="00613B1F">
        <w:t>: vartojant Emtricitabine/Tenofovir disoproxil</w:t>
      </w:r>
      <w:r w:rsidRPr="00DA70E6">
        <w:t xml:space="preserve"> Sandoz kartu su kitais antivirusiniais vaistais, kurių sudėtyje yra didanozino, gali padidėti didanozino kiekis Jūsų kraujyje ir sumažėti CD4 ląstelių skaičius. Retai buvo pranešta apie kasos uždegimo ir laktatacidozės (pieno rūgšties kiekio padidėjimo kraujyje) atvejus, retkarčiais pasibaigusius mirtimi, kartu vartojant vaistų, kurių sudėtyje yra tenofoviro dizoproksilio ir didanozino. Jūsų gydytojas rūpestingai apsvarstys, ar Jus gydyti tenofoviro ir didanozino deriniais.</w:t>
      </w:r>
    </w:p>
    <w:p w14:paraId="5ABC5F53" w14:textId="77777777" w:rsidR="00DA70E6" w:rsidRPr="00DA70E6" w:rsidRDefault="00DA70E6" w:rsidP="00DA70E6">
      <w:pPr>
        <w:tabs>
          <w:tab w:val="left" w:pos="0"/>
        </w:tabs>
      </w:pPr>
    </w:p>
    <w:p w14:paraId="07A1DFBA" w14:textId="77777777" w:rsidR="00DA70E6" w:rsidRPr="00DA70E6" w:rsidRDefault="00DA70E6" w:rsidP="00DA70E6">
      <w:pPr>
        <w:numPr>
          <w:ilvl w:val="0"/>
          <w:numId w:val="41"/>
        </w:numPr>
        <w:tabs>
          <w:tab w:val="left" w:pos="0"/>
        </w:tabs>
      </w:pPr>
      <w:r w:rsidRPr="00DA70E6">
        <w:rPr>
          <w:b/>
        </w:rPr>
        <w:t>Pasakykite savo gydytojui,</w:t>
      </w:r>
      <w:r w:rsidRPr="00DA70E6">
        <w:t xml:space="preserve"> jei vartojate bet kurio iš minėtų vaistų. Jeigu vartojate ar neseniai vartojote kitų vaistų arba dėl to nesate tikri, apie tai pasakykite gydytojui arba vaistininkui.</w:t>
      </w:r>
    </w:p>
    <w:p w14:paraId="68109D9D" w14:textId="77777777" w:rsidR="00DA70E6" w:rsidRPr="00DA70E6" w:rsidRDefault="00DA70E6" w:rsidP="00DA70E6">
      <w:pPr>
        <w:tabs>
          <w:tab w:val="left" w:pos="567"/>
        </w:tabs>
        <w:ind w:left="567" w:hanging="567"/>
      </w:pPr>
    </w:p>
    <w:p w14:paraId="607B6EF8" w14:textId="77777777" w:rsidR="00DA70E6" w:rsidRPr="00DA70E6" w:rsidRDefault="00DA70E6" w:rsidP="00DA70E6">
      <w:pPr>
        <w:tabs>
          <w:tab w:val="left" w:pos="567"/>
        </w:tabs>
        <w:ind w:left="567" w:hanging="567"/>
        <w:rPr>
          <w:b/>
        </w:rPr>
      </w:pPr>
      <w:r w:rsidRPr="00DA70E6">
        <w:rPr>
          <w:b/>
        </w:rPr>
        <w:t>Emtricitabine/Tenofovir disoproxil Sandoz vartojimas su maistu ir gėrimais</w:t>
      </w:r>
    </w:p>
    <w:p w14:paraId="7A5CFF40" w14:textId="77777777" w:rsidR="00DA70E6" w:rsidRPr="00DA70E6" w:rsidRDefault="00DA70E6" w:rsidP="00DA70E6">
      <w:pPr>
        <w:tabs>
          <w:tab w:val="left" w:pos="567"/>
        </w:tabs>
        <w:ind w:left="567" w:hanging="567"/>
      </w:pPr>
    </w:p>
    <w:p w14:paraId="5CB92E50" w14:textId="77777777" w:rsidR="00DA70E6" w:rsidRPr="00DA70E6" w:rsidRDefault="00DA70E6" w:rsidP="00DA70E6">
      <w:pPr>
        <w:numPr>
          <w:ilvl w:val="0"/>
          <w:numId w:val="40"/>
        </w:numPr>
        <w:tabs>
          <w:tab w:val="left" w:pos="567"/>
        </w:tabs>
        <w:ind w:left="567" w:hanging="567"/>
      </w:pPr>
      <w:r w:rsidRPr="00DA70E6">
        <w:t>Jeigu įmanoma, Emtricitabine/Tenofovir disoproxil Sandoz turi būti vartojamas su maistu.</w:t>
      </w:r>
    </w:p>
    <w:p w14:paraId="47329AD7" w14:textId="77777777" w:rsidR="00DA70E6" w:rsidRPr="00DA70E6" w:rsidRDefault="00DA70E6" w:rsidP="00DA70E6">
      <w:pPr>
        <w:tabs>
          <w:tab w:val="left" w:pos="567"/>
        </w:tabs>
        <w:ind w:left="567" w:hanging="567"/>
      </w:pPr>
    </w:p>
    <w:p w14:paraId="7B6AF388" w14:textId="77777777" w:rsidR="00DA70E6" w:rsidRPr="00DA70E6" w:rsidRDefault="00DA70E6" w:rsidP="00DA70E6">
      <w:pPr>
        <w:tabs>
          <w:tab w:val="left" w:pos="567"/>
        </w:tabs>
        <w:ind w:left="567" w:hanging="567"/>
        <w:rPr>
          <w:b/>
        </w:rPr>
      </w:pPr>
      <w:r w:rsidRPr="00DA70E6">
        <w:rPr>
          <w:b/>
        </w:rPr>
        <w:t>Nėštumas ir žindymo laikotarpis</w:t>
      </w:r>
    </w:p>
    <w:p w14:paraId="510DA8E8" w14:textId="77777777" w:rsidR="00DA70E6" w:rsidRPr="00DA70E6" w:rsidRDefault="00DA70E6" w:rsidP="00DA70E6">
      <w:pPr>
        <w:tabs>
          <w:tab w:val="left" w:pos="567"/>
        </w:tabs>
        <w:ind w:left="567" w:hanging="567"/>
      </w:pPr>
    </w:p>
    <w:p w14:paraId="1415B9E8" w14:textId="77777777" w:rsidR="00DA70E6" w:rsidRPr="00DA70E6" w:rsidRDefault="00DA70E6" w:rsidP="00DA70E6">
      <w:pPr>
        <w:tabs>
          <w:tab w:val="left" w:pos="0"/>
        </w:tabs>
      </w:pPr>
      <w:r w:rsidRPr="00DA70E6">
        <w:t>Jeigu esate nėščia, žindote kūdikį, manote, kad galbūt esate nėščia arba planuojate pastoti, tai prieš vartodama šį vaistą pasitarkite su gydytoju arba vaistininku.</w:t>
      </w:r>
    </w:p>
    <w:p w14:paraId="1CA4B2A7" w14:textId="77777777" w:rsidR="00DA70E6" w:rsidRPr="00DA70E6" w:rsidRDefault="00DA70E6" w:rsidP="00DA70E6">
      <w:pPr>
        <w:tabs>
          <w:tab w:val="left" w:pos="567"/>
        </w:tabs>
        <w:ind w:left="567" w:hanging="567"/>
      </w:pPr>
    </w:p>
    <w:p w14:paraId="7566608B" w14:textId="77777777" w:rsidR="00DA70E6" w:rsidRPr="00DA70E6" w:rsidRDefault="00DA70E6" w:rsidP="00DA70E6">
      <w:pPr>
        <w:tabs>
          <w:tab w:val="left" w:pos="0"/>
        </w:tabs>
      </w:pPr>
      <w:r w:rsidRPr="00DA70E6">
        <w:t>Jeigu Emtricitabine/Tenofovir disoproxil Sandoz vartojote nėštumo metu, gydytojas gali prašyti reguliariai atlikti kraujo ir kitokius diagnostinius tyrimus, kad galėtų stebėti Jūsų vaiko vystymąsi. Vaikams, kurių motinos nėštumo metu vartojo NATI, apsaugos nuo ŽIV nauda yra didesnė už galimą šalutinio poveikio pavojų.</w:t>
      </w:r>
    </w:p>
    <w:p w14:paraId="7392B751" w14:textId="77777777" w:rsidR="00DA70E6" w:rsidRPr="00DA70E6" w:rsidRDefault="00DA70E6" w:rsidP="00DA70E6">
      <w:pPr>
        <w:tabs>
          <w:tab w:val="left" w:pos="0"/>
        </w:tabs>
      </w:pPr>
    </w:p>
    <w:p w14:paraId="74A39484" w14:textId="6B257CEB" w:rsidR="00EF0421" w:rsidRPr="00A0725F" w:rsidRDefault="00EF0421" w:rsidP="00EF0421">
      <w:pPr>
        <w:autoSpaceDE w:val="0"/>
        <w:autoSpaceDN w:val="0"/>
        <w:adjustRightInd w:val="0"/>
        <w:rPr>
          <w:szCs w:val="22"/>
          <w:lang w:val="pt-PT" w:eastAsia="en-US"/>
        </w:rPr>
      </w:pPr>
      <w:r w:rsidRPr="00A0725F">
        <w:rPr>
          <w:rFonts w:ascii="SymbolMT" w:hAnsi="SymbolMT" w:cs="SymbolMT"/>
          <w:szCs w:val="22"/>
          <w:lang w:val="pt-PT" w:eastAsia="en-US"/>
        </w:rPr>
        <w:t xml:space="preserve">• </w:t>
      </w:r>
      <w:r w:rsidRPr="00F82CB1">
        <w:t xml:space="preserve">Emtricitabine/Tenofovir disoproxil Sandoz </w:t>
      </w:r>
      <w:r w:rsidRPr="00A0725F">
        <w:rPr>
          <w:b/>
          <w:bCs/>
          <w:szCs w:val="22"/>
          <w:lang w:val="pt-PT" w:eastAsia="en-US"/>
        </w:rPr>
        <w:t xml:space="preserve">gydomoms moterims negalima žindyti. </w:t>
      </w:r>
      <w:r w:rsidRPr="00A0725F">
        <w:rPr>
          <w:szCs w:val="22"/>
          <w:lang w:val="pt-PT" w:eastAsia="en-US"/>
        </w:rPr>
        <w:t>Tai būtina dėl to, kad veikliosios šio vaisto medžiagos patenka į moters pieną.</w:t>
      </w:r>
    </w:p>
    <w:p w14:paraId="42858A35" w14:textId="77777777" w:rsidR="00EF0421" w:rsidRPr="00A0725F" w:rsidRDefault="00EF0421" w:rsidP="00EF0421">
      <w:pPr>
        <w:autoSpaceDE w:val="0"/>
        <w:autoSpaceDN w:val="0"/>
        <w:adjustRightInd w:val="0"/>
        <w:rPr>
          <w:szCs w:val="22"/>
          <w:lang w:val="pt-PT" w:eastAsia="en-US"/>
        </w:rPr>
      </w:pPr>
      <w:r w:rsidRPr="00A0725F">
        <w:rPr>
          <w:szCs w:val="22"/>
          <w:lang w:val="pt-PT" w:eastAsia="en-US"/>
        </w:rPr>
        <w:t>• Žindyti nerekomenduojama ŽIV infekuotoms moterims, nes per motinos pieną kūdikis gali</w:t>
      </w:r>
    </w:p>
    <w:p w14:paraId="1813EFA5" w14:textId="77777777" w:rsidR="00EF0421" w:rsidRPr="00A0725F" w:rsidRDefault="00EF0421" w:rsidP="00EF0421">
      <w:pPr>
        <w:autoSpaceDE w:val="0"/>
        <w:autoSpaceDN w:val="0"/>
        <w:adjustRightInd w:val="0"/>
        <w:rPr>
          <w:szCs w:val="22"/>
          <w:lang w:val="pt-PT" w:eastAsia="en-US"/>
        </w:rPr>
      </w:pPr>
      <w:r w:rsidRPr="00A0725F">
        <w:rPr>
          <w:szCs w:val="22"/>
          <w:lang w:val="pt-PT" w:eastAsia="en-US"/>
        </w:rPr>
        <w:t>užsikrėsti ŽIV.</w:t>
      </w:r>
    </w:p>
    <w:p w14:paraId="015ACFC4" w14:textId="74A19A83" w:rsidR="00E21FE8" w:rsidRDefault="00EF0421" w:rsidP="00EF0421">
      <w:pPr>
        <w:pStyle w:val="Default"/>
      </w:pPr>
      <w:r w:rsidRPr="00A0725F">
        <w:rPr>
          <w:rFonts w:ascii="SymbolMT" w:hAnsi="SymbolMT" w:cs="SymbolMT"/>
          <w:szCs w:val="22"/>
          <w:lang w:val="pt-PT" w:eastAsia="en-US"/>
        </w:rPr>
        <w:t xml:space="preserve">• </w:t>
      </w:r>
      <w:r w:rsidRPr="00A0725F">
        <w:rPr>
          <w:sz w:val="22"/>
          <w:szCs w:val="22"/>
          <w:lang w:val="pt-PT" w:eastAsia="en-US"/>
        </w:rPr>
        <w:t>Jeigu žindote arba svarstote galimybę žindyti</w:t>
      </w:r>
      <w:r w:rsidRPr="00A0725F">
        <w:rPr>
          <w:b/>
          <w:bCs/>
          <w:sz w:val="22"/>
          <w:szCs w:val="22"/>
          <w:lang w:val="pt-PT" w:eastAsia="en-US"/>
        </w:rPr>
        <w:t xml:space="preserve">, turite kuo greičiau pasitarti </w:t>
      </w:r>
      <w:r w:rsidRPr="00A0725F">
        <w:rPr>
          <w:sz w:val="22"/>
          <w:szCs w:val="22"/>
          <w:lang w:val="pt-PT" w:eastAsia="en-US"/>
        </w:rPr>
        <w:t>su gydytoju</w:t>
      </w:r>
      <w:r w:rsidR="00F82CB1" w:rsidRPr="00A0725F">
        <w:rPr>
          <w:sz w:val="22"/>
          <w:szCs w:val="22"/>
          <w:lang w:val="pt-PT" w:eastAsia="en-US"/>
        </w:rPr>
        <w:t>.</w:t>
      </w:r>
    </w:p>
    <w:p w14:paraId="479FCE68" w14:textId="77777777" w:rsidR="00DA70E6" w:rsidRPr="00DA70E6" w:rsidRDefault="00DA70E6" w:rsidP="00DA70E6">
      <w:pPr>
        <w:tabs>
          <w:tab w:val="left" w:pos="567"/>
        </w:tabs>
        <w:ind w:left="567" w:hanging="567"/>
      </w:pPr>
    </w:p>
    <w:p w14:paraId="503ABFB4" w14:textId="77777777" w:rsidR="00E21FE8" w:rsidRPr="00452706" w:rsidRDefault="00E21FE8" w:rsidP="00A0725F">
      <w:pPr>
        <w:pStyle w:val="Default"/>
        <w:numPr>
          <w:ilvl w:val="0"/>
          <w:numId w:val="40"/>
        </w:numPr>
        <w:rPr>
          <w:color w:val="auto"/>
          <w:sz w:val="22"/>
          <w:szCs w:val="20"/>
          <w:lang w:val="lt-LT" w:eastAsia="lt-LT"/>
        </w:rPr>
      </w:pPr>
    </w:p>
    <w:p w14:paraId="5413D762" w14:textId="77777777" w:rsidR="00DA70E6" w:rsidRPr="00DA70E6" w:rsidRDefault="00DA70E6" w:rsidP="00DA70E6">
      <w:pPr>
        <w:tabs>
          <w:tab w:val="left" w:pos="567"/>
        </w:tabs>
        <w:ind w:left="567" w:hanging="567"/>
        <w:rPr>
          <w:b/>
        </w:rPr>
      </w:pPr>
      <w:r w:rsidRPr="00DA70E6">
        <w:rPr>
          <w:b/>
        </w:rPr>
        <w:t>Vairavimas ir mechanizmų valdymas</w:t>
      </w:r>
    </w:p>
    <w:p w14:paraId="183AC051" w14:textId="77777777" w:rsidR="00DA70E6" w:rsidRPr="00DA70E6" w:rsidRDefault="00DA70E6" w:rsidP="00DA70E6">
      <w:pPr>
        <w:tabs>
          <w:tab w:val="left" w:pos="567"/>
        </w:tabs>
        <w:ind w:left="567" w:hanging="567"/>
      </w:pPr>
    </w:p>
    <w:p w14:paraId="20F0A49E" w14:textId="77777777" w:rsidR="00DA70E6" w:rsidRPr="00DA70E6" w:rsidRDefault="00DA70E6" w:rsidP="00DA70E6">
      <w:pPr>
        <w:tabs>
          <w:tab w:val="left" w:pos="0"/>
        </w:tabs>
      </w:pPr>
      <w:r w:rsidRPr="00DA70E6">
        <w:t xml:space="preserve">Emtricitabino ir tenofoviro dizoproksilio derinys gali sukelti galvos svaigulį. Jeigu vartojant Emtricitabine/Tenofovir disoproxil Sandoz Jums svaigsta galva, </w:t>
      </w:r>
      <w:r w:rsidRPr="00DA70E6">
        <w:rPr>
          <w:b/>
        </w:rPr>
        <w:t>negalima vairuoti</w:t>
      </w:r>
      <w:r w:rsidRPr="00DA70E6">
        <w:t xml:space="preserve"> ir valdyti bet kokių staklių ar mechanizmų.</w:t>
      </w:r>
    </w:p>
    <w:p w14:paraId="4AE7F5EC" w14:textId="77777777" w:rsidR="00DA70E6" w:rsidRPr="00DA70E6" w:rsidRDefault="00DA70E6" w:rsidP="00DA70E6">
      <w:pPr>
        <w:tabs>
          <w:tab w:val="left" w:pos="567"/>
        </w:tabs>
        <w:ind w:left="567" w:hanging="567"/>
      </w:pPr>
    </w:p>
    <w:p w14:paraId="3FD2453D" w14:textId="77777777" w:rsidR="00DA70E6" w:rsidRPr="00DA70E6" w:rsidRDefault="00DA70E6" w:rsidP="00DA70E6">
      <w:pPr>
        <w:tabs>
          <w:tab w:val="left" w:pos="567"/>
        </w:tabs>
        <w:ind w:left="567" w:hanging="567"/>
        <w:rPr>
          <w:b/>
        </w:rPr>
      </w:pPr>
      <w:r w:rsidRPr="00DA70E6">
        <w:rPr>
          <w:b/>
        </w:rPr>
        <w:t>Emtricitabine/Tenofovir disoproxil Sandoz sudėtyje yra laktozės</w:t>
      </w:r>
      <w:r w:rsidR="007E428A">
        <w:rPr>
          <w:b/>
        </w:rPr>
        <w:t xml:space="preserve"> ir natrio</w:t>
      </w:r>
    </w:p>
    <w:p w14:paraId="06D066D1" w14:textId="648F9351" w:rsidR="00DA70E6" w:rsidRPr="00BA00AB" w:rsidRDefault="001A0661" w:rsidP="007727FA">
      <w:pPr>
        <w:pStyle w:val="Default"/>
      </w:pPr>
      <w:r w:rsidRPr="00C21B99">
        <w:rPr>
          <w:bCs/>
          <w:sz w:val="22"/>
          <w:szCs w:val="22"/>
          <w:lang w:val="lt-LT"/>
        </w:rPr>
        <w:t>Jeigu gydytojas Jums yra sakęs, kad netoleruojate kokių nors angliavandenių, kreipkitės į jį, prieš pradėdami vartoti šį vaistą.</w:t>
      </w:r>
    </w:p>
    <w:p w14:paraId="53C5DC92" w14:textId="35D698E0" w:rsidR="00D4754D" w:rsidRPr="00BA00AB" w:rsidRDefault="00D4754D" w:rsidP="00D4754D">
      <w:r w:rsidRPr="005C0E81">
        <w:t>Šio vaisto tabletėje yra mažiau kaip 1</w:t>
      </w:r>
      <w:r w:rsidR="00D80526">
        <w:t> </w:t>
      </w:r>
      <w:r w:rsidRPr="005C0E81">
        <w:t>mmol (23</w:t>
      </w:r>
      <w:r w:rsidR="00D80526">
        <w:t> </w:t>
      </w:r>
      <w:r w:rsidRPr="005C0E81">
        <w:t>mg) natrio, t.y. jis beveik neturi reikšmės.</w:t>
      </w:r>
    </w:p>
    <w:p w14:paraId="68ABB06E" w14:textId="77777777" w:rsidR="00DA70E6" w:rsidRPr="00613B1F" w:rsidRDefault="00DA70E6" w:rsidP="00DA70E6">
      <w:pPr>
        <w:tabs>
          <w:tab w:val="left" w:pos="567"/>
        </w:tabs>
        <w:ind w:left="567" w:hanging="567"/>
      </w:pPr>
    </w:p>
    <w:p w14:paraId="1D9C56F6" w14:textId="77777777" w:rsidR="00DA70E6" w:rsidRPr="00613B1F" w:rsidRDefault="00DA70E6" w:rsidP="00DA70E6">
      <w:pPr>
        <w:tabs>
          <w:tab w:val="left" w:pos="567"/>
        </w:tabs>
        <w:ind w:left="567" w:hanging="567"/>
      </w:pPr>
    </w:p>
    <w:p w14:paraId="11C0DD88" w14:textId="77777777" w:rsidR="00DA70E6" w:rsidRPr="00DA70E6" w:rsidRDefault="00DA70E6" w:rsidP="00DA70E6">
      <w:pPr>
        <w:tabs>
          <w:tab w:val="left" w:pos="567"/>
        </w:tabs>
        <w:ind w:left="567" w:hanging="567"/>
        <w:rPr>
          <w:b/>
        </w:rPr>
      </w:pPr>
      <w:r w:rsidRPr="00613B1F">
        <w:rPr>
          <w:b/>
        </w:rPr>
        <w:t>3.</w:t>
      </w:r>
      <w:r w:rsidRPr="00613B1F">
        <w:rPr>
          <w:b/>
        </w:rPr>
        <w:tab/>
        <w:t>Kaip vartoti Emtricitabine/Tenofovir disoproxil Sandoz</w:t>
      </w:r>
    </w:p>
    <w:p w14:paraId="2EFF6CCB" w14:textId="77777777" w:rsidR="00DA70E6" w:rsidRPr="00DA70E6" w:rsidRDefault="00DA70E6" w:rsidP="00DA70E6">
      <w:pPr>
        <w:tabs>
          <w:tab w:val="left" w:pos="567"/>
        </w:tabs>
        <w:ind w:left="567" w:hanging="567"/>
      </w:pPr>
    </w:p>
    <w:p w14:paraId="17FD7F0A" w14:textId="04BCB69E" w:rsidR="00DA70E6" w:rsidRPr="00DA70E6" w:rsidRDefault="00DA70E6" w:rsidP="00DA70E6">
      <w:pPr>
        <w:numPr>
          <w:ilvl w:val="0"/>
          <w:numId w:val="40"/>
        </w:numPr>
        <w:tabs>
          <w:tab w:val="left" w:pos="567"/>
        </w:tabs>
        <w:ind w:left="567" w:hanging="567"/>
      </w:pPr>
      <w:r w:rsidRPr="00DA70E6">
        <w:rPr>
          <w:b/>
        </w:rPr>
        <w:t>Visada vartokite šį vaistą tiksliai</w:t>
      </w:r>
      <w:r w:rsidR="009150E2">
        <w:rPr>
          <w:b/>
        </w:rPr>
        <w:t>,</w:t>
      </w:r>
      <w:r w:rsidRPr="00DA70E6">
        <w:rPr>
          <w:b/>
        </w:rPr>
        <w:t xml:space="preserve"> kaip nurodė gydytojas</w:t>
      </w:r>
      <w:r w:rsidRPr="00DA70E6">
        <w:t>. Jeigu abejojate, kreipkitės į gydytoją arba vaistininką.</w:t>
      </w:r>
    </w:p>
    <w:p w14:paraId="72FF6D8F" w14:textId="77777777" w:rsidR="00DA70E6" w:rsidRPr="00DA70E6" w:rsidRDefault="00DA70E6" w:rsidP="00DA70E6">
      <w:pPr>
        <w:tabs>
          <w:tab w:val="left" w:pos="567"/>
        </w:tabs>
        <w:ind w:left="567" w:hanging="567"/>
      </w:pPr>
    </w:p>
    <w:p w14:paraId="4C1AF95D" w14:textId="77777777" w:rsidR="00DA70E6" w:rsidRPr="00DA70E6" w:rsidRDefault="00DA70E6" w:rsidP="00DA70E6">
      <w:pPr>
        <w:autoSpaceDE w:val="0"/>
        <w:autoSpaceDN w:val="0"/>
        <w:adjustRightInd w:val="0"/>
      </w:pPr>
      <w:r w:rsidRPr="00DA70E6">
        <w:rPr>
          <w:b/>
          <w:color w:val="000000"/>
        </w:rPr>
        <w:t xml:space="preserve">Rekomenduojama Emtricitabine/Tenofovir disoproxil Sandoz dozė gydymui nuo ŽIV </w:t>
      </w:r>
      <w:r w:rsidRPr="00DA70E6">
        <w:rPr>
          <w:b/>
          <w:color w:val="000000"/>
          <w:szCs w:val="24"/>
          <w:lang w:eastAsia="sl-SI"/>
        </w:rPr>
        <w:t>yra:</w:t>
      </w:r>
      <w:r w:rsidRPr="00DA70E6">
        <w:rPr>
          <w:b/>
          <w:color w:val="000000"/>
        </w:rPr>
        <w:t xml:space="preserve"> </w:t>
      </w:r>
    </w:p>
    <w:p w14:paraId="41DD4CB6" w14:textId="77777777" w:rsidR="00DA70E6" w:rsidRPr="00DA70E6" w:rsidRDefault="00DA70E6" w:rsidP="00DA70E6">
      <w:pPr>
        <w:autoSpaceDE w:val="0"/>
        <w:autoSpaceDN w:val="0"/>
        <w:adjustRightInd w:val="0"/>
      </w:pPr>
    </w:p>
    <w:p w14:paraId="61D4B97B" w14:textId="77777777" w:rsidR="00DA70E6" w:rsidRPr="00DA70E6" w:rsidRDefault="00DA70E6" w:rsidP="00DA70E6">
      <w:pPr>
        <w:numPr>
          <w:ilvl w:val="0"/>
          <w:numId w:val="40"/>
        </w:numPr>
        <w:autoSpaceDE w:val="0"/>
        <w:autoSpaceDN w:val="0"/>
        <w:adjustRightInd w:val="0"/>
        <w:ind w:left="567" w:hanging="567"/>
      </w:pPr>
      <w:r w:rsidRPr="00DA70E6">
        <w:rPr>
          <w:b/>
          <w:color w:val="000000"/>
        </w:rPr>
        <w:t xml:space="preserve">Suaugusiesiems: </w:t>
      </w:r>
      <w:r w:rsidRPr="00DA70E6">
        <w:rPr>
          <w:color w:val="000000"/>
        </w:rPr>
        <w:t>po vieną tabletę kiekvieną parą</w:t>
      </w:r>
      <w:r w:rsidR="00392D2E">
        <w:rPr>
          <w:color w:val="000000"/>
        </w:rPr>
        <w:t>, jeigu įmanoma, su maistu</w:t>
      </w:r>
      <w:r w:rsidRPr="00DA70E6">
        <w:rPr>
          <w:color w:val="000000"/>
        </w:rPr>
        <w:t xml:space="preserve">. </w:t>
      </w:r>
    </w:p>
    <w:p w14:paraId="38DC9BF2" w14:textId="77777777" w:rsidR="00DA70E6" w:rsidRPr="00DA70E6" w:rsidRDefault="00DA70E6" w:rsidP="00DA70E6">
      <w:pPr>
        <w:numPr>
          <w:ilvl w:val="0"/>
          <w:numId w:val="40"/>
        </w:numPr>
        <w:autoSpaceDE w:val="0"/>
        <w:autoSpaceDN w:val="0"/>
        <w:adjustRightInd w:val="0"/>
        <w:ind w:left="567" w:hanging="567"/>
        <w:rPr>
          <w:color w:val="000000"/>
          <w:szCs w:val="22"/>
          <w:lang w:eastAsia="sl-SI"/>
        </w:rPr>
      </w:pPr>
      <w:r w:rsidRPr="00DA70E6">
        <w:rPr>
          <w:b/>
          <w:color w:val="000000"/>
          <w:szCs w:val="22"/>
          <w:lang w:eastAsia="sl-SI"/>
        </w:rPr>
        <w:t>Nuo 12 iki mažiau kaip 18 metų paaugliams, sveriantiems ne mažiau kaip 35 kg:</w:t>
      </w:r>
      <w:r w:rsidRPr="00DA70E6">
        <w:rPr>
          <w:color w:val="000000"/>
          <w:szCs w:val="22"/>
          <w:lang w:eastAsia="sl-SI"/>
        </w:rPr>
        <w:t xml:space="preserve"> po vieną tabletę per parą, jeigu įmanoma, su maistu.</w:t>
      </w:r>
    </w:p>
    <w:p w14:paraId="02575AD9" w14:textId="77777777" w:rsidR="00DA70E6" w:rsidRPr="00DA70E6" w:rsidRDefault="00DA70E6" w:rsidP="00DA70E6">
      <w:pPr>
        <w:autoSpaceDE w:val="0"/>
        <w:autoSpaceDN w:val="0"/>
        <w:adjustRightInd w:val="0"/>
        <w:rPr>
          <w:i/>
          <w:color w:val="000000"/>
          <w:szCs w:val="22"/>
          <w:lang w:eastAsia="sl-SI"/>
        </w:rPr>
      </w:pPr>
    </w:p>
    <w:p w14:paraId="6C44F8B1" w14:textId="77777777" w:rsidR="00DA70E6" w:rsidRPr="00DA70E6" w:rsidRDefault="00DA70E6" w:rsidP="00DA70E6">
      <w:pPr>
        <w:autoSpaceDE w:val="0"/>
        <w:autoSpaceDN w:val="0"/>
        <w:adjustRightInd w:val="0"/>
        <w:rPr>
          <w:b/>
          <w:color w:val="000000"/>
          <w:szCs w:val="22"/>
          <w:lang w:eastAsia="sl-SI"/>
        </w:rPr>
      </w:pPr>
      <w:r w:rsidRPr="00DA70E6">
        <w:rPr>
          <w:b/>
          <w:color w:val="000000"/>
          <w:szCs w:val="22"/>
          <w:lang w:eastAsia="sl-SI"/>
        </w:rPr>
        <w:t>Rekomenduojama Emtricitabine/Tenofovir disoproxil Sandoz dozė užsikrėtimo ŽIV rizikai sumažinti yra:</w:t>
      </w:r>
    </w:p>
    <w:p w14:paraId="2D05918B" w14:textId="77777777" w:rsidR="00DA70E6" w:rsidRPr="00613B1F" w:rsidRDefault="00DA70E6" w:rsidP="00DA70E6">
      <w:pPr>
        <w:numPr>
          <w:ilvl w:val="0"/>
          <w:numId w:val="44"/>
        </w:numPr>
        <w:autoSpaceDE w:val="0"/>
        <w:autoSpaceDN w:val="0"/>
        <w:adjustRightInd w:val="0"/>
        <w:ind w:left="567" w:hanging="567"/>
        <w:rPr>
          <w:color w:val="000000"/>
          <w:szCs w:val="22"/>
          <w:lang w:eastAsia="sl-SI"/>
        </w:rPr>
      </w:pPr>
      <w:r w:rsidRPr="00613B1F">
        <w:rPr>
          <w:b/>
          <w:color w:val="000000"/>
        </w:rPr>
        <w:t>Suaugusiesiems:</w:t>
      </w:r>
      <w:r w:rsidRPr="00DA70E6">
        <w:rPr>
          <w:color w:val="000000"/>
          <w:szCs w:val="22"/>
          <w:lang w:eastAsia="sl-SI"/>
        </w:rPr>
        <w:t xml:space="preserve"> po vieną </w:t>
      </w:r>
      <w:r w:rsidRPr="00BA00AB">
        <w:rPr>
          <w:color w:val="000000"/>
          <w:szCs w:val="22"/>
          <w:lang w:eastAsia="sl-SI"/>
        </w:rPr>
        <w:t>tabletę per parą, jeigu įmanoma, su maistu.</w:t>
      </w:r>
    </w:p>
    <w:p w14:paraId="49AD59FC" w14:textId="77777777" w:rsidR="00392D2E" w:rsidRPr="005C0E81" w:rsidRDefault="00392D2E" w:rsidP="00DA70E6">
      <w:pPr>
        <w:numPr>
          <w:ilvl w:val="0"/>
          <w:numId w:val="44"/>
        </w:numPr>
        <w:autoSpaceDE w:val="0"/>
        <w:autoSpaceDN w:val="0"/>
        <w:adjustRightInd w:val="0"/>
        <w:ind w:left="567" w:hanging="567"/>
        <w:rPr>
          <w:color w:val="000000"/>
        </w:rPr>
      </w:pPr>
      <w:r w:rsidRPr="005C0E81">
        <w:rPr>
          <w:b/>
          <w:color w:val="000000"/>
        </w:rPr>
        <w:t>Nuo 12 iki mažiau kaip 18 metų paaugliams, sveriantiems ne mažiau kaip 35 kg:</w:t>
      </w:r>
      <w:r w:rsidRPr="005C0E81">
        <w:rPr>
          <w:color w:val="000000"/>
        </w:rPr>
        <w:t xml:space="preserve"> po vieną tabletę per parą, jeigu įmanoma, su maistu.</w:t>
      </w:r>
    </w:p>
    <w:p w14:paraId="1A62063F" w14:textId="77777777" w:rsidR="00DA70E6" w:rsidRPr="00BA00AB" w:rsidRDefault="00DA70E6" w:rsidP="00DA70E6">
      <w:pPr>
        <w:autoSpaceDE w:val="0"/>
        <w:autoSpaceDN w:val="0"/>
        <w:adjustRightInd w:val="0"/>
      </w:pPr>
    </w:p>
    <w:p w14:paraId="3D964F5E" w14:textId="77777777" w:rsidR="00DA70E6" w:rsidRPr="00DA70E6" w:rsidRDefault="00DA70E6" w:rsidP="00DA70E6">
      <w:pPr>
        <w:autoSpaceDE w:val="0"/>
        <w:autoSpaceDN w:val="0"/>
        <w:adjustRightInd w:val="0"/>
        <w:ind w:left="567"/>
      </w:pPr>
      <w:r w:rsidRPr="00613B1F">
        <w:rPr>
          <w:color w:val="000000"/>
        </w:rPr>
        <w:t>Jeigu Jums sunku nuryti, šaukšto galu galite atsargiai</w:t>
      </w:r>
      <w:r w:rsidRPr="00DA70E6">
        <w:rPr>
          <w:color w:val="000000"/>
        </w:rPr>
        <w:t xml:space="preserve"> sutraiškyti tabletę. Miltelius sumaišykite su maždaug 100 ml (puse stiklinės) vandens, apelsinų ar vynuogių sulčių ir nedelsdami išgerkite. </w:t>
      </w:r>
    </w:p>
    <w:p w14:paraId="4A6F90A1" w14:textId="77777777" w:rsidR="00DA70E6" w:rsidRPr="00DA70E6" w:rsidRDefault="00DA70E6" w:rsidP="00DA70E6">
      <w:pPr>
        <w:autoSpaceDE w:val="0"/>
        <w:autoSpaceDN w:val="0"/>
        <w:adjustRightInd w:val="0"/>
      </w:pPr>
    </w:p>
    <w:p w14:paraId="350C5545" w14:textId="77777777" w:rsidR="00DA70E6" w:rsidRPr="00DA70E6" w:rsidRDefault="00DA70E6" w:rsidP="00DA70E6">
      <w:pPr>
        <w:numPr>
          <w:ilvl w:val="0"/>
          <w:numId w:val="40"/>
        </w:numPr>
        <w:autoSpaceDE w:val="0"/>
        <w:autoSpaceDN w:val="0"/>
        <w:adjustRightInd w:val="0"/>
        <w:ind w:left="567" w:hanging="567"/>
      </w:pPr>
      <w:r w:rsidRPr="00DA70E6">
        <w:rPr>
          <w:b/>
          <w:color w:val="000000"/>
        </w:rPr>
        <w:t xml:space="preserve">Visada vartokite gydytojo rekomenduotą vaisto dozę. </w:t>
      </w:r>
      <w:r w:rsidRPr="00DA70E6">
        <w:rPr>
          <w:color w:val="000000"/>
        </w:rPr>
        <w:t xml:space="preserve">Taip bus užtikrinamas visiškas vaisto efektyvumas ir bus mažesnė atsparumo gydymui išsivystymo rizika. Nekeiskite dozės, nebent tai daryti nurodė Jūsų gydytojas. </w:t>
      </w:r>
    </w:p>
    <w:p w14:paraId="352FF74F" w14:textId="77777777" w:rsidR="00DA70E6" w:rsidRPr="00DA70E6" w:rsidRDefault="00DA70E6" w:rsidP="00DA70E6">
      <w:pPr>
        <w:autoSpaceDE w:val="0"/>
        <w:autoSpaceDN w:val="0"/>
        <w:adjustRightInd w:val="0"/>
      </w:pPr>
    </w:p>
    <w:p w14:paraId="0C2F50DE" w14:textId="77777777" w:rsidR="00DA70E6" w:rsidRPr="00DA70E6" w:rsidRDefault="00DA70E6" w:rsidP="00DA70E6">
      <w:pPr>
        <w:numPr>
          <w:ilvl w:val="0"/>
          <w:numId w:val="40"/>
        </w:numPr>
        <w:autoSpaceDE w:val="0"/>
        <w:autoSpaceDN w:val="0"/>
        <w:adjustRightInd w:val="0"/>
        <w:ind w:left="567" w:hanging="567"/>
      </w:pPr>
      <w:r w:rsidRPr="00DA70E6">
        <w:rPr>
          <w:b/>
          <w:color w:val="000000"/>
        </w:rPr>
        <w:t xml:space="preserve">Jeigu esate gydomas nuo ŽIV infekcijos, Jūsų </w:t>
      </w:r>
      <w:r w:rsidRPr="00DA70E6">
        <w:rPr>
          <w:color w:val="000000"/>
        </w:rPr>
        <w:t xml:space="preserve">gydytojas skirs Emtricitabine/Tenofovir disoproxil Sandoz kartu su kitais antiretrovirusiniais vaistais. Prašom perskaityti kitų antiretrovirusinių vaistų pakuočių lapelius, nes juose aptariama, kaip šių vaistų vartoti. </w:t>
      </w:r>
    </w:p>
    <w:p w14:paraId="0E3E0CD9" w14:textId="77777777" w:rsidR="00DA70E6" w:rsidRPr="00DA70E6" w:rsidRDefault="00DA70E6" w:rsidP="00DA70E6">
      <w:pPr>
        <w:autoSpaceDE w:val="0"/>
        <w:autoSpaceDN w:val="0"/>
        <w:adjustRightInd w:val="0"/>
      </w:pPr>
    </w:p>
    <w:p w14:paraId="7D7F9D25" w14:textId="5478AEB0" w:rsidR="00DA70E6" w:rsidRPr="00DA70E6" w:rsidRDefault="00DA70E6" w:rsidP="00DA70E6">
      <w:pPr>
        <w:numPr>
          <w:ilvl w:val="0"/>
          <w:numId w:val="42"/>
        </w:numPr>
        <w:autoSpaceDE w:val="0"/>
        <w:autoSpaceDN w:val="0"/>
        <w:adjustRightInd w:val="0"/>
      </w:pPr>
      <w:r w:rsidRPr="00DA70E6">
        <w:rPr>
          <w:b/>
          <w:color w:val="000000"/>
        </w:rPr>
        <w:t>Jeigu</w:t>
      </w:r>
      <w:r w:rsidRPr="00DA70E6">
        <w:rPr>
          <w:b/>
          <w:color w:val="000000"/>
          <w:szCs w:val="24"/>
          <w:lang w:eastAsia="sl-SI"/>
        </w:rPr>
        <w:t>vartoja</w:t>
      </w:r>
      <w:r w:rsidR="007E3E4E">
        <w:rPr>
          <w:b/>
          <w:color w:val="000000"/>
          <w:szCs w:val="24"/>
          <w:lang w:eastAsia="sl-SI"/>
        </w:rPr>
        <w:t>te</w:t>
      </w:r>
      <w:r w:rsidRPr="00DA70E6">
        <w:rPr>
          <w:b/>
          <w:color w:val="000000"/>
          <w:szCs w:val="24"/>
          <w:lang w:eastAsia="sl-SI"/>
        </w:rPr>
        <w:t xml:space="preserve"> </w:t>
      </w:r>
      <w:r w:rsidRPr="00DA70E6">
        <w:rPr>
          <w:b/>
          <w:color w:val="000000"/>
        </w:rPr>
        <w:t xml:space="preserve">Emtricitabine/Tenofovir disoproxil Sandoz užsikrėtimo ŽIV rizikai sumažinti, </w:t>
      </w:r>
      <w:r w:rsidRPr="00DA70E6">
        <w:rPr>
          <w:color w:val="000000"/>
          <w:szCs w:val="24"/>
          <w:lang w:eastAsia="sl-SI"/>
        </w:rPr>
        <w:t>gerkite</w:t>
      </w:r>
      <w:r w:rsidRPr="00DA70E6">
        <w:rPr>
          <w:color w:val="000000"/>
        </w:rPr>
        <w:t xml:space="preserve"> Emtricitabine/Tenofovir disoproxil Sandoz kasdien, o ne tik tada, kai manote, kad Jums buvo rizika užsikrėsti ŽIV. </w:t>
      </w:r>
    </w:p>
    <w:p w14:paraId="23BC9D1D" w14:textId="77777777" w:rsidR="00DA70E6" w:rsidRPr="00DA70E6" w:rsidRDefault="00DA70E6" w:rsidP="00DA70E6">
      <w:pPr>
        <w:autoSpaceDE w:val="0"/>
        <w:autoSpaceDN w:val="0"/>
        <w:adjustRightInd w:val="0"/>
      </w:pPr>
    </w:p>
    <w:p w14:paraId="15E42101" w14:textId="77777777" w:rsidR="00DA70E6" w:rsidRPr="00DA70E6" w:rsidRDefault="00DA70E6" w:rsidP="00DA70E6">
      <w:pPr>
        <w:autoSpaceDE w:val="0"/>
        <w:autoSpaceDN w:val="0"/>
        <w:adjustRightInd w:val="0"/>
      </w:pPr>
      <w:r w:rsidRPr="00DA70E6">
        <w:rPr>
          <w:color w:val="000000"/>
        </w:rPr>
        <w:t xml:space="preserve">Kreipkitės į savo gydytoją, jeigu turite bet kokių klausimų apie tai, kaip apsisaugoti nuo ŽIV ar užkirsti kelią ŽIV perdavimui kitiems žmonėms. </w:t>
      </w:r>
    </w:p>
    <w:p w14:paraId="6BD2D111" w14:textId="77777777" w:rsidR="00DA70E6" w:rsidRPr="00DA70E6" w:rsidRDefault="00DA70E6" w:rsidP="00DA70E6">
      <w:pPr>
        <w:autoSpaceDE w:val="0"/>
        <w:autoSpaceDN w:val="0"/>
        <w:adjustRightInd w:val="0"/>
        <w:rPr>
          <w:b/>
        </w:rPr>
      </w:pPr>
    </w:p>
    <w:p w14:paraId="11AB71BD" w14:textId="77777777" w:rsidR="00DA70E6" w:rsidRPr="00DA70E6" w:rsidRDefault="00DA70E6" w:rsidP="00DA70E6">
      <w:pPr>
        <w:autoSpaceDE w:val="0"/>
        <w:autoSpaceDN w:val="0"/>
        <w:adjustRightInd w:val="0"/>
      </w:pPr>
      <w:r w:rsidRPr="00DA70E6">
        <w:rPr>
          <w:b/>
          <w:color w:val="000000"/>
        </w:rPr>
        <w:t xml:space="preserve">Ką daryti pavartojus per didelę Emtricitabine/Tenofovir disoproxil Sandoz dozę? </w:t>
      </w:r>
    </w:p>
    <w:p w14:paraId="79371D2C" w14:textId="77777777" w:rsidR="00DA70E6" w:rsidRPr="00DA70E6" w:rsidRDefault="00DA70E6" w:rsidP="00DA70E6">
      <w:pPr>
        <w:autoSpaceDE w:val="0"/>
        <w:autoSpaceDN w:val="0"/>
        <w:adjustRightInd w:val="0"/>
      </w:pPr>
    </w:p>
    <w:p w14:paraId="5267260E" w14:textId="77777777" w:rsidR="00DA70E6" w:rsidRPr="00DA70E6" w:rsidRDefault="00DA70E6" w:rsidP="00DA70E6">
      <w:pPr>
        <w:autoSpaceDE w:val="0"/>
        <w:autoSpaceDN w:val="0"/>
        <w:adjustRightInd w:val="0"/>
      </w:pPr>
      <w:r w:rsidRPr="00DA70E6">
        <w:rPr>
          <w:color w:val="000000"/>
        </w:rPr>
        <w:t xml:space="preserve">Jeigu atsitiktinai išgėrėte didesnę už rekomenduojamą Emtricitabine/Tenofovir disoproxil Sandoz dozę, patarimo kreipkitės į savo gydytoją ar artimiausios ligoninės priėmimo skyrių. Su savimi turėkite tablečių pakuotę kad galėtumėte lengvai apibūdinti, ką Jūs vartojote. </w:t>
      </w:r>
    </w:p>
    <w:p w14:paraId="5A2BD7B4" w14:textId="77777777" w:rsidR="00DA70E6" w:rsidRPr="00DA70E6" w:rsidRDefault="00DA70E6" w:rsidP="00DA70E6">
      <w:pPr>
        <w:autoSpaceDE w:val="0"/>
        <w:autoSpaceDN w:val="0"/>
        <w:adjustRightInd w:val="0"/>
        <w:rPr>
          <w:b/>
        </w:rPr>
      </w:pPr>
    </w:p>
    <w:p w14:paraId="5EFEEE74" w14:textId="77777777" w:rsidR="00DA70E6" w:rsidRPr="00DA70E6" w:rsidRDefault="00DA70E6" w:rsidP="00DA70E6">
      <w:pPr>
        <w:autoSpaceDE w:val="0"/>
        <w:autoSpaceDN w:val="0"/>
        <w:adjustRightInd w:val="0"/>
        <w:rPr>
          <w:b/>
        </w:rPr>
      </w:pPr>
      <w:r w:rsidRPr="00DA70E6">
        <w:rPr>
          <w:b/>
          <w:color w:val="000000"/>
        </w:rPr>
        <w:t>Pamiršus pavartoti Emtricitabine/Tenofovir disoproxil Sandoz</w:t>
      </w:r>
    </w:p>
    <w:p w14:paraId="750EBEB7" w14:textId="77777777" w:rsidR="00DA70E6" w:rsidRPr="00DA70E6" w:rsidRDefault="00DA70E6" w:rsidP="00DA70E6">
      <w:pPr>
        <w:autoSpaceDE w:val="0"/>
        <w:autoSpaceDN w:val="0"/>
        <w:adjustRightInd w:val="0"/>
      </w:pPr>
      <w:r w:rsidRPr="00DA70E6">
        <w:rPr>
          <w:color w:val="000000"/>
        </w:rPr>
        <w:t xml:space="preserve">Svarbu nepraleisti nė vienos Emtricitabine/Tenofovir disoproxil Sandoz dozės. </w:t>
      </w:r>
    </w:p>
    <w:p w14:paraId="51B765DF" w14:textId="77777777" w:rsidR="00DA70E6" w:rsidRPr="00DA70E6" w:rsidRDefault="00DA70E6" w:rsidP="00DA70E6">
      <w:pPr>
        <w:autoSpaceDE w:val="0"/>
        <w:autoSpaceDN w:val="0"/>
        <w:adjustRightInd w:val="0"/>
      </w:pPr>
    </w:p>
    <w:p w14:paraId="03CBEB5D" w14:textId="77777777" w:rsidR="00DA70E6" w:rsidRPr="00DA70E6" w:rsidRDefault="00DA70E6" w:rsidP="00DA70E6">
      <w:pPr>
        <w:autoSpaceDE w:val="0"/>
        <w:autoSpaceDN w:val="0"/>
        <w:adjustRightInd w:val="0"/>
        <w:rPr>
          <w:b/>
        </w:rPr>
      </w:pPr>
      <w:r w:rsidRPr="00DA70E6">
        <w:rPr>
          <w:b/>
          <w:color w:val="000000"/>
        </w:rPr>
        <w:t>Jeigu praleidote dozę</w:t>
      </w:r>
    </w:p>
    <w:p w14:paraId="41110FF9" w14:textId="77777777" w:rsidR="00DA70E6" w:rsidRPr="00DA70E6" w:rsidRDefault="00DA70E6" w:rsidP="00DA70E6">
      <w:pPr>
        <w:numPr>
          <w:ilvl w:val="0"/>
          <w:numId w:val="42"/>
        </w:numPr>
        <w:autoSpaceDE w:val="0"/>
        <w:autoSpaceDN w:val="0"/>
        <w:adjustRightInd w:val="0"/>
      </w:pPr>
      <w:r w:rsidRPr="00DA70E6">
        <w:rPr>
          <w:b/>
          <w:color w:val="000000"/>
        </w:rPr>
        <w:t xml:space="preserve">Jeigu praleistą Emtricitabine/Tenofovir disoproxil Sandoz pastebėjote nepraėjus 12 valandų </w:t>
      </w:r>
      <w:r w:rsidRPr="00DA70E6">
        <w:rPr>
          <w:color w:val="000000"/>
        </w:rPr>
        <w:t>nuo įprastinio vartojimo laiko, kiek galima greičiau išgerkite tabletę, pageidautina su maistu. Po to vartokite kitą dozę įprastu laiku.</w:t>
      </w:r>
    </w:p>
    <w:p w14:paraId="469E9E58" w14:textId="77777777" w:rsidR="00DA70E6" w:rsidRPr="00DA70E6" w:rsidRDefault="00DA70E6" w:rsidP="00DA70E6">
      <w:pPr>
        <w:autoSpaceDE w:val="0"/>
        <w:autoSpaceDN w:val="0"/>
        <w:adjustRightInd w:val="0"/>
      </w:pPr>
    </w:p>
    <w:p w14:paraId="4E2D7C78" w14:textId="77777777" w:rsidR="00DA70E6" w:rsidRPr="00DA70E6" w:rsidRDefault="00DA70E6" w:rsidP="00DA70E6">
      <w:pPr>
        <w:numPr>
          <w:ilvl w:val="0"/>
          <w:numId w:val="42"/>
        </w:numPr>
        <w:autoSpaceDE w:val="0"/>
        <w:autoSpaceDN w:val="0"/>
        <w:adjustRightInd w:val="0"/>
      </w:pPr>
      <w:r w:rsidRPr="00DA70E6">
        <w:rPr>
          <w:b/>
          <w:color w:val="000000"/>
        </w:rPr>
        <w:t>Jeigu praleidimą pastebėjote praėjus 12 ar daugiau valandų</w:t>
      </w:r>
      <w:r w:rsidRPr="00DA70E6">
        <w:rPr>
          <w:color w:val="000000"/>
        </w:rPr>
        <w:t xml:space="preserve"> nuo</w:t>
      </w:r>
      <w:r w:rsidRPr="00DA70E6">
        <w:rPr>
          <w:b/>
          <w:color w:val="000000"/>
        </w:rPr>
        <w:t xml:space="preserve"> </w:t>
      </w:r>
      <w:r w:rsidRPr="00DA70E6">
        <w:rPr>
          <w:color w:val="000000"/>
        </w:rPr>
        <w:t xml:space="preserve">įprastinio Emtricitabine/Tenofovir disoproxil Sandoz vartojimo laiko, praleistosios dozės nevartokite. Palaukite ir suvartokite kitą dozę, pageidautina su maistu, įprastu laiku. </w:t>
      </w:r>
    </w:p>
    <w:p w14:paraId="420CF404" w14:textId="77777777" w:rsidR="00DA70E6" w:rsidRPr="00DA70E6" w:rsidRDefault="00DA70E6" w:rsidP="00DA70E6">
      <w:pPr>
        <w:autoSpaceDE w:val="0"/>
        <w:autoSpaceDN w:val="0"/>
        <w:adjustRightInd w:val="0"/>
        <w:rPr>
          <w:b/>
        </w:rPr>
      </w:pPr>
    </w:p>
    <w:p w14:paraId="05FA10ED" w14:textId="77777777" w:rsidR="00DA70E6" w:rsidRPr="00DA70E6" w:rsidRDefault="00DA70E6" w:rsidP="00DA70E6">
      <w:pPr>
        <w:autoSpaceDE w:val="0"/>
        <w:autoSpaceDN w:val="0"/>
        <w:adjustRightInd w:val="0"/>
      </w:pPr>
      <w:r w:rsidRPr="00DA70E6">
        <w:rPr>
          <w:b/>
          <w:color w:val="000000"/>
        </w:rPr>
        <w:t xml:space="preserve">Jeigu po Emtricitabine/Tenofovir disoproxil Sandoz išgėrimo 1 valandos laikotarpiu vėmėte, </w:t>
      </w:r>
      <w:r w:rsidRPr="00DA70E6">
        <w:rPr>
          <w:color w:val="000000"/>
        </w:rPr>
        <w:t>išgerkite kitą tabletę. Jeigu praėjo daugiau nei 1</w:t>
      </w:r>
      <w:r w:rsidRPr="00DA70E6">
        <w:rPr>
          <w:color w:val="000000"/>
          <w:szCs w:val="24"/>
          <w:lang w:eastAsia="sl-SI"/>
        </w:rPr>
        <w:t> </w:t>
      </w:r>
      <w:r w:rsidRPr="00DA70E6">
        <w:rPr>
          <w:color w:val="000000"/>
        </w:rPr>
        <w:t xml:space="preserve">valanda, kitos tabletės gerti nereikia. </w:t>
      </w:r>
    </w:p>
    <w:p w14:paraId="656814E9" w14:textId="77777777" w:rsidR="00DA70E6" w:rsidRPr="00DA70E6" w:rsidRDefault="00DA70E6" w:rsidP="00DA70E6">
      <w:pPr>
        <w:autoSpaceDE w:val="0"/>
        <w:autoSpaceDN w:val="0"/>
        <w:adjustRightInd w:val="0"/>
        <w:rPr>
          <w:b/>
        </w:rPr>
      </w:pPr>
    </w:p>
    <w:p w14:paraId="64F70D0D" w14:textId="77777777" w:rsidR="00DA70E6" w:rsidRPr="00DA70E6" w:rsidRDefault="00DA70E6" w:rsidP="00DA70E6">
      <w:pPr>
        <w:autoSpaceDE w:val="0"/>
        <w:autoSpaceDN w:val="0"/>
        <w:adjustRightInd w:val="0"/>
      </w:pPr>
      <w:r w:rsidRPr="00DA70E6">
        <w:rPr>
          <w:b/>
          <w:color w:val="000000"/>
        </w:rPr>
        <w:t xml:space="preserve">Nenustokite vartoti Emtricitabine/Tenofovir disoproxil Sandoz </w:t>
      </w:r>
    </w:p>
    <w:p w14:paraId="74BCA6D4" w14:textId="77777777" w:rsidR="00DA70E6" w:rsidRPr="00DA70E6" w:rsidRDefault="00DA70E6" w:rsidP="00DA70E6">
      <w:pPr>
        <w:autoSpaceDE w:val="0"/>
        <w:autoSpaceDN w:val="0"/>
        <w:adjustRightInd w:val="0"/>
      </w:pPr>
    </w:p>
    <w:p w14:paraId="0458FD91" w14:textId="77777777" w:rsidR="00DA70E6" w:rsidRPr="00DA70E6" w:rsidRDefault="00DA70E6" w:rsidP="00DA70E6">
      <w:pPr>
        <w:numPr>
          <w:ilvl w:val="0"/>
          <w:numId w:val="42"/>
        </w:numPr>
        <w:autoSpaceDE w:val="0"/>
        <w:autoSpaceDN w:val="0"/>
        <w:adjustRightInd w:val="0"/>
      </w:pPr>
      <w:r w:rsidRPr="00DA70E6">
        <w:rPr>
          <w:b/>
          <w:color w:val="000000"/>
        </w:rPr>
        <w:t>Jeigu vartojate Emtricitabine/Tenofovir disoproxil Sandoz gydymui nuo ŽIV infekcijos</w:t>
      </w:r>
      <w:r w:rsidRPr="00DA70E6">
        <w:rPr>
          <w:color w:val="000000"/>
        </w:rPr>
        <w:t xml:space="preserve">, nustojus vartoti tabletes gali sumažėti gydymo nuo ŽIV, kurį rekomendavo Jūsų gydytojas, veiksmingumas. </w:t>
      </w:r>
    </w:p>
    <w:p w14:paraId="6504628A" w14:textId="77777777" w:rsidR="00DA70E6" w:rsidRPr="00DA70E6" w:rsidRDefault="00DA70E6" w:rsidP="00DA70E6">
      <w:pPr>
        <w:autoSpaceDE w:val="0"/>
        <w:autoSpaceDN w:val="0"/>
        <w:adjustRightInd w:val="0"/>
        <w:ind w:left="567" w:hanging="567"/>
      </w:pPr>
    </w:p>
    <w:p w14:paraId="7445312E" w14:textId="77777777" w:rsidR="00DA70E6" w:rsidRPr="00DA70E6" w:rsidRDefault="00DA70E6" w:rsidP="00DA70E6">
      <w:pPr>
        <w:numPr>
          <w:ilvl w:val="0"/>
          <w:numId w:val="42"/>
        </w:numPr>
        <w:autoSpaceDE w:val="0"/>
        <w:autoSpaceDN w:val="0"/>
        <w:adjustRightInd w:val="0"/>
      </w:pPr>
      <w:r w:rsidRPr="00DA70E6">
        <w:rPr>
          <w:b/>
          <w:color w:val="000000"/>
        </w:rPr>
        <w:t>Jeigu Emtricitabine/Tenofovir disoproxil Sandoz vartojate užsikrėtimo ŽIV rizikai sumažinti</w:t>
      </w:r>
      <w:r w:rsidRPr="00DA70E6">
        <w:rPr>
          <w:color w:val="000000"/>
        </w:rPr>
        <w:t xml:space="preserve">, nenustokite vartoti Emtricitabine/Tenofovir disoproxil Sandoz ir nepraleiskite jokios dozės. Nustojus vartoti Emtricitabine/Tenofovir disoproxil Sandoz arba praleidus dozes gali padidėti Jūsų rizika užsikrėsti ŽIV. </w:t>
      </w:r>
    </w:p>
    <w:p w14:paraId="1D7CA4E1" w14:textId="77777777" w:rsidR="00DA70E6" w:rsidRPr="00DA70E6" w:rsidRDefault="00DA70E6" w:rsidP="00DA70E6">
      <w:pPr>
        <w:autoSpaceDE w:val="0"/>
        <w:autoSpaceDN w:val="0"/>
        <w:adjustRightInd w:val="0"/>
      </w:pPr>
    </w:p>
    <w:p w14:paraId="51CE0642" w14:textId="77777777" w:rsidR="00DA70E6" w:rsidRPr="00DA70E6" w:rsidRDefault="00DA70E6" w:rsidP="00DA70E6">
      <w:pPr>
        <w:autoSpaceDE w:val="0"/>
        <w:autoSpaceDN w:val="0"/>
        <w:adjustRightInd w:val="0"/>
        <w:ind w:left="993" w:hanging="426"/>
      </w:pPr>
      <w:r w:rsidRPr="00DA70E6">
        <w:rPr>
          <w:rFonts w:ascii="Wingdings" w:hAnsi="Wingdings"/>
          <w:color w:val="000000"/>
        </w:rPr>
        <w:t></w:t>
      </w:r>
      <w:r w:rsidRPr="00DA70E6">
        <w:rPr>
          <w:rFonts w:ascii="Wingdings" w:hAnsi="Wingdings"/>
          <w:color w:val="000000"/>
        </w:rPr>
        <w:t></w:t>
      </w:r>
      <w:r w:rsidRPr="00DA70E6">
        <w:rPr>
          <w:b/>
          <w:color w:val="000000"/>
        </w:rPr>
        <w:t>Nenustokite vartoti Emtricitabine/Tenofovir disoproxil Sandoz prieš tai nesusisiekę su savo gydytoju.</w:t>
      </w:r>
    </w:p>
    <w:p w14:paraId="67D2E67E" w14:textId="77777777" w:rsidR="00DA70E6" w:rsidRPr="00DA70E6" w:rsidRDefault="00DA70E6" w:rsidP="00DA70E6">
      <w:pPr>
        <w:tabs>
          <w:tab w:val="left" w:pos="567"/>
        </w:tabs>
        <w:ind w:left="567" w:hanging="567"/>
      </w:pPr>
    </w:p>
    <w:p w14:paraId="20E16BC8" w14:textId="77777777" w:rsidR="00DA70E6" w:rsidRPr="00DA70E6" w:rsidRDefault="00DA70E6" w:rsidP="00DA70E6">
      <w:pPr>
        <w:autoSpaceDE w:val="0"/>
        <w:autoSpaceDN w:val="0"/>
        <w:adjustRightInd w:val="0"/>
      </w:pPr>
      <w:r w:rsidRPr="00DA70E6">
        <w:rPr>
          <w:b/>
          <w:color w:val="000000"/>
        </w:rPr>
        <w:t xml:space="preserve">Jeigu Jums yra hepatitas B, </w:t>
      </w:r>
      <w:r w:rsidRPr="00DA70E6">
        <w:rPr>
          <w:color w:val="000000"/>
        </w:rPr>
        <w:t>labai svarbu nenutraukti gydymo Emtricitabine/Tenofovir disoproxil Sandoz, pirmiau nepasitarus su savo gydytoju. Jums gali reikėti atlikti kraujo tyrimus kelis mėnesius po gydymo nutraukimo. Kai kuriems pacientams, kuriems yra progresavusi kepenų liga ar cirozė, gydymą nutraukti nerekomenduojama, nes dėl to gali paūmėti hepatitas, o tai gali būti pavojinga gyvybei.</w:t>
      </w:r>
    </w:p>
    <w:p w14:paraId="02F0A2BD" w14:textId="77777777" w:rsidR="00DA70E6" w:rsidRPr="00DA70E6" w:rsidRDefault="00DA70E6" w:rsidP="00DA70E6">
      <w:pPr>
        <w:autoSpaceDE w:val="0"/>
        <w:autoSpaceDN w:val="0"/>
        <w:adjustRightInd w:val="0"/>
      </w:pPr>
    </w:p>
    <w:p w14:paraId="649FE049" w14:textId="77777777" w:rsidR="00DA70E6" w:rsidRPr="00DA70E6" w:rsidRDefault="00DA70E6" w:rsidP="00DA70E6">
      <w:pPr>
        <w:autoSpaceDE w:val="0"/>
        <w:autoSpaceDN w:val="0"/>
        <w:adjustRightInd w:val="0"/>
        <w:ind w:left="567" w:hanging="567"/>
      </w:pPr>
      <w:r w:rsidRPr="00DA70E6">
        <w:rPr>
          <w:rFonts w:ascii="Wingdings" w:hAnsi="Wingdings"/>
          <w:color w:val="000000"/>
        </w:rPr>
        <w:t></w:t>
      </w:r>
      <w:r w:rsidRPr="00DA70E6">
        <w:rPr>
          <w:rFonts w:ascii="Wingdings" w:hAnsi="Wingdings"/>
          <w:color w:val="000000"/>
        </w:rPr>
        <w:t></w:t>
      </w:r>
      <w:r w:rsidRPr="00DA70E6">
        <w:rPr>
          <w:b/>
          <w:color w:val="000000"/>
        </w:rPr>
        <w:t xml:space="preserve">Nedelsdami pasakykite savo gydytojui </w:t>
      </w:r>
      <w:r w:rsidRPr="00DA70E6">
        <w:rPr>
          <w:color w:val="000000"/>
        </w:rPr>
        <w:t xml:space="preserve">apie naujus ar neįprastus simptomus, pasireiškusius nutraukus gydymą, ypač simptomus, kuriuos Jūs siejate su hepatito B infekcija. </w:t>
      </w:r>
    </w:p>
    <w:p w14:paraId="646C3021" w14:textId="77777777" w:rsidR="00DA70E6" w:rsidRPr="00DA70E6" w:rsidRDefault="00DA70E6" w:rsidP="00DA70E6">
      <w:pPr>
        <w:autoSpaceDE w:val="0"/>
        <w:autoSpaceDN w:val="0"/>
        <w:adjustRightInd w:val="0"/>
      </w:pPr>
    </w:p>
    <w:p w14:paraId="257F4A24" w14:textId="77777777" w:rsidR="00DA70E6" w:rsidRPr="00DA70E6" w:rsidRDefault="00DA70E6" w:rsidP="00DA70E6">
      <w:pPr>
        <w:autoSpaceDE w:val="0"/>
        <w:autoSpaceDN w:val="0"/>
        <w:adjustRightInd w:val="0"/>
      </w:pPr>
      <w:r w:rsidRPr="00DA70E6">
        <w:rPr>
          <w:color w:val="000000"/>
        </w:rPr>
        <w:t xml:space="preserve">Jeigu kiltų daugiau klausimų dėl šio vaisto vartojimo, kreipkitės į gydytoją arba vaistininką. </w:t>
      </w:r>
    </w:p>
    <w:p w14:paraId="1F4C0CFD" w14:textId="77777777" w:rsidR="00DA70E6" w:rsidRPr="00DA70E6" w:rsidRDefault="00DA70E6" w:rsidP="00DA70E6">
      <w:pPr>
        <w:autoSpaceDE w:val="0"/>
        <w:autoSpaceDN w:val="0"/>
        <w:adjustRightInd w:val="0"/>
        <w:rPr>
          <w:b/>
        </w:rPr>
      </w:pPr>
    </w:p>
    <w:p w14:paraId="439B0B72" w14:textId="77777777" w:rsidR="00DA70E6" w:rsidRPr="00DA70E6" w:rsidRDefault="00DA70E6" w:rsidP="00DA70E6">
      <w:pPr>
        <w:autoSpaceDE w:val="0"/>
        <w:autoSpaceDN w:val="0"/>
        <w:adjustRightInd w:val="0"/>
        <w:rPr>
          <w:b/>
        </w:rPr>
      </w:pPr>
    </w:p>
    <w:p w14:paraId="2E12DD78" w14:textId="77777777" w:rsidR="00DA70E6" w:rsidRPr="00DA70E6" w:rsidRDefault="00DA70E6" w:rsidP="00DA70E6">
      <w:pPr>
        <w:autoSpaceDE w:val="0"/>
        <w:autoSpaceDN w:val="0"/>
        <w:adjustRightInd w:val="0"/>
      </w:pPr>
      <w:r w:rsidRPr="00DA70E6">
        <w:rPr>
          <w:b/>
          <w:color w:val="000000"/>
        </w:rPr>
        <w:t>4.</w:t>
      </w:r>
      <w:r w:rsidRPr="00DA70E6">
        <w:rPr>
          <w:b/>
          <w:color w:val="000000"/>
        </w:rPr>
        <w:tab/>
        <w:t xml:space="preserve">Galimas šalutinis poveikis </w:t>
      </w:r>
    </w:p>
    <w:p w14:paraId="24C72242" w14:textId="77777777" w:rsidR="00DA70E6" w:rsidRPr="00DA70E6" w:rsidRDefault="00DA70E6" w:rsidP="00DA70E6">
      <w:pPr>
        <w:autoSpaceDE w:val="0"/>
        <w:autoSpaceDN w:val="0"/>
        <w:adjustRightInd w:val="0"/>
      </w:pPr>
    </w:p>
    <w:p w14:paraId="0679F367" w14:textId="17698DE9" w:rsidR="00DA70E6" w:rsidRDefault="00DA70E6" w:rsidP="00DA70E6">
      <w:pPr>
        <w:autoSpaceDE w:val="0"/>
        <w:autoSpaceDN w:val="0"/>
        <w:adjustRightInd w:val="0"/>
        <w:rPr>
          <w:color w:val="000000"/>
        </w:rPr>
      </w:pPr>
      <w:r w:rsidRPr="00DA70E6">
        <w:rPr>
          <w:color w:val="000000"/>
        </w:rPr>
        <w:t xml:space="preserve">Šis vaistas, kaip ir visi kiti, gali sukelti šalutinį poveikį, nors jis pasireiškia ne visiems žmonėms. </w:t>
      </w:r>
    </w:p>
    <w:p w14:paraId="4775E50F" w14:textId="77777777" w:rsidR="007E3E4E" w:rsidRPr="00DA70E6" w:rsidRDefault="007E3E4E" w:rsidP="00DA70E6">
      <w:pPr>
        <w:autoSpaceDE w:val="0"/>
        <w:autoSpaceDN w:val="0"/>
        <w:adjustRightInd w:val="0"/>
      </w:pPr>
    </w:p>
    <w:p w14:paraId="596489F8" w14:textId="65C46EF9" w:rsidR="007E3E4E" w:rsidRPr="0071205C" w:rsidRDefault="007E3E4E" w:rsidP="007E3E4E">
      <w:pPr>
        <w:autoSpaceDE w:val="0"/>
        <w:autoSpaceDN w:val="0"/>
        <w:adjustRightInd w:val="0"/>
        <w:rPr>
          <w:bCs/>
        </w:rPr>
      </w:pPr>
      <w:r w:rsidRPr="0071205C">
        <w:rPr>
          <w:bCs/>
        </w:rPr>
        <w:t>Labai dažni šalutinio poveikio reiškiniai (gali pasireikšti ne rečiau kaip 1 iš 10 asmenų):</w:t>
      </w:r>
    </w:p>
    <w:p w14:paraId="010DDAD8" w14:textId="3BE22817" w:rsidR="007E3E4E" w:rsidRPr="0071205C" w:rsidRDefault="007E3E4E" w:rsidP="007E3E4E">
      <w:pPr>
        <w:autoSpaceDE w:val="0"/>
        <w:autoSpaceDN w:val="0"/>
        <w:adjustRightInd w:val="0"/>
        <w:rPr>
          <w:bCs/>
        </w:rPr>
      </w:pPr>
      <w:r w:rsidRPr="0071205C">
        <w:rPr>
          <w:bCs/>
        </w:rPr>
        <w:t>Dažni šalutinio poveikio reiškiniai (gali pasireikšti rečiau kaip 1 iš 10 asmenų):</w:t>
      </w:r>
    </w:p>
    <w:p w14:paraId="0B914B97" w14:textId="3F130870" w:rsidR="007E3E4E" w:rsidRPr="0071205C" w:rsidRDefault="007E3E4E" w:rsidP="007E3E4E">
      <w:pPr>
        <w:autoSpaceDE w:val="0"/>
        <w:autoSpaceDN w:val="0"/>
        <w:adjustRightInd w:val="0"/>
        <w:rPr>
          <w:bCs/>
        </w:rPr>
      </w:pPr>
      <w:r w:rsidRPr="0071205C">
        <w:rPr>
          <w:bCs/>
        </w:rPr>
        <w:t xml:space="preserve">Nedažni šalutinio poveikio reiškiniai (gali pasireikšti rečiau kaip 1 iš 100 asmenų): </w:t>
      </w:r>
    </w:p>
    <w:p w14:paraId="600D9F65" w14:textId="6EFB7060" w:rsidR="007E3E4E" w:rsidRPr="0071205C" w:rsidRDefault="007E3E4E" w:rsidP="007E3E4E">
      <w:pPr>
        <w:autoSpaceDE w:val="0"/>
        <w:autoSpaceDN w:val="0"/>
        <w:adjustRightInd w:val="0"/>
        <w:rPr>
          <w:bCs/>
        </w:rPr>
      </w:pPr>
      <w:r w:rsidRPr="0071205C">
        <w:rPr>
          <w:bCs/>
        </w:rPr>
        <w:t xml:space="preserve">Reti šalutinio poveikio reiškiniai (gali pasireikšti rečiau kaip 1 iš 1 000 asmenų): </w:t>
      </w:r>
    </w:p>
    <w:p w14:paraId="05A8CC3C" w14:textId="502D2544" w:rsidR="007E3E4E" w:rsidRPr="0071205C" w:rsidRDefault="007E3E4E" w:rsidP="007E3E4E">
      <w:pPr>
        <w:autoSpaceDE w:val="0"/>
        <w:autoSpaceDN w:val="0"/>
        <w:adjustRightInd w:val="0"/>
        <w:rPr>
          <w:bCs/>
        </w:rPr>
      </w:pPr>
      <w:r w:rsidRPr="0071205C">
        <w:rPr>
          <w:bCs/>
        </w:rPr>
        <w:t>Labai reti šalutinio poveikio reiškiniai (gali pasireikšti rečiau kaip 1 iš 10 000 asmenų</w:t>
      </w:r>
    </w:p>
    <w:p w14:paraId="0F7B7D74" w14:textId="5C44A2FA" w:rsidR="00DA70E6" w:rsidRPr="0071205C" w:rsidRDefault="007E3E4E" w:rsidP="007E3E4E">
      <w:pPr>
        <w:autoSpaceDE w:val="0"/>
        <w:autoSpaceDN w:val="0"/>
        <w:adjustRightInd w:val="0"/>
        <w:rPr>
          <w:bCs/>
        </w:rPr>
      </w:pPr>
      <w:r w:rsidRPr="0071205C">
        <w:rPr>
          <w:bCs/>
        </w:rPr>
        <w:t xml:space="preserve">Šalutinio poveikio reiškiniai, kurių dažnis nežinomas (negali būti apskaičiuotas pagal turimus duomenis): </w:t>
      </w:r>
    </w:p>
    <w:p w14:paraId="3E4D25E0" w14:textId="77777777" w:rsidR="007E3E4E" w:rsidRPr="00DA70E6" w:rsidRDefault="007E3E4E" w:rsidP="007E3E4E">
      <w:pPr>
        <w:autoSpaceDE w:val="0"/>
        <w:autoSpaceDN w:val="0"/>
        <w:adjustRightInd w:val="0"/>
        <w:rPr>
          <w:b/>
        </w:rPr>
      </w:pPr>
    </w:p>
    <w:p w14:paraId="0F88861D" w14:textId="77777777" w:rsidR="00DA70E6" w:rsidRPr="00DA70E6" w:rsidRDefault="00DA70E6" w:rsidP="00DA70E6">
      <w:pPr>
        <w:autoSpaceDE w:val="0"/>
        <w:autoSpaceDN w:val="0"/>
        <w:adjustRightInd w:val="0"/>
      </w:pPr>
      <w:r w:rsidRPr="00DA70E6">
        <w:rPr>
          <w:b/>
          <w:color w:val="000000"/>
        </w:rPr>
        <w:t xml:space="preserve">Galimas sunkus šalutinis poveikis: </w:t>
      </w:r>
    </w:p>
    <w:p w14:paraId="038DB824" w14:textId="77777777" w:rsidR="00DA70E6" w:rsidRPr="00DA70E6" w:rsidRDefault="00DA70E6" w:rsidP="00DA70E6">
      <w:pPr>
        <w:numPr>
          <w:ilvl w:val="0"/>
          <w:numId w:val="43"/>
        </w:numPr>
        <w:autoSpaceDE w:val="0"/>
        <w:autoSpaceDN w:val="0"/>
        <w:adjustRightInd w:val="0"/>
      </w:pPr>
      <w:r w:rsidRPr="00DA70E6">
        <w:rPr>
          <w:b/>
          <w:color w:val="000000"/>
        </w:rPr>
        <w:t xml:space="preserve">Laktatacidozė </w:t>
      </w:r>
      <w:r w:rsidRPr="00DA70E6">
        <w:rPr>
          <w:color w:val="000000"/>
        </w:rPr>
        <w:t xml:space="preserve">(padidėjęs pieno rūgšties kiekis kraujyje) yra retas, bet galintis kelti pavojų gyvybei šalutinis poveikis. Laktatacidozė dažniau pasireiškia moterims, ypač jei jos turi antsvorio, ir kepenų liga sergantiems žmonėms. Toliau išvardyti požymiai gali būti laktatacidozės simptomai: </w:t>
      </w:r>
    </w:p>
    <w:p w14:paraId="6EDDF9FE"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 xml:space="preserve">gilus, dažnas kvėpavimas; </w:t>
      </w:r>
    </w:p>
    <w:p w14:paraId="54CC78F6"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 xml:space="preserve">mieguistumas; </w:t>
      </w:r>
    </w:p>
    <w:p w14:paraId="43496097"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 xml:space="preserve">šleikštulys (pykinimas),  žiaukčiojimas (vėmimas); </w:t>
      </w:r>
    </w:p>
    <w:p w14:paraId="710B57EB"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pilvo skausmas.</w:t>
      </w:r>
    </w:p>
    <w:p w14:paraId="5B38D51F" w14:textId="77777777" w:rsidR="00DA70E6" w:rsidRPr="00DA70E6" w:rsidRDefault="00DA70E6" w:rsidP="00DA70E6">
      <w:pPr>
        <w:autoSpaceDE w:val="0"/>
        <w:autoSpaceDN w:val="0"/>
        <w:adjustRightInd w:val="0"/>
        <w:ind w:left="207"/>
        <w:rPr>
          <w:color w:val="000000"/>
        </w:rPr>
      </w:pPr>
    </w:p>
    <w:p w14:paraId="2E54DEC1" w14:textId="77777777" w:rsidR="00DA70E6" w:rsidRPr="00DA70E6" w:rsidRDefault="00DA70E6" w:rsidP="00DA70E6">
      <w:pPr>
        <w:autoSpaceDE w:val="0"/>
        <w:autoSpaceDN w:val="0"/>
        <w:adjustRightInd w:val="0"/>
        <w:ind w:left="1134" w:hanging="567"/>
        <w:rPr>
          <w:color w:val="000000"/>
        </w:rPr>
      </w:pPr>
      <w:r w:rsidRPr="00DA70E6">
        <w:rPr>
          <w:rFonts w:ascii="Wingdings" w:hAnsi="Wingdings" w:cs="Wingdings"/>
          <w:color w:val="000000"/>
          <w:szCs w:val="22"/>
        </w:rPr>
        <w:t></w:t>
      </w:r>
      <w:r w:rsidRPr="00DA70E6">
        <w:rPr>
          <w:rFonts w:ascii="Wingdings" w:hAnsi="Wingdings" w:cs="Wingdings"/>
          <w:color w:val="000000"/>
          <w:szCs w:val="22"/>
        </w:rPr>
        <w:t></w:t>
      </w:r>
      <w:r w:rsidRPr="00DA70E6">
        <w:rPr>
          <w:b/>
          <w:color w:val="000000"/>
        </w:rPr>
        <w:t xml:space="preserve">Jeigu manote, kad Jums gali būti laktatacidozė, nedelsdami kreipkitės medicininės pagalbos. </w:t>
      </w:r>
    </w:p>
    <w:p w14:paraId="08F25973" w14:textId="77777777" w:rsidR="00DA70E6" w:rsidRPr="00DA70E6" w:rsidRDefault="00DA70E6" w:rsidP="00DA70E6">
      <w:pPr>
        <w:autoSpaceDE w:val="0"/>
        <w:autoSpaceDN w:val="0"/>
        <w:adjustRightInd w:val="0"/>
        <w:rPr>
          <w:color w:val="000000"/>
        </w:rPr>
      </w:pPr>
    </w:p>
    <w:p w14:paraId="545E4141" w14:textId="77777777" w:rsidR="00DA70E6" w:rsidRPr="00DA70E6" w:rsidRDefault="00DA70E6" w:rsidP="00DA70E6">
      <w:pPr>
        <w:numPr>
          <w:ilvl w:val="0"/>
          <w:numId w:val="43"/>
        </w:numPr>
        <w:autoSpaceDE w:val="0"/>
        <w:autoSpaceDN w:val="0"/>
        <w:adjustRightInd w:val="0"/>
        <w:rPr>
          <w:color w:val="000000"/>
        </w:rPr>
      </w:pPr>
      <w:r w:rsidRPr="00DA70E6">
        <w:rPr>
          <w:b/>
          <w:color w:val="000000"/>
        </w:rPr>
        <w:t xml:space="preserve">Bet kokie uždegimo arba infekcijos požymiai. </w:t>
      </w:r>
      <w:r w:rsidRPr="00DA70E6">
        <w:rPr>
          <w:color w:val="000000"/>
        </w:rPr>
        <w:t>Kai kuriems pacientams, kuriems ŽIV infekcija yra progresavusi (</w:t>
      </w:r>
      <w:r w:rsidRPr="00DA70E6">
        <w:rPr>
          <w:i/>
          <w:color w:val="000000"/>
        </w:rPr>
        <w:t>AIDS</w:t>
      </w:r>
      <w:r w:rsidRPr="00DA70E6">
        <w:rPr>
          <w:color w:val="000000"/>
        </w:rPr>
        <w:t xml:space="preserve">) ir kuriems yra buvę oportunistinių infekcijų (infekcijų, pasireiškiančių žmonėms, kurių silpna imuninė sistema), greitai po gydymo nuo ŽIV infekcijos pradžios gali pasireikšti ankstesnių infekcijų požymių ir uždegimo simptomų. Manoma, kad šių simptomų pasireiškia dėl pagerėjusio organizmo imuninio atsako, dėl kurio organizmas gali kovoti su infekcijomis, kuriomis galėjo būti sergama be akivaizdžių simptomų. </w:t>
      </w:r>
    </w:p>
    <w:p w14:paraId="3EFA4875" w14:textId="77777777" w:rsidR="00DA70E6" w:rsidRPr="00DA70E6" w:rsidRDefault="00DA70E6" w:rsidP="00DA70E6">
      <w:pPr>
        <w:autoSpaceDE w:val="0"/>
        <w:autoSpaceDN w:val="0"/>
        <w:adjustRightInd w:val="0"/>
        <w:rPr>
          <w:color w:val="000000"/>
        </w:rPr>
      </w:pPr>
    </w:p>
    <w:p w14:paraId="22BA9549" w14:textId="77777777" w:rsidR="00DA70E6" w:rsidRPr="00DA70E6" w:rsidRDefault="00DA70E6" w:rsidP="00DA70E6">
      <w:pPr>
        <w:numPr>
          <w:ilvl w:val="0"/>
          <w:numId w:val="43"/>
        </w:numPr>
        <w:autoSpaceDE w:val="0"/>
        <w:autoSpaceDN w:val="0"/>
        <w:adjustRightInd w:val="0"/>
        <w:rPr>
          <w:color w:val="000000"/>
        </w:rPr>
      </w:pPr>
      <w:r w:rsidRPr="00DA70E6">
        <w:rPr>
          <w:b/>
          <w:color w:val="000000"/>
        </w:rPr>
        <w:t>Autoimuninių sutrikimų</w:t>
      </w:r>
      <w:r w:rsidRPr="00DA70E6">
        <w:rPr>
          <w:color w:val="000000"/>
        </w:rPr>
        <w:t xml:space="preserve">, kai imuninė sistema atakuoja sveikus kūno audinius, taip pat gali pasireikšti pradėjus vartoti vaistų gydymui nuo ŽIV infekcijos. Autoimuniniai sutrikimai gali pasireikšti per daug mėnesių nuo gydymo pradžios. Stebėkite, ar neišsivystė kokių nors infekcijos požymių arba kitų simptomų, pvz.: </w:t>
      </w:r>
    </w:p>
    <w:p w14:paraId="6AFDD0C2"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 xml:space="preserve">raumenų silpnumas; </w:t>
      </w:r>
    </w:p>
    <w:p w14:paraId="263E8802"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 xml:space="preserve">silpnumas, prasidedantis plaštakose ir pėdose ir plintantis į liemenį; </w:t>
      </w:r>
    </w:p>
    <w:p w14:paraId="47F46CFF" w14:textId="77777777" w:rsidR="00DA70E6" w:rsidRPr="00DA70E6" w:rsidRDefault="00DA70E6" w:rsidP="00DA70E6">
      <w:pPr>
        <w:numPr>
          <w:ilvl w:val="0"/>
          <w:numId w:val="43"/>
        </w:numPr>
        <w:autoSpaceDE w:val="0"/>
        <w:autoSpaceDN w:val="0"/>
        <w:adjustRightInd w:val="0"/>
        <w:ind w:left="1134"/>
        <w:rPr>
          <w:color w:val="000000"/>
        </w:rPr>
      </w:pPr>
      <w:r w:rsidRPr="00DA70E6">
        <w:rPr>
          <w:color w:val="000000"/>
        </w:rPr>
        <w:t xml:space="preserve">palpitacijos, drebulys arba padidėjęs aktyvumas. </w:t>
      </w:r>
    </w:p>
    <w:p w14:paraId="07065C4A" w14:textId="77777777" w:rsidR="00DA70E6" w:rsidRPr="00DA70E6" w:rsidRDefault="00DA70E6" w:rsidP="00DA70E6">
      <w:pPr>
        <w:tabs>
          <w:tab w:val="left" w:pos="567"/>
        </w:tabs>
        <w:ind w:left="567" w:hanging="567"/>
        <w:rPr>
          <w:rFonts w:ascii="Wingdings" w:hAnsi="Wingdings" w:cs="Wingdings"/>
          <w:color w:val="000000"/>
          <w:szCs w:val="22"/>
        </w:rPr>
      </w:pPr>
    </w:p>
    <w:p w14:paraId="1A0F3AB5" w14:textId="77777777" w:rsidR="00DA70E6" w:rsidRPr="00DA70E6" w:rsidRDefault="00DA70E6" w:rsidP="00DA70E6">
      <w:pPr>
        <w:tabs>
          <w:tab w:val="left" w:pos="1134"/>
        </w:tabs>
        <w:ind w:left="1134" w:hanging="567"/>
      </w:pPr>
      <w:r w:rsidRPr="00DA70E6">
        <w:rPr>
          <w:rFonts w:ascii="Wingdings" w:hAnsi="Wingdings" w:cs="Wingdings"/>
          <w:color w:val="000000"/>
          <w:szCs w:val="22"/>
        </w:rPr>
        <w:t></w:t>
      </w:r>
      <w:r w:rsidRPr="00DA70E6">
        <w:rPr>
          <w:rFonts w:ascii="Wingdings" w:hAnsi="Wingdings" w:cs="Wingdings"/>
          <w:color w:val="000000"/>
          <w:szCs w:val="22"/>
        </w:rPr>
        <w:t></w:t>
      </w:r>
      <w:r w:rsidRPr="00DA70E6">
        <w:rPr>
          <w:b/>
          <w:color w:val="000000"/>
        </w:rPr>
        <w:t>Pastebėję šių arba bet kokių kitų uždegimo arba infekcijos simptomų, nedelsdami kreipkitės medicininės pagalbos.</w:t>
      </w:r>
    </w:p>
    <w:p w14:paraId="554BF198" w14:textId="77777777" w:rsidR="00DA70E6" w:rsidRPr="00DA70E6" w:rsidRDefault="00DA70E6" w:rsidP="00DA70E6">
      <w:pPr>
        <w:tabs>
          <w:tab w:val="left" w:pos="567"/>
        </w:tabs>
        <w:ind w:left="567" w:hanging="567"/>
      </w:pPr>
    </w:p>
    <w:p w14:paraId="5D8024C4" w14:textId="77777777" w:rsidR="00DA70E6" w:rsidRPr="00DA70E6" w:rsidRDefault="00DA70E6" w:rsidP="00DA70E6">
      <w:pPr>
        <w:tabs>
          <w:tab w:val="left" w:pos="567"/>
        </w:tabs>
        <w:ind w:left="567" w:hanging="567"/>
        <w:rPr>
          <w:b/>
        </w:rPr>
      </w:pPr>
      <w:r w:rsidRPr="00DA70E6">
        <w:rPr>
          <w:b/>
        </w:rPr>
        <w:t>Galimas šalutinis poveikis</w:t>
      </w:r>
    </w:p>
    <w:p w14:paraId="180F5729" w14:textId="77777777" w:rsidR="00DA70E6" w:rsidRPr="00DA70E6" w:rsidRDefault="00DA70E6" w:rsidP="00DA70E6">
      <w:pPr>
        <w:tabs>
          <w:tab w:val="left" w:pos="567"/>
        </w:tabs>
        <w:ind w:left="567" w:hanging="567"/>
      </w:pPr>
    </w:p>
    <w:p w14:paraId="1F8F7F36" w14:textId="1242599F" w:rsidR="00DA70E6" w:rsidRPr="00DA70E6" w:rsidRDefault="00DA70E6" w:rsidP="00DA70E6">
      <w:pPr>
        <w:autoSpaceDE w:val="0"/>
        <w:autoSpaceDN w:val="0"/>
        <w:adjustRightInd w:val="0"/>
      </w:pPr>
      <w:r w:rsidRPr="00DA70E6">
        <w:rPr>
          <w:b/>
          <w:color w:val="000000"/>
        </w:rPr>
        <w:t>Labai dažn</w:t>
      </w:r>
      <w:r w:rsidR="007B237D">
        <w:rPr>
          <w:b/>
          <w:color w:val="000000"/>
        </w:rPr>
        <w:t>i</w:t>
      </w:r>
      <w:r w:rsidRPr="00DA70E6">
        <w:rPr>
          <w:b/>
          <w:color w:val="000000"/>
        </w:rPr>
        <w:t xml:space="preserve"> šalutini</w:t>
      </w:r>
      <w:r w:rsidR="007B237D">
        <w:rPr>
          <w:b/>
          <w:color w:val="000000"/>
        </w:rPr>
        <w:t>o</w:t>
      </w:r>
      <w:r w:rsidRPr="00DA70E6">
        <w:rPr>
          <w:b/>
          <w:color w:val="000000"/>
        </w:rPr>
        <w:t xml:space="preserve"> poveikis</w:t>
      </w:r>
      <w:r w:rsidR="007B237D">
        <w:rPr>
          <w:b/>
          <w:color w:val="000000"/>
        </w:rPr>
        <w:t>o reiškiniai</w:t>
      </w:r>
    </w:p>
    <w:p w14:paraId="5F1000C0" w14:textId="369F68E7" w:rsidR="00DA70E6" w:rsidRPr="00DA70E6" w:rsidRDefault="00DA70E6" w:rsidP="00DA70E6">
      <w:pPr>
        <w:autoSpaceDE w:val="0"/>
        <w:autoSpaceDN w:val="0"/>
        <w:adjustRightInd w:val="0"/>
      </w:pPr>
      <w:r w:rsidRPr="00DA70E6">
        <w:rPr>
          <w:i/>
          <w:color w:val="000000"/>
        </w:rPr>
        <w:t xml:space="preserve">(gali pasireikšti </w:t>
      </w:r>
      <w:r w:rsidR="007B237D">
        <w:rPr>
          <w:i/>
          <w:color w:val="000000"/>
        </w:rPr>
        <w:t xml:space="preserve">ne rečiau </w:t>
      </w:r>
      <w:r w:rsidRPr="00DA70E6">
        <w:rPr>
          <w:i/>
          <w:color w:val="000000"/>
        </w:rPr>
        <w:t xml:space="preserve"> kaip 1 iš 10 </w:t>
      </w:r>
      <w:r w:rsidR="007B237D">
        <w:rPr>
          <w:i/>
          <w:color w:val="000000"/>
        </w:rPr>
        <w:t>asmen</w:t>
      </w:r>
      <w:r w:rsidRPr="00DA70E6">
        <w:rPr>
          <w:i/>
          <w:color w:val="000000"/>
        </w:rPr>
        <w:t xml:space="preserve">ų) </w:t>
      </w:r>
    </w:p>
    <w:p w14:paraId="03F9A031" w14:textId="77777777" w:rsidR="00DA70E6" w:rsidRPr="00DA70E6" w:rsidRDefault="00DA70E6" w:rsidP="00DA70E6">
      <w:pPr>
        <w:numPr>
          <w:ilvl w:val="0"/>
          <w:numId w:val="43"/>
        </w:numPr>
        <w:autoSpaceDE w:val="0"/>
        <w:autoSpaceDN w:val="0"/>
        <w:adjustRightInd w:val="0"/>
      </w:pPr>
      <w:r w:rsidRPr="00DA70E6">
        <w:rPr>
          <w:color w:val="000000"/>
        </w:rPr>
        <w:t xml:space="preserve">viduriavimas, vėmimas, pykinimas; </w:t>
      </w:r>
    </w:p>
    <w:p w14:paraId="1A83347F" w14:textId="77777777" w:rsidR="00DA70E6" w:rsidRPr="00DA70E6" w:rsidRDefault="00DA70E6" w:rsidP="00DA70E6">
      <w:pPr>
        <w:numPr>
          <w:ilvl w:val="0"/>
          <w:numId w:val="43"/>
        </w:numPr>
        <w:autoSpaceDE w:val="0"/>
        <w:autoSpaceDN w:val="0"/>
        <w:adjustRightInd w:val="0"/>
      </w:pPr>
      <w:r w:rsidRPr="00DA70E6">
        <w:rPr>
          <w:color w:val="000000"/>
        </w:rPr>
        <w:t xml:space="preserve">svaigulys, galvos skausmas; </w:t>
      </w:r>
    </w:p>
    <w:p w14:paraId="3681A48F" w14:textId="77777777" w:rsidR="00DA70E6" w:rsidRPr="00DA70E6" w:rsidRDefault="00DA70E6" w:rsidP="00DA70E6">
      <w:pPr>
        <w:numPr>
          <w:ilvl w:val="0"/>
          <w:numId w:val="43"/>
        </w:numPr>
        <w:autoSpaceDE w:val="0"/>
        <w:autoSpaceDN w:val="0"/>
        <w:adjustRightInd w:val="0"/>
      </w:pPr>
      <w:r w:rsidRPr="00DA70E6">
        <w:rPr>
          <w:color w:val="000000"/>
        </w:rPr>
        <w:t>išbėrimas;</w:t>
      </w:r>
    </w:p>
    <w:p w14:paraId="2692D32C" w14:textId="77777777" w:rsidR="00DA70E6" w:rsidRPr="00DA70E6" w:rsidRDefault="00DA70E6" w:rsidP="00DA70E6">
      <w:pPr>
        <w:numPr>
          <w:ilvl w:val="0"/>
          <w:numId w:val="43"/>
        </w:numPr>
        <w:autoSpaceDE w:val="0"/>
        <w:autoSpaceDN w:val="0"/>
        <w:adjustRightInd w:val="0"/>
      </w:pPr>
      <w:r w:rsidRPr="00DA70E6">
        <w:rPr>
          <w:color w:val="000000"/>
        </w:rPr>
        <w:t xml:space="preserve">silpnumo pojūtis. </w:t>
      </w:r>
    </w:p>
    <w:p w14:paraId="69BC14ED" w14:textId="77777777" w:rsidR="00DA70E6" w:rsidRPr="00DA70E6" w:rsidRDefault="00DA70E6" w:rsidP="00DA70E6">
      <w:pPr>
        <w:autoSpaceDE w:val="0"/>
        <w:autoSpaceDN w:val="0"/>
        <w:adjustRightInd w:val="0"/>
      </w:pPr>
    </w:p>
    <w:p w14:paraId="6F7BAF0C" w14:textId="77777777" w:rsidR="00DA70E6" w:rsidRPr="00DA70E6" w:rsidRDefault="00DA70E6" w:rsidP="00DA70E6">
      <w:pPr>
        <w:autoSpaceDE w:val="0"/>
        <w:autoSpaceDN w:val="0"/>
        <w:adjustRightInd w:val="0"/>
      </w:pPr>
      <w:r w:rsidRPr="00DA70E6">
        <w:rPr>
          <w:i/>
          <w:color w:val="000000"/>
        </w:rPr>
        <w:t xml:space="preserve">Tyrimai taip pat gali rodyti: </w:t>
      </w:r>
    </w:p>
    <w:p w14:paraId="76F74F39" w14:textId="77777777" w:rsidR="00DA70E6" w:rsidRPr="00DA70E6" w:rsidRDefault="00DA70E6" w:rsidP="00DA70E6">
      <w:pPr>
        <w:numPr>
          <w:ilvl w:val="0"/>
          <w:numId w:val="43"/>
        </w:numPr>
        <w:autoSpaceDE w:val="0"/>
        <w:autoSpaceDN w:val="0"/>
        <w:adjustRightInd w:val="0"/>
      </w:pPr>
      <w:r w:rsidRPr="00DA70E6">
        <w:rPr>
          <w:color w:val="000000"/>
        </w:rPr>
        <w:t xml:space="preserve">sumažėjusį fosfatų kiekį kraujyje; </w:t>
      </w:r>
    </w:p>
    <w:p w14:paraId="08A74542" w14:textId="77777777" w:rsidR="00DA70E6" w:rsidRPr="00DA70E6" w:rsidRDefault="00DA70E6" w:rsidP="00DA70E6">
      <w:pPr>
        <w:numPr>
          <w:ilvl w:val="0"/>
          <w:numId w:val="43"/>
        </w:numPr>
        <w:autoSpaceDE w:val="0"/>
        <w:autoSpaceDN w:val="0"/>
        <w:adjustRightInd w:val="0"/>
      </w:pPr>
      <w:r w:rsidRPr="00DA70E6">
        <w:rPr>
          <w:color w:val="000000"/>
        </w:rPr>
        <w:t xml:space="preserve">padidėjusį kreatinkinazės aktyvumą. </w:t>
      </w:r>
    </w:p>
    <w:p w14:paraId="141898B8" w14:textId="77777777" w:rsidR="00DA70E6" w:rsidRPr="00DA70E6" w:rsidRDefault="00DA70E6" w:rsidP="00DA70E6">
      <w:pPr>
        <w:autoSpaceDE w:val="0"/>
        <w:autoSpaceDN w:val="0"/>
        <w:adjustRightInd w:val="0"/>
      </w:pPr>
    </w:p>
    <w:p w14:paraId="0EA796F9" w14:textId="21B28C0C" w:rsidR="00DA70E6" w:rsidRPr="00DA70E6" w:rsidRDefault="00DA70E6" w:rsidP="00DA70E6">
      <w:pPr>
        <w:autoSpaceDE w:val="0"/>
        <w:autoSpaceDN w:val="0"/>
        <w:adjustRightInd w:val="0"/>
      </w:pPr>
      <w:r w:rsidRPr="00DA70E6">
        <w:rPr>
          <w:b/>
          <w:color w:val="000000"/>
        </w:rPr>
        <w:t>Dažn</w:t>
      </w:r>
      <w:r w:rsidR="007B237D">
        <w:rPr>
          <w:b/>
          <w:color w:val="000000"/>
        </w:rPr>
        <w:t>i</w:t>
      </w:r>
      <w:r w:rsidRPr="00DA70E6">
        <w:rPr>
          <w:b/>
          <w:color w:val="000000"/>
        </w:rPr>
        <w:t xml:space="preserve"> šalutini</w:t>
      </w:r>
      <w:r w:rsidR="007B237D">
        <w:rPr>
          <w:b/>
          <w:color w:val="000000"/>
        </w:rPr>
        <w:t>o</w:t>
      </w:r>
      <w:r w:rsidRPr="00DA70E6">
        <w:rPr>
          <w:b/>
          <w:color w:val="000000"/>
        </w:rPr>
        <w:t xml:space="preserve"> poveiki</w:t>
      </w:r>
      <w:r w:rsidR="007B237D">
        <w:rPr>
          <w:b/>
          <w:color w:val="000000"/>
        </w:rPr>
        <w:t>o reiškiniai</w:t>
      </w:r>
      <w:r w:rsidR="007B237D" w:rsidRPr="00DA70E6" w:rsidDel="007B237D">
        <w:rPr>
          <w:b/>
          <w:color w:val="000000"/>
        </w:rPr>
        <w:t xml:space="preserve"> </w:t>
      </w:r>
      <w:r w:rsidRPr="00DA70E6">
        <w:rPr>
          <w:b/>
          <w:color w:val="000000"/>
        </w:rPr>
        <w:t xml:space="preserve"> </w:t>
      </w:r>
    </w:p>
    <w:p w14:paraId="4E5796EA" w14:textId="59B379BB" w:rsidR="00DA70E6" w:rsidRPr="00DA70E6" w:rsidRDefault="00DA70E6" w:rsidP="00DA70E6">
      <w:pPr>
        <w:autoSpaceDE w:val="0"/>
        <w:autoSpaceDN w:val="0"/>
        <w:adjustRightInd w:val="0"/>
      </w:pPr>
      <w:r w:rsidRPr="00DA70E6">
        <w:rPr>
          <w:i/>
          <w:color w:val="000000"/>
        </w:rPr>
        <w:t xml:space="preserve">(gali pasireikšti </w:t>
      </w:r>
      <w:r w:rsidR="007E428A">
        <w:rPr>
          <w:i/>
          <w:color w:val="000000"/>
        </w:rPr>
        <w:t>reč</w:t>
      </w:r>
      <w:r w:rsidRPr="00DA70E6">
        <w:rPr>
          <w:i/>
          <w:color w:val="000000"/>
        </w:rPr>
        <w:t>iau kaip 1 iš 10</w:t>
      </w:r>
      <w:r w:rsidR="007B237D">
        <w:rPr>
          <w:i/>
          <w:color w:val="000000"/>
        </w:rPr>
        <w:t xml:space="preserve"> asmenų</w:t>
      </w:r>
      <w:r w:rsidRPr="00DA70E6">
        <w:rPr>
          <w:i/>
          <w:color w:val="000000"/>
        </w:rPr>
        <w:t xml:space="preserve">) </w:t>
      </w:r>
    </w:p>
    <w:p w14:paraId="11455B4A" w14:textId="77777777" w:rsidR="00DA70E6" w:rsidRPr="00DA70E6" w:rsidRDefault="00DA70E6" w:rsidP="00DA70E6">
      <w:pPr>
        <w:numPr>
          <w:ilvl w:val="0"/>
          <w:numId w:val="43"/>
        </w:numPr>
        <w:autoSpaceDE w:val="0"/>
        <w:autoSpaceDN w:val="0"/>
        <w:adjustRightInd w:val="0"/>
      </w:pPr>
      <w:r w:rsidRPr="00DA70E6">
        <w:rPr>
          <w:color w:val="000000"/>
        </w:rPr>
        <w:t xml:space="preserve">skausmas, pilvo skausmas; </w:t>
      </w:r>
    </w:p>
    <w:p w14:paraId="2CCBD5EA" w14:textId="77777777" w:rsidR="00DA70E6" w:rsidRPr="00DA70E6" w:rsidRDefault="00DA70E6" w:rsidP="00DA70E6">
      <w:pPr>
        <w:numPr>
          <w:ilvl w:val="0"/>
          <w:numId w:val="43"/>
        </w:numPr>
        <w:autoSpaceDE w:val="0"/>
        <w:autoSpaceDN w:val="0"/>
        <w:adjustRightInd w:val="0"/>
      </w:pPr>
      <w:r w:rsidRPr="00DA70E6">
        <w:rPr>
          <w:color w:val="000000"/>
        </w:rPr>
        <w:t xml:space="preserve">miego sutrikimas, nenormalūs sapnai; </w:t>
      </w:r>
    </w:p>
    <w:p w14:paraId="22DA360B" w14:textId="77777777" w:rsidR="00DA70E6" w:rsidRPr="00DA70E6" w:rsidRDefault="00DA70E6" w:rsidP="000407E7">
      <w:pPr>
        <w:numPr>
          <w:ilvl w:val="0"/>
          <w:numId w:val="43"/>
        </w:numPr>
        <w:autoSpaceDE w:val="0"/>
        <w:autoSpaceDN w:val="0"/>
        <w:adjustRightInd w:val="0"/>
        <w:ind w:left="567" w:hanging="207"/>
      </w:pPr>
      <w:r w:rsidRPr="00DA70E6">
        <w:rPr>
          <w:color w:val="000000"/>
        </w:rPr>
        <w:t xml:space="preserve">virškinimo sutrikimai, pasireiškiantys diskomfortu po valgio, išsipūtimo jausmu, dujų susikaupimu žarnyne; </w:t>
      </w:r>
    </w:p>
    <w:p w14:paraId="28581B24" w14:textId="77777777" w:rsidR="00DA70E6" w:rsidRPr="00DA70E6" w:rsidRDefault="00DA70E6" w:rsidP="000407E7">
      <w:pPr>
        <w:numPr>
          <w:ilvl w:val="0"/>
          <w:numId w:val="43"/>
        </w:numPr>
        <w:autoSpaceDE w:val="0"/>
        <w:autoSpaceDN w:val="0"/>
        <w:adjustRightInd w:val="0"/>
        <w:ind w:left="567" w:hanging="207"/>
      </w:pPr>
      <w:r w:rsidRPr="00DA70E6">
        <w:rPr>
          <w:color w:val="000000"/>
        </w:rPr>
        <w:t xml:space="preserve">išbėrimas (įskaitant raudonas dėmeles ar spuogelius, kartais su pūslelėmis ir odos pabrinkimu), kas gali rodyti alerginę reakciją, niežėjimas, odos spalvos pokyčiai, įskaitant odos patamsėjimą lopais; </w:t>
      </w:r>
    </w:p>
    <w:p w14:paraId="7A93FF28" w14:textId="77777777" w:rsidR="00EF0421" w:rsidRPr="00A0725F" w:rsidRDefault="00DA70E6" w:rsidP="00DA70E6">
      <w:pPr>
        <w:numPr>
          <w:ilvl w:val="0"/>
          <w:numId w:val="43"/>
        </w:numPr>
        <w:autoSpaceDE w:val="0"/>
        <w:autoSpaceDN w:val="0"/>
        <w:adjustRightInd w:val="0"/>
      </w:pPr>
      <w:r w:rsidRPr="00DA70E6">
        <w:rPr>
          <w:color w:val="000000"/>
        </w:rPr>
        <w:t>kitos alerginės reakcijos: švokščiantis alsavimas, patinimas ar apsvaigimas</w:t>
      </w:r>
    </w:p>
    <w:p w14:paraId="5715F112" w14:textId="26E10392" w:rsidR="00DA70E6" w:rsidRPr="00DA70E6" w:rsidRDefault="00EF0421" w:rsidP="00DA70E6">
      <w:pPr>
        <w:numPr>
          <w:ilvl w:val="0"/>
          <w:numId w:val="43"/>
        </w:numPr>
        <w:autoSpaceDE w:val="0"/>
        <w:autoSpaceDN w:val="0"/>
        <w:adjustRightInd w:val="0"/>
      </w:pPr>
      <w:proofErr w:type="spellStart"/>
      <w:r>
        <w:rPr>
          <w:rFonts w:ascii="TimesNewRomanPSMT" w:hAnsi="TimesNewRomanPSMT" w:cs="TimesNewRomanPSMT"/>
          <w:szCs w:val="22"/>
          <w:lang w:val="en-US" w:eastAsia="en-US"/>
        </w:rPr>
        <w:t>kaulų</w:t>
      </w:r>
      <w:proofErr w:type="spellEnd"/>
      <w:r>
        <w:rPr>
          <w:rFonts w:ascii="TimesNewRomanPSMT" w:hAnsi="TimesNewRomanPSMT" w:cs="TimesNewRomanPSMT"/>
          <w:szCs w:val="22"/>
          <w:lang w:val="en-US" w:eastAsia="en-US"/>
        </w:rPr>
        <w:t xml:space="preserve"> </w:t>
      </w:r>
      <w:proofErr w:type="spellStart"/>
      <w:r>
        <w:rPr>
          <w:rFonts w:ascii="TimesNewRomanPSMT" w:hAnsi="TimesNewRomanPSMT" w:cs="TimesNewRomanPSMT"/>
          <w:szCs w:val="22"/>
          <w:lang w:val="en-US" w:eastAsia="en-US"/>
        </w:rPr>
        <w:t>masės</w:t>
      </w:r>
      <w:proofErr w:type="spellEnd"/>
      <w:r>
        <w:rPr>
          <w:rFonts w:ascii="TimesNewRomanPSMT" w:hAnsi="TimesNewRomanPSMT" w:cs="TimesNewRomanPSMT"/>
          <w:szCs w:val="22"/>
          <w:lang w:val="en-US" w:eastAsia="en-US"/>
        </w:rPr>
        <w:t xml:space="preserve"> </w:t>
      </w:r>
      <w:proofErr w:type="spellStart"/>
      <w:r>
        <w:rPr>
          <w:rFonts w:ascii="TimesNewRomanPSMT" w:hAnsi="TimesNewRomanPSMT" w:cs="TimesNewRomanPSMT"/>
          <w:szCs w:val="22"/>
          <w:lang w:val="en-US" w:eastAsia="en-US"/>
        </w:rPr>
        <w:t>sumažėjimas</w:t>
      </w:r>
      <w:proofErr w:type="spellEnd"/>
      <w:r w:rsidR="00DA70E6" w:rsidRPr="00DA70E6">
        <w:rPr>
          <w:color w:val="000000"/>
        </w:rPr>
        <w:t xml:space="preserve">. </w:t>
      </w:r>
    </w:p>
    <w:p w14:paraId="7FCE13D4" w14:textId="77777777" w:rsidR="00DA70E6" w:rsidRPr="00DA70E6" w:rsidRDefault="00DA70E6" w:rsidP="00DA70E6">
      <w:pPr>
        <w:autoSpaceDE w:val="0"/>
        <w:autoSpaceDN w:val="0"/>
        <w:adjustRightInd w:val="0"/>
      </w:pPr>
    </w:p>
    <w:p w14:paraId="1FDBB97C" w14:textId="77777777" w:rsidR="00DA70E6" w:rsidRPr="00DA70E6" w:rsidRDefault="00DA70E6" w:rsidP="00DA70E6">
      <w:pPr>
        <w:autoSpaceDE w:val="0"/>
        <w:autoSpaceDN w:val="0"/>
        <w:adjustRightInd w:val="0"/>
      </w:pPr>
      <w:r w:rsidRPr="00DA70E6">
        <w:rPr>
          <w:i/>
          <w:color w:val="000000"/>
        </w:rPr>
        <w:t xml:space="preserve">Tyrimai taip pat gali rodyti: </w:t>
      </w:r>
    </w:p>
    <w:p w14:paraId="4B677B20" w14:textId="77777777" w:rsidR="00DA70E6" w:rsidRPr="00DA70E6" w:rsidRDefault="00DA70E6" w:rsidP="00DA70E6">
      <w:pPr>
        <w:numPr>
          <w:ilvl w:val="0"/>
          <w:numId w:val="43"/>
        </w:numPr>
        <w:autoSpaceDE w:val="0"/>
        <w:autoSpaceDN w:val="0"/>
        <w:adjustRightInd w:val="0"/>
      </w:pPr>
      <w:r w:rsidRPr="00DA70E6">
        <w:rPr>
          <w:color w:val="000000"/>
        </w:rPr>
        <w:t xml:space="preserve">sumažėjusį leukocitų kiekį kraujyje (sumažėjus leukocitų kiekiui kraujyje Jūs galite tapti imlesnis infekcijai); </w:t>
      </w:r>
    </w:p>
    <w:p w14:paraId="5BEB537D" w14:textId="77777777" w:rsidR="00DA70E6" w:rsidRPr="00DA70E6" w:rsidRDefault="00DA70E6" w:rsidP="00DA70E6">
      <w:pPr>
        <w:numPr>
          <w:ilvl w:val="0"/>
          <w:numId w:val="43"/>
        </w:numPr>
        <w:autoSpaceDE w:val="0"/>
        <w:autoSpaceDN w:val="0"/>
        <w:adjustRightInd w:val="0"/>
      </w:pPr>
      <w:r w:rsidRPr="00DA70E6">
        <w:rPr>
          <w:color w:val="000000"/>
        </w:rPr>
        <w:t xml:space="preserve">padidėjusį trigliceridų (riebiųjų rūgščių) kiekį, tulžies pigmentų ar cukraus kiekį kraujyje; </w:t>
      </w:r>
    </w:p>
    <w:p w14:paraId="6DEECC95" w14:textId="77777777" w:rsidR="00DA70E6" w:rsidRPr="00DA70E6" w:rsidRDefault="00DA70E6" w:rsidP="00DA70E6">
      <w:pPr>
        <w:numPr>
          <w:ilvl w:val="0"/>
          <w:numId w:val="43"/>
        </w:numPr>
        <w:autoSpaceDE w:val="0"/>
        <w:autoSpaceDN w:val="0"/>
        <w:adjustRightInd w:val="0"/>
      </w:pPr>
      <w:r w:rsidRPr="00DA70E6">
        <w:rPr>
          <w:color w:val="000000"/>
        </w:rPr>
        <w:t>kepenų ar kasos sutrikimus.</w:t>
      </w:r>
    </w:p>
    <w:p w14:paraId="7D2B58BA" w14:textId="77777777" w:rsidR="00DA70E6" w:rsidRPr="00DA70E6" w:rsidRDefault="00DA70E6" w:rsidP="00DA70E6">
      <w:pPr>
        <w:autoSpaceDE w:val="0"/>
        <w:autoSpaceDN w:val="0"/>
        <w:adjustRightInd w:val="0"/>
      </w:pPr>
    </w:p>
    <w:p w14:paraId="02F7C74B" w14:textId="69563A94" w:rsidR="00DA70E6" w:rsidRPr="00DA70E6" w:rsidRDefault="00DA70E6" w:rsidP="00DA70E6">
      <w:pPr>
        <w:autoSpaceDE w:val="0"/>
        <w:autoSpaceDN w:val="0"/>
        <w:adjustRightInd w:val="0"/>
      </w:pPr>
      <w:r w:rsidRPr="00DA70E6">
        <w:rPr>
          <w:b/>
          <w:color w:val="000000"/>
        </w:rPr>
        <w:t>Nedažn</w:t>
      </w:r>
      <w:r w:rsidR="007B237D">
        <w:rPr>
          <w:b/>
          <w:color w:val="000000"/>
        </w:rPr>
        <w:t>i</w:t>
      </w:r>
      <w:r w:rsidRPr="00DA70E6">
        <w:rPr>
          <w:b/>
          <w:color w:val="000000"/>
        </w:rPr>
        <w:t xml:space="preserve"> šalutini</w:t>
      </w:r>
      <w:r w:rsidR="007B237D">
        <w:rPr>
          <w:b/>
          <w:color w:val="000000"/>
        </w:rPr>
        <w:t>o</w:t>
      </w:r>
      <w:r w:rsidRPr="00DA70E6">
        <w:rPr>
          <w:b/>
          <w:color w:val="000000"/>
        </w:rPr>
        <w:t xml:space="preserve"> poveiki</w:t>
      </w:r>
      <w:r w:rsidR="007B237D">
        <w:rPr>
          <w:b/>
          <w:color w:val="000000"/>
        </w:rPr>
        <w:t xml:space="preserve">o </w:t>
      </w:r>
      <w:r w:rsidR="007B237D" w:rsidRPr="007B237D">
        <w:rPr>
          <w:b/>
          <w:color w:val="000000"/>
        </w:rPr>
        <w:t>reiškiniai</w:t>
      </w:r>
      <w:r w:rsidRPr="00DA70E6">
        <w:rPr>
          <w:b/>
          <w:color w:val="000000"/>
        </w:rPr>
        <w:t xml:space="preserve"> </w:t>
      </w:r>
    </w:p>
    <w:p w14:paraId="76A53520" w14:textId="2C123FE5" w:rsidR="00DA70E6" w:rsidRPr="00DA70E6" w:rsidRDefault="00DA70E6" w:rsidP="00DA70E6">
      <w:pPr>
        <w:autoSpaceDE w:val="0"/>
        <w:autoSpaceDN w:val="0"/>
        <w:adjustRightInd w:val="0"/>
      </w:pPr>
      <w:r w:rsidRPr="00DA70E6">
        <w:rPr>
          <w:i/>
          <w:color w:val="000000"/>
        </w:rPr>
        <w:t xml:space="preserve">(gali pasireikšti </w:t>
      </w:r>
      <w:r w:rsidR="007E428A">
        <w:rPr>
          <w:i/>
          <w:color w:val="000000"/>
        </w:rPr>
        <w:t>reč</w:t>
      </w:r>
      <w:r w:rsidRPr="00DA70E6">
        <w:rPr>
          <w:i/>
          <w:color w:val="000000"/>
        </w:rPr>
        <w:t xml:space="preserve">iau kaip 1 iš 100 </w:t>
      </w:r>
      <w:r w:rsidR="007B237D">
        <w:rPr>
          <w:i/>
          <w:color w:val="000000"/>
        </w:rPr>
        <w:t>asmen</w:t>
      </w:r>
      <w:r w:rsidRPr="00DA70E6">
        <w:rPr>
          <w:i/>
          <w:color w:val="000000"/>
        </w:rPr>
        <w:t xml:space="preserve">ų) </w:t>
      </w:r>
    </w:p>
    <w:p w14:paraId="3AF40543" w14:textId="77777777" w:rsidR="00DA70E6" w:rsidRPr="00DA70E6" w:rsidRDefault="00DA70E6" w:rsidP="00DA70E6">
      <w:pPr>
        <w:numPr>
          <w:ilvl w:val="0"/>
          <w:numId w:val="43"/>
        </w:numPr>
        <w:autoSpaceDE w:val="0"/>
        <w:autoSpaceDN w:val="0"/>
        <w:adjustRightInd w:val="0"/>
      </w:pPr>
      <w:r w:rsidRPr="00DA70E6">
        <w:rPr>
          <w:color w:val="000000"/>
        </w:rPr>
        <w:t xml:space="preserve">pilvo skausmas, sukeltas kasos uždegimo; </w:t>
      </w:r>
    </w:p>
    <w:p w14:paraId="3E7AB6D4" w14:textId="77777777" w:rsidR="00DA70E6" w:rsidRPr="00DA70E6" w:rsidRDefault="00DA70E6" w:rsidP="00DA70E6">
      <w:pPr>
        <w:numPr>
          <w:ilvl w:val="0"/>
          <w:numId w:val="43"/>
        </w:numPr>
        <w:autoSpaceDE w:val="0"/>
        <w:autoSpaceDN w:val="0"/>
        <w:adjustRightInd w:val="0"/>
      </w:pPr>
      <w:r w:rsidRPr="00DA70E6">
        <w:rPr>
          <w:color w:val="000000"/>
        </w:rPr>
        <w:t xml:space="preserve">veido, lūpų, liežuvio arba ryklės patinimas; </w:t>
      </w:r>
    </w:p>
    <w:p w14:paraId="04C4B48B" w14:textId="77777777" w:rsidR="00DA70E6" w:rsidRPr="00DA70E6" w:rsidRDefault="00DA70E6" w:rsidP="00DA70E6">
      <w:pPr>
        <w:numPr>
          <w:ilvl w:val="0"/>
          <w:numId w:val="43"/>
        </w:numPr>
        <w:autoSpaceDE w:val="0"/>
        <w:autoSpaceDN w:val="0"/>
        <w:adjustRightInd w:val="0"/>
      </w:pPr>
      <w:r w:rsidRPr="00DA70E6">
        <w:rPr>
          <w:color w:val="000000"/>
        </w:rPr>
        <w:t xml:space="preserve">anemija (sumažėjęs raudonųjų kraujo ląstelių kiekis); </w:t>
      </w:r>
    </w:p>
    <w:p w14:paraId="094EDD97" w14:textId="77777777" w:rsidR="00DA70E6" w:rsidRPr="00DA70E6" w:rsidRDefault="00DA70E6" w:rsidP="00DA70E6">
      <w:pPr>
        <w:numPr>
          <w:ilvl w:val="0"/>
          <w:numId w:val="43"/>
        </w:numPr>
        <w:autoSpaceDE w:val="0"/>
        <w:autoSpaceDN w:val="0"/>
        <w:adjustRightInd w:val="0"/>
      </w:pPr>
      <w:r w:rsidRPr="00DA70E6">
        <w:rPr>
          <w:color w:val="000000"/>
        </w:rPr>
        <w:t>raumenų irimas, raumenų skausmas arba silpnumas, kuris gali atsirasti dėl inkstų kanalėlių ląstelių pakenkimo</w:t>
      </w:r>
      <w:r w:rsidRPr="00DA70E6">
        <w:rPr>
          <w:color w:val="000000"/>
          <w:szCs w:val="24"/>
          <w:lang w:eastAsia="sl-SI"/>
        </w:rPr>
        <w:t>.</w:t>
      </w:r>
    </w:p>
    <w:p w14:paraId="319799F6" w14:textId="77777777" w:rsidR="00DA70E6" w:rsidRPr="00DA70E6" w:rsidRDefault="00DA70E6" w:rsidP="00DA70E6">
      <w:pPr>
        <w:autoSpaceDE w:val="0"/>
        <w:autoSpaceDN w:val="0"/>
        <w:adjustRightInd w:val="0"/>
      </w:pPr>
    </w:p>
    <w:p w14:paraId="1FFA3D5F" w14:textId="77777777" w:rsidR="00DA70E6" w:rsidRPr="00DA70E6" w:rsidRDefault="00DA70E6" w:rsidP="00DA70E6">
      <w:pPr>
        <w:autoSpaceDE w:val="0"/>
        <w:autoSpaceDN w:val="0"/>
        <w:adjustRightInd w:val="0"/>
      </w:pPr>
      <w:r w:rsidRPr="00DA70E6">
        <w:rPr>
          <w:i/>
          <w:color w:val="000000"/>
        </w:rPr>
        <w:t xml:space="preserve">Tyrimai taip pat gali rodyti: </w:t>
      </w:r>
    </w:p>
    <w:p w14:paraId="5E113888" w14:textId="77777777" w:rsidR="00DA70E6" w:rsidRPr="00DA70E6" w:rsidRDefault="00DA70E6" w:rsidP="00DA70E6">
      <w:pPr>
        <w:numPr>
          <w:ilvl w:val="0"/>
          <w:numId w:val="43"/>
        </w:numPr>
        <w:autoSpaceDE w:val="0"/>
        <w:autoSpaceDN w:val="0"/>
        <w:adjustRightInd w:val="0"/>
      </w:pPr>
      <w:r w:rsidRPr="00DA70E6">
        <w:rPr>
          <w:color w:val="000000"/>
        </w:rPr>
        <w:t xml:space="preserve">sumažėjusį kalio kiekį kraujyje; </w:t>
      </w:r>
    </w:p>
    <w:p w14:paraId="55B29D23" w14:textId="77777777" w:rsidR="00DA70E6" w:rsidRPr="00DA70E6" w:rsidRDefault="00DA70E6" w:rsidP="00DA70E6">
      <w:pPr>
        <w:numPr>
          <w:ilvl w:val="0"/>
          <w:numId w:val="43"/>
        </w:numPr>
        <w:autoSpaceDE w:val="0"/>
        <w:autoSpaceDN w:val="0"/>
        <w:adjustRightInd w:val="0"/>
      </w:pPr>
      <w:r w:rsidRPr="00DA70E6">
        <w:rPr>
          <w:color w:val="000000"/>
        </w:rPr>
        <w:t xml:space="preserve">padidėjusį kreatinino kiekį kraujyje; </w:t>
      </w:r>
    </w:p>
    <w:p w14:paraId="4043187D" w14:textId="77777777" w:rsidR="00DA70E6" w:rsidRPr="00DA70E6" w:rsidRDefault="00DA70E6" w:rsidP="00DA70E6">
      <w:pPr>
        <w:numPr>
          <w:ilvl w:val="0"/>
          <w:numId w:val="43"/>
        </w:numPr>
        <w:autoSpaceDE w:val="0"/>
        <w:autoSpaceDN w:val="0"/>
        <w:adjustRightInd w:val="0"/>
      </w:pPr>
      <w:r w:rsidRPr="00DA70E6">
        <w:rPr>
          <w:color w:val="000000"/>
        </w:rPr>
        <w:t xml:space="preserve">pokyčius Jūsų šlapime. </w:t>
      </w:r>
    </w:p>
    <w:p w14:paraId="690F45E7" w14:textId="77777777" w:rsidR="00DA70E6" w:rsidRPr="00DA70E6" w:rsidRDefault="00DA70E6" w:rsidP="00DA70E6">
      <w:pPr>
        <w:autoSpaceDE w:val="0"/>
        <w:autoSpaceDN w:val="0"/>
        <w:adjustRightInd w:val="0"/>
      </w:pPr>
    </w:p>
    <w:p w14:paraId="09F9AE99" w14:textId="7C1D873F" w:rsidR="00DA70E6" w:rsidRPr="00DA70E6" w:rsidRDefault="00DA70E6" w:rsidP="00DA70E6">
      <w:pPr>
        <w:autoSpaceDE w:val="0"/>
        <w:autoSpaceDN w:val="0"/>
        <w:adjustRightInd w:val="0"/>
      </w:pPr>
      <w:r w:rsidRPr="00DA70E6">
        <w:rPr>
          <w:b/>
          <w:color w:val="000000"/>
        </w:rPr>
        <w:t>Ret</w:t>
      </w:r>
      <w:r w:rsidR="007B237D">
        <w:rPr>
          <w:b/>
          <w:color w:val="000000"/>
        </w:rPr>
        <w:t>i</w:t>
      </w:r>
      <w:r w:rsidRPr="00DA70E6">
        <w:rPr>
          <w:b/>
          <w:color w:val="000000"/>
        </w:rPr>
        <w:t xml:space="preserve"> šalutini</w:t>
      </w:r>
      <w:r w:rsidR="007B237D">
        <w:rPr>
          <w:b/>
          <w:color w:val="000000"/>
        </w:rPr>
        <w:t>o</w:t>
      </w:r>
      <w:r w:rsidRPr="00DA70E6">
        <w:rPr>
          <w:b/>
          <w:color w:val="000000"/>
        </w:rPr>
        <w:t xml:space="preserve"> poveiki</w:t>
      </w:r>
      <w:r w:rsidR="007B237D">
        <w:rPr>
          <w:b/>
          <w:color w:val="000000"/>
        </w:rPr>
        <w:t xml:space="preserve">o </w:t>
      </w:r>
      <w:r w:rsidR="00B751D7">
        <w:rPr>
          <w:b/>
          <w:color w:val="000000"/>
        </w:rPr>
        <w:t>reiškiniai</w:t>
      </w:r>
      <w:r w:rsidR="007B237D" w:rsidRPr="007B237D" w:rsidDel="007B237D">
        <w:t xml:space="preserve"> </w:t>
      </w:r>
      <w:r w:rsidRPr="00DA70E6">
        <w:rPr>
          <w:b/>
          <w:color w:val="000000"/>
        </w:rPr>
        <w:t xml:space="preserve"> </w:t>
      </w:r>
    </w:p>
    <w:p w14:paraId="4AABEAD7" w14:textId="0FC5DF9C" w:rsidR="00DA70E6" w:rsidRPr="00DA70E6" w:rsidRDefault="00DA70E6" w:rsidP="00DA70E6">
      <w:pPr>
        <w:autoSpaceDE w:val="0"/>
        <w:autoSpaceDN w:val="0"/>
        <w:adjustRightInd w:val="0"/>
      </w:pPr>
      <w:r w:rsidRPr="00DA70E6">
        <w:rPr>
          <w:i/>
          <w:color w:val="000000"/>
        </w:rPr>
        <w:t xml:space="preserve">(gali pasireikšti </w:t>
      </w:r>
      <w:r w:rsidR="007E428A">
        <w:rPr>
          <w:i/>
          <w:color w:val="000000"/>
        </w:rPr>
        <w:t>reč</w:t>
      </w:r>
      <w:r w:rsidRPr="00DA70E6">
        <w:rPr>
          <w:i/>
          <w:color w:val="000000"/>
        </w:rPr>
        <w:t xml:space="preserve">iau kaip 1 iš 1000 </w:t>
      </w:r>
      <w:r w:rsidR="007B237D">
        <w:rPr>
          <w:i/>
          <w:color w:val="000000"/>
        </w:rPr>
        <w:t>asmen</w:t>
      </w:r>
      <w:r w:rsidRPr="00DA70E6">
        <w:rPr>
          <w:i/>
          <w:color w:val="000000"/>
        </w:rPr>
        <w:t xml:space="preserve">ų): </w:t>
      </w:r>
    </w:p>
    <w:p w14:paraId="405D09FB" w14:textId="77777777" w:rsidR="00DA70E6" w:rsidRPr="00DA70E6" w:rsidRDefault="00DA70E6" w:rsidP="00DA70E6">
      <w:pPr>
        <w:numPr>
          <w:ilvl w:val="0"/>
          <w:numId w:val="43"/>
        </w:numPr>
        <w:autoSpaceDE w:val="0"/>
        <w:autoSpaceDN w:val="0"/>
        <w:adjustRightInd w:val="0"/>
      </w:pPr>
      <w:r w:rsidRPr="00DA70E6">
        <w:rPr>
          <w:color w:val="000000"/>
        </w:rPr>
        <w:t xml:space="preserve">laktatacidozė (žr. </w:t>
      </w:r>
      <w:r w:rsidRPr="00DA70E6">
        <w:rPr>
          <w:i/>
          <w:color w:val="000000"/>
        </w:rPr>
        <w:t>Galimas sunkus šalutinis poveikis</w:t>
      </w:r>
      <w:r w:rsidRPr="00DA70E6">
        <w:rPr>
          <w:color w:val="000000"/>
        </w:rPr>
        <w:t>);</w:t>
      </w:r>
    </w:p>
    <w:p w14:paraId="4C54ADC9" w14:textId="77777777" w:rsidR="00DA70E6" w:rsidRPr="00DA70E6" w:rsidRDefault="00DA70E6" w:rsidP="00DA70E6">
      <w:pPr>
        <w:numPr>
          <w:ilvl w:val="0"/>
          <w:numId w:val="43"/>
        </w:numPr>
        <w:autoSpaceDE w:val="0"/>
        <w:autoSpaceDN w:val="0"/>
        <w:adjustRightInd w:val="0"/>
      </w:pPr>
      <w:r w:rsidRPr="00DA70E6">
        <w:rPr>
          <w:color w:val="000000"/>
        </w:rPr>
        <w:t xml:space="preserve">kepenų suriebėjimas; </w:t>
      </w:r>
    </w:p>
    <w:p w14:paraId="679BDC6C" w14:textId="77777777" w:rsidR="00DA70E6" w:rsidRPr="00DA70E6" w:rsidRDefault="00DA70E6" w:rsidP="00DA70E6">
      <w:pPr>
        <w:numPr>
          <w:ilvl w:val="0"/>
          <w:numId w:val="43"/>
        </w:numPr>
        <w:autoSpaceDE w:val="0"/>
        <w:autoSpaceDN w:val="0"/>
        <w:adjustRightInd w:val="0"/>
      </w:pPr>
      <w:r w:rsidRPr="00DA70E6">
        <w:rPr>
          <w:color w:val="000000"/>
        </w:rPr>
        <w:t xml:space="preserve">odos ar akių pageltimas, niežėjimas arba pilvo skausmas, sukeltas kepenų uždegimo; </w:t>
      </w:r>
    </w:p>
    <w:p w14:paraId="6164045B" w14:textId="77777777" w:rsidR="00DA70E6" w:rsidRPr="00DA70E6" w:rsidRDefault="00DA70E6" w:rsidP="000407E7">
      <w:pPr>
        <w:numPr>
          <w:ilvl w:val="0"/>
          <w:numId w:val="43"/>
        </w:numPr>
        <w:autoSpaceDE w:val="0"/>
        <w:autoSpaceDN w:val="0"/>
        <w:adjustRightInd w:val="0"/>
        <w:ind w:left="567" w:hanging="207"/>
      </w:pPr>
      <w:r w:rsidRPr="00DA70E6">
        <w:rPr>
          <w:color w:val="000000"/>
        </w:rPr>
        <w:t xml:space="preserve">inkstų uždegimas, padidėjęs šlapimo kiekis ir troškulys, inkstų funkcijos nepakankamumas, inkstų kanalėlių ląstelių pakenkimas; </w:t>
      </w:r>
    </w:p>
    <w:p w14:paraId="55081131" w14:textId="77777777" w:rsidR="00DA70E6" w:rsidRPr="00DA70E6" w:rsidRDefault="00DA70E6" w:rsidP="00DA70E6">
      <w:pPr>
        <w:numPr>
          <w:ilvl w:val="0"/>
          <w:numId w:val="43"/>
        </w:numPr>
        <w:autoSpaceDE w:val="0"/>
        <w:autoSpaceDN w:val="0"/>
        <w:adjustRightInd w:val="0"/>
      </w:pPr>
      <w:r w:rsidRPr="00DA70E6">
        <w:rPr>
          <w:color w:val="000000"/>
        </w:rPr>
        <w:t xml:space="preserve">kaulų suminkštėjimas (lydimas kaulų skausmų ir kartais sukeliantis lūžius); </w:t>
      </w:r>
    </w:p>
    <w:p w14:paraId="3188617D" w14:textId="77777777" w:rsidR="00DA70E6" w:rsidRPr="00DA70E6" w:rsidRDefault="00DA70E6" w:rsidP="00DA70E6">
      <w:pPr>
        <w:numPr>
          <w:ilvl w:val="0"/>
          <w:numId w:val="43"/>
        </w:numPr>
        <w:autoSpaceDE w:val="0"/>
        <w:autoSpaceDN w:val="0"/>
        <w:adjustRightInd w:val="0"/>
      </w:pPr>
      <w:r w:rsidRPr="00DA70E6">
        <w:rPr>
          <w:color w:val="000000"/>
        </w:rPr>
        <w:t>inkstų sutrikimų sukeltas nugaros skausmas.</w:t>
      </w:r>
    </w:p>
    <w:p w14:paraId="5810C656" w14:textId="77777777" w:rsidR="00DA70E6" w:rsidRPr="00DA70E6" w:rsidRDefault="00DA70E6" w:rsidP="00DA70E6">
      <w:pPr>
        <w:tabs>
          <w:tab w:val="left" w:pos="567"/>
        </w:tabs>
        <w:ind w:left="567" w:hanging="567"/>
      </w:pPr>
    </w:p>
    <w:p w14:paraId="1695A77D" w14:textId="77777777" w:rsidR="00DA70E6" w:rsidRPr="00DA70E6" w:rsidRDefault="00DA70E6" w:rsidP="00DA70E6">
      <w:pPr>
        <w:autoSpaceDE w:val="0"/>
        <w:autoSpaceDN w:val="0"/>
        <w:adjustRightInd w:val="0"/>
      </w:pPr>
      <w:r w:rsidRPr="00DA70E6">
        <w:rPr>
          <w:color w:val="000000"/>
        </w:rPr>
        <w:t xml:space="preserve">Su inkstų kanalėlių ląstelių pakenkimu gali būti susijęs raumenų irimas, kaulų suminkštėjimas (lydimas kaulų skausmų ir kartais sukeliantis lūžius), raumenų skausmas, raumenų silpnumas, kalio ir fosfatų kiekio kraujyje sumažėjimas. </w:t>
      </w:r>
    </w:p>
    <w:p w14:paraId="06471C83" w14:textId="77777777" w:rsidR="00DA70E6" w:rsidRPr="00DA70E6" w:rsidRDefault="00DA70E6" w:rsidP="00DA70E6">
      <w:pPr>
        <w:autoSpaceDE w:val="0"/>
        <w:autoSpaceDN w:val="0"/>
        <w:adjustRightInd w:val="0"/>
      </w:pPr>
    </w:p>
    <w:p w14:paraId="711D869C" w14:textId="77777777" w:rsidR="00DA70E6" w:rsidRPr="00DA70E6" w:rsidRDefault="00DA70E6" w:rsidP="00DA70E6">
      <w:pPr>
        <w:autoSpaceDE w:val="0"/>
        <w:autoSpaceDN w:val="0"/>
        <w:adjustRightInd w:val="0"/>
        <w:ind w:left="1134" w:hanging="567"/>
      </w:pPr>
      <w:r w:rsidRPr="00DA70E6">
        <w:rPr>
          <w:rFonts w:ascii="Wingdings" w:hAnsi="Wingdings"/>
          <w:color w:val="000000"/>
        </w:rPr>
        <w:t></w:t>
      </w:r>
      <w:r w:rsidRPr="00DA70E6">
        <w:rPr>
          <w:rFonts w:ascii="Wingdings" w:hAnsi="Wingdings"/>
          <w:color w:val="000000"/>
        </w:rPr>
        <w:t></w:t>
      </w:r>
      <w:r w:rsidRPr="00DA70E6">
        <w:rPr>
          <w:b/>
          <w:color w:val="000000"/>
        </w:rPr>
        <w:t>Jeigu pasireiškė arba pasunkėjo bet kuris aukščiau išvardytas šalutinis poveikis</w:t>
      </w:r>
      <w:r w:rsidRPr="00DA70E6">
        <w:rPr>
          <w:color w:val="000000"/>
        </w:rPr>
        <w:t xml:space="preserve">, pasakykite savo gydytojui arba vaistininkui. </w:t>
      </w:r>
    </w:p>
    <w:p w14:paraId="14C1F148" w14:textId="77777777" w:rsidR="00DA70E6" w:rsidRPr="00DA70E6" w:rsidRDefault="00DA70E6" w:rsidP="00DA70E6">
      <w:pPr>
        <w:autoSpaceDE w:val="0"/>
        <w:autoSpaceDN w:val="0"/>
        <w:adjustRightInd w:val="0"/>
      </w:pPr>
    </w:p>
    <w:p w14:paraId="6F520C21" w14:textId="77777777" w:rsidR="00DA70E6" w:rsidRPr="00DA70E6" w:rsidRDefault="00DA70E6" w:rsidP="00DA70E6">
      <w:pPr>
        <w:autoSpaceDE w:val="0"/>
        <w:autoSpaceDN w:val="0"/>
        <w:adjustRightInd w:val="0"/>
      </w:pPr>
      <w:r w:rsidRPr="00DA70E6">
        <w:rPr>
          <w:color w:val="000000"/>
        </w:rPr>
        <w:t xml:space="preserve">Šio šalutinio poveikio dažnis nežinomas. </w:t>
      </w:r>
    </w:p>
    <w:p w14:paraId="39A837F0" w14:textId="77777777" w:rsidR="00DA70E6" w:rsidRPr="00DA70E6" w:rsidRDefault="00DA70E6" w:rsidP="00DA70E6">
      <w:pPr>
        <w:numPr>
          <w:ilvl w:val="0"/>
          <w:numId w:val="43"/>
        </w:numPr>
        <w:autoSpaceDE w:val="0"/>
        <w:autoSpaceDN w:val="0"/>
        <w:adjustRightInd w:val="0"/>
      </w:pPr>
      <w:r w:rsidRPr="00DA70E6">
        <w:rPr>
          <w:b/>
          <w:color w:val="000000"/>
        </w:rPr>
        <w:t xml:space="preserve">Kaulų sutrikimai. </w:t>
      </w:r>
      <w:r w:rsidRPr="00DA70E6">
        <w:rPr>
          <w:color w:val="000000"/>
        </w:rPr>
        <w:t xml:space="preserve">Vartojant kombinuotų antiretrovirusinių vaistų, pvz., Emtricitabine/Tenofovir disoproxil Sandoz, kai kuriems pacientams gali atsirasti kaulų liga, vadinama </w:t>
      </w:r>
      <w:r w:rsidRPr="00DA70E6">
        <w:rPr>
          <w:i/>
          <w:color w:val="000000"/>
        </w:rPr>
        <w:t xml:space="preserve">kaulų nekroze </w:t>
      </w:r>
      <w:r w:rsidRPr="00DA70E6">
        <w:rPr>
          <w:color w:val="000000"/>
        </w:rPr>
        <w:t xml:space="preserve">(kaulų audinio žuvimas, atsiradęs sutrikus kraujo patekimui į kaulą). Ilgalaikis tokio tipo vaistų vartojimas, kortikosteroidų vartojimas, alkoholio gėrimas, labai silpna imuninė sistema ir antsvoris – tai gali būti keli iš daugelio rizikos veiksnių, dėl kurių gali išsivystyti ši liga. Kaulų nekrozės požymiai yra: </w:t>
      </w:r>
    </w:p>
    <w:p w14:paraId="0576C609" w14:textId="77777777" w:rsidR="00DA70E6" w:rsidRPr="00DA70E6" w:rsidRDefault="00DA70E6" w:rsidP="00DA70E6">
      <w:pPr>
        <w:numPr>
          <w:ilvl w:val="0"/>
          <w:numId w:val="43"/>
        </w:numPr>
        <w:autoSpaceDE w:val="0"/>
        <w:autoSpaceDN w:val="0"/>
        <w:adjustRightInd w:val="0"/>
        <w:ind w:left="1134"/>
      </w:pPr>
      <w:r w:rsidRPr="00DA70E6">
        <w:rPr>
          <w:color w:val="000000"/>
        </w:rPr>
        <w:t xml:space="preserve">sąnarių sustingimas; </w:t>
      </w:r>
    </w:p>
    <w:p w14:paraId="38980490" w14:textId="77777777" w:rsidR="00DA70E6" w:rsidRPr="00DA70E6" w:rsidRDefault="00DA70E6" w:rsidP="00DA70E6">
      <w:pPr>
        <w:numPr>
          <w:ilvl w:val="0"/>
          <w:numId w:val="43"/>
        </w:numPr>
        <w:autoSpaceDE w:val="0"/>
        <w:autoSpaceDN w:val="0"/>
        <w:adjustRightInd w:val="0"/>
        <w:ind w:left="1134"/>
      </w:pPr>
      <w:r w:rsidRPr="00DA70E6">
        <w:rPr>
          <w:color w:val="000000"/>
        </w:rPr>
        <w:t xml:space="preserve">sąnarių (ypač klubų, kelių ir pečių) gėlimas ir skausmas; </w:t>
      </w:r>
    </w:p>
    <w:p w14:paraId="3AF3D21E" w14:textId="77777777" w:rsidR="00DA70E6" w:rsidRPr="00DA70E6" w:rsidRDefault="00DA70E6" w:rsidP="00DA70E6">
      <w:pPr>
        <w:numPr>
          <w:ilvl w:val="0"/>
          <w:numId w:val="43"/>
        </w:numPr>
        <w:autoSpaceDE w:val="0"/>
        <w:autoSpaceDN w:val="0"/>
        <w:adjustRightInd w:val="0"/>
        <w:ind w:left="1134"/>
      </w:pPr>
      <w:r w:rsidRPr="00DA70E6">
        <w:rPr>
          <w:color w:val="000000"/>
        </w:rPr>
        <w:t xml:space="preserve">pasunkėję judesiai. </w:t>
      </w:r>
    </w:p>
    <w:p w14:paraId="36D09F84" w14:textId="77777777" w:rsidR="00DA70E6" w:rsidRPr="00DA70E6" w:rsidRDefault="00DA70E6" w:rsidP="00DA70E6">
      <w:pPr>
        <w:autoSpaceDE w:val="0"/>
        <w:autoSpaceDN w:val="0"/>
        <w:adjustRightInd w:val="0"/>
      </w:pPr>
    </w:p>
    <w:p w14:paraId="7C8463E4" w14:textId="77777777" w:rsidR="00DA70E6" w:rsidRPr="00DA70E6" w:rsidRDefault="00DA70E6" w:rsidP="00DA70E6">
      <w:pPr>
        <w:autoSpaceDE w:val="0"/>
        <w:autoSpaceDN w:val="0"/>
        <w:adjustRightInd w:val="0"/>
        <w:ind w:left="567"/>
      </w:pPr>
      <w:r w:rsidRPr="00DA70E6">
        <w:rPr>
          <w:rFonts w:ascii="Wingdings" w:hAnsi="Wingdings"/>
          <w:color w:val="000000"/>
        </w:rPr>
        <w:t></w:t>
      </w:r>
      <w:r w:rsidRPr="00DA70E6">
        <w:rPr>
          <w:rFonts w:ascii="Wingdings" w:hAnsi="Wingdings"/>
          <w:color w:val="000000"/>
        </w:rPr>
        <w:t></w:t>
      </w:r>
      <w:r w:rsidRPr="00DA70E6">
        <w:rPr>
          <w:b/>
          <w:color w:val="000000"/>
        </w:rPr>
        <w:t xml:space="preserve">Jeigu pastebite kurį nors iš šių simptomų, pasakykite savo gydytojui. </w:t>
      </w:r>
    </w:p>
    <w:p w14:paraId="7DF912F7" w14:textId="77777777" w:rsidR="00DA70E6" w:rsidRPr="00DA70E6" w:rsidRDefault="00DA70E6" w:rsidP="00DA70E6">
      <w:pPr>
        <w:tabs>
          <w:tab w:val="left" w:pos="567"/>
        </w:tabs>
        <w:ind w:left="567" w:hanging="567"/>
      </w:pPr>
    </w:p>
    <w:p w14:paraId="575998B9" w14:textId="77777777" w:rsidR="00DA70E6" w:rsidRPr="00DA70E6" w:rsidRDefault="00DA70E6" w:rsidP="00DA70E6">
      <w:pPr>
        <w:tabs>
          <w:tab w:val="left" w:pos="0"/>
        </w:tabs>
      </w:pPr>
      <w:r w:rsidRPr="00DA70E6">
        <w:t>Gydymo nuo ŽIV metu gali padidėti kūno masė ir lipidų bei gliukozės kiekiai kraujyje. Tokie pokyčiai iš dalies gali būti susiję su sveikatos būklės pagerėjimu ir gyvenimo būdu, o lipidų pokyčiai kai kuriais atvejais yra susiję su vaistų nuo ŽIV vartojimu. Jūsų gydytojas tirs, ar neatsiranda tokių pokyčių.</w:t>
      </w:r>
    </w:p>
    <w:p w14:paraId="2344C8F3" w14:textId="77777777" w:rsidR="00DA70E6" w:rsidRPr="00DA70E6" w:rsidRDefault="00DA70E6" w:rsidP="00DA70E6">
      <w:pPr>
        <w:tabs>
          <w:tab w:val="left" w:pos="567"/>
        </w:tabs>
        <w:ind w:left="567" w:hanging="567"/>
      </w:pPr>
    </w:p>
    <w:p w14:paraId="20DDE0A8" w14:textId="77777777" w:rsidR="00DA70E6" w:rsidRPr="00DA70E6" w:rsidRDefault="00DA70E6" w:rsidP="00DA70E6">
      <w:pPr>
        <w:tabs>
          <w:tab w:val="left" w:pos="567"/>
        </w:tabs>
        <w:ind w:left="567" w:hanging="567"/>
        <w:rPr>
          <w:b/>
        </w:rPr>
      </w:pPr>
      <w:r w:rsidRPr="00DA70E6">
        <w:rPr>
          <w:b/>
        </w:rPr>
        <w:t>Kitas poveikis vaikams</w:t>
      </w:r>
    </w:p>
    <w:p w14:paraId="7B00405B" w14:textId="77777777" w:rsidR="00DA70E6" w:rsidRPr="00DA70E6" w:rsidRDefault="00DA70E6" w:rsidP="00DA70E6">
      <w:pPr>
        <w:numPr>
          <w:ilvl w:val="0"/>
          <w:numId w:val="48"/>
        </w:numPr>
        <w:ind w:left="567" w:hanging="567"/>
      </w:pPr>
      <w:r w:rsidRPr="00DA70E6">
        <w:t>Vaikams, vartojantiems emtricitabino, labai dažnai pakinta odos spalva, įskaitant odos patamsėjimą lopais</w:t>
      </w:r>
    </w:p>
    <w:p w14:paraId="53B1CD28" w14:textId="77777777" w:rsidR="00DA70E6" w:rsidRPr="00DA70E6" w:rsidRDefault="00DA70E6" w:rsidP="00DA70E6">
      <w:pPr>
        <w:numPr>
          <w:ilvl w:val="0"/>
          <w:numId w:val="48"/>
        </w:numPr>
        <w:ind w:left="567" w:hanging="567"/>
      </w:pPr>
      <w:r w:rsidRPr="00DA70E6">
        <w:t>Vaikams dažnai sumažėja raudonųjų kraujo kūnelių skaičius (anemija). Dėl to vaikas gali būti pavargęs arba dusti.</w:t>
      </w:r>
    </w:p>
    <w:p w14:paraId="67185929" w14:textId="77777777" w:rsidR="00DA70E6" w:rsidRPr="00DA70E6" w:rsidRDefault="00DA70E6" w:rsidP="00DA70E6">
      <w:pPr>
        <w:tabs>
          <w:tab w:val="left" w:pos="567"/>
        </w:tabs>
        <w:ind w:left="567" w:hanging="567"/>
      </w:pPr>
    </w:p>
    <w:p w14:paraId="2C216DBC" w14:textId="77777777" w:rsidR="00DA70E6" w:rsidRPr="00DA70E6" w:rsidRDefault="00DA70E6" w:rsidP="00DA70E6">
      <w:pPr>
        <w:numPr>
          <w:ilvl w:val="0"/>
          <w:numId w:val="41"/>
        </w:numPr>
        <w:tabs>
          <w:tab w:val="left" w:pos="567"/>
        </w:tabs>
        <w:ind w:left="567" w:hanging="567"/>
        <w:rPr>
          <w:b/>
        </w:rPr>
      </w:pPr>
      <w:r w:rsidRPr="00DA70E6">
        <w:rPr>
          <w:b/>
        </w:rPr>
        <w:t>Jeigu pastebite kurį nors iš šių simptomų, pasakykite savo gydytojui.</w:t>
      </w:r>
    </w:p>
    <w:p w14:paraId="197B9818" w14:textId="77777777" w:rsidR="00DA70E6" w:rsidRPr="00DA70E6" w:rsidRDefault="00DA70E6" w:rsidP="00DA70E6">
      <w:pPr>
        <w:tabs>
          <w:tab w:val="left" w:pos="567"/>
        </w:tabs>
        <w:ind w:left="567" w:hanging="567"/>
      </w:pPr>
    </w:p>
    <w:p w14:paraId="35869F8B" w14:textId="77777777" w:rsidR="00DA70E6" w:rsidRPr="00DA70E6" w:rsidRDefault="00DA70E6" w:rsidP="00DA70E6">
      <w:pPr>
        <w:tabs>
          <w:tab w:val="left" w:pos="567"/>
        </w:tabs>
        <w:rPr>
          <w:b/>
        </w:rPr>
      </w:pPr>
      <w:r w:rsidRPr="00DA70E6">
        <w:rPr>
          <w:b/>
        </w:rPr>
        <w:t>Pranešimas apie šalutinį poveikį</w:t>
      </w:r>
    </w:p>
    <w:p w14:paraId="08A374A3" w14:textId="44095D0C" w:rsidR="00DA70E6" w:rsidRPr="00DA70E6" w:rsidRDefault="00DA70E6" w:rsidP="00DA70E6">
      <w:pPr>
        <w:tabs>
          <w:tab w:val="left" w:pos="567"/>
        </w:tabs>
        <w:spacing w:line="260" w:lineRule="exact"/>
        <w:ind w:right="-449"/>
      </w:pPr>
      <w:r w:rsidRPr="00DA70E6">
        <w:t xml:space="preserve">Jeigu pasireiškė šalutinis poveikis, įskaitant šiame lapelyje nenurodytą, pasakykite gydytojui arba vaistininkui. </w:t>
      </w:r>
      <w:r w:rsidR="009150E2">
        <w:rPr>
          <w:szCs w:val="22"/>
        </w:rPr>
        <w:t xml:space="preserve">Pranešimą apie šalutinį poveikį galite užpildyti ir pateikti Valstybinės vaistų kontrolės tarnybos prie Lietuvos Respublikos sveikatos apsaugos ministerijos tinklalapyje </w:t>
      </w:r>
      <w:r w:rsidR="009150E2">
        <w:rPr>
          <w:color w:val="0000EE"/>
          <w:szCs w:val="22"/>
          <w:u w:val="single"/>
        </w:rPr>
        <w:t>https://vvkt.lrv.lt/lt/</w:t>
      </w:r>
      <w:r w:rsidR="009150E2">
        <w:rPr>
          <w:szCs w:val="22"/>
        </w:rPr>
        <w:t xml:space="preserve"> nurodytais būdais arba paskambinti nemokamu telefonu 8 800 73 568. Pranešdami apie šalutinį poveikį galite mums padėti gauti daugiau informacijos apie šio vaisto saugumą</w:t>
      </w:r>
      <w:r w:rsidR="009150E2">
        <w:t>.</w:t>
      </w:r>
    </w:p>
    <w:p w14:paraId="01BE3C3A" w14:textId="77777777" w:rsidR="00DA70E6" w:rsidRPr="00DA70E6" w:rsidRDefault="00DA70E6" w:rsidP="00DA70E6">
      <w:pPr>
        <w:tabs>
          <w:tab w:val="left" w:pos="567"/>
        </w:tabs>
        <w:spacing w:line="260" w:lineRule="exact"/>
        <w:ind w:right="-449"/>
      </w:pPr>
    </w:p>
    <w:p w14:paraId="7A193A95" w14:textId="77777777" w:rsidR="00DA70E6" w:rsidRPr="00DA70E6" w:rsidRDefault="00DA70E6" w:rsidP="00DA70E6">
      <w:pPr>
        <w:ind w:left="567" w:hanging="567"/>
      </w:pPr>
    </w:p>
    <w:p w14:paraId="34E96B34" w14:textId="77777777" w:rsidR="00DA70E6" w:rsidRPr="00DA70E6" w:rsidRDefault="00DA70E6" w:rsidP="00DA70E6">
      <w:pPr>
        <w:numPr>
          <w:ilvl w:val="12"/>
          <w:numId w:val="0"/>
        </w:numPr>
        <w:ind w:left="567" w:hanging="567"/>
        <w:outlineLvl w:val="0"/>
        <w:rPr>
          <w:b/>
          <w:caps/>
        </w:rPr>
      </w:pPr>
      <w:r w:rsidRPr="00DA70E6">
        <w:rPr>
          <w:b/>
          <w:caps/>
        </w:rPr>
        <w:t>5.</w:t>
      </w:r>
      <w:r w:rsidRPr="00DA70E6">
        <w:rPr>
          <w:b/>
          <w:caps/>
        </w:rPr>
        <w:tab/>
        <w:t>K</w:t>
      </w:r>
      <w:r w:rsidRPr="00DA70E6">
        <w:rPr>
          <w:b/>
        </w:rPr>
        <w:t>aip laikyti Emtricitabine/Tenofovir disoproxil Sandoz</w:t>
      </w:r>
    </w:p>
    <w:p w14:paraId="79C28B38" w14:textId="77777777" w:rsidR="00DA70E6" w:rsidRPr="00DA70E6" w:rsidRDefault="00DA70E6" w:rsidP="00DA70E6">
      <w:pPr>
        <w:ind w:left="567" w:hanging="567"/>
      </w:pPr>
    </w:p>
    <w:p w14:paraId="3763E1AC" w14:textId="77777777" w:rsidR="00DA70E6" w:rsidRPr="00DA70E6" w:rsidRDefault="00DA70E6" w:rsidP="00DA70E6">
      <w:pPr>
        <w:ind w:left="567" w:hanging="567"/>
      </w:pPr>
      <w:r w:rsidRPr="00DA70E6">
        <w:t>Šį vaistą laikykite vaikams nepastebimoje ir nepasiekiamoje vietoje.</w:t>
      </w:r>
    </w:p>
    <w:p w14:paraId="0DD566EB" w14:textId="77777777" w:rsidR="00DA70E6" w:rsidRPr="00DA70E6" w:rsidRDefault="00DA70E6" w:rsidP="00DA70E6"/>
    <w:p w14:paraId="4ED9FA45" w14:textId="77777777" w:rsidR="00DA70E6" w:rsidRPr="00DA70E6" w:rsidRDefault="00DA70E6" w:rsidP="00DA70E6">
      <w:r w:rsidRPr="00DA70E6">
        <w:t>Ant etiketės ir dėžutės po „</w:t>
      </w:r>
      <w:r w:rsidR="001A0661">
        <w:t>E</w:t>
      </w:r>
      <w:r w:rsidR="002156D4">
        <w:t>XP</w:t>
      </w:r>
      <w:r w:rsidRPr="00DA70E6">
        <w:t>“ nurodytam tinkamumo laikui pasibaigus, šio vaisto vartoti negalima. Vaistas tinkamas vartoti iki paskutinės nurodyto mėnesio dienos.</w:t>
      </w:r>
    </w:p>
    <w:p w14:paraId="1B630C0D" w14:textId="77777777" w:rsidR="00DA70E6" w:rsidRPr="00DA70E6" w:rsidRDefault="00DA70E6" w:rsidP="00DA70E6"/>
    <w:p w14:paraId="41D2002D" w14:textId="77777777" w:rsidR="00DA70E6" w:rsidRPr="00DA70E6" w:rsidRDefault="00DA70E6" w:rsidP="00DA70E6">
      <w:r w:rsidRPr="00DA70E6">
        <w:t xml:space="preserve">Buteliukas: </w:t>
      </w:r>
    </w:p>
    <w:p w14:paraId="305D93B1" w14:textId="77777777" w:rsidR="00DA70E6" w:rsidRPr="00DA70E6" w:rsidRDefault="00DA70E6" w:rsidP="00DA70E6">
      <w:r w:rsidRPr="00DA70E6">
        <w:t>Laikyti gamintojo pakuotėje, kad vaistas būtų apsaugotas nuo drėgmės. Buteliuką laikyti sandarų.</w:t>
      </w:r>
    </w:p>
    <w:p w14:paraId="10F7C2DF" w14:textId="77777777" w:rsidR="00DA70E6" w:rsidRPr="00DA70E6" w:rsidRDefault="00DA70E6" w:rsidP="00DA70E6">
      <w:r w:rsidRPr="00DA70E6">
        <w:t>Šio vaisto laikymui specialių temperatūros sąlygų nereikalaujama.</w:t>
      </w:r>
    </w:p>
    <w:p w14:paraId="0BFBA920" w14:textId="77777777" w:rsidR="00DA70E6" w:rsidRPr="00DA70E6" w:rsidRDefault="00DA70E6" w:rsidP="00DA70E6"/>
    <w:p w14:paraId="5093E85F" w14:textId="77777777" w:rsidR="00DA70E6" w:rsidRPr="00DA70E6" w:rsidRDefault="00DA70E6" w:rsidP="00DA70E6">
      <w:r w:rsidRPr="00DA70E6">
        <w:t>Po pirmojo buteliuko atidarymo: suvartoti per 30 dienų.</w:t>
      </w:r>
    </w:p>
    <w:p w14:paraId="554663BF" w14:textId="77777777" w:rsidR="00DA70E6" w:rsidRPr="00DA70E6" w:rsidRDefault="00DA70E6" w:rsidP="00DA70E6"/>
    <w:p w14:paraId="086D6B0F" w14:textId="77777777" w:rsidR="00DA70E6" w:rsidRPr="00DA70E6" w:rsidRDefault="00DA70E6" w:rsidP="00DA70E6">
      <w:r w:rsidRPr="00DA70E6">
        <w:t>Lizdinė plokštelė:</w:t>
      </w:r>
    </w:p>
    <w:p w14:paraId="68B0DBAA" w14:textId="77777777" w:rsidR="00DA70E6" w:rsidRPr="00DA70E6" w:rsidRDefault="00DA70E6" w:rsidP="00DA70E6">
      <w:r w:rsidRPr="00DA70E6">
        <w:t>Laikyti žemesnėje kaip 30 °C temperatūroje.</w:t>
      </w:r>
    </w:p>
    <w:p w14:paraId="63E7F1F5" w14:textId="77777777" w:rsidR="00DA70E6" w:rsidRPr="00DA70E6" w:rsidRDefault="00DA70E6" w:rsidP="00DA70E6"/>
    <w:p w14:paraId="543A1EBE" w14:textId="77777777" w:rsidR="00DA70E6" w:rsidRPr="00DA70E6" w:rsidRDefault="00DA70E6" w:rsidP="00DA70E6">
      <w:r w:rsidRPr="00DA70E6">
        <w:t>Vaistų negalima išmesti į kanalizaciją arba su buitinėmis atliekomis. Kaip išmesti nereikalingus vaistus, klauskite vaistininko. Šios priemonės padės apsaugoti aplinką.</w:t>
      </w:r>
    </w:p>
    <w:p w14:paraId="54BA3796" w14:textId="77777777" w:rsidR="00DA70E6" w:rsidRPr="00DA70E6" w:rsidRDefault="00DA70E6" w:rsidP="00DA70E6"/>
    <w:p w14:paraId="06F36A29" w14:textId="77777777" w:rsidR="00DA70E6" w:rsidRPr="00DA70E6" w:rsidRDefault="00DA70E6" w:rsidP="00DA70E6"/>
    <w:p w14:paraId="433C5341" w14:textId="77777777" w:rsidR="00DA70E6" w:rsidRPr="00DA70E6" w:rsidRDefault="00DA70E6" w:rsidP="00DA70E6">
      <w:pPr>
        <w:numPr>
          <w:ilvl w:val="12"/>
          <w:numId w:val="0"/>
        </w:numPr>
        <w:ind w:left="567" w:hanging="567"/>
        <w:outlineLvl w:val="0"/>
        <w:rPr>
          <w:b/>
        </w:rPr>
      </w:pPr>
      <w:r w:rsidRPr="00DA70E6">
        <w:rPr>
          <w:b/>
        </w:rPr>
        <w:t>6.</w:t>
      </w:r>
      <w:r w:rsidRPr="00DA70E6">
        <w:tab/>
      </w:r>
      <w:r w:rsidRPr="00DA70E6">
        <w:rPr>
          <w:b/>
        </w:rPr>
        <w:t>Pakuotės turinys ir kita informacija</w:t>
      </w:r>
    </w:p>
    <w:p w14:paraId="7C52AC77" w14:textId="77777777" w:rsidR="00DA70E6" w:rsidRPr="00DA70E6" w:rsidRDefault="00DA70E6" w:rsidP="00DA70E6">
      <w:pPr>
        <w:numPr>
          <w:ilvl w:val="12"/>
          <w:numId w:val="0"/>
        </w:numPr>
        <w:ind w:left="567" w:hanging="567"/>
        <w:outlineLvl w:val="0"/>
        <w:rPr>
          <w:b/>
        </w:rPr>
      </w:pPr>
    </w:p>
    <w:p w14:paraId="0AAF58DB" w14:textId="77777777" w:rsidR="00DA70E6" w:rsidRPr="00DA70E6" w:rsidRDefault="00DA70E6" w:rsidP="00DA70E6">
      <w:pPr>
        <w:numPr>
          <w:ilvl w:val="12"/>
          <w:numId w:val="0"/>
        </w:numPr>
        <w:ind w:left="567" w:hanging="567"/>
        <w:outlineLvl w:val="0"/>
        <w:rPr>
          <w:b/>
        </w:rPr>
      </w:pPr>
      <w:r w:rsidRPr="00DA70E6">
        <w:rPr>
          <w:b/>
        </w:rPr>
        <w:t>Emtricitabine/Tenofovir disoproxil Sandoz sudėtis</w:t>
      </w:r>
    </w:p>
    <w:p w14:paraId="03F07459" w14:textId="77777777" w:rsidR="00DA70E6" w:rsidRPr="00DA70E6" w:rsidRDefault="00DA70E6" w:rsidP="00DA70E6">
      <w:pPr>
        <w:numPr>
          <w:ilvl w:val="12"/>
          <w:numId w:val="0"/>
        </w:numPr>
        <w:ind w:left="567" w:hanging="567"/>
        <w:outlineLvl w:val="0"/>
      </w:pPr>
      <w:r w:rsidRPr="00DA70E6">
        <w:t>Veikliosios medžiagos yra emtricitabinas ir tenofoviras dizoproksilis.</w:t>
      </w:r>
    </w:p>
    <w:p w14:paraId="3AAC22F2" w14:textId="77777777" w:rsidR="00DA70E6" w:rsidRPr="00DA70E6" w:rsidRDefault="00DA70E6" w:rsidP="00DA70E6">
      <w:pPr>
        <w:numPr>
          <w:ilvl w:val="12"/>
          <w:numId w:val="0"/>
        </w:numPr>
        <w:ind w:left="567" w:hanging="567"/>
        <w:outlineLvl w:val="0"/>
      </w:pPr>
      <w:r w:rsidRPr="00DA70E6">
        <w:t>Kiekvienoje tabletėje yra 200 mg emtricitabino ir 245 mg tenofoviro dizoproksilio.</w:t>
      </w:r>
    </w:p>
    <w:p w14:paraId="78C5629F" w14:textId="77777777" w:rsidR="00DA70E6" w:rsidRPr="00DA70E6" w:rsidRDefault="00DA70E6" w:rsidP="00DA70E6">
      <w:pPr>
        <w:numPr>
          <w:ilvl w:val="12"/>
          <w:numId w:val="0"/>
        </w:numPr>
        <w:ind w:left="567" w:hanging="567"/>
        <w:outlineLvl w:val="0"/>
      </w:pPr>
      <w:r w:rsidRPr="00DA70E6">
        <w:t>Pagalbinės medžiagos yra šios:</w:t>
      </w:r>
    </w:p>
    <w:p w14:paraId="47655D41" w14:textId="77777777" w:rsidR="00DA70E6" w:rsidRPr="00DA70E6" w:rsidRDefault="00DA70E6" w:rsidP="00DA70E6">
      <w:pPr>
        <w:ind w:left="567" w:hanging="567"/>
      </w:pPr>
      <w:r w:rsidRPr="00DA70E6">
        <w:t>-</w:t>
      </w:r>
      <w:r w:rsidRPr="00DA70E6">
        <w:tab/>
      </w:r>
      <w:r w:rsidRPr="00DA70E6">
        <w:rPr>
          <w:i/>
        </w:rPr>
        <w:t>tabletės branduolys</w:t>
      </w:r>
      <w:r w:rsidRPr="00DA70E6">
        <w:t>: mikrokristalinė celiuliozė, kroskarmeliozės natrio druska, magnio stearatas, pregelifikuotas kukurūzų krakmolas, laktozė monohidratas.</w:t>
      </w:r>
    </w:p>
    <w:p w14:paraId="16B76B3F" w14:textId="77777777" w:rsidR="00DA70E6" w:rsidRPr="00DA70E6" w:rsidRDefault="00DA70E6" w:rsidP="000407E7">
      <w:pPr>
        <w:numPr>
          <w:ilvl w:val="0"/>
          <w:numId w:val="35"/>
        </w:numPr>
        <w:ind w:left="567" w:hanging="567"/>
      </w:pPr>
      <w:r w:rsidRPr="00DA70E6">
        <w:rPr>
          <w:i/>
        </w:rPr>
        <w:t>tabletės plėvelė</w:t>
      </w:r>
      <w:r w:rsidRPr="00DA70E6">
        <w:t>: hipromeliozė, laktozė monohidratas, titano dioksidas (E171), triacetinas, indigokarmino aliuminio dažalas (E132).</w:t>
      </w:r>
    </w:p>
    <w:p w14:paraId="159A0131" w14:textId="77777777" w:rsidR="00DA70E6" w:rsidRPr="00DA70E6" w:rsidRDefault="00DA70E6" w:rsidP="00DA70E6">
      <w:pPr>
        <w:ind w:left="567" w:hanging="567"/>
      </w:pPr>
    </w:p>
    <w:p w14:paraId="502C7C35" w14:textId="77777777" w:rsidR="00DA70E6" w:rsidRPr="00DA70E6" w:rsidRDefault="00DA70E6" w:rsidP="00DA70E6">
      <w:pPr>
        <w:ind w:left="567" w:hanging="567"/>
        <w:rPr>
          <w:b/>
        </w:rPr>
      </w:pPr>
      <w:r w:rsidRPr="00DA70E6">
        <w:rPr>
          <w:b/>
        </w:rPr>
        <w:t>Emtricitabine/Tenofovir disoproxil Sandoz išvaizda ir kiekis pakuotėje</w:t>
      </w:r>
    </w:p>
    <w:p w14:paraId="55A5DB10" w14:textId="77777777" w:rsidR="00DA70E6" w:rsidRPr="00DA70E6" w:rsidRDefault="00DA70E6" w:rsidP="00DA70E6">
      <w:pPr>
        <w:rPr>
          <w:rFonts w:ascii="Calibri" w:eastAsia="Calibri" w:hAnsi="Calibri"/>
        </w:rPr>
      </w:pPr>
      <w:r w:rsidRPr="00DA70E6">
        <w:rPr>
          <w:rFonts w:eastAsia="TimesNewRoman"/>
        </w:rPr>
        <w:t>Emtricitabine/Tenofovir disoproxil Sandoz yra mėlyna, kapsulės formos, apytiksliai 19 mm x 9 mm dydžio plėvele dengta tabletė, kurios vienoje pusėje įspausta „H“, o kitoje pusėje – „E29“.</w:t>
      </w:r>
    </w:p>
    <w:p w14:paraId="56D1DE89" w14:textId="77777777" w:rsidR="00DA70E6" w:rsidRPr="000407E7" w:rsidRDefault="00DA70E6" w:rsidP="00DA70E6">
      <w:pPr>
        <w:autoSpaceDE w:val="0"/>
        <w:autoSpaceDN w:val="0"/>
        <w:adjustRightInd w:val="0"/>
        <w:rPr>
          <w:rFonts w:eastAsia="TimesNewRoman"/>
          <w:b/>
          <w:highlight w:val="lightGray"/>
        </w:rPr>
      </w:pPr>
    </w:p>
    <w:p w14:paraId="4C5312EC"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 xml:space="preserve">Emtricitabine/Tenofovir disoproxil Sandoz yra tiekiamos supakuotos OPA-Al-PVC/Al lizdinėse plokštelėse ir 30 tablečių baltame, matiniame DTPE buteliuke su vaikų sunkiai atidaromu baltu matiniu polipropileno dangteliu, kuriame yra sausiklio silikagelio talpyklė, kurią būtina laikyti buteliuke, kad apsaugotų Jūsų tabletes. </w:t>
      </w:r>
    </w:p>
    <w:p w14:paraId="2A09C9D1" w14:textId="77777777" w:rsidR="00DA70E6" w:rsidRPr="00DA70E6" w:rsidRDefault="00DA70E6" w:rsidP="00DA70E6">
      <w:pPr>
        <w:autoSpaceDE w:val="0"/>
        <w:autoSpaceDN w:val="0"/>
        <w:adjustRightInd w:val="0"/>
        <w:rPr>
          <w:rFonts w:eastAsia="TimesNewRoman"/>
        </w:rPr>
      </w:pPr>
    </w:p>
    <w:p w14:paraId="549027D9"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Tiekiamos tokių dydžių pakuotės:</w:t>
      </w:r>
    </w:p>
    <w:p w14:paraId="39559044" w14:textId="77777777" w:rsidR="00DA70E6" w:rsidRPr="00DA70E6" w:rsidRDefault="00DA70E6" w:rsidP="00DA70E6">
      <w:pPr>
        <w:autoSpaceDE w:val="0"/>
        <w:autoSpaceDN w:val="0"/>
        <w:adjustRightInd w:val="0"/>
        <w:rPr>
          <w:rFonts w:ascii="Calibri" w:eastAsia="TimesNewRoman" w:hAnsi="Calibri"/>
        </w:rPr>
      </w:pPr>
      <w:r w:rsidRPr="00DA70E6">
        <w:rPr>
          <w:rFonts w:eastAsia="TimesNewRoman"/>
        </w:rPr>
        <w:t>Išorinė dėžutė, kurioje buteliukuose yra 30, 60 (2x30) arba 90 (3x30) plėvele dengtų tablečių.</w:t>
      </w:r>
    </w:p>
    <w:p w14:paraId="228C51C7" w14:textId="77777777" w:rsidR="00DA70E6" w:rsidRPr="000407E7" w:rsidRDefault="00DA70E6" w:rsidP="00DA70E6">
      <w:pPr>
        <w:autoSpaceDE w:val="0"/>
        <w:autoSpaceDN w:val="0"/>
        <w:adjustRightInd w:val="0"/>
        <w:rPr>
          <w:rFonts w:ascii="Calibri" w:eastAsia="TimesNewRoman" w:hAnsi="Calibri"/>
          <w:b/>
          <w:highlight w:val="lightGray"/>
        </w:rPr>
      </w:pPr>
      <w:r w:rsidRPr="00DA70E6">
        <w:rPr>
          <w:rFonts w:eastAsia="TimesNewRoman"/>
        </w:rPr>
        <w:t xml:space="preserve">Išorinė dėžutė, kurioje lizdinių plokštelių pakuotėse yra </w:t>
      </w:r>
      <w:r w:rsidRPr="00DA70E6">
        <w:rPr>
          <w:rFonts w:eastAsia="TimesNewRoman"/>
          <w:szCs w:val="22"/>
        </w:rPr>
        <w:t xml:space="preserve">10, </w:t>
      </w:r>
      <w:r w:rsidRPr="00DA70E6">
        <w:rPr>
          <w:rFonts w:eastAsia="TimesNewRoman"/>
        </w:rPr>
        <w:t xml:space="preserve">30, 60 arba 90 plėvele dengtų tablečių. </w:t>
      </w:r>
    </w:p>
    <w:p w14:paraId="7C2A074C" w14:textId="77777777" w:rsidR="00DA70E6" w:rsidRPr="00DA70E6" w:rsidRDefault="00DA70E6" w:rsidP="00DA70E6">
      <w:pPr>
        <w:ind w:left="567" w:hanging="567"/>
      </w:pPr>
    </w:p>
    <w:p w14:paraId="7366DDCD" w14:textId="77777777" w:rsidR="00DA70E6" w:rsidRPr="00DA70E6" w:rsidRDefault="00DA70E6" w:rsidP="00DA70E6">
      <w:pPr>
        <w:ind w:left="567" w:hanging="567"/>
      </w:pPr>
      <w:r w:rsidRPr="00DA70E6">
        <w:t>Gali būti tiekiamos ne visų dydžių pakuotės.</w:t>
      </w:r>
    </w:p>
    <w:p w14:paraId="4C57F097" w14:textId="77777777" w:rsidR="00DA70E6" w:rsidRPr="00DA70E6" w:rsidRDefault="00DA70E6" w:rsidP="00DA70E6">
      <w:pPr>
        <w:ind w:left="567" w:hanging="567"/>
      </w:pPr>
    </w:p>
    <w:p w14:paraId="64B5B914" w14:textId="77777777" w:rsidR="00DA70E6" w:rsidRPr="00DA70E6" w:rsidRDefault="00DA70E6" w:rsidP="00DA70E6">
      <w:pPr>
        <w:ind w:left="567" w:hanging="567"/>
        <w:rPr>
          <w:b/>
        </w:rPr>
      </w:pPr>
      <w:r w:rsidRPr="00DA70E6">
        <w:rPr>
          <w:b/>
        </w:rPr>
        <w:t>Registruotojas ir gamintojas</w:t>
      </w:r>
    </w:p>
    <w:p w14:paraId="2A8A2782" w14:textId="77777777" w:rsidR="00DA70E6" w:rsidRPr="00DA70E6" w:rsidRDefault="00DA70E6" w:rsidP="00DA70E6"/>
    <w:p w14:paraId="111A67A4" w14:textId="77777777" w:rsidR="00DA70E6" w:rsidRPr="00DA70E6" w:rsidRDefault="00DA70E6" w:rsidP="00DA70E6">
      <w:pPr>
        <w:rPr>
          <w:i/>
        </w:rPr>
      </w:pPr>
      <w:r w:rsidRPr="00DA70E6">
        <w:rPr>
          <w:i/>
        </w:rPr>
        <w:t>Registruotojas</w:t>
      </w:r>
    </w:p>
    <w:p w14:paraId="3D06C802" w14:textId="77777777" w:rsidR="00DA70E6" w:rsidRPr="00DA70E6" w:rsidRDefault="00DA70E6" w:rsidP="00DA70E6">
      <w:r w:rsidRPr="00DA70E6">
        <w:t>Sandoz d.d.</w:t>
      </w:r>
    </w:p>
    <w:p w14:paraId="4833CEDD" w14:textId="77777777" w:rsidR="00DA70E6" w:rsidRPr="00DA70E6" w:rsidRDefault="00DA70E6" w:rsidP="00DA70E6">
      <w:r w:rsidRPr="00DA70E6">
        <w:t>Verovškova 57</w:t>
      </w:r>
    </w:p>
    <w:p w14:paraId="0693E1D6" w14:textId="77777777" w:rsidR="00DA70E6" w:rsidRPr="00DA70E6" w:rsidRDefault="00DA70E6" w:rsidP="00DA70E6">
      <w:r w:rsidRPr="00DA70E6">
        <w:t>SI-1000 Ljubljana</w:t>
      </w:r>
    </w:p>
    <w:p w14:paraId="724B7148" w14:textId="77777777" w:rsidR="00DA70E6" w:rsidRPr="00DA70E6" w:rsidRDefault="00DA70E6" w:rsidP="00DA70E6">
      <w:pPr>
        <w:rPr>
          <w:b/>
        </w:rPr>
      </w:pPr>
      <w:r w:rsidRPr="00DA70E6">
        <w:t>Slovėnija</w:t>
      </w:r>
    </w:p>
    <w:p w14:paraId="5345CD3E" w14:textId="77777777" w:rsidR="00DA70E6" w:rsidRPr="00DA70E6" w:rsidRDefault="00DA70E6" w:rsidP="00DA70E6">
      <w:pPr>
        <w:ind w:left="567" w:hanging="567"/>
      </w:pPr>
    </w:p>
    <w:p w14:paraId="37DFA78E" w14:textId="77777777" w:rsidR="00DA70E6" w:rsidRPr="00DA70E6" w:rsidRDefault="00DA70E6" w:rsidP="00DA70E6">
      <w:pPr>
        <w:ind w:left="567" w:hanging="567"/>
        <w:rPr>
          <w:i/>
        </w:rPr>
      </w:pPr>
      <w:r w:rsidRPr="00DA70E6">
        <w:rPr>
          <w:i/>
        </w:rPr>
        <w:t>Gamintojas</w:t>
      </w:r>
    </w:p>
    <w:p w14:paraId="1A2BB8DF" w14:textId="77777777" w:rsidR="00DA70E6" w:rsidRPr="00DA70E6" w:rsidRDefault="00DA70E6" w:rsidP="00DA70E6">
      <w:pPr>
        <w:ind w:left="567" w:hanging="567"/>
      </w:pPr>
      <w:r w:rsidRPr="00DA70E6">
        <w:t xml:space="preserve">Pharmadox Healthcare Ltd </w:t>
      </w:r>
    </w:p>
    <w:p w14:paraId="1A600507" w14:textId="77777777" w:rsidR="00DA70E6" w:rsidRPr="00DA70E6" w:rsidRDefault="00DA70E6" w:rsidP="00DA70E6">
      <w:pPr>
        <w:ind w:left="567" w:hanging="567"/>
      </w:pPr>
      <w:r w:rsidRPr="00DA70E6">
        <w:t>KW20A Kordin Industrial Park</w:t>
      </w:r>
    </w:p>
    <w:p w14:paraId="70AD91FD" w14:textId="77777777" w:rsidR="00DA70E6" w:rsidRPr="00DA70E6" w:rsidRDefault="00DA70E6" w:rsidP="00DA70E6">
      <w:pPr>
        <w:ind w:left="567" w:hanging="567"/>
      </w:pPr>
      <w:r w:rsidRPr="00DA70E6">
        <w:t xml:space="preserve">PLA 3000, Paola </w:t>
      </w:r>
    </w:p>
    <w:p w14:paraId="4DC69CCE" w14:textId="77777777" w:rsidR="00DA70E6" w:rsidRPr="00DA70E6" w:rsidRDefault="00DA70E6" w:rsidP="00DA70E6">
      <w:pPr>
        <w:ind w:left="567" w:hanging="567"/>
      </w:pPr>
      <w:r w:rsidRPr="00DA70E6">
        <w:t xml:space="preserve">Malta </w:t>
      </w:r>
    </w:p>
    <w:p w14:paraId="577A7B74" w14:textId="77777777" w:rsidR="00DA70E6" w:rsidRPr="00DA70E6" w:rsidRDefault="00DA70E6" w:rsidP="00DA70E6">
      <w:pPr>
        <w:ind w:left="567" w:hanging="567"/>
      </w:pPr>
    </w:p>
    <w:p w14:paraId="10DEEB35" w14:textId="77777777" w:rsidR="00DA70E6" w:rsidRPr="00DA70E6" w:rsidRDefault="00DA70E6" w:rsidP="00DA70E6">
      <w:pPr>
        <w:ind w:left="567" w:hanging="567"/>
        <w:rPr>
          <w:szCs w:val="22"/>
        </w:rPr>
      </w:pPr>
      <w:r w:rsidRPr="00DA70E6">
        <w:rPr>
          <w:szCs w:val="22"/>
        </w:rPr>
        <w:t>Salutas Pharma GmbH</w:t>
      </w:r>
    </w:p>
    <w:p w14:paraId="52F21077" w14:textId="77777777" w:rsidR="00DA70E6" w:rsidRPr="00DA70E6" w:rsidRDefault="00DA70E6" w:rsidP="00DA70E6">
      <w:pPr>
        <w:ind w:left="567" w:hanging="567"/>
        <w:rPr>
          <w:szCs w:val="22"/>
        </w:rPr>
      </w:pPr>
      <w:r w:rsidRPr="00DA70E6">
        <w:rPr>
          <w:szCs w:val="22"/>
        </w:rPr>
        <w:t>Otto-von-Guericke-Allee 1</w:t>
      </w:r>
    </w:p>
    <w:p w14:paraId="2B6E989F" w14:textId="77777777" w:rsidR="00DA70E6" w:rsidRPr="00DA70E6" w:rsidRDefault="00DA70E6" w:rsidP="00DA70E6">
      <w:pPr>
        <w:ind w:left="567" w:hanging="567"/>
        <w:rPr>
          <w:szCs w:val="22"/>
        </w:rPr>
      </w:pPr>
      <w:r w:rsidRPr="00DA70E6">
        <w:rPr>
          <w:szCs w:val="22"/>
        </w:rPr>
        <w:t>39179 Barleben</w:t>
      </w:r>
    </w:p>
    <w:p w14:paraId="4CE1DB1C" w14:textId="77777777" w:rsidR="00DA70E6" w:rsidRDefault="00DA70E6" w:rsidP="00DA70E6">
      <w:pPr>
        <w:ind w:left="567" w:hanging="567"/>
        <w:rPr>
          <w:szCs w:val="22"/>
        </w:rPr>
      </w:pPr>
      <w:r w:rsidRPr="00DA70E6">
        <w:rPr>
          <w:szCs w:val="22"/>
        </w:rPr>
        <w:t xml:space="preserve">Vokietija </w:t>
      </w:r>
    </w:p>
    <w:p w14:paraId="066124B2" w14:textId="77777777" w:rsidR="009150E2" w:rsidRDefault="009150E2" w:rsidP="00DA70E6">
      <w:pPr>
        <w:ind w:left="567" w:hanging="567"/>
        <w:rPr>
          <w:szCs w:val="22"/>
        </w:rPr>
      </w:pPr>
    </w:p>
    <w:p w14:paraId="7CD2B5A4" w14:textId="77777777" w:rsidR="009150E2" w:rsidRDefault="009150E2" w:rsidP="009150E2">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3A8F5DB3" w14:textId="77777777" w:rsidR="009150E2" w:rsidRDefault="009150E2" w:rsidP="009150E2">
      <w:proofErr w:type="spellStart"/>
      <w:r>
        <w:t>Verovškova</w:t>
      </w:r>
      <w:proofErr w:type="spellEnd"/>
      <w:r>
        <w:t xml:space="preserve"> </w:t>
      </w:r>
      <w:proofErr w:type="spellStart"/>
      <w:r>
        <w:t>ulica</w:t>
      </w:r>
      <w:proofErr w:type="spellEnd"/>
      <w:r>
        <w:t xml:space="preserve"> 57 </w:t>
      </w:r>
    </w:p>
    <w:p w14:paraId="290A5F17" w14:textId="77777777" w:rsidR="009150E2" w:rsidRDefault="009150E2" w:rsidP="009150E2">
      <w:proofErr w:type="spellStart"/>
      <w:r>
        <w:t>Ljubljana</w:t>
      </w:r>
      <w:proofErr w:type="spellEnd"/>
      <w:r>
        <w:t xml:space="preserve"> 1526, </w:t>
      </w:r>
    </w:p>
    <w:p w14:paraId="4263012D" w14:textId="3AE33363" w:rsidR="009150E2" w:rsidRPr="009150E2" w:rsidRDefault="009150E2" w:rsidP="009150E2">
      <w:r>
        <w:t>Slovėnija</w:t>
      </w:r>
    </w:p>
    <w:p w14:paraId="0F9FA8BA" w14:textId="77777777" w:rsidR="00DA70E6" w:rsidRPr="00DA70E6" w:rsidRDefault="00DA70E6" w:rsidP="00DA70E6">
      <w:pPr>
        <w:ind w:left="567" w:hanging="567"/>
        <w:rPr>
          <w:szCs w:val="22"/>
        </w:rPr>
      </w:pPr>
    </w:p>
    <w:p w14:paraId="7B189C17" w14:textId="77777777" w:rsidR="00DA70E6" w:rsidRPr="00DA70E6" w:rsidRDefault="00DA70E6" w:rsidP="00DA70E6">
      <w:r w:rsidRPr="00DA70E6">
        <w:t>Jeigu apie šį vaistą norite sužinoti daugiau, kreipkitės į vietinį registruotojo atstovą.</w:t>
      </w:r>
    </w:p>
    <w:p w14:paraId="7A292B38" w14:textId="77777777" w:rsidR="00DA70E6" w:rsidRPr="00DA70E6" w:rsidRDefault="00DA70E6" w:rsidP="00DA70E6">
      <w:r w:rsidRPr="00DA70E6">
        <w:t> </w:t>
      </w:r>
    </w:p>
    <w:p w14:paraId="186BEFC5" w14:textId="77777777" w:rsidR="00DA70E6" w:rsidRPr="00DA70E6" w:rsidRDefault="00DA70E6" w:rsidP="00DA70E6">
      <w:r w:rsidRPr="00DA70E6">
        <w:t>Sandoz Pharmaceuticals d.d. filialas</w:t>
      </w:r>
    </w:p>
    <w:p w14:paraId="370661D8" w14:textId="77777777" w:rsidR="00DA70E6" w:rsidRPr="00DA70E6" w:rsidRDefault="00DA70E6" w:rsidP="00DA70E6">
      <w:r w:rsidRPr="00DA70E6">
        <w:t>Tel.: +370 5 2636037</w:t>
      </w:r>
    </w:p>
    <w:p w14:paraId="0210C716" w14:textId="77777777" w:rsidR="00DA70E6" w:rsidRPr="00DA70E6" w:rsidRDefault="00DA70E6" w:rsidP="00DA70E6">
      <w:pPr>
        <w:numPr>
          <w:ilvl w:val="12"/>
          <w:numId w:val="0"/>
        </w:numPr>
        <w:ind w:left="567" w:hanging="567"/>
      </w:pPr>
    </w:p>
    <w:p w14:paraId="58B25794" w14:textId="34A96E40" w:rsidR="00DA70E6" w:rsidRDefault="00DA70E6" w:rsidP="00DA70E6">
      <w:pPr>
        <w:numPr>
          <w:ilvl w:val="12"/>
          <w:numId w:val="0"/>
        </w:numPr>
        <w:tabs>
          <w:tab w:val="left" w:pos="567"/>
        </w:tabs>
        <w:spacing w:line="260" w:lineRule="exact"/>
        <w:ind w:right="-2"/>
      </w:pPr>
      <w:r w:rsidRPr="00DA70E6">
        <w:rPr>
          <w:b/>
        </w:rPr>
        <w:t>Šis vaistas</w:t>
      </w:r>
      <w:r w:rsidR="007B237D">
        <w:rPr>
          <w:b/>
        </w:rPr>
        <w:t xml:space="preserve"> </w:t>
      </w:r>
      <w:r w:rsidR="007B237D" w:rsidRPr="00FB098B">
        <w:rPr>
          <w:b/>
        </w:rPr>
        <w:t>Europos ekonominės erdvės</w:t>
      </w:r>
      <w:r w:rsidRPr="00DA70E6">
        <w:rPr>
          <w:b/>
        </w:rPr>
        <w:t xml:space="preserve">  valstybėse narėse </w:t>
      </w:r>
      <w:r w:rsidR="007B237D" w:rsidRPr="002E4444">
        <w:rPr>
          <w:b/>
        </w:rPr>
        <w:t xml:space="preserve">ir Jungtinėje Karalystėje (Šiaurės Airijoje) </w:t>
      </w:r>
      <w:r w:rsidRPr="00DA70E6">
        <w:rPr>
          <w:b/>
        </w:rPr>
        <w:t>registruotas tokiais pavadinimais</w:t>
      </w:r>
      <w:r w:rsidRPr="00DA70E6">
        <w:t>:</w:t>
      </w:r>
    </w:p>
    <w:p w14:paraId="4CD6B8A3" w14:textId="77777777" w:rsidR="009079DF" w:rsidRDefault="009079DF" w:rsidP="00DA70E6">
      <w:pPr>
        <w:numPr>
          <w:ilvl w:val="12"/>
          <w:numId w:val="0"/>
        </w:numPr>
        <w:tabs>
          <w:tab w:val="left" w:pos="567"/>
        </w:tabs>
        <w:spacing w:line="260" w:lineRule="exact"/>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76"/>
      </w:tblGrid>
      <w:tr w:rsidR="009079DF" w14:paraId="573D98AC" w14:textId="77777777" w:rsidTr="00D81F1F">
        <w:tc>
          <w:tcPr>
            <w:tcW w:w="4643" w:type="dxa"/>
          </w:tcPr>
          <w:p w14:paraId="647616F6" w14:textId="77777777" w:rsidR="009079DF" w:rsidRDefault="009079DF" w:rsidP="00D81F1F">
            <w:pPr>
              <w:numPr>
                <w:ilvl w:val="12"/>
                <w:numId w:val="0"/>
              </w:numPr>
              <w:tabs>
                <w:tab w:val="left" w:pos="567"/>
              </w:tabs>
              <w:spacing w:line="260" w:lineRule="exact"/>
              <w:ind w:right="-2"/>
            </w:pPr>
            <w:r>
              <w:t>Airija</w:t>
            </w:r>
          </w:p>
        </w:tc>
        <w:tc>
          <w:tcPr>
            <w:tcW w:w="4644" w:type="dxa"/>
          </w:tcPr>
          <w:p w14:paraId="215BBBBA" w14:textId="77777777" w:rsidR="009079DF" w:rsidRDefault="009079DF" w:rsidP="00D81F1F">
            <w:pPr>
              <w:numPr>
                <w:ilvl w:val="12"/>
                <w:numId w:val="0"/>
              </w:numPr>
              <w:tabs>
                <w:tab w:val="left" w:pos="567"/>
              </w:tabs>
              <w:spacing w:line="260" w:lineRule="exact"/>
              <w:ind w:right="-2"/>
            </w:pPr>
            <w:r w:rsidRPr="00DA70E6">
              <w:t>Emtricitabine/Tenofovir disoproxil Rowex</w:t>
            </w:r>
          </w:p>
        </w:tc>
      </w:tr>
      <w:tr w:rsidR="009079DF" w14:paraId="3BE4C325" w14:textId="77777777" w:rsidTr="00D81F1F">
        <w:tc>
          <w:tcPr>
            <w:tcW w:w="4643" w:type="dxa"/>
          </w:tcPr>
          <w:p w14:paraId="7116F0F9" w14:textId="77777777" w:rsidR="009079DF" w:rsidRDefault="009079DF" w:rsidP="00D81F1F">
            <w:pPr>
              <w:numPr>
                <w:ilvl w:val="12"/>
                <w:numId w:val="0"/>
              </w:numPr>
              <w:tabs>
                <w:tab w:val="left" w:pos="567"/>
              </w:tabs>
              <w:spacing w:line="260" w:lineRule="exact"/>
              <w:ind w:right="-2"/>
            </w:pPr>
            <w:r>
              <w:t>Austrija, Čekija, Slovėnija</w:t>
            </w:r>
          </w:p>
        </w:tc>
        <w:tc>
          <w:tcPr>
            <w:tcW w:w="4644" w:type="dxa"/>
          </w:tcPr>
          <w:p w14:paraId="18276F47" w14:textId="77777777" w:rsidR="009079DF" w:rsidRDefault="009079DF" w:rsidP="00D81F1F">
            <w:pPr>
              <w:numPr>
                <w:ilvl w:val="12"/>
                <w:numId w:val="0"/>
              </w:numPr>
              <w:tabs>
                <w:tab w:val="left" w:pos="567"/>
              </w:tabs>
              <w:spacing w:line="260" w:lineRule="exact"/>
              <w:ind w:right="-2"/>
            </w:pPr>
            <w:r w:rsidRPr="00DA70E6">
              <w:t>Emtricitabin/Tenofovir Sandoz</w:t>
            </w:r>
          </w:p>
        </w:tc>
      </w:tr>
      <w:tr w:rsidR="009079DF" w14:paraId="00817A45" w14:textId="77777777" w:rsidTr="00D81F1F">
        <w:tc>
          <w:tcPr>
            <w:tcW w:w="4643" w:type="dxa"/>
          </w:tcPr>
          <w:p w14:paraId="521F3FCD" w14:textId="77777777" w:rsidR="009079DF" w:rsidRDefault="009079DF" w:rsidP="00D81F1F">
            <w:pPr>
              <w:numPr>
                <w:ilvl w:val="12"/>
                <w:numId w:val="0"/>
              </w:numPr>
              <w:tabs>
                <w:tab w:val="left" w:pos="567"/>
              </w:tabs>
              <w:spacing w:line="260" w:lineRule="exact"/>
              <w:ind w:right="-2"/>
            </w:pPr>
            <w:r>
              <w:t>Belgija, Estija, Lietuva, Kipras, Latvija, Norvegija, Nyderlandai, Prancuzija, Rumunija, Suomija, Švedija, Vengrija</w:t>
            </w:r>
          </w:p>
        </w:tc>
        <w:tc>
          <w:tcPr>
            <w:tcW w:w="4644" w:type="dxa"/>
          </w:tcPr>
          <w:p w14:paraId="13DF81C1" w14:textId="77777777" w:rsidR="009079DF" w:rsidRDefault="009079DF" w:rsidP="00D81F1F">
            <w:pPr>
              <w:numPr>
                <w:ilvl w:val="12"/>
                <w:numId w:val="0"/>
              </w:numPr>
              <w:tabs>
                <w:tab w:val="left" w:pos="567"/>
              </w:tabs>
              <w:spacing w:line="260" w:lineRule="exact"/>
              <w:ind w:right="-2"/>
            </w:pPr>
            <w:r w:rsidRPr="00DA70E6">
              <w:t>Emtricitabin/Tenofovir Disoproxil Sandoz</w:t>
            </w:r>
          </w:p>
        </w:tc>
      </w:tr>
      <w:tr w:rsidR="009079DF" w14:paraId="6041F7C3" w14:textId="77777777" w:rsidTr="00D81F1F">
        <w:tc>
          <w:tcPr>
            <w:tcW w:w="4643" w:type="dxa"/>
          </w:tcPr>
          <w:p w14:paraId="023C628A" w14:textId="77777777" w:rsidR="009079DF" w:rsidRDefault="009079DF" w:rsidP="00D81F1F">
            <w:pPr>
              <w:numPr>
                <w:ilvl w:val="12"/>
                <w:numId w:val="0"/>
              </w:numPr>
              <w:tabs>
                <w:tab w:val="left" w:pos="567"/>
              </w:tabs>
              <w:spacing w:line="260" w:lineRule="exact"/>
              <w:ind w:right="-2"/>
            </w:pPr>
            <w:r>
              <w:t>Bulgarija</w:t>
            </w:r>
          </w:p>
        </w:tc>
        <w:tc>
          <w:tcPr>
            <w:tcW w:w="4644" w:type="dxa"/>
          </w:tcPr>
          <w:p w14:paraId="619D07D2" w14:textId="77777777" w:rsidR="009079DF" w:rsidRDefault="009079DF" w:rsidP="00D81F1F">
            <w:pPr>
              <w:numPr>
                <w:ilvl w:val="12"/>
                <w:numId w:val="0"/>
              </w:numPr>
              <w:tabs>
                <w:tab w:val="left" w:pos="567"/>
              </w:tabs>
              <w:spacing w:line="260" w:lineRule="exact"/>
              <w:ind w:right="-2"/>
            </w:pPr>
            <w:r w:rsidRPr="00DA70E6">
              <w:t>Емтрицитабин/Тенофовир Сандоз</w:t>
            </w:r>
          </w:p>
        </w:tc>
      </w:tr>
      <w:tr w:rsidR="009079DF" w14:paraId="4796EDD7" w14:textId="77777777" w:rsidTr="00D81F1F">
        <w:tc>
          <w:tcPr>
            <w:tcW w:w="4643" w:type="dxa"/>
          </w:tcPr>
          <w:p w14:paraId="5DCAD7B8" w14:textId="77777777" w:rsidR="009079DF" w:rsidRDefault="009079DF" w:rsidP="00D81F1F">
            <w:pPr>
              <w:numPr>
                <w:ilvl w:val="12"/>
                <w:numId w:val="0"/>
              </w:numPr>
              <w:tabs>
                <w:tab w:val="left" w:pos="567"/>
              </w:tabs>
              <w:spacing w:line="260" w:lineRule="exact"/>
              <w:ind w:right="-2"/>
            </w:pPr>
            <w:r>
              <w:t>Ispanija</w:t>
            </w:r>
          </w:p>
        </w:tc>
        <w:tc>
          <w:tcPr>
            <w:tcW w:w="4644" w:type="dxa"/>
          </w:tcPr>
          <w:p w14:paraId="49C28C8E" w14:textId="77777777" w:rsidR="009079DF" w:rsidRDefault="009079DF" w:rsidP="00D81F1F">
            <w:pPr>
              <w:numPr>
                <w:ilvl w:val="12"/>
                <w:numId w:val="0"/>
              </w:numPr>
              <w:tabs>
                <w:tab w:val="left" w:pos="567"/>
              </w:tabs>
              <w:spacing w:line="260" w:lineRule="exact"/>
              <w:ind w:right="-2"/>
            </w:pPr>
            <w:r w:rsidRPr="00DA70E6">
              <w:t>Emtricitabina/ Tenofovir Sandoz</w:t>
            </w:r>
          </w:p>
        </w:tc>
      </w:tr>
      <w:tr w:rsidR="009079DF" w14:paraId="00F32C8F" w14:textId="77777777" w:rsidTr="00D81F1F">
        <w:tc>
          <w:tcPr>
            <w:tcW w:w="4643" w:type="dxa"/>
          </w:tcPr>
          <w:p w14:paraId="042F2B2C" w14:textId="77777777" w:rsidR="009079DF" w:rsidRDefault="009079DF" w:rsidP="00D81F1F">
            <w:pPr>
              <w:numPr>
                <w:ilvl w:val="12"/>
                <w:numId w:val="0"/>
              </w:numPr>
              <w:tabs>
                <w:tab w:val="left" w:pos="567"/>
              </w:tabs>
              <w:spacing w:line="260" w:lineRule="exact"/>
              <w:ind w:right="-2"/>
            </w:pPr>
            <w:r>
              <w:t>Italija</w:t>
            </w:r>
          </w:p>
        </w:tc>
        <w:tc>
          <w:tcPr>
            <w:tcW w:w="4644" w:type="dxa"/>
          </w:tcPr>
          <w:p w14:paraId="2097F733" w14:textId="77777777" w:rsidR="009079DF" w:rsidRPr="00DA70E6" w:rsidRDefault="009079DF" w:rsidP="00D81F1F">
            <w:pPr>
              <w:numPr>
                <w:ilvl w:val="12"/>
                <w:numId w:val="0"/>
              </w:numPr>
              <w:tabs>
                <w:tab w:val="left" w:pos="567"/>
              </w:tabs>
              <w:spacing w:line="260" w:lineRule="exact"/>
              <w:ind w:right="-2"/>
            </w:pPr>
            <w:r w:rsidRPr="00DA70E6">
              <w:t>Emtricitabina e tenofovir disoproxil Sandoz</w:t>
            </w:r>
          </w:p>
        </w:tc>
      </w:tr>
      <w:tr w:rsidR="009079DF" w14:paraId="5C3F4343" w14:textId="77777777" w:rsidTr="00D81F1F">
        <w:tc>
          <w:tcPr>
            <w:tcW w:w="4643" w:type="dxa"/>
          </w:tcPr>
          <w:p w14:paraId="0C0112F0" w14:textId="4691ACC9" w:rsidR="009079DF" w:rsidRDefault="009079DF" w:rsidP="00D81F1F">
            <w:pPr>
              <w:numPr>
                <w:ilvl w:val="12"/>
                <w:numId w:val="0"/>
              </w:numPr>
              <w:tabs>
                <w:tab w:val="left" w:pos="567"/>
              </w:tabs>
              <w:spacing w:line="260" w:lineRule="exact"/>
              <w:ind w:right="-2"/>
            </w:pPr>
            <w:r>
              <w:t xml:space="preserve">Jungtine Karalystė </w:t>
            </w:r>
            <w:r w:rsidR="007E3E4E">
              <w:t>(Šiaurės Airija)</w:t>
            </w:r>
          </w:p>
        </w:tc>
        <w:tc>
          <w:tcPr>
            <w:tcW w:w="4644" w:type="dxa"/>
          </w:tcPr>
          <w:p w14:paraId="20404261" w14:textId="77777777" w:rsidR="009079DF" w:rsidRPr="00DA70E6" w:rsidRDefault="009079DF" w:rsidP="00D81F1F">
            <w:pPr>
              <w:numPr>
                <w:ilvl w:val="12"/>
                <w:numId w:val="0"/>
              </w:numPr>
              <w:tabs>
                <w:tab w:val="left" w:pos="567"/>
              </w:tabs>
              <w:spacing w:line="260" w:lineRule="exact"/>
              <w:ind w:right="-2"/>
            </w:pPr>
            <w:r w:rsidRPr="00DA70E6">
              <w:t>Emtricitabine/ Tenofovir disoproxil</w:t>
            </w:r>
          </w:p>
        </w:tc>
      </w:tr>
      <w:tr w:rsidR="009079DF" w14:paraId="1B6A4F35" w14:textId="77777777" w:rsidTr="00D81F1F">
        <w:tc>
          <w:tcPr>
            <w:tcW w:w="4643" w:type="dxa"/>
          </w:tcPr>
          <w:p w14:paraId="0204567F" w14:textId="77777777" w:rsidR="009079DF" w:rsidRDefault="009079DF" w:rsidP="00D81F1F">
            <w:pPr>
              <w:numPr>
                <w:ilvl w:val="12"/>
                <w:numId w:val="0"/>
              </w:numPr>
              <w:tabs>
                <w:tab w:val="left" w:pos="567"/>
              </w:tabs>
              <w:spacing w:line="260" w:lineRule="exact"/>
              <w:ind w:right="-2"/>
            </w:pPr>
            <w:r>
              <w:t>Kroatija</w:t>
            </w:r>
          </w:p>
        </w:tc>
        <w:tc>
          <w:tcPr>
            <w:tcW w:w="4644" w:type="dxa"/>
          </w:tcPr>
          <w:p w14:paraId="7B76E634" w14:textId="77777777" w:rsidR="009079DF" w:rsidRPr="00DA70E6" w:rsidRDefault="009079DF" w:rsidP="00D81F1F">
            <w:pPr>
              <w:numPr>
                <w:ilvl w:val="12"/>
                <w:numId w:val="0"/>
              </w:numPr>
              <w:tabs>
                <w:tab w:val="left" w:pos="567"/>
              </w:tabs>
              <w:spacing w:line="260" w:lineRule="exact"/>
              <w:ind w:right="-2"/>
            </w:pPr>
            <w:r w:rsidRPr="00DA70E6">
              <w:t>Emtricitabin/Tenofovirdizoproksil Sandoz</w:t>
            </w:r>
          </w:p>
        </w:tc>
      </w:tr>
      <w:tr w:rsidR="009079DF" w14:paraId="0EBB5ABE" w14:textId="77777777" w:rsidTr="00D81F1F">
        <w:tc>
          <w:tcPr>
            <w:tcW w:w="4643" w:type="dxa"/>
          </w:tcPr>
          <w:p w14:paraId="586D6777" w14:textId="77777777" w:rsidR="009079DF" w:rsidRDefault="009079DF" w:rsidP="00D81F1F">
            <w:pPr>
              <w:numPr>
                <w:ilvl w:val="12"/>
                <w:numId w:val="0"/>
              </w:numPr>
              <w:tabs>
                <w:tab w:val="left" w:pos="567"/>
              </w:tabs>
              <w:spacing w:line="260" w:lineRule="exact"/>
              <w:ind w:right="-2"/>
            </w:pPr>
            <w:r>
              <w:t>Lenkija</w:t>
            </w:r>
          </w:p>
        </w:tc>
        <w:tc>
          <w:tcPr>
            <w:tcW w:w="4644" w:type="dxa"/>
          </w:tcPr>
          <w:p w14:paraId="78271772" w14:textId="77777777" w:rsidR="009079DF" w:rsidRPr="00DA70E6" w:rsidRDefault="009079DF" w:rsidP="00D81F1F">
            <w:pPr>
              <w:numPr>
                <w:ilvl w:val="12"/>
                <w:numId w:val="0"/>
              </w:numPr>
              <w:tabs>
                <w:tab w:val="left" w:pos="567"/>
              </w:tabs>
              <w:spacing w:line="260" w:lineRule="exact"/>
              <w:ind w:right="-2"/>
            </w:pPr>
            <w:r w:rsidRPr="00DA70E6">
              <w:t>Emtricitabine + Tenofovir disoproxil Sandoz</w:t>
            </w:r>
          </w:p>
        </w:tc>
      </w:tr>
      <w:tr w:rsidR="009079DF" w14:paraId="7546CD5E" w14:textId="77777777" w:rsidTr="00D81F1F">
        <w:tc>
          <w:tcPr>
            <w:tcW w:w="4643" w:type="dxa"/>
          </w:tcPr>
          <w:p w14:paraId="4494D4E9" w14:textId="77777777" w:rsidR="009079DF" w:rsidRDefault="009079DF" w:rsidP="00D81F1F">
            <w:pPr>
              <w:numPr>
                <w:ilvl w:val="12"/>
                <w:numId w:val="0"/>
              </w:numPr>
              <w:tabs>
                <w:tab w:val="left" w:pos="567"/>
              </w:tabs>
              <w:spacing w:line="260" w:lineRule="exact"/>
              <w:ind w:right="-2"/>
            </w:pPr>
            <w:r>
              <w:t>Portugalija</w:t>
            </w:r>
          </w:p>
        </w:tc>
        <w:tc>
          <w:tcPr>
            <w:tcW w:w="4644" w:type="dxa"/>
          </w:tcPr>
          <w:p w14:paraId="1CB8B6BA" w14:textId="77777777" w:rsidR="009079DF" w:rsidRPr="00DA70E6" w:rsidRDefault="009079DF" w:rsidP="00D81F1F">
            <w:pPr>
              <w:numPr>
                <w:ilvl w:val="12"/>
                <w:numId w:val="0"/>
              </w:numPr>
              <w:tabs>
                <w:tab w:val="left" w:pos="567"/>
              </w:tabs>
              <w:spacing w:line="260" w:lineRule="exact"/>
              <w:ind w:right="-2"/>
            </w:pPr>
            <w:r w:rsidRPr="00DA70E6">
              <w:t>Emtricitabina+ Tenofovir Sandoz</w:t>
            </w:r>
          </w:p>
        </w:tc>
      </w:tr>
      <w:tr w:rsidR="009079DF" w14:paraId="36727D7B" w14:textId="77777777" w:rsidTr="00D81F1F">
        <w:tc>
          <w:tcPr>
            <w:tcW w:w="4643" w:type="dxa"/>
          </w:tcPr>
          <w:p w14:paraId="38417A26" w14:textId="77777777" w:rsidR="009079DF" w:rsidRDefault="009079DF" w:rsidP="00D81F1F">
            <w:pPr>
              <w:numPr>
                <w:ilvl w:val="12"/>
                <w:numId w:val="0"/>
              </w:numPr>
              <w:tabs>
                <w:tab w:val="left" w:pos="567"/>
              </w:tabs>
              <w:spacing w:line="260" w:lineRule="exact"/>
              <w:ind w:right="-2"/>
            </w:pPr>
            <w:r>
              <w:t>Vokietija</w:t>
            </w:r>
          </w:p>
        </w:tc>
        <w:tc>
          <w:tcPr>
            <w:tcW w:w="4644" w:type="dxa"/>
          </w:tcPr>
          <w:p w14:paraId="42F7C5F7" w14:textId="77777777" w:rsidR="009079DF" w:rsidRPr="00DA70E6" w:rsidRDefault="009079DF" w:rsidP="00D81F1F">
            <w:pPr>
              <w:numPr>
                <w:ilvl w:val="12"/>
                <w:numId w:val="0"/>
              </w:numPr>
              <w:tabs>
                <w:tab w:val="left" w:pos="567"/>
              </w:tabs>
              <w:spacing w:line="260" w:lineRule="exact"/>
              <w:ind w:right="-2"/>
            </w:pPr>
            <w:r w:rsidRPr="00DA70E6">
              <w:t>Emtricitabin/ Tenofovirdisoproxil – 1 A Pharma</w:t>
            </w:r>
          </w:p>
        </w:tc>
      </w:tr>
    </w:tbl>
    <w:p w14:paraId="6144AEF9" w14:textId="77777777" w:rsidR="009079DF" w:rsidRPr="00DA70E6" w:rsidRDefault="009079DF" w:rsidP="00DA70E6">
      <w:pPr>
        <w:numPr>
          <w:ilvl w:val="12"/>
          <w:numId w:val="0"/>
        </w:numPr>
        <w:tabs>
          <w:tab w:val="left" w:pos="567"/>
        </w:tabs>
        <w:spacing w:line="260" w:lineRule="exact"/>
        <w:ind w:right="-2"/>
      </w:pPr>
    </w:p>
    <w:p w14:paraId="22F977C0" w14:textId="77777777" w:rsidR="00DA70E6" w:rsidRPr="00DA70E6" w:rsidRDefault="00DA70E6" w:rsidP="00DA70E6">
      <w:pPr>
        <w:numPr>
          <w:ilvl w:val="12"/>
          <w:numId w:val="0"/>
        </w:numPr>
        <w:ind w:left="567" w:hanging="567"/>
      </w:pPr>
    </w:p>
    <w:p w14:paraId="5773CCCD" w14:textId="36437711" w:rsidR="00DA70E6" w:rsidRPr="0079620E" w:rsidRDefault="00DA70E6" w:rsidP="00DA70E6">
      <w:pPr>
        <w:ind w:left="567" w:hanging="567"/>
      </w:pPr>
      <w:r w:rsidRPr="00DA70E6">
        <w:rPr>
          <w:b/>
        </w:rPr>
        <w:t xml:space="preserve">Šis pakuotės lapelis paskutinį kartą peržiūrėtas </w:t>
      </w:r>
      <w:r w:rsidR="002F6B9E">
        <w:rPr>
          <w:b/>
        </w:rPr>
        <w:t>2025-07-31.</w:t>
      </w:r>
    </w:p>
    <w:p w14:paraId="1084BC54" w14:textId="77777777" w:rsidR="00DA70E6" w:rsidRPr="00DA70E6" w:rsidRDefault="00DA70E6" w:rsidP="00DA70E6">
      <w:pPr>
        <w:numPr>
          <w:ilvl w:val="12"/>
          <w:numId w:val="0"/>
        </w:numPr>
        <w:ind w:left="567" w:hanging="567"/>
      </w:pPr>
    </w:p>
    <w:p w14:paraId="4F398C8D" w14:textId="77777777" w:rsidR="00DA70E6" w:rsidRPr="00DA70E6" w:rsidRDefault="00DA70E6" w:rsidP="00DA70E6">
      <w:pPr>
        <w:numPr>
          <w:ilvl w:val="12"/>
          <w:numId w:val="0"/>
        </w:numPr>
        <w:ind w:left="567" w:hanging="567"/>
      </w:pPr>
    </w:p>
    <w:p w14:paraId="6DD1D33D" w14:textId="77777777" w:rsidR="00DA70E6" w:rsidRPr="00DA70E6" w:rsidRDefault="00DA70E6" w:rsidP="00DA70E6">
      <w:pPr>
        <w:numPr>
          <w:ilvl w:val="12"/>
          <w:numId w:val="0"/>
        </w:numPr>
        <w:tabs>
          <w:tab w:val="left" w:pos="567"/>
        </w:tabs>
        <w:ind w:right="-2"/>
      </w:pPr>
      <w:r w:rsidRPr="00DA70E6">
        <w:t>Išsami informacija apie šį vaistą pateikiama Valstybinės vaistų kontrolės tarnybos prie Lietuvos Respublikos sveikatos apsaugos ministerijos tinklalapyje</w:t>
      </w:r>
      <w:r w:rsidRPr="00DA70E6">
        <w:rPr>
          <w:i/>
        </w:rPr>
        <w:t xml:space="preserve"> </w:t>
      </w:r>
      <w:hyperlink r:id="rId12" w:history="1">
        <w:r w:rsidRPr="00DA70E6">
          <w:rPr>
            <w:rFonts w:eastAsia="SimSun"/>
            <w:color w:val="0000FF"/>
            <w:u w:val="single"/>
          </w:rPr>
          <w:t>http://www.vvkt.lt/</w:t>
        </w:r>
      </w:hyperlink>
      <w:r w:rsidRPr="00DA70E6">
        <w:t>.</w:t>
      </w:r>
    </w:p>
    <w:p w14:paraId="25A1B915" w14:textId="739BF156" w:rsidR="00DA70E6" w:rsidRPr="00DA70E6" w:rsidRDefault="00DA70E6" w:rsidP="005C0E81">
      <w:pPr>
        <w:numPr>
          <w:ilvl w:val="12"/>
          <w:numId w:val="0"/>
        </w:numPr>
        <w:ind w:left="567" w:hanging="567"/>
      </w:pPr>
    </w:p>
    <w:sectPr w:rsidR="00DA70E6" w:rsidRPr="00DA70E6" w:rsidSect="00BE181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F833" w14:textId="77777777" w:rsidR="002E7EED" w:rsidRDefault="002E7EED">
      <w:r>
        <w:separator/>
      </w:r>
    </w:p>
  </w:endnote>
  <w:endnote w:type="continuationSeparator" w:id="0">
    <w:p w14:paraId="3BC4F714" w14:textId="77777777" w:rsidR="002E7EED" w:rsidRDefault="002E7EED">
      <w:r>
        <w:continuationSeparator/>
      </w:r>
    </w:p>
  </w:endnote>
  <w:endnote w:type="continuationNotice" w:id="1">
    <w:p w14:paraId="6CAA6EBA" w14:textId="77777777" w:rsidR="002E7EED" w:rsidRDefault="002E7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Arial"/>
    <w:panose1 w:val="00000000000000000000"/>
    <w:charset w:val="EE"/>
    <w:family w:val="auto"/>
    <w:notTrueType/>
    <w:pitch w:val="default"/>
    <w:sig w:usb0="00000007" w:usb1="08070000" w:usb2="00000010" w:usb3="00000000" w:csb0="00020003" w:csb1="00000000"/>
  </w:font>
  <w:font w:name="Times New Roman Bold">
    <w:panose1 w:val="02020803070505020304"/>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9544" w14:textId="77777777" w:rsidR="00B05F95" w:rsidRDefault="00B05F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D534" w14:textId="30729491" w:rsidR="00B05F95" w:rsidRDefault="00B05F95">
    <w:pPr>
      <w:pStyle w:val="Porat"/>
      <w:jc w:val="center"/>
    </w:pPr>
    <w:r>
      <w:fldChar w:fldCharType="begin"/>
    </w:r>
    <w:r>
      <w:instrText>PAGE   \* MERGEFORMAT</w:instrText>
    </w:r>
    <w:r>
      <w:fldChar w:fldCharType="separate"/>
    </w:r>
    <w:r w:rsidR="0037496F">
      <w:rPr>
        <w:noProof/>
      </w:rPr>
      <w:t>5</w:t>
    </w:r>
    <w:r w:rsidR="0037496F">
      <w:rPr>
        <w:noProof/>
      </w:rPr>
      <w:t>6</w:t>
    </w:r>
    <w:r>
      <w:fldChar w:fldCharType="end"/>
    </w:r>
  </w:p>
  <w:p w14:paraId="1FF71192" w14:textId="77777777" w:rsidR="00B05F95" w:rsidRDefault="00B05F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25AB" w14:textId="77777777" w:rsidR="00B05F95" w:rsidRDefault="00B05F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669D" w14:textId="77777777" w:rsidR="002E7EED" w:rsidRDefault="002E7EED">
      <w:r>
        <w:separator/>
      </w:r>
    </w:p>
  </w:footnote>
  <w:footnote w:type="continuationSeparator" w:id="0">
    <w:p w14:paraId="3C43FCBE" w14:textId="77777777" w:rsidR="002E7EED" w:rsidRDefault="002E7EED">
      <w:r>
        <w:continuationSeparator/>
      </w:r>
    </w:p>
  </w:footnote>
  <w:footnote w:type="continuationNotice" w:id="1">
    <w:p w14:paraId="1FB2EE04" w14:textId="77777777" w:rsidR="002E7EED" w:rsidRDefault="002E7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47ED" w14:textId="77777777" w:rsidR="00B05F95" w:rsidRDefault="00B05F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4896" w14:textId="77777777" w:rsidR="00B05F95" w:rsidRDefault="00B05F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766C" w14:textId="77777777" w:rsidR="00B05F95" w:rsidRDefault="00B05F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59D05C9"/>
    <w:multiLevelType w:val="hybridMultilevel"/>
    <w:tmpl w:val="21843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785FDA"/>
    <w:multiLevelType w:val="hybridMultilevel"/>
    <w:tmpl w:val="122EB17A"/>
    <w:lvl w:ilvl="0" w:tplc="38B4AC1A">
      <w:start w:val="6"/>
      <w:numFmt w:val="bullet"/>
      <w:lvlText w:val=""/>
      <w:lvlJc w:val="left"/>
      <w:pPr>
        <w:ind w:left="720" w:hanging="360"/>
      </w:pPr>
      <w:rPr>
        <w:rFonts w:ascii="Wingdings" w:eastAsia="Times New Roman"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74F2C"/>
    <w:multiLevelType w:val="hybridMultilevel"/>
    <w:tmpl w:val="52723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8E3BB0"/>
    <w:multiLevelType w:val="hybridMultilevel"/>
    <w:tmpl w:val="5AC26160"/>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A1780"/>
    <w:multiLevelType w:val="hybridMultilevel"/>
    <w:tmpl w:val="8F60C9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C826B1"/>
    <w:multiLevelType w:val="hybridMultilevel"/>
    <w:tmpl w:val="DF18561C"/>
    <w:lvl w:ilvl="0" w:tplc="04270001">
      <w:start w:val="1"/>
      <w:numFmt w:val="bullet"/>
      <w:lvlText w:val=""/>
      <w:lvlJc w:val="left"/>
      <w:pPr>
        <w:ind w:left="1287" w:hanging="360"/>
      </w:pPr>
      <w:rPr>
        <w:rFonts w:ascii="Symbol" w:hAnsi="Symbol" w:hint="default"/>
      </w:rPr>
    </w:lvl>
    <w:lvl w:ilvl="1" w:tplc="D8EC977A">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6791FC3"/>
    <w:multiLevelType w:val="hybridMultilevel"/>
    <w:tmpl w:val="76784A5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B471F9"/>
    <w:multiLevelType w:val="hybridMultilevel"/>
    <w:tmpl w:val="53CC1F2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FE09E2"/>
    <w:multiLevelType w:val="hybridMultilevel"/>
    <w:tmpl w:val="B938127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6C0184"/>
    <w:multiLevelType w:val="hybridMultilevel"/>
    <w:tmpl w:val="AE2A2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80D29"/>
    <w:multiLevelType w:val="hybridMultilevel"/>
    <w:tmpl w:val="0B007C3E"/>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D3345A"/>
    <w:multiLevelType w:val="hybridMultilevel"/>
    <w:tmpl w:val="594AF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162A52"/>
    <w:multiLevelType w:val="hybridMultilevel"/>
    <w:tmpl w:val="2E5CE8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82B2C"/>
    <w:multiLevelType w:val="hybridMultilevel"/>
    <w:tmpl w:val="055AA5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BF4715"/>
    <w:multiLevelType w:val="hybridMultilevel"/>
    <w:tmpl w:val="824C3CE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6"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B01F9F"/>
    <w:multiLevelType w:val="hybridMultilevel"/>
    <w:tmpl w:val="417A5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455B6C"/>
    <w:multiLevelType w:val="hybridMultilevel"/>
    <w:tmpl w:val="229C13F0"/>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909E0"/>
    <w:multiLevelType w:val="hybridMultilevel"/>
    <w:tmpl w:val="28D009F8"/>
    <w:lvl w:ilvl="0" w:tplc="04270001">
      <w:start w:val="1"/>
      <w:numFmt w:val="bullet"/>
      <w:lvlText w:val=""/>
      <w:lvlJc w:val="left"/>
      <w:pPr>
        <w:ind w:left="1287" w:hanging="360"/>
      </w:pPr>
      <w:rPr>
        <w:rFonts w:ascii="Symbol" w:hAnsi="Symbol" w:hint="default"/>
      </w:rPr>
    </w:lvl>
    <w:lvl w:ilvl="1" w:tplc="8C3433B6">
      <w:numFmt w:val="bullet"/>
      <w:lvlText w:val=""/>
      <w:lvlJc w:val="left"/>
      <w:pPr>
        <w:ind w:left="2007" w:hanging="360"/>
      </w:pPr>
      <w:rPr>
        <w:rFonts w:ascii="Symbol" w:hAnsi="Symbol" w:cs="Times New Roman" w:hint="default"/>
        <w:sz w:val="22"/>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0A680C"/>
    <w:multiLevelType w:val="hybridMultilevel"/>
    <w:tmpl w:val="DEEA3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C04C90"/>
    <w:multiLevelType w:val="hybridMultilevel"/>
    <w:tmpl w:val="3EC43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50922"/>
    <w:multiLevelType w:val="hybridMultilevel"/>
    <w:tmpl w:val="409E38D2"/>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44" w15:restartNumberingAfterBreak="0">
    <w:nsid w:val="7C731466"/>
    <w:multiLevelType w:val="hybridMultilevel"/>
    <w:tmpl w:val="89CA8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825B5C"/>
    <w:multiLevelType w:val="hybridMultilevel"/>
    <w:tmpl w:val="6A1A02B0"/>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882398726">
    <w:abstractNumId w:val="0"/>
    <w:lvlOverride w:ilvl="0">
      <w:lvl w:ilvl="0">
        <w:start w:val="1"/>
        <w:numFmt w:val="bullet"/>
        <w:lvlText w:val="-"/>
        <w:lvlJc w:val="left"/>
        <w:pPr>
          <w:ind w:left="360" w:hanging="360"/>
        </w:pPr>
      </w:lvl>
    </w:lvlOverride>
  </w:num>
  <w:num w:numId="2" w16cid:durableId="502478577">
    <w:abstractNumId w:val="46"/>
  </w:num>
  <w:num w:numId="3" w16cid:durableId="747001019">
    <w:abstractNumId w:val="45"/>
  </w:num>
  <w:num w:numId="4" w16cid:durableId="206796538">
    <w:abstractNumId w:val="20"/>
  </w:num>
  <w:num w:numId="5" w16cid:durableId="820773789">
    <w:abstractNumId w:val="42"/>
  </w:num>
  <w:num w:numId="6" w16cid:durableId="225071909">
    <w:abstractNumId w:val="0"/>
    <w:lvlOverride w:ilvl="0">
      <w:lvl w:ilvl="0">
        <w:start w:val="1"/>
        <w:numFmt w:val="bullet"/>
        <w:lvlText w:val="-"/>
        <w:lvlJc w:val="left"/>
        <w:pPr>
          <w:ind w:left="720" w:hanging="360"/>
        </w:pPr>
      </w:lvl>
    </w:lvlOverride>
  </w:num>
  <w:num w:numId="7" w16cid:durableId="1128010594">
    <w:abstractNumId w:val="1"/>
  </w:num>
  <w:num w:numId="8" w16cid:durableId="1226067764">
    <w:abstractNumId w:val="28"/>
  </w:num>
  <w:num w:numId="9" w16cid:durableId="840201477">
    <w:abstractNumId w:val="32"/>
  </w:num>
  <w:num w:numId="10" w16cid:durableId="778835275">
    <w:abstractNumId w:val="31"/>
  </w:num>
  <w:num w:numId="11" w16cid:durableId="210848996">
    <w:abstractNumId w:val="8"/>
  </w:num>
  <w:num w:numId="12" w16cid:durableId="1863781426">
    <w:abstractNumId w:val="5"/>
  </w:num>
  <w:num w:numId="13" w16cid:durableId="1762221031">
    <w:abstractNumId w:val="9"/>
  </w:num>
  <w:num w:numId="14" w16cid:durableId="1563715758">
    <w:abstractNumId w:val="38"/>
  </w:num>
  <w:num w:numId="15" w16cid:durableId="782770243">
    <w:abstractNumId w:val="18"/>
  </w:num>
  <w:num w:numId="16" w16cid:durableId="1012269534">
    <w:abstractNumId w:val="19"/>
  </w:num>
  <w:num w:numId="17" w16cid:durableId="1807311473">
    <w:abstractNumId w:val="13"/>
  </w:num>
  <w:num w:numId="18" w16cid:durableId="2131821499">
    <w:abstractNumId w:val="34"/>
  </w:num>
  <w:num w:numId="19" w16cid:durableId="1485464959">
    <w:abstractNumId w:val="43"/>
  </w:num>
  <w:num w:numId="20" w16cid:durableId="418599757">
    <w:abstractNumId w:val="7"/>
  </w:num>
  <w:num w:numId="21" w16cid:durableId="1522624997">
    <w:abstractNumId w:val="41"/>
  </w:num>
  <w:num w:numId="22" w16cid:durableId="554900274">
    <w:abstractNumId w:val="23"/>
  </w:num>
  <w:num w:numId="23" w16cid:durableId="4407535">
    <w:abstractNumId w:val="30"/>
  </w:num>
  <w:num w:numId="24" w16cid:durableId="1797915426">
    <w:abstractNumId w:val="36"/>
  </w:num>
  <w:num w:numId="25" w16cid:durableId="710346755">
    <w:abstractNumId w:val="4"/>
  </w:num>
  <w:num w:numId="26" w16cid:durableId="396444292">
    <w:abstractNumId w:val="27"/>
  </w:num>
  <w:num w:numId="27" w16cid:durableId="616759857">
    <w:abstractNumId w:val="35"/>
  </w:num>
  <w:num w:numId="28" w16cid:durableId="2011327245">
    <w:abstractNumId w:val="10"/>
  </w:num>
  <w:num w:numId="29" w16cid:durableId="2128117600">
    <w:abstractNumId w:val="26"/>
  </w:num>
  <w:num w:numId="30" w16cid:durableId="144245238">
    <w:abstractNumId w:val="29"/>
  </w:num>
  <w:num w:numId="31" w16cid:durableId="1276788155">
    <w:abstractNumId w:val="17"/>
  </w:num>
  <w:num w:numId="32" w16cid:durableId="1616595473">
    <w:abstractNumId w:val="24"/>
  </w:num>
  <w:num w:numId="33" w16cid:durableId="1938636429">
    <w:abstractNumId w:val="44"/>
  </w:num>
  <w:num w:numId="34" w16cid:durableId="1932934343">
    <w:abstractNumId w:val="2"/>
  </w:num>
  <w:num w:numId="35" w16cid:durableId="17774784">
    <w:abstractNumId w:val="15"/>
  </w:num>
  <w:num w:numId="36" w16cid:durableId="1420054000">
    <w:abstractNumId w:val="11"/>
  </w:num>
  <w:num w:numId="37" w16cid:durableId="406806965">
    <w:abstractNumId w:val="14"/>
  </w:num>
  <w:num w:numId="38" w16cid:durableId="882521123">
    <w:abstractNumId w:val="16"/>
  </w:num>
  <w:num w:numId="39" w16cid:durableId="584069141">
    <w:abstractNumId w:val="22"/>
  </w:num>
  <w:num w:numId="40" w16cid:durableId="79907786">
    <w:abstractNumId w:val="12"/>
  </w:num>
  <w:num w:numId="41" w16cid:durableId="547955269">
    <w:abstractNumId w:val="3"/>
  </w:num>
  <w:num w:numId="42" w16cid:durableId="633147065">
    <w:abstractNumId w:val="6"/>
  </w:num>
  <w:num w:numId="43" w16cid:durableId="1681204325">
    <w:abstractNumId w:val="40"/>
  </w:num>
  <w:num w:numId="44" w16cid:durableId="316344714">
    <w:abstractNumId w:val="25"/>
  </w:num>
  <w:num w:numId="45" w16cid:durableId="1077285997">
    <w:abstractNumId w:val="21"/>
  </w:num>
  <w:num w:numId="46" w16cid:durableId="532228810">
    <w:abstractNumId w:val="37"/>
  </w:num>
  <w:num w:numId="47" w16cid:durableId="823623604">
    <w:abstractNumId w:val="33"/>
  </w:num>
  <w:num w:numId="48" w16cid:durableId="1743328243">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C4"/>
    <w:rsid w:val="00003539"/>
    <w:rsid w:val="000065EE"/>
    <w:rsid w:val="00007B09"/>
    <w:rsid w:val="00010E56"/>
    <w:rsid w:val="00014C1A"/>
    <w:rsid w:val="00014F3E"/>
    <w:rsid w:val="00020587"/>
    <w:rsid w:val="0002186A"/>
    <w:rsid w:val="00022326"/>
    <w:rsid w:val="0002271F"/>
    <w:rsid w:val="00022764"/>
    <w:rsid w:val="00024C83"/>
    <w:rsid w:val="00025146"/>
    <w:rsid w:val="00027D1D"/>
    <w:rsid w:val="000306DE"/>
    <w:rsid w:val="00031230"/>
    <w:rsid w:val="000313E0"/>
    <w:rsid w:val="000356A9"/>
    <w:rsid w:val="0004001D"/>
    <w:rsid w:val="000407E7"/>
    <w:rsid w:val="00040FEC"/>
    <w:rsid w:val="00043AD4"/>
    <w:rsid w:val="00050012"/>
    <w:rsid w:val="00050024"/>
    <w:rsid w:val="00050617"/>
    <w:rsid w:val="00051078"/>
    <w:rsid w:val="00051721"/>
    <w:rsid w:val="00053885"/>
    <w:rsid w:val="00054ADF"/>
    <w:rsid w:val="00056CAF"/>
    <w:rsid w:val="00060C2D"/>
    <w:rsid w:val="00060CF2"/>
    <w:rsid w:val="00060FC6"/>
    <w:rsid w:val="000612C9"/>
    <w:rsid w:val="000649BC"/>
    <w:rsid w:val="00065B13"/>
    <w:rsid w:val="0006684D"/>
    <w:rsid w:val="0006756E"/>
    <w:rsid w:val="00073411"/>
    <w:rsid w:val="000736E6"/>
    <w:rsid w:val="00074830"/>
    <w:rsid w:val="00074CC7"/>
    <w:rsid w:val="00081570"/>
    <w:rsid w:val="00082668"/>
    <w:rsid w:val="000853D8"/>
    <w:rsid w:val="00086CAD"/>
    <w:rsid w:val="0008715D"/>
    <w:rsid w:val="000879F2"/>
    <w:rsid w:val="00087FF1"/>
    <w:rsid w:val="00091F85"/>
    <w:rsid w:val="00092043"/>
    <w:rsid w:val="00092044"/>
    <w:rsid w:val="00092A50"/>
    <w:rsid w:val="00092E48"/>
    <w:rsid w:val="0009306F"/>
    <w:rsid w:val="000956ED"/>
    <w:rsid w:val="00096BCF"/>
    <w:rsid w:val="000A023B"/>
    <w:rsid w:val="000A7CEE"/>
    <w:rsid w:val="000B10D8"/>
    <w:rsid w:val="000B11D4"/>
    <w:rsid w:val="000B1643"/>
    <w:rsid w:val="000B4BA7"/>
    <w:rsid w:val="000B5A98"/>
    <w:rsid w:val="000C6D02"/>
    <w:rsid w:val="000C6FCA"/>
    <w:rsid w:val="000D0A3D"/>
    <w:rsid w:val="000F1F39"/>
    <w:rsid w:val="000F6262"/>
    <w:rsid w:val="000F6FD0"/>
    <w:rsid w:val="0010033A"/>
    <w:rsid w:val="00100642"/>
    <w:rsid w:val="00102BA2"/>
    <w:rsid w:val="00105047"/>
    <w:rsid w:val="00105B27"/>
    <w:rsid w:val="00106ADF"/>
    <w:rsid w:val="00106F5A"/>
    <w:rsid w:val="00107C7E"/>
    <w:rsid w:val="00111EF0"/>
    <w:rsid w:val="00112EFF"/>
    <w:rsid w:val="00115B5C"/>
    <w:rsid w:val="00122DA9"/>
    <w:rsid w:val="00124023"/>
    <w:rsid w:val="00130211"/>
    <w:rsid w:val="00130CD3"/>
    <w:rsid w:val="00130E7A"/>
    <w:rsid w:val="00131733"/>
    <w:rsid w:val="0013218B"/>
    <w:rsid w:val="00133B04"/>
    <w:rsid w:val="0014582F"/>
    <w:rsid w:val="001520AF"/>
    <w:rsid w:val="0015687C"/>
    <w:rsid w:val="001570EE"/>
    <w:rsid w:val="00164AD7"/>
    <w:rsid w:val="00164AE7"/>
    <w:rsid w:val="00164F62"/>
    <w:rsid w:val="00165314"/>
    <w:rsid w:val="00171FA7"/>
    <w:rsid w:val="00176C5A"/>
    <w:rsid w:val="001860D5"/>
    <w:rsid w:val="0018692C"/>
    <w:rsid w:val="00186F0F"/>
    <w:rsid w:val="001871B8"/>
    <w:rsid w:val="001879E7"/>
    <w:rsid w:val="00190E4A"/>
    <w:rsid w:val="0019110E"/>
    <w:rsid w:val="001A0661"/>
    <w:rsid w:val="001A2939"/>
    <w:rsid w:val="001A5724"/>
    <w:rsid w:val="001A69A9"/>
    <w:rsid w:val="001A7368"/>
    <w:rsid w:val="001A7E3B"/>
    <w:rsid w:val="001B0E27"/>
    <w:rsid w:val="001B13A6"/>
    <w:rsid w:val="001B213F"/>
    <w:rsid w:val="001B4523"/>
    <w:rsid w:val="001B590D"/>
    <w:rsid w:val="001B61D9"/>
    <w:rsid w:val="001C08C9"/>
    <w:rsid w:val="001C2AA9"/>
    <w:rsid w:val="001C2BCE"/>
    <w:rsid w:val="001D0454"/>
    <w:rsid w:val="001D06E6"/>
    <w:rsid w:val="001D294C"/>
    <w:rsid w:val="001D7DF0"/>
    <w:rsid w:val="001E0A93"/>
    <w:rsid w:val="001E2D0A"/>
    <w:rsid w:val="001E31D6"/>
    <w:rsid w:val="001E5809"/>
    <w:rsid w:val="001E6536"/>
    <w:rsid w:val="001F046B"/>
    <w:rsid w:val="001F050A"/>
    <w:rsid w:val="002013EE"/>
    <w:rsid w:val="00201557"/>
    <w:rsid w:val="002023C7"/>
    <w:rsid w:val="00202CF6"/>
    <w:rsid w:val="00202D3D"/>
    <w:rsid w:val="00203B91"/>
    <w:rsid w:val="002118A7"/>
    <w:rsid w:val="00212673"/>
    <w:rsid w:val="002154C0"/>
    <w:rsid w:val="002156D4"/>
    <w:rsid w:val="0021625A"/>
    <w:rsid w:val="00216298"/>
    <w:rsid w:val="0022061B"/>
    <w:rsid w:val="00222C54"/>
    <w:rsid w:val="002304A2"/>
    <w:rsid w:val="0023259A"/>
    <w:rsid w:val="00235B8D"/>
    <w:rsid w:val="002404BD"/>
    <w:rsid w:val="00243490"/>
    <w:rsid w:val="002434A3"/>
    <w:rsid w:val="00243D94"/>
    <w:rsid w:val="002504A3"/>
    <w:rsid w:val="0025209C"/>
    <w:rsid w:val="00254290"/>
    <w:rsid w:val="002550EB"/>
    <w:rsid w:val="002558CA"/>
    <w:rsid w:val="002612BD"/>
    <w:rsid w:val="0026619E"/>
    <w:rsid w:val="00271E1A"/>
    <w:rsid w:val="00273C2C"/>
    <w:rsid w:val="00273DB3"/>
    <w:rsid w:val="00275568"/>
    <w:rsid w:val="00275D36"/>
    <w:rsid w:val="00282DCB"/>
    <w:rsid w:val="00284064"/>
    <w:rsid w:val="00285D29"/>
    <w:rsid w:val="002872CD"/>
    <w:rsid w:val="002907E4"/>
    <w:rsid w:val="00291388"/>
    <w:rsid w:val="00294451"/>
    <w:rsid w:val="00295CD9"/>
    <w:rsid w:val="002964C9"/>
    <w:rsid w:val="00297465"/>
    <w:rsid w:val="002A0C6B"/>
    <w:rsid w:val="002A3D59"/>
    <w:rsid w:val="002A4DAC"/>
    <w:rsid w:val="002B2211"/>
    <w:rsid w:val="002B285A"/>
    <w:rsid w:val="002B4D1E"/>
    <w:rsid w:val="002B53A1"/>
    <w:rsid w:val="002B5FB1"/>
    <w:rsid w:val="002B67E1"/>
    <w:rsid w:val="002B7E6A"/>
    <w:rsid w:val="002C1125"/>
    <w:rsid w:val="002C13CE"/>
    <w:rsid w:val="002C2923"/>
    <w:rsid w:val="002C4967"/>
    <w:rsid w:val="002D031E"/>
    <w:rsid w:val="002D3193"/>
    <w:rsid w:val="002D3C95"/>
    <w:rsid w:val="002E5756"/>
    <w:rsid w:val="002E5FA7"/>
    <w:rsid w:val="002E7478"/>
    <w:rsid w:val="002E7EED"/>
    <w:rsid w:val="002F24FF"/>
    <w:rsid w:val="002F2852"/>
    <w:rsid w:val="002F6B9E"/>
    <w:rsid w:val="00300ADB"/>
    <w:rsid w:val="00301659"/>
    <w:rsid w:val="0030376D"/>
    <w:rsid w:val="00304145"/>
    <w:rsid w:val="003052C5"/>
    <w:rsid w:val="00310E5F"/>
    <w:rsid w:val="00311CAE"/>
    <w:rsid w:val="003128F3"/>
    <w:rsid w:val="00316120"/>
    <w:rsid w:val="00316C53"/>
    <w:rsid w:val="00321207"/>
    <w:rsid w:val="00321E01"/>
    <w:rsid w:val="00322DE6"/>
    <w:rsid w:val="00324119"/>
    <w:rsid w:val="00325A17"/>
    <w:rsid w:val="00331FA9"/>
    <w:rsid w:val="003322F9"/>
    <w:rsid w:val="00332E52"/>
    <w:rsid w:val="003345DD"/>
    <w:rsid w:val="0034077A"/>
    <w:rsid w:val="0034132A"/>
    <w:rsid w:val="00342718"/>
    <w:rsid w:val="00343FAA"/>
    <w:rsid w:val="003501FE"/>
    <w:rsid w:val="003505CF"/>
    <w:rsid w:val="003530FD"/>
    <w:rsid w:val="00355F2F"/>
    <w:rsid w:val="00357274"/>
    <w:rsid w:val="00361387"/>
    <w:rsid w:val="0036570E"/>
    <w:rsid w:val="00365EBE"/>
    <w:rsid w:val="003663E1"/>
    <w:rsid w:val="0036692A"/>
    <w:rsid w:val="0036731D"/>
    <w:rsid w:val="00370671"/>
    <w:rsid w:val="0037243F"/>
    <w:rsid w:val="0037496F"/>
    <w:rsid w:val="00380AE4"/>
    <w:rsid w:val="00383640"/>
    <w:rsid w:val="00390DE4"/>
    <w:rsid w:val="00391251"/>
    <w:rsid w:val="0039133E"/>
    <w:rsid w:val="00392D2E"/>
    <w:rsid w:val="0039380B"/>
    <w:rsid w:val="003A0BB0"/>
    <w:rsid w:val="003A1F7F"/>
    <w:rsid w:val="003A4886"/>
    <w:rsid w:val="003A58CB"/>
    <w:rsid w:val="003A5D66"/>
    <w:rsid w:val="003A5EF7"/>
    <w:rsid w:val="003B1534"/>
    <w:rsid w:val="003B16D6"/>
    <w:rsid w:val="003B2651"/>
    <w:rsid w:val="003B32FF"/>
    <w:rsid w:val="003B4611"/>
    <w:rsid w:val="003C4380"/>
    <w:rsid w:val="003C468B"/>
    <w:rsid w:val="003C6414"/>
    <w:rsid w:val="003D2025"/>
    <w:rsid w:val="003E1605"/>
    <w:rsid w:val="003E40D1"/>
    <w:rsid w:val="003E4DC5"/>
    <w:rsid w:val="003E623C"/>
    <w:rsid w:val="003E649D"/>
    <w:rsid w:val="003E774C"/>
    <w:rsid w:val="003E77F5"/>
    <w:rsid w:val="003F1834"/>
    <w:rsid w:val="003F1FC9"/>
    <w:rsid w:val="003F32C1"/>
    <w:rsid w:val="003F3A5F"/>
    <w:rsid w:val="003F51D4"/>
    <w:rsid w:val="003F5FF2"/>
    <w:rsid w:val="003F60BC"/>
    <w:rsid w:val="003F6E3B"/>
    <w:rsid w:val="0040083C"/>
    <w:rsid w:val="0040202C"/>
    <w:rsid w:val="00404F36"/>
    <w:rsid w:val="00405F7E"/>
    <w:rsid w:val="00406149"/>
    <w:rsid w:val="0040789D"/>
    <w:rsid w:val="0041144A"/>
    <w:rsid w:val="00413AB7"/>
    <w:rsid w:val="00414461"/>
    <w:rsid w:val="00414942"/>
    <w:rsid w:val="00416943"/>
    <w:rsid w:val="004232DA"/>
    <w:rsid w:val="00423D38"/>
    <w:rsid w:val="004240B6"/>
    <w:rsid w:val="00424736"/>
    <w:rsid w:val="0042560B"/>
    <w:rsid w:val="00427D02"/>
    <w:rsid w:val="00431F55"/>
    <w:rsid w:val="004330C2"/>
    <w:rsid w:val="004341B1"/>
    <w:rsid w:val="00434B4F"/>
    <w:rsid w:val="004360F1"/>
    <w:rsid w:val="00440989"/>
    <w:rsid w:val="0044570C"/>
    <w:rsid w:val="00446238"/>
    <w:rsid w:val="00446720"/>
    <w:rsid w:val="004525B2"/>
    <w:rsid w:val="00452706"/>
    <w:rsid w:val="0045422A"/>
    <w:rsid w:val="00456FF6"/>
    <w:rsid w:val="00460181"/>
    <w:rsid w:val="00460374"/>
    <w:rsid w:val="00461183"/>
    <w:rsid w:val="004625A5"/>
    <w:rsid w:val="004635C7"/>
    <w:rsid w:val="00465120"/>
    <w:rsid w:val="00467D85"/>
    <w:rsid w:val="0047330F"/>
    <w:rsid w:val="00474BA0"/>
    <w:rsid w:val="0047578D"/>
    <w:rsid w:val="00476291"/>
    <w:rsid w:val="00476663"/>
    <w:rsid w:val="004831F5"/>
    <w:rsid w:val="0048714A"/>
    <w:rsid w:val="00490777"/>
    <w:rsid w:val="00491086"/>
    <w:rsid w:val="00492019"/>
    <w:rsid w:val="004A005F"/>
    <w:rsid w:val="004A0501"/>
    <w:rsid w:val="004A25BF"/>
    <w:rsid w:val="004A595D"/>
    <w:rsid w:val="004B0E2A"/>
    <w:rsid w:val="004B3AC6"/>
    <w:rsid w:val="004B6BDE"/>
    <w:rsid w:val="004B7B10"/>
    <w:rsid w:val="004C0D11"/>
    <w:rsid w:val="004C1B3D"/>
    <w:rsid w:val="004C3AC3"/>
    <w:rsid w:val="004C4367"/>
    <w:rsid w:val="004C4691"/>
    <w:rsid w:val="004C4F82"/>
    <w:rsid w:val="004C55CC"/>
    <w:rsid w:val="004C6739"/>
    <w:rsid w:val="004C73EB"/>
    <w:rsid w:val="004D0E76"/>
    <w:rsid w:val="004D15ED"/>
    <w:rsid w:val="004D23B2"/>
    <w:rsid w:val="004D243B"/>
    <w:rsid w:val="004D2A8E"/>
    <w:rsid w:val="004D2C39"/>
    <w:rsid w:val="004D2F55"/>
    <w:rsid w:val="004D7BD5"/>
    <w:rsid w:val="004E0754"/>
    <w:rsid w:val="004E1399"/>
    <w:rsid w:val="004E1A2A"/>
    <w:rsid w:val="004E222C"/>
    <w:rsid w:val="004E27F5"/>
    <w:rsid w:val="004E417D"/>
    <w:rsid w:val="004E4DD3"/>
    <w:rsid w:val="004E6E8A"/>
    <w:rsid w:val="004E789A"/>
    <w:rsid w:val="004F0CA1"/>
    <w:rsid w:val="004F111A"/>
    <w:rsid w:val="004F2215"/>
    <w:rsid w:val="004F39C6"/>
    <w:rsid w:val="004F41B7"/>
    <w:rsid w:val="004F5087"/>
    <w:rsid w:val="004F6160"/>
    <w:rsid w:val="004F68EF"/>
    <w:rsid w:val="004F7CF7"/>
    <w:rsid w:val="005024D4"/>
    <w:rsid w:val="00503CCC"/>
    <w:rsid w:val="005054CC"/>
    <w:rsid w:val="00506ECC"/>
    <w:rsid w:val="005154BC"/>
    <w:rsid w:val="005205FD"/>
    <w:rsid w:val="00521359"/>
    <w:rsid w:val="0052527B"/>
    <w:rsid w:val="005263E5"/>
    <w:rsid w:val="005308AE"/>
    <w:rsid w:val="00530C44"/>
    <w:rsid w:val="0053301D"/>
    <w:rsid w:val="00533B34"/>
    <w:rsid w:val="005343DD"/>
    <w:rsid w:val="00534E48"/>
    <w:rsid w:val="00541FBB"/>
    <w:rsid w:val="0054353D"/>
    <w:rsid w:val="0054435B"/>
    <w:rsid w:val="00544E54"/>
    <w:rsid w:val="00545A83"/>
    <w:rsid w:val="005525F6"/>
    <w:rsid w:val="00552713"/>
    <w:rsid w:val="005536D8"/>
    <w:rsid w:val="0055422F"/>
    <w:rsid w:val="005544F6"/>
    <w:rsid w:val="00555C45"/>
    <w:rsid w:val="005573B3"/>
    <w:rsid w:val="00557D52"/>
    <w:rsid w:val="00560711"/>
    <w:rsid w:val="00561C33"/>
    <w:rsid w:val="00561F0B"/>
    <w:rsid w:val="00565402"/>
    <w:rsid w:val="00565E57"/>
    <w:rsid w:val="00567882"/>
    <w:rsid w:val="005712BF"/>
    <w:rsid w:val="00573827"/>
    <w:rsid w:val="00574858"/>
    <w:rsid w:val="0057496C"/>
    <w:rsid w:val="005803A2"/>
    <w:rsid w:val="00581AE4"/>
    <w:rsid w:val="0058746D"/>
    <w:rsid w:val="00587826"/>
    <w:rsid w:val="00590B39"/>
    <w:rsid w:val="00590C9E"/>
    <w:rsid w:val="005912A2"/>
    <w:rsid w:val="00592351"/>
    <w:rsid w:val="00592643"/>
    <w:rsid w:val="00593133"/>
    <w:rsid w:val="00594CC0"/>
    <w:rsid w:val="0059605C"/>
    <w:rsid w:val="00596655"/>
    <w:rsid w:val="005A0525"/>
    <w:rsid w:val="005A1526"/>
    <w:rsid w:val="005A249E"/>
    <w:rsid w:val="005A26DF"/>
    <w:rsid w:val="005A7CA9"/>
    <w:rsid w:val="005A7D74"/>
    <w:rsid w:val="005B4901"/>
    <w:rsid w:val="005C0E57"/>
    <w:rsid w:val="005C0E81"/>
    <w:rsid w:val="005C1D30"/>
    <w:rsid w:val="005C20C0"/>
    <w:rsid w:val="005C27CB"/>
    <w:rsid w:val="005C58A3"/>
    <w:rsid w:val="005C7911"/>
    <w:rsid w:val="005D0FF1"/>
    <w:rsid w:val="005D43DA"/>
    <w:rsid w:val="005D4E40"/>
    <w:rsid w:val="005E0AD1"/>
    <w:rsid w:val="005E1529"/>
    <w:rsid w:val="005E474D"/>
    <w:rsid w:val="005E553E"/>
    <w:rsid w:val="005E63F1"/>
    <w:rsid w:val="005E6FFA"/>
    <w:rsid w:val="005F0ED1"/>
    <w:rsid w:val="005F1143"/>
    <w:rsid w:val="005F18A8"/>
    <w:rsid w:val="005F1D85"/>
    <w:rsid w:val="006003B8"/>
    <w:rsid w:val="00607E22"/>
    <w:rsid w:val="0061061F"/>
    <w:rsid w:val="0061325C"/>
    <w:rsid w:val="00613B1F"/>
    <w:rsid w:val="00614E81"/>
    <w:rsid w:val="00615F4C"/>
    <w:rsid w:val="006170DA"/>
    <w:rsid w:val="00617B04"/>
    <w:rsid w:val="00621E11"/>
    <w:rsid w:val="00623709"/>
    <w:rsid w:val="00627F33"/>
    <w:rsid w:val="006335FE"/>
    <w:rsid w:val="00637E34"/>
    <w:rsid w:val="00640AB9"/>
    <w:rsid w:val="0064282A"/>
    <w:rsid w:val="00643574"/>
    <w:rsid w:val="0065570E"/>
    <w:rsid w:val="0065737D"/>
    <w:rsid w:val="00660B8B"/>
    <w:rsid w:val="0066193F"/>
    <w:rsid w:val="006625D1"/>
    <w:rsid w:val="006659F2"/>
    <w:rsid w:val="006677A3"/>
    <w:rsid w:val="00673194"/>
    <w:rsid w:val="00673456"/>
    <w:rsid w:val="006742D7"/>
    <w:rsid w:val="006757EB"/>
    <w:rsid w:val="00676D1F"/>
    <w:rsid w:val="00677684"/>
    <w:rsid w:val="00680329"/>
    <w:rsid w:val="00680E3A"/>
    <w:rsid w:val="00680FA5"/>
    <w:rsid w:val="006814F3"/>
    <w:rsid w:val="00683714"/>
    <w:rsid w:val="00683D43"/>
    <w:rsid w:val="00690A24"/>
    <w:rsid w:val="00690EE8"/>
    <w:rsid w:val="00693136"/>
    <w:rsid w:val="00695548"/>
    <w:rsid w:val="006A32D5"/>
    <w:rsid w:val="006B0F5E"/>
    <w:rsid w:val="006B2F09"/>
    <w:rsid w:val="006B5F38"/>
    <w:rsid w:val="006C28F9"/>
    <w:rsid w:val="006C400B"/>
    <w:rsid w:val="006C5364"/>
    <w:rsid w:val="006C7B11"/>
    <w:rsid w:val="006D06EB"/>
    <w:rsid w:val="006D420F"/>
    <w:rsid w:val="006D4C3C"/>
    <w:rsid w:val="006E0551"/>
    <w:rsid w:val="006E2897"/>
    <w:rsid w:val="006E43FB"/>
    <w:rsid w:val="006E4C21"/>
    <w:rsid w:val="006E6067"/>
    <w:rsid w:val="006E6D3B"/>
    <w:rsid w:val="006F36EC"/>
    <w:rsid w:val="006F6C97"/>
    <w:rsid w:val="006F7352"/>
    <w:rsid w:val="00702449"/>
    <w:rsid w:val="00704D51"/>
    <w:rsid w:val="00704E3F"/>
    <w:rsid w:val="0071205C"/>
    <w:rsid w:val="007124A0"/>
    <w:rsid w:val="007124C4"/>
    <w:rsid w:val="00712A55"/>
    <w:rsid w:val="007148A0"/>
    <w:rsid w:val="00716BE8"/>
    <w:rsid w:val="00722430"/>
    <w:rsid w:val="00723C14"/>
    <w:rsid w:val="00723F43"/>
    <w:rsid w:val="007313F2"/>
    <w:rsid w:val="007315FE"/>
    <w:rsid w:val="00732B5E"/>
    <w:rsid w:val="00734188"/>
    <w:rsid w:val="00740078"/>
    <w:rsid w:val="0074523C"/>
    <w:rsid w:val="00746A7B"/>
    <w:rsid w:val="007505AC"/>
    <w:rsid w:val="00750EB5"/>
    <w:rsid w:val="0075447E"/>
    <w:rsid w:val="00761E29"/>
    <w:rsid w:val="00763050"/>
    <w:rsid w:val="0076519A"/>
    <w:rsid w:val="007658CE"/>
    <w:rsid w:val="007663BF"/>
    <w:rsid w:val="00771232"/>
    <w:rsid w:val="007727FA"/>
    <w:rsid w:val="007753CF"/>
    <w:rsid w:val="00776246"/>
    <w:rsid w:val="00777C3B"/>
    <w:rsid w:val="007804BF"/>
    <w:rsid w:val="0078135B"/>
    <w:rsid w:val="00781E17"/>
    <w:rsid w:val="0078763D"/>
    <w:rsid w:val="00790870"/>
    <w:rsid w:val="0079176E"/>
    <w:rsid w:val="00795E52"/>
    <w:rsid w:val="0079620E"/>
    <w:rsid w:val="00797654"/>
    <w:rsid w:val="007A20DF"/>
    <w:rsid w:val="007A5A93"/>
    <w:rsid w:val="007B05D5"/>
    <w:rsid w:val="007B15C7"/>
    <w:rsid w:val="007B22BE"/>
    <w:rsid w:val="007B237D"/>
    <w:rsid w:val="007B271F"/>
    <w:rsid w:val="007B30E8"/>
    <w:rsid w:val="007B5D70"/>
    <w:rsid w:val="007B623D"/>
    <w:rsid w:val="007B7A22"/>
    <w:rsid w:val="007C087B"/>
    <w:rsid w:val="007C228E"/>
    <w:rsid w:val="007C2414"/>
    <w:rsid w:val="007C4479"/>
    <w:rsid w:val="007C6907"/>
    <w:rsid w:val="007C6F9E"/>
    <w:rsid w:val="007C728D"/>
    <w:rsid w:val="007D059F"/>
    <w:rsid w:val="007D408A"/>
    <w:rsid w:val="007D4955"/>
    <w:rsid w:val="007D4D7E"/>
    <w:rsid w:val="007D4ED9"/>
    <w:rsid w:val="007D60F9"/>
    <w:rsid w:val="007D77DB"/>
    <w:rsid w:val="007E0924"/>
    <w:rsid w:val="007E0F2D"/>
    <w:rsid w:val="007E3E4E"/>
    <w:rsid w:val="007E428A"/>
    <w:rsid w:val="007E537D"/>
    <w:rsid w:val="007E79F6"/>
    <w:rsid w:val="007F08A9"/>
    <w:rsid w:val="007F1B37"/>
    <w:rsid w:val="007F21B3"/>
    <w:rsid w:val="007F2364"/>
    <w:rsid w:val="007F5A54"/>
    <w:rsid w:val="007F6D1C"/>
    <w:rsid w:val="007F71BF"/>
    <w:rsid w:val="007F7408"/>
    <w:rsid w:val="00802AF8"/>
    <w:rsid w:val="00802F5A"/>
    <w:rsid w:val="00805120"/>
    <w:rsid w:val="008056A6"/>
    <w:rsid w:val="00806172"/>
    <w:rsid w:val="00806318"/>
    <w:rsid w:val="00807239"/>
    <w:rsid w:val="00807911"/>
    <w:rsid w:val="00813CFD"/>
    <w:rsid w:val="008175E9"/>
    <w:rsid w:val="008222E9"/>
    <w:rsid w:val="00823C6A"/>
    <w:rsid w:val="00824C9F"/>
    <w:rsid w:val="00825296"/>
    <w:rsid w:val="00832C1A"/>
    <w:rsid w:val="00835EAA"/>
    <w:rsid w:val="008374A5"/>
    <w:rsid w:val="00841B57"/>
    <w:rsid w:val="008431FB"/>
    <w:rsid w:val="00843E63"/>
    <w:rsid w:val="00845B52"/>
    <w:rsid w:val="00846A54"/>
    <w:rsid w:val="008516FE"/>
    <w:rsid w:val="00851998"/>
    <w:rsid w:val="00853A1E"/>
    <w:rsid w:val="00855CA9"/>
    <w:rsid w:val="00856F41"/>
    <w:rsid w:val="00861672"/>
    <w:rsid w:val="00870768"/>
    <w:rsid w:val="00880AAF"/>
    <w:rsid w:val="008811A2"/>
    <w:rsid w:val="00882AEC"/>
    <w:rsid w:val="00883FA7"/>
    <w:rsid w:val="00886EB8"/>
    <w:rsid w:val="008908ED"/>
    <w:rsid w:val="008910A7"/>
    <w:rsid w:val="00893067"/>
    <w:rsid w:val="008938E9"/>
    <w:rsid w:val="00895F57"/>
    <w:rsid w:val="00897CC7"/>
    <w:rsid w:val="008A2619"/>
    <w:rsid w:val="008A4B56"/>
    <w:rsid w:val="008A5B62"/>
    <w:rsid w:val="008A7105"/>
    <w:rsid w:val="008B118F"/>
    <w:rsid w:val="008B6339"/>
    <w:rsid w:val="008B69C5"/>
    <w:rsid w:val="008C4FB2"/>
    <w:rsid w:val="008D1343"/>
    <w:rsid w:val="008D1DE1"/>
    <w:rsid w:val="008D3508"/>
    <w:rsid w:val="008D77F5"/>
    <w:rsid w:val="008E113C"/>
    <w:rsid w:val="008E310A"/>
    <w:rsid w:val="008E6377"/>
    <w:rsid w:val="008F095B"/>
    <w:rsid w:val="008F117D"/>
    <w:rsid w:val="008F648F"/>
    <w:rsid w:val="00903D49"/>
    <w:rsid w:val="009079DF"/>
    <w:rsid w:val="00907BDA"/>
    <w:rsid w:val="00910DC2"/>
    <w:rsid w:val="0091272C"/>
    <w:rsid w:val="009142F9"/>
    <w:rsid w:val="009143EE"/>
    <w:rsid w:val="0091498F"/>
    <w:rsid w:val="009150E2"/>
    <w:rsid w:val="009174B2"/>
    <w:rsid w:val="009208BD"/>
    <w:rsid w:val="00921F71"/>
    <w:rsid w:val="0092327C"/>
    <w:rsid w:val="00923418"/>
    <w:rsid w:val="00923EFD"/>
    <w:rsid w:val="009276EB"/>
    <w:rsid w:val="0093160C"/>
    <w:rsid w:val="00931B4B"/>
    <w:rsid w:val="00931C13"/>
    <w:rsid w:val="00934671"/>
    <w:rsid w:val="00934A53"/>
    <w:rsid w:val="00937A1B"/>
    <w:rsid w:val="00940EF9"/>
    <w:rsid w:val="009412FB"/>
    <w:rsid w:val="009426C7"/>
    <w:rsid w:val="009437F8"/>
    <w:rsid w:val="00953015"/>
    <w:rsid w:val="00953801"/>
    <w:rsid w:val="009539E3"/>
    <w:rsid w:val="0095451E"/>
    <w:rsid w:val="00955FE0"/>
    <w:rsid w:val="00960D49"/>
    <w:rsid w:val="009637B9"/>
    <w:rsid w:val="00963E9A"/>
    <w:rsid w:val="00964C31"/>
    <w:rsid w:val="00967179"/>
    <w:rsid w:val="00967D8A"/>
    <w:rsid w:val="009705E4"/>
    <w:rsid w:val="00972148"/>
    <w:rsid w:val="0097454C"/>
    <w:rsid w:val="00975134"/>
    <w:rsid w:val="009763A8"/>
    <w:rsid w:val="00977B15"/>
    <w:rsid w:val="00986AD7"/>
    <w:rsid w:val="00987F3E"/>
    <w:rsid w:val="009947E4"/>
    <w:rsid w:val="00994AC4"/>
    <w:rsid w:val="00996111"/>
    <w:rsid w:val="009A03ED"/>
    <w:rsid w:val="009A1672"/>
    <w:rsid w:val="009A36C1"/>
    <w:rsid w:val="009A3DE8"/>
    <w:rsid w:val="009A41DD"/>
    <w:rsid w:val="009A4FAE"/>
    <w:rsid w:val="009A574E"/>
    <w:rsid w:val="009A7E82"/>
    <w:rsid w:val="009B2529"/>
    <w:rsid w:val="009B2548"/>
    <w:rsid w:val="009B3C15"/>
    <w:rsid w:val="009B5E0F"/>
    <w:rsid w:val="009B68AD"/>
    <w:rsid w:val="009C0B03"/>
    <w:rsid w:val="009C113D"/>
    <w:rsid w:val="009C1985"/>
    <w:rsid w:val="009C31C1"/>
    <w:rsid w:val="009C6769"/>
    <w:rsid w:val="009D159E"/>
    <w:rsid w:val="009D38CB"/>
    <w:rsid w:val="009D3F40"/>
    <w:rsid w:val="009D4230"/>
    <w:rsid w:val="009D56A3"/>
    <w:rsid w:val="009D706F"/>
    <w:rsid w:val="009D73B8"/>
    <w:rsid w:val="009E2EF0"/>
    <w:rsid w:val="009E44DB"/>
    <w:rsid w:val="009E4923"/>
    <w:rsid w:val="009E77C3"/>
    <w:rsid w:val="009F023B"/>
    <w:rsid w:val="009F09AB"/>
    <w:rsid w:val="009F0BDC"/>
    <w:rsid w:val="009F5779"/>
    <w:rsid w:val="009F6953"/>
    <w:rsid w:val="009F6D1D"/>
    <w:rsid w:val="00A0725F"/>
    <w:rsid w:val="00A1013E"/>
    <w:rsid w:val="00A117E5"/>
    <w:rsid w:val="00A155EC"/>
    <w:rsid w:val="00A1663C"/>
    <w:rsid w:val="00A17048"/>
    <w:rsid w:val="00A17C88"/>
    <w:rsid w:val="00A2036B"/>
    <w:rsid w:val="00A24B4B"/>
    <w:rsid w:val="00A25A7A"/>
    <w:rsid w:val="00A321A9"/>
    <w:rsid w:val="00A34F9D"/>
    <w:rsid w:val="00A35586"/>
    <w:rsid w:val="00A367BE"/>
    <w:rsid w:val="00A4353C"/>
    <w:rsid w:val="00A45433"/>
    <w:rsid w:val="00A459BB"/>
    <w:rsid w:val="00A45C73"/>
    <w:rsid w:val="00A47510"/>
    <w:rsid w:val="00A54E61"/>
    <w:rsid w:val="00A56FB3"/>
    <w:rsid w:val="00A575C8"/>
    <w:rsid w:val="00A60B6D"/>
    <w:rsid w:val="00A65294"/>
    <w:rsid w:val="00A67785"/>
    <w:rsid w:val="00A75CA6"/>
    <w:rsid w:val="00A80DC9"/>
    <w:rsid w:val="00A83AE6"/>
    <w:rsid w:val="00A8449F"/>
    <w:rsid w:val="00A874D1"/>
    <w:rsid w:val="00A90C0A"/>
    <w:rsid w:val="00A914E9"/>
    <w:rsid w:val="00A9297B"/>
    <w:rsid w:val="00A951BF"/>
    <w:rsid w:val="00A977CA"/>
    <w:rsid w:val="00AA1D3D"/>
    <w:rsid w:val="00AA471C"/>
    <w:rsid w:val="00AA5005"/>
    <w:rsid w:val="00AA6656"/>
    <w:rsid w:val="00AB1524"/>
    <w:rsid w:val="00AB19CD"/>
    <w:rsid w:val="00AB2A72"/>
    <w:rsid w:val="00AB358C"/>
    <w:rsid w:val="00AB36E7"/>
    <w:rsid w:val="00AB3A2D"/>
    <w:rsid w:val="00AB5246"/>
    <w:rsid w:val="00AB6060"/>
    <w:rsid w:val="00AB7D65"/>
    <w:rsid w:val="00AC09F3"/>
    <w:rsid w:val="00AC145B"/>
    <w:rsid w:val="00AC52A2"/>
    <w:rsid w:val="00AC55C2"/>
    <w:rsid w:val="00AC5C7D"/>
    <w:rsid w:val="00AC7965"/>
    <w:rsid w:val="00AD16DD"/>
    <w:rsid w:val="00AD2419"/>
    <w:rsid w:val="00AD2819"/>
    <w:rsid w:val="00AD6646"/>
    <w:rsid w:val="00AE2D17"/>
    <w:rsid w:val="00AE3C28"/>
    <w:rsid w:val="00AE405E"/>
    <w:rsid w:val="00AE50F4"/>
    <w:rsid w:val="00AF2488"/>
    <w:rsid w:val="00AF2BE0"/>
    <w:rsid w:val="00AF43F4"/>
    <w:rsid w:val="00AF6C01"/>
    <w:rsid w:val="00B00379"/>
    <w:rsid w:val="00B00669"/>
    <w:rsid w:val="00B033A2"/>
    <w:rsid w:val="00B05F95"/>
    <w:rsid w:val="00B06C01"/>
    <w:rsid w:val="00B07CFD"/>
    <w:rsid w:val="00B12066"/>
    <w:rsid w:val="00B13177"/>
    <w:rsid w:val="00B154DB"/>
    <w:rsid w:val="00B167A5"/>
    <w:rsid w:val="00B17A3C"/>
    <w:rsid w:val="00B20320"/>
    <w:rsid w:val="00B217D2"/>
    <w:rsid w:val="00B22B13"/>
    <w:rsid w:val="00B2392C"/>
    <w:rsid w:val="00B245AD"/>
    <w:rsid w:val="00B2590D"/>
    <w:rsid w:val="00B363C9"/>
    <w:rsid w:val="00B4442C"/>
    <w:rsid w:val="00B44B2B"/>
    <w:rsid w:val="00B46B53"/>
    <w:rsid w:val="00B47045"/>
    <w:rsid w:val="00B5226F"/>
    <w:rsid w:val="00B53FBE"/>
    <w:rsid w:val="00B56CC1"/>
    <w:rsid w:val="00B5727F"/>
    <w:rsid w:val="00B614AC"/>
    <w:rsid w:val="00B617B8"/>
    <w:rsid w:val="00B62088"/>
    <w:rsid w:val="00B6319A"/>
    <w:rsid w:val="00B67545"/>
    <w:rsid w:val="00B708B8"/>
    <w:rsid w:val="00B721B1"/>
    <w:rsid w:val="00B72510"/>
    <w:rsid w:val="00B741E8"/>
    <w:rsid w:val="00B751D7"/>
    <w:rsid w:val="00B7522B"/>
    <w:rsid w:val="00B75EC4"/>
    <w:rsid w:val="00B8421C"/>
    <w:rsid w:val="00B87879"/>
    <w:rsid w:val="00B90B44"/>
    <w:rsid w:val="00B93219"/>
    <w:rsid w:val="00B93CC5"/>
    <w:rsid w:val="00B94959"/>
    <w:rsid w:val="00B96632"/>
    <w:rsid w:val="00BA00AB"/>
    <w:rsid w:val="00BA1EBE"/>
    <w:rsid w:val="00BA2B24"/>
    <w:rsid w:val="00BA5BF9"/>
    <w:rsid w:val="00BA6359"/>
    <w:rsid w:val="00BB074F"/>
    <w:rsid w:val="00BB2176"/>
    <w:rsid w:val="00BB5389"/>
    <w:rsid w:val="00BB5D73"/>
    <w:rsid w:val="00BC137E"/>
    <w:rsid w:val="00BC1AED"/>
    <w:rsid w:val="00BC27A7"/>
    <w:rsid w:val="00BC309B"/>
    <w:rsid w:val="00BC3D21"/>
    <w:rsid w:val="00BC4160"/>
    <w:rsid w:val="00BC495B"/>
    <w:rsid w:val="00BC5B67"/>
    <w:rsid w:val="00BC688B"/>
    <w:rsid w:val="00BC785E"/>
    <w:rsid w:val="00BD1D39"/>
    <w:rsid w:val="00BD3022"/>
    <w:rsid w:val="00BD31E3"/>
    <w:rsid w:val="00BD3A0E"/>
    <w:rsid w:val="00BE1813"/>
    <w:rsid w:val="00BE1D01"/>
    <w:rsid w:val="00BE2CA7"/>
    <w:rsid w:val="00BE54F8"/>
    <w:rsid w:val="00BE55B8"/>
    <w:rsid w:val="00BE5BF8"/>
    <w:rsid w:val="00BF2076"/>
    <w:rsid w:val="00BF2B49"/>
    <w:rsid w:val="00C026DB"/>
    <w:rsid w:val="00C03600"/>
    <w:rsid w:val="00C05035"/>
    <w:rsid w:val="00C05410"/>
    <w:rsid w:val="00C06017"/>
    <w:rsid w:val="00C10843"/>
    <w:rsid w:val="00C12076"/>
    <w:rsid w:val="00C138FE"/>
    <w:rsid w:val="00C1408C"/>
    <w:rsid w:val="00C15AC2"/>
    <w:rsid w:val="00C175E9"/>
    <w:rsid w:val="00C17742"/>
    <w:rsid w:val="00C21C32"/>
    <w:rsid w:val="00C2278F"/>
    <w:rsid w:val="00C2299C"/>
    <w:rsid w:val="00C23D69"/>
    <w:rsid w:val="00C26FC0"/>
    <w:rsid w:val="00C31879"/>
    <w:rsid w:val="00C31C76"/>
    <w:rsid w:val="00C32308"/>
    <w:rsid w:val="00C33596"/>
    <w:rsid w:val="00C350D7"/>
    <w:rsid w:val="00C44259"/>
    <w:rsid w:val="00C4561C"/>
    <w:rsid w:val="00C52004"/>
    <w:rsid w:val="00C52009"/>
    <w:rsid w:val="00C52394"/>
    <w:rsid w:val="00C523BF"/>
    <w:rsid w:val="00C53735"/>
    <w:rsid w:val="00C54AAD"/>
    <w:rsid w:val="00C578E1"/>
    <w:rsid w:val="00C60345"/>
    <w:rsid w:val="00C61009"/>
    <w:rsid w:val="00C657D4"/>
    <w:rsid w:val="00C65B4B"/>
    <w:rsid w:val="00C7114A"/>
    <w:rsid w:val="00C72C96"/>
    <w:rsid w:val="00C75F30"/>
    <w:rsid w:val="00C76076"/>
    <w:rsid w:val="00C8058A"/>
    <w:rsid w:val="00C813C4"/>
    <w:rsid w:val="00C8381F"/>
    <w:rsid w:val="00C84D8F"/>
    <w:rsid w:val="00C85EB0"/>
    <w:rsid w:val="00C871E7"/>
    <w:rsid w:val="00C87570"/>
    <w:rsid w:val="00C91B53"/>
    <w:rsid w:val="00C92DC0"/>
    <w:rsid w:val="00C949E4"/>
    <w:rsid w:val="00C95940"/>
    <w:rsid w:val="00C97A71"/>
    <w:rsid w:val="00CA08A3"/>
    <w:rsid w:val="00CA0E2F"/>
    <w:rsid w:val="00CA1BA1"/>
    <w:rsid w:val="00CA71D7"/>
    <w:rsid w:val="00CB0AD7"/>
    <w:rsid w:val="00CB108C"/>
    <w:rsid w:val="00CB2127"/>
    <w:rsid w:val="00CC1B74"/>
    <w:rsid w:val="00CC3C1B"/>
    <w:rsid w:val="00CC4552"/>
    <w:rsid w:val="00CC63AA"/>
    <w:rsid w:val="00CC7FD7"/>
    <w:rsid w:val="00CD24D5"/>
    <w:rsid w:val="00CD4791"/>
    <w:rsid w:val="00CD5EA1"/>
    <w:rsid w:val="00CD5FD4"/>
    <w:rsid w:val="00CD6A08"/>
    <w:rsid w:val="00CD792B"/>
    <w:rsid w:val="00CD7F3A"/>
    <w:rsid w:val="00CE246F"/>
    <w:rsid w:val="00CE2A9B"/>
    <w:rsid w:val="00CE78F8"/>
    <w:rsid w:val="00CE7C19"/>
    <w:rsid w:val="00CF0687"/>
    <w:rsid w:val="00CF09E7"/>
    <w:rsid w:val="00CF3CFA"/>
    <w:rsid w:val="00CF3F89"/>
    <w:rsid w:val="00CF4452"/>
    <w:rsid w:val="00CF5DE4"/>
    <w:rsid w:val="00CF77DF"/>
    <w:rsid w:val="00D02E6D"/>
    <w:rsid w:val="00D03C73"/>
    <w:rsid w:val="00D04214"/>
    <w:rsid w:val="00D12995"/>
    <w:rsid w:val="00D13114"/>
    <w:rsid w:val="00D13E1C"/>
    <w:rsid w:val="00D15350"/>
    <w:rsid w:val="00D166EA"/>
    <w:rsid w:val="00D20435"/>
    <w:rsid w:val="00D205CD"/>
    <w:rsid w:val="00D233A7"/>
    <w:rsid w:val="00D23643"/>
    <w:rsid w:val="00D247BF"/>
    <w:rsid w:val="00D24CBC"/>
    <w:rsid w:val="00D3677C"/>
    <w:rsid w:val="00D4041D"/>
    <w:rsid w:val="00D4289F"/>
    <w:rsid w:val="00D44208"/>
    <w:rsid w:val="00D454EB"/>
    <w:rsid w:val="00D45F6B"/>
    <w:rsid w:val="00D46B66"/>
    <w:rsid w:val="00D4754D"/>
    <w:rsid w:val="00D50B74"/>
    <w:rsid w:val="00D55286"/>
    <w:rsid w:val="00D56AD5"/>
    <w:rsid w:val="00D57CF7"/>
    <w:rsid w:val="00D60B81"/>
    <w:rsid w:val="00D61716"/>
    <w:rsid w:val="00D621AE"/>
    <w:rsid w:val="00D624D7"/>
    <w:rsid w:val="00D63BEE"/>
    <w:rsid w:val="00D642E5"/>
    <w:rsid w:val="00D717EE"/>
    <w:rsid w:val="00D77092"/>
    <w:rsid w:val="00D77FB6"/>
    <w:rsid w:val="00D80526"/>
    <w:rsid w:val="00D81EEB"/>
    <w:rsid w:val="00D81F1F"/>
    <w:rsid w:val="00D823D2"/>
    <w:rsid w:val="00D85A8E"/>
    <w:rsid w:val="00D86BCA"/>
    <w:rsid w:val="00D8719B"/>
    <w:rsid w:val="00D9049F"/>
    <w:rsid w:val="00D90BFF"/>
    <w:rsid w:val="00D92C24"/>
    <w:rsid w:val="00D93C05"/>
    <w:rsid w:val="00D94211"/>
    <w:rsid w:val="00D95B62"/>
    <w:rsid w:val="00DA2DEA"/>
    <w:rsid w:val="00DA3E63"/>
    <w:rsid w:val="00DA5659"/>
    <w:rsid w:val="00DA5954"/>
    <w:rsid w:val="00DA61BF"/>
    <w:rsid w:val="00DA6410"/>
    <w:rsid w:val="00DA6D91"/>
    <w:rsid w:val="00DA70E6"/>
    <w:rsid w:val="00DA79EA"/>
    <w:rsid w:val="00DB1C7E"/>
    <w:rsid w:val="00DB1F2D"/>
    <w:rsid w:val="00DB1F87"/>
    <w:rsid w:val="00DB67EB"/>
    <w:rsid w:val="00DC0300"/>
    <w:rsid w:val="00DC1DA8"/>
    <w:rsid w:val="00DC1F40"/>
    <w:rsid w:val="00DC69C6"/>
    <w:rsid w:val="00DC74D7"/>
    <w:rsid w:val="00DD0300"/>
    <w:rsid w:val="00DD08FB"/>
    <w:rsid w:val="00DD2CA5"/>
    <w:rsid w:val="00DD5A35"/>
    <w:rsid w:val="00DD7D9F"/>
    <w:rsid w:val="00DF08D8"/>
    <w:rsid w:val="00DF3BBD"/>
    <w:rsid w:val="00DF588B"/>
    <w:rsid w:val="00E0271A"/>
    <w:rsid w:val="00E03CAC"/>
    <w:rsid w:val="00E05B6F"/>
    <w:rsid w:val="00E05F50"/>
    <w:rsid w:val="00E0629D"/>
    <w:rsid w:val="00E06B9E"/>
    <w:rsid w:val="00E072F5"/>
    <w:rsid w:val="00E07BC2"/>
    <w:rsid w:val="00E07C2B"/>
    <w:rsid w:val="00E07FA5"/>
    <w:rsid w:val="00E1395D"/>
    <w:rsid w:val="00E1495C"/>
    <w:rsid w:val="00E21AC3"/>
    <w:rsid w:val="00E21FE8"/>
    <w:rsid w:val="00E30951"/>
    <w:rsid w:val="00E34863"/>
    <w:rsid w:val="00E349AB"/>
    <w:rsid w:val="00E34E1D"/>
    <w:rsid w:val="00E47E38"/>
    <w:rsid w:val="00E5005B"/>
    <w:rsid w:val="00E50A7D"/>
    <w:rsid w:val="00E5381C"/>
    <w:rsid w:val="00E56D88"/>
    <w:rsid w:val="00E60AD8"/>
    <w:rsid w:val="00E62970"/>
    <w:rsid w:val="00E63647"/>
    <w:rsid w:val="00E652EA"/>
    <w:rsid w:val="00E7778C"/>
    <w:rsid w:val="00E80D11"/>
    <w:rsid w:val="00E80EBB"/>
    <w:rsid w:val="00E8202F"/>
    <w:rsid w:val="00E82ADB"/>
    <w:rsid w:val="00E858FA"/>
    <w:rsid w:val="00E8592F"/>
    <w:rsid w:val="00E85FDC"/>
    <w:rsid w:val="00E87A20"/>
    <w:rsid w:val="00E91C35"/>
    <w:rsid w:val="00E92488"/>
    <w:rsid w:val="00E92C99"/>
    <w:rsid w:val="00E938FA"/>
    <w:rsid w:val="00E96E07"/>
    <w:rsid w:val="00EA3053"/>
    <w:rsid w:val="00EA7F10"/>
    <w:rsid w:val="00EB056D"/>
    <w:rsid w:val="00EB2960"/>
    <w:rsid w:val="00EB3AFF"/>
    <w:rsid w:val="00EB673A"/>
    <w:rsid w:val="00EB6B7E"/>
    <w:rsid w:val="00EB708A"/>
    <w:rsid w:val="00EB743E"/>
    <w:rsid w:val="00EB7D16"/>
    <w:rsid w:val="00EC00C0"/>
    <w:rsid w:val="00EC1CBE"/>
    <w:rsid w:val="00EC2A30"/>
    <w:rsid w:val="00EC3E05"/>
    <w:rsid w:val="00EC4168"/>
    <w:rsid w:val="00EC6058"/>
    <w:rsid w:val="00EC73DA"/>
    <w:rsid w:val="00ED19AD"/>
    <w:rsid w:val="00ED3396"/>
    <w:rsid w:val="00ED529C"/>
    <w:rsid w:val="00ED552D"/>
    <w:rsid w:val="00EE1553"/>
    <w:rsid w:val="00EE33EF"/>
    <w:rsid w:val="00EE3819"/>
    <w:rsid w:val="00EE404D"/>
    <w:rsid w:val="00EE58BB"/>
    <w:rsid w:val="00EF0421"/>
    <w:rsid w:val="00EF08E0"/>
    <w:rsid w:val="00EF13A4"/>
    <w:rsid w:val="00EF2C5D"/>
    <w:rsid w:val="00EF481F"/>
    <w:rsid w:val="00EF5B33"/>
    <w:rsid w:val="00F00272"/>
    <w:rsid w:val="00F03924"/>
    <w:rsid w:val="00F05444"/>
    <w:rsid w:val="00F059F5"/>
    <w:rsid w:val="00F0631F"/>
    <w:rsid w:val="00F0640B"/>
    <w:rsid w:val="00F079A6"/>
    <w:rsid w:val="00F12F1E"/>
    <w:rsid w:val="00F13017"/>
    <w:rsid w:val="00F138E5"/>
    <w:rsid w:val="00F13B0E"/>
    <w:rsid w:val="00F15499"/>
    <w:rsid w:val="00F159A9"/>
    <w:rsid w:val="00F23E9A"/>
    <w:rsid w:val="00F24E5D"/>
    <w:rsid w:val="00F25E2C"/>
    <w:rsid w:val="00F27F81"/>
    <w:rsid w:val="00F31F85"/>
    <w:rsid w:val="00F33F6C"/>
    <w:rsid w:val="00F4170E"/>
    <w:rsid w:val="00F428E2"/>
    <w:rsid w:val="00F469B8"/>
    <w:rsid w:val="00F50BF5"/>
    <w:rsid w:val="00F50D00"/>
    <w:rsid w:val="00F53673"/>
    <w:rsid w:val="00F53A37"/>
    <w:rsid w:val="00F53F5A"/>
    <w:rsid w:val="00F56558"/>
    <w:rsid w:val="00F56EA8"/>
    <w:rsid w:val="00F61565"/>
    <w:rsid w:val="00F61E00"/>
    <w:rsid w:val="00F65F47"/>
    <w:rsid w:val="00F66542"/>
    <w:rsid w:val="00F70490"/>
    <w:rsid w:val="00F7118B"/>
    <w:rsid w:val="00F726C0"/>
    <w:rsid w:val="00F7357C"/>
    <w:rsid w:val="00F73A57"/>
    <w:rsid w:val="00F7516B"/>
    <w:rsid w:val="00F80643"/>
    <w:rsid w:val="00F82CB1"/>
    <w:rsid w:val="00F85DAE"/>
    <w:rsid w:val="00F86F6D"/>
    <w:rsid w:val="00F91723"/>
    <w:rsid w:val="00F95C62"/>
    <w:rsid w:val="00FA05D8"/>
    <w:rsid w:val="00FA14B5"/>
    <w:rsid w:val="00FA5627"/>
    <w:rsid w:val="00FA7974"/>
    <w:rsid w:val="00FB1753"/>
    <w:rsid w:val="00FB1B28"/>
    <w:rsid w:val="00FB2FF5"/>
    <w:rsid w:val="00FB68FC"/>
    <w:rsid w:val="00FB6CC4"/>
    <w:rsid w:val="00FC0FBD"/>
    <w:rsid w:val="00FC139D"/>
    <w:rsid w:val="00FC4E91"/>
    <w:rsid w:val="00FD501D"/>
    <w:rsid w:val="00FD5317"/>
    <w:rsid w:val="00FD5AD0"/>
    <w:rsid w:val="00FD658C"/>
    <w:rsid w:val="00FF526E"/>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04B5E"/>
  <w15:docId w15:val="{ECE09F3B-9282-4A8B-B435-AA52BC35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2076"/>
    <w:rPr>
      <w:sz w:val="22"/>
      <w:lang w:val="lt-LT" w:eastAsia="lt-LT"/>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61061F"/>
    <w:pPr>
      <w:keepNext/>
      <w:tabs>
        <w:tab w:val="left" w:pos="540"/>
      </w:tabs>
      <w:jc w:val="center"/>
      <w:outlineLvl w:val="1"/>
    </w:pPr>
    <w:rPr>
      <w:b/>
      <w:iCs/>
      <w:szCs w:val="22"/>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uiPriority w:val="1"/>
    <w:qFormat/>
    <w:rsid w:val="00FB6CC4"/>
    <w:pPr>
      <w:jc w:val="center"/>
      <w:outlineLvl w:val="0"/>
    </w:pPr>
    <w:rPr>
      <w:b/>
      <w:kern w:val="28"/>
    </w:rPr>
  </w:style>
  <w:style w:type="character" w:styleId="Hipersaitas">
    <w:name w:val="Hyperlink"/>
    <w:rsid w:val="00FB6CC4"/>
    <w:rPr>
      <w:color w:val="0000FF"/>
      <w:u w:val="single"/>
    </w:rPr>
  </w:style>
  <w:style w:type="paragraph" w:styleId="Paantrat">
    <w:name w:val="Subtitle"/>
    <w:basedOn w:val="prastasis"/>
    <w:link w:val="PaantratDiagrama"/>
    <w:uiPriority w:val="99"/>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lang w:eastAsia="x-none"/>
    </w:rPr>
  </w:style>
  <w:style w:type="paragraph" w:customStyle="1" w:styleId="BT-EMEASMCA">
    <w:name w:val="BT- EMEA_SMCA"/>
    <w:basedOn w:val="prastasis"/>
    <w:uiPriority w:val="99"/>
    <w:rsid w:val="00FB6CC4"/>
    <w:pPr>
      <w:tabs>
        <w:tab w:val="num" w:pos="567"/>
      </w:tabs>
      <w:ind w:left="567" w:hanging="567"/>
    </w:pPr>
  </w:style>
  <w:style w:type="paragraph" w:customStyle="1" w:styleId="PI-3EMEASMCA">
    <w:name w:val="PI-3 EMEA_SMCA"/>
    <w:basedOn w:val="prastasis"/>
    <w:autoRedefine/>
    <w:uiPriority w:val="99"/>
    <w:rsid w:val="00FB6CC4"/>
    <w:pPr>
      <w:spacing w:line="220" w:lineRule="exact"/>
    </w:pPr>
    <w:rPr>
      <w:b/>
      <w:bCs/>
      <w:szCs w:val="22"/>
      <w:lang w:eastAsia="en-US"/>
    </w:rPr>
  </w:style>
  <w:style w:type="paragraph" w:customStyle="1" w:styleId="PI-1EMEASMCA">
    <w:name w:val="PI-1 EMEA_SMCA"/>
    <w:basedOn w:val="Antrat2"/>
    <w:autoRedefine/>
    <w:rsid w:val="000407E7"/>
    <w:pPr>
      <w:tabs>
        <w:tab w:val="left" w:pos="567"/>
      </w:tabs>
    </w:pPr>
    <w:rPr>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0407E7"/>
    <w:rPr>
      <w:sz w:val="22"/>
      <w:lang w:val="x-none"/>
    </w:rPr>
  </w:style>
  <w:style w:type="paragraph" w:customStyle="1" w:styleId="TTEMEASMCA">
    <w:name w:val="TT EMEA_SMCA"/>
    <w:basedOn w:val="prastasis"/>
    <w:link w:val="TTEMEASMCAChar"/>
    <w:autoRedefine/>
    <w:rsid w:val="000407E7"/>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lang w:eastAsia="x-none"/>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613B1F"/>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uiPriority w:val="99"/>
    <w:semiHidden/>
    <w:rsid w:val="003B16D6"/>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3B16D6"/>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locked/>
    <w:rsid w:val="0002186A"/>
    <w:rPr>
      <w:sz w:val="22"/>
      <w:lang w:val="lt-LT" w:eastAsia="lt-LT"/>
    </w:rPr>
  </w:style>
  <w:style w:type="character" w:customStyle="1" w:styleId="CommentTextChar">
    <w:name w:val="Comment Text Char"/>
    <w:semiHidden/>
    <w:locked/>
    <w:rsid w:val="0002186A"/>
    <w:rPr>
      <w:b/>
      <w:lang w:val="lt-LT" w:eastAsia="en-US"/>
    </w:rPr>
  </w:style>
  <w:style w:type="character" w:customStyle="1" w:styleId="PaantratDiagrama">
    <w:name w:val="Paantraštė Diagrama"/>
    <w:link w:val="Paantrat"/>
    <w:uiPriority w:val="99"/>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0407E7"/>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9637B9"/>
    <w:rPr>
      <w:rFonts w:ascii="Times New Roman" w:eastAsia="SimSun" w:hAnsi="Times New Roman"/>
      <w:b/>
      <w:caps/>
      <w:sz w:val="20"/>
      <w:lang w:val="en-US" w:eastAsia="x-none"/>
    </w:rPr>
  </w:style>
  <w:style w:type="character" w:customStyle="1" w:styleId="Heading2Char">
    <w:name w:val="Heading 2 Char"/>
    <w:locked/>
    <w:rsid w:val="009637B9"/>
    <w:rPr>
      <w:rFonts w:ascii="Cambria" w:hAnsi="Cambria"/>
      <w:b/>
      <w:i/>
      <w:snapToGrid w:val="0"/>
      <w:sz w:val="28"/>
      <w:lang w:val="en-GB" w:eastAsia="x-none"/>
    </w:rPr>
  </w:style>
  <w:style w:type="character" w:customStyle="1" w:styleId="Heading3Char">
    <w:name w:val="Heading 3 Char"/>
    <w:locked/>
    <w:rsid w:val="009637B9"/>
    <w:rPr>
      <w:rFonts w:ascii="Cambria" w:hAnsi="Cambria"/>
      <w:b/>
      <w:snapToGrid w:val="0"/>
      <w:sz w:val="26"/>
      <w:lang w:val="en-GB" w:eastAsia="x-none"/>
    </w:rPr>
  </w:style>
  <w:style w:type="character" w:customStyle="1" w:styleId="Heading4Char">
    <w:name w:val="Heading 4 Char"/>
    <w:locked/>
    <w:rsid w:val="009637B9"/>
    <w:rPr>
      <w:rFonts w:ascii="Calibri" w:hAnsi="Calibri"/>
      <w:b/>
      <w:snapToGrid w:val="0"/>
      <w:sz w:val="28"/>
      <w:lang w:val="en-GB" w:eastAsia="x-none"/>
    </w:rPr>
  </w:style>
  <w:style w:type="character" w:customStyle="1" w:styleId="Heading5Char">
    <w:name w:val="Heading 5 Char"/>
    <w:locked/>
    <w:rsid w:val="009637B9"/>
    <w:rPr>
      <w:rFonts w:ascii="Times New Roman" w:eastAsia="SimSun" w:hAnsi="Times New Roman"/>
      <w:noProof/>
      <w:sz w:val="20"/>
      <w:lang w:val="en-GB"/>
    </w:rPr>
  </w:style>
  <w:style w:type="character" w:customStyle="1" w:styleId="Heading6Char">
    <w:name w:val="Heading 6 Char"/>
    <w:locked/>
    <w:rsid w:val="009637B9"/>
    <w:rPr>
      <w:rFonts w:ascii="Times New Roman" w:eastAsia="SimSun" w:hAnsi="Times New Roman"/>
      <w:i/>
      <w:sz w:val="20"/>
      <w:lang w:val="en-GB" w:eastAsia="x-none"/>
    </w:rPr>
  </w:style>
  <w:style w:type="character" w:customStyle="1" w:styleId="Heading7Char">
    <w:name w:val="Heading 7 Char"/>
    <w:locked/>
    <w:rsid w:val="009637B9"/>
    <w:rPr>
      <w:rFonts w:ascii="Times New Roman" w:eastAsia="SimSun" w:hAnsi="Times New Roman"/>
      <w:i/>
      <w:sz w:val="20"/>
      <w:lang w:val="en-GB" w:eastAsia="x-none"/>
    </w:rPr>
  </w:style>
  <w:style w:type="character" w:customStyle="1" w:styleId="Heading8Char">
    <w:name w:val="Heading 8 Char"/>
    <w:locked/>
    <w:rsid w:val="009637B9"/>
    <w:rPr>
      <w:rFonts w:ascii="Times New Roman" w:eastAsia="SimSun" w:hAnsi="Times New Roman"/>
      <w:b/>
      <w:i/>
      <w:sz w:val="20"/>
      <w:lang w:val="en-GB" w:eastAsia="x-none"/>
    </w:rPr>
  </w:style>
  <w:style w:type="character" w:customStyle="1" w:styleId="Heading9Char">
    <w:name w:val="Heading 9 Char"/>
    <w:locked/>
    <w:rsid w:val="009637B9"/>
    <w:rPr>
      <w:rFonts w:ascii="Times New Roman" w:eastAsia="SimSun" w:hAnsi="Times New Roman"/>
      <w:b/>
      <w:i/>
      <w:sz w:val="20"/>
      <w:lang w:val="en-GB" w:eastAsia="x-none"/>
    </w:rPr>
  </w:style>
  <w:style w:type="character" w:customStyle="1" w:styleId="FooterChar">
    <w:name w:val="Footer Char"/>
    <w:locked/>
    <w:rsid w:val="009637B9"/>
    <w:rPr>
      <w:rFonts w:ascii="Times New Roman" w:hAnsi="Times New Roman"/>
      <w:snapToGrid w:val="0"/>
      <w:sz w:val="20"/>
      <w:lang w:val="en-GB" w:eastAsia="x-none"/>
    </w:rPr>
  </w:style>
  <w:style w:type="character" w:customStyle="1" w:styleId="HeaderChar">
    <w:name w:val="Header Char"/>
    <w:rsid w:val="009637B9"/>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9637B9"/>
    <w:rPr>
      <w:rFonts w:ascii="Verdana" w:eastAsia="Calibri" w:hAnsi="Verdana"/>
      <w:sz w:val="18"/>
      <w:szCs w:val="22"/>
      <w:lang w:val="en-GB" w:eastAsia="lt-LT"/>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locked/>
    <w:rsid w:val="009637B9"/>
    <w:rPr>
      <w:rFonts w:ascii="Tahoma" w:hAnsi="Tahoma"/>
      <w:snapToGrid w:val="0"/>
      <w:sz w:val="16"/>
      <w:lang w:val="en-GB" w:eastAsia="x-none"/>
    </w:rPr>
  </w:style>
  <w:style w:type="character" w:customStyle="1" w:styleId="CommentSubjectChar">
    <w:name w:val="Comment Subject Char"/>
    <w:locked/>
    <w:rsid w:val="009637B9"/>
    <w:rPr>
      <w:rFonts w:ascii="Times New Roman" w:hAnsi="Times New Roman"/>
      <w:b/>
      <w:snapToGrid w:val="0"/>
      <w:sz w:val="20"/>
      <w:lang w:val="en-GB" w:eastAsia="x-none"/>
    </w:rPr>
  </w:style>
  <w:style w:type="paragraph" w:styleId="Pataisymai">
    <w:name w:val="Revision"/>
    <w:hidden/>
    <w:semiHidden/>
    <w:rsid w:val="009637B9"/>
    <w:rPr>
      <w:rFonts w:eastAsia="Calibri"/>
      <w:sz w:val="22"/>
      <w:lang w:val="en-GB"/>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9637B9"/>
    <w:rPr>
      <w:rFonts w:ascii="Times New Roman" w:eastAsia="SimSun" w:hAnsi="Times New Roman"/>
      <w:color w:val="0000FF"/>
      <w:lang w:val="en-GB" w:eastAsia="en-GB"/>
    </w:rPr>
  </w:style>
  <w:style w:type="character" w:customStyle="1" w:styleId="BodyTextIndent2Char">
    <w:name w:val="Body Text Indent 2 Char"/>
    <w:locked/>
    <w:rsid w:val="009637B9"/>
    <w:rPr>
      <w:rFonts w:ascii="Times New Roman" w:eastAsia="SimSun" w:hAnsi="Times New Roman"/>
      <w:b/>
      <w:color w:val="0000FF"/>
      <w:lang w:val="en-GB" w:eastAsia="x-none"/>
    </w:rPr>
  </w:style>
  <w:style w:type="character" w:customStyle="1" w:styleId="BodyTextChar">
    <w:name w:val="Body Text Char"/>
    <w:locked/>
    <w:rsid w:val="009637B9"/>
    <w:rPr>
      <w:rFonts w:ascii="Times New Roman" w:eastAsia="SimSun" w:hAnsi="Times New Roman"/>
      <w:i/>
      <w:color w:val="008000"/>
      <w:sz w:val="20"/>
      <w:lang w:val="en-GB" w:eastAsia="x-none"/>
    </w:rPr>
  </w:style>
  <w:style w:type="character" w:customStyle="1" w:styleId="BodyText2Char">
    <w:name w:val="Body Text 2 Char"/>
    <w:locked/>
    <w:rsid w:val="009637B9"/>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eastAsia="lt-LT" w:bidi="ar-SA"/>
    </w:rPr>
  </w:style>
  <w:style w:type="paragraph" w:styleId="Paprastasistekstas">
    <w:name w:val="Plain Text"/>
    <w:basedOn w:val="prastasis"/>
    <w:link w:val="PaprastasistekstasDiagrama"/>
    <w:rsid w:val="009637B9"/>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eastAsia="lt-LT" w:bidi="ar-SA"/>
    </w:rPr>
  </w:style>
  <w:style w:type="character" w:customStyle="1" w:styleId="TitleChar">
    <w:name w:val="Title Char"/>
    <w:uiPriority w:val="10"/>
    <w:locked/>
    <w:rsid w:val="009637B9"/>
    <w:rPr>
      <w:rFonts w:ascii="Times New Roman" w:eastAsia="SimSun" w:hAnsi="Times New Roman"/>
      <w:b/>
      <w:sz w:val="20"/>
      <w:lang w:val="en-GB" w:eastAsia="x-none"/>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locked/>
    <w:rsid w:val="00883FA7"/>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883FA7"/>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paragraph" w:customStyle="1" w:styleId="BTbeEMEASMCA">
    <w:name w:val="BT(be) EMEA_SMCA"/>
    <w:basedOn w:val="BTEMEASMCA"/>
    <w:rsid w:val="0061061F"/>
    <w:pPr>
      <w:suppressAutoHyphens/>
      <w:jc w:val="center"/>
    </w:pPr>
    <w:rPr>
      <w:rFonts w:eastAsia="Calibri"/>
      <w:b/>
      <w:bCs/>
      <w:sz w:val="20"/>
      <w:u w:val="single"/>
      <w:lang w:val="lt-LT" w:eastAsia="ar-SA"/>
    </w:rPr>
  </w:style>
  <w:style w:type="paragraph" w:customStyle="1" w:styleId="BTeEMEASMCA">
    <w:name w:val="BT(e) EMEA_SMCA"/>
    <w:basedOn w:val="BTEMEASMCA"/>
    <w:rsid w:val="0061061F"/>
    <w:pPr>
      <w:suppressAutoHyphens/>
      <w:jc w:val="center"/>
    </w:pPr>
    <w:rPr>
      <w:rFonts w:eastAsia="Calibri"/>
      <w:sz w:val="20"/>
      <w:u w:val="single"/>
      <w:lang w:val="lt-LT" w:eastAsia="ar-SA"/>
    </w:rPr>
  </w:style>
  <w:style w:type="character" w:customStyle="1" w:styleId="apple-converted-space">
    <w:name w:val="apple-converted-space"/>
    <w:rsid w:val="0061061F"/>
  </w:style>
  <w:style w:type="character" w:styleId="Emfaz">
    <w:name w:val="Emphasis"/>
    <w:qFormat/>
    <w:rsid w:val="0061061F"/>
    <w:rPr>
      <w:i/>
    </w:rPr>
  </w:style>
  <w:style w:type="paragraph" w:customStyle="1" w:styleId="TableParagraph">
    <w:name w:val="Table Paragraph"/>
    <w:basedOn w:val="prastasis"/>
    <w:rsid w:val="0061061F"/>
    <w:pPr>
      <w:widowControl w:val="0"/>
    </w:pPr>
    <w:rPr>
      <w:rFonts w:ascii="Calibri" w:hAnsi="Calibri"/>
      <w:szCs w:val="22"/>
      <w:lang w:val="en-US" w:eastAsia="en-US"/>
    </w:rPr>
  </w:style>
  <w:style w:type="character" w:customStyle="1" w:styleId="st">
    <w:name w:val="st"/>
    <w:rsid w:val="0061061F"/>
    <w:rPr>
      <w:rFonts w:cs="Times New Roman"/>
    </w:rPr>
  </w:style>
  <w:style w:type="numbering" w:customStyle="1" w:styleId="NoList3">
    <w:name w:val="No List3"/>
    <w:next w:val="Sraonra"/>
    <w:uiPriority w:val="99"/>
    <w:semiHidden/>
    <w:unhideWhenUsed/>
    <w:rsid w:val="00C32308"/>
  </w:style>
  <w:style w:type="character" w:customStyle="1" w:styleId="Antrat2Diagrama">
    <w:name w:val="Antraštė 2 Diagrama"/>
    <w:link w:val="Antrat2"/>
    <w:rsid w:val="00C32308"/>
    <w:rPr>
      <w:b/>
      <w:iCs/>
      <w:sz w:val="22"/>
      <w:szCs w:val="22"/>
    </w:rPr>
  </w:style>
  <w:style w:type="character" w:customStyle="1" w:styleId="CharChar220">
    <w:name w:val="Char Char22"/>
    <w:locked/>
    <w:rsid w:val="00C32308"/>
    <w:rPr>
      <w:b/>
      <w:sz w:val="22"/>
      <w:lang w:val="lt-LT" w:eastAsia="lt-LT"/>
    </w:rPr>
  </w:style>
  <w:style w:type="table" w:customStyle="1" w:styleId="TableGrid2">
    <w:name w:val="Table Grid2"/>
    <w:basedOn w:val="prastojilentel"/>
    <w:next w:val="Lentelstinklelis"/>
    <w:uiPriority w:val="99"/>
    <w:rsid w:val="00C32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C32308"/>
  </w:style>
  <w:style w:type="character" w:customStyle="1" w:styleId="CharChar0">
    <w:name w:val="Char Char"/>
    <w:rsid w:val="00C32308"/>
    <w:rPr>
      <w:sz w:val="22"/>
      <w:lang w:val="lt-LT" w:eastAsia="lt-LT" w:bidi="ar-SA"/>
    </w:rPr>
  </w:style>
  <w:style w:type="character" w:customStyle="1" w:styleId="CharChar110">
    <w:name w:val="Char Char11"/>
    <w:locked/>
    <w:rsid w:val="00C32308"/>
    <w:rPr>
      <w:rFonts w:ascii="Arial" w:hAnsi="Arial"/>
      <w:b/>
      <w:kern w:val="28"/>
      <w:sz w:val="28"/>
      <w:lang w:val="lt-LT" w:eastAsia="en-US" w:bidi="ar-SA"/>
    </w:rPr>
  </w:style>
  <w:style w:type="character" w:customStyle="1" w:styleId="CharChar100">
    <w:name w:val="Char Char10"/>
    <w:semiHidden/>
    <w:locked/>
    <w:rsid w:val="00C32308"/>
    <w:rPr>
      <w:rFonts w:ascii="Arial" w:hAnsi="Arial"/>
      <w:b/>
      <w:i/>
      <w:sz w:val="22"/>
      <w:lang w:val="lt-LT" w:eastAsia="en-US" w:bidi="ar-SA"/>
    </w:rPr>
  </w:style>
  <w:style w:type="table" w:customStyle="1" w:styleId="TablegridAgencyblack1">
    <w:name w:val="Table grid (Agency) black1"/>
    <w:semiHidden/>
    <w:rsid w:val="00C32308"/>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21">
    <w:name w:val="No List21"/>
    <w:next w:val="Sraonra"/>
    <w:semiHidden/>
    <w:rsid w:val="00C32308"/>
  </w:style>
  <w:style w:type="table" w:customStyle="1" w:styleId="TableGrid11">
    <w:name w:val="Table Grid11"/>
    <w:basedOn w:val="prastojilentel"/>
    <w:next w:val="Lentelstinklelis"/>
    <w:rsid w:val="00C3230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0">
    <w:name w:val="Sąrašo pastraipa1"/>
    <w:basedOn w:val="prastasis"/>
    <w:qFormat/>
    <w:rsid w:val="00C32308"/>
    <w:pPr>
      <w:tabs>
        <w:tab w:val="left" w:pos="567"/>
      </w:tabs>
      <w:spacing w:line="260" w:lineRule="exact"/>
      <w:ind w:left="1296"/>
    </w:pPr>
    <w:rPr>
      <w:lang w:val="en-GB" w:eastAsia="en-US"/>
    </w:rPr>
  </w:style>
  <w:style w:type="numbering" w:customStyle="1" w:styleId="Sraonra1">
    <w:name w:val="Sąrašo nėra1"/>
    <w:next w:val="Sraonra"/>
    <w:uiPriority w:val="99"/>
    <w:semiHidden/>
    <w:unhideWhenUsed/>
    <w:rsid w:val="00C32308"/>
  </w:style>
  <w:style w:type="paragraph" w:customStyle="1" w:styleId="Sraopastraipa2">
    <w:name w:val="Sąrašo pastraipa2"/>
    <w:basedOn w:val="prastasis"/>
    <w:qFormat/>
    <w:rsid w:val="00DA70E6"/>
    <w:pPr>
      <w:tabs>
        <w:tab w:val="left" w:pos="567"/>
      </w:tabs>
      <w:spacing w:line="260" w:lineRule="exact"/>
      <w:ind w:left="1296"/>
    </w:pPr>
    <w:rPr>
      <w:lang w:val="en-GB" w:eastAsia="en-US"/>
    </w:rPr>
  </w:style>
  <w:style w:type="character" w:customStyle="1" w:styleId="tlid-translation">
    <w:name w:val="tlid-translation"/>
    <w:rsid w:val="00EC73DA"/>
  </w:style>
  <w:style w:type="character" w:customStyle="1" w:styleId="UnresolvedMention1">
    <w:name w:val="Unresolved Mention1"/>
    <w:basedOn w:val="Numatytasispastraiposriftas"/>
    <w:uiPriority w:val="99"/>
    <w:semiHidden/>
    <w:unhideWhenUsed/>
    <w:rsid w:val="00D80526"/>
    <w:rPr>
      <w:color w:val="605E5C"/>
      <w:shd w:val="clear" w:color="auto" w:fill="E1DFDD"/>
    </w:rPr>
  </w:style>
  <w:style w:type="character" w:customStyle="1" w:styleId="UnresolvedMention2">
    <w:name w:val="Unresolved Mention2"/>
    <w:basedOn w:val="Numatytasispastraiposriftas"/>
    <w:uiPriority w:val="99"/>
    <w:semiHidden/>
    <w:unhideWhenUsed/>
    <w:rsid w:val="00B75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481584040">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69184133">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643000920">
      <w:bodyDiv w:val="1"/>
      <w:marLeft w:val="0"/>
      <w:marRight w:val="0"/>
      <w:marTop w:val="0"/>
      <w:marBottom w:val="0"/>
      <w:divBdr>
        <w:top w:val="none" w:sz="0" w:space="0" w:color="auto"/>
        <w:left w:val="none" w:sz="0" w:space="0" w:color="auto"/>
        <w:bottom w:val="none" w:sz="0" w:space="0" w:color="auto"/>
        <w:right w:val="none" w:sz="0" w:space="0" w:color="auto"/>
      </w:divBdr>
      <w:divsChild>
        <w:div w:id="2082826166">
          <w:marLeft w:val="0"/>
          <w:marRight w:val="0"/>
          <w:marTop w:val="0"/>
          <w:marBottom w:val="0"/>
          <w:divBdr>
            <w:top w:val="none" w:sz="0" w:space="0" w:color="auto"/>
            <w:left w:val="none" w:sz="0" w:space="0" w:color="auto"/>
            <w:bottom w:val="none" w:sz="0" w:space="0" w:color="auto"/>
            <w:right w:val="none" w:sz="0" w:space="0" w:color="auto"/>
          </w:divBdr>
          <w:divsChild>
            <w:div w:id="1883440695">
              <w:marLeft w:val="0"/>
              <w:marRight w:val="0"/>
              <w:marTop w:val="0"/>
              <w:marBottom w:val="0"/>
              <w:divBdr>
                <w:top w:val="none" w:sz="0" w:space="0" w:color="auto"/>
                <w:left w:val="none" w:sz="0" w:space="0" w:color="auto"/>
                <w:bottom w:val="none" w:sz="0" w:space="0" w:color="auto"/>
                <w:right w:val="none" w:sz="0" w:space="0" w:color="auto"/>
              </w:divBdr>
              <w:divsChild>
                <w:div w:id="1289311287">
                  <w:marLeft w:val="0"/>
                  <w:marRight w:val="0"/>
                  <w:marTop w:val="0"/>
                  <w:marBottom w:val="0"/>
                  <w:divBdr>
                    <w:top w:val="none" w:sz="0" w:space="0" w:color="auto"/>
                    <w:left w:val="none" w:sz="0" w:space="0" w:color="auto"/>
                    <w:bottom w:val="none" w:sz="0" w:space="0" w:color="auto"/>
                    <w:right w:val="none" w:sz="0" w:space="0" w:color="auto"/>
                  </w:divBdr>
                  <w:divsChild>
                    <w:div w:id="1248150368">
                      <w:marLeft w:val="0"/>
                      <w:marRight w:val="0"/>
                      <w:marTop w:val="0"/>
                      <w:marBottom w:val="0"/>
                      <w:divBdr>
                        <w:top w:val="none" w:sz="0" w:space="0" w:color="auto"/>
                        <w:left w:val="none" w:sz="0" w:space="0" w:color="auto"/>
                        <w:bottom w:val="none" w:sz="0" w:space="0" w:color="auto"/>
                        <w:right w:val="none" w:sz="0" w:space="0" w:color="auto"/>
                      </w:divBdr>
                      <w:divsChild>
                        <w:div w:id="15929857">
                          <w:marLeft w:val="0"/>
                          <w:marRight w:val="0"/>
                          <w:marTop w:val="0"/>
                          <w:marBottom w:val="0"/>
                          <w:divBdr>
                            <w:top w:val="none" w:sz="0" w:space="0" w:color="auto"/>
                            <w:left w:val="none" w:sz="0" w:space="0" w:color="auto"/>
                            <w:bottom w:val="none" w:sz="0" w:space="0" w:color="auto"/>
                            <w:right w:val="none" w:sz="0" w:space="0" w:color="auto"/>
                          </w:divBdr>
                          <w:divsChild>
                            <w:div w:id="1876234801">
                              <w:marLeft w:val="0"/>
                              <w:marRight w:val="0"/>
                              <w:marTop w:val="0"/>
                              <w:marBottom w:val="0"/>
                              <w:divBdr>
                                <w:top w:val="none" w:sz="0" w:space="0" w:color="auto"/>
                                <w:left w:val="none" w:sz="0" w:space="0" w:color="auto"/>
                                <w:bottom w:val="none" w:sz="0" w:space="0" w:color="auto"/>
                                <w:right w:val="none" w:sz="0" w:space="0" w:color="auto"/>
                              </w:divBdr>
                              <w:divsChild>
                                <w:div w:id="950010519">
                                  <w:marLeft w:val="0"/>
                                  <w:marRight w:val="0"/>
                                  <w:marTop w:val="0"/>
                                  <w:marBottom w:val="0"/>
                                  <w:divBdr>
                                    <w:top w:val="none" w:sz="0" w:space="0" w:color="auto"/>
                                    <w:left w:val="none" w:sz="0" w:space="0" w:color="auto"/>
                                    <w:bottom w:val="none" w:sz="0" w:space="0" w:color="auto"/>
                                    <w:right w:val="none" w:sz="0" w:space="0" w:color="auto"/>
                                  </w:divBdr>
                                  <w:divsChild>
                                    <w:div w:id="884681465">
                                      <w:marLeft w:val="0"/>
                                      <w:marRight w:val="0"/>
                                      <w:marTop w:val="0"/>
                                      <w:marBottom w:val="0"/>
                                      <w:divBdr>
                                        <w:top w:val="none" w:sz="0" w:space="0" w:color="auto"/>
                                        <w:left w:val="none" w:sz="0" w:space="0" w:color="auto"/>
                                        <w:bottom w:val="none" w:sz="0" w:space="0" w:color="auto"/>
                                        <w:right w:val="none" w:sz="0" w:space="0" w:color="auto"/>
                                      </w:divBdr>
                                      <w:divsChild>
                                        <w:div w:id="1223903769">
                                          <w:marLeft w:val="0"/>
                                          <w:marRight w:val="0"/>
                                          <w:marTop w:val="0"/>
                                          <w:marBottom w:val="495"/>
                                          <w:divBdr>
                                            <w:top w:val="none" w:sz="0" w:space="0" w:color="auto"/>
                                            <w:left w:val="none" w:sz="0" w:space="0" w:color="auto"/>
                                            <w:bottom w:val="none" w:sz="0" w:space="0" w:color="auto"/>
                                            <w:right w:val="none" w:sz="0" w:space="0" w:color="auto"/>
                                          </w:divBdr>
                                          <w:divsChild>
                                            <w:div w:id="6000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C332-00F5-440A-8F99-EF38B72E58AB}">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58</Pages>
  <Words>84109</Words>
  <Characters>47943</Characters>
  <Application>Microsoft Office Word</Application>
  <DocSecurity>4</DocSecurity>
  <Lines>399</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VVKT</Company>
  <LinksUpToDate>false</LinksUpToDate>
  <CharactersWithSpaces>131789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Arvydas Milasius</dc:creator>
  <cp:keywords/>
  <cp:lastModifiedBy>Albina Burkauskaitė</cp:lastModifiedBy>
  <cp:revision>2</cp:revision>
  <dcterms:created xsi:type="dcterms:W3CDTF">2025-11-24T11:34:00Z</dcterms:created>
  <dcterms:modified xsi:type="dcterms:W3CDTF">2025-11-24T11:34:00Z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2021-02-12T10:06:31Z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1c4180e5-df6b-4549-8b06-bed6ba1627ef</vt:lpwstr>
  </property>
  <property fmtid="{D5CDD505-2E9C-101B-9397-08002B2CF9AE}" pid="8" name="MSIP_Label_4929bff8-5b33-42aa-95d2-28f72e792cb0_ContentBits">
    <vt:lpwstr>0</vt:lpwstr>
  </property>
</Properties>
</file>