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75" w:rsidRPr="006235FB" w:rsidRDefault="00386775" w:rsidP="00386775">
      <w:pPr>
        <w:pStyle w:val="TTEMEASMCA"/>
        <w:rPr>
          <w:lang w:val="sv-SE"/>
        </w:rPr>
      </w:pPr>
      <w:bookmarkStart w:id="0" w:name="_Toc129243263"/>
      <w:bookmarkStart w:id="1" w:name="_Toc129243138"/>
      <w:r w:rsidRPr="006235FB">
        <w:rPr>
          <w:caps w:val="0"/>
          <w:lang w:val="sv-SE"/>
        </w:rPr>
        <w:t>Pakuotės lapelis: informacija vartotojui</w:t>
      </w:r>
      <w:bookmarkEnd w:id="0"/>
      <w:bookmarkEnd w:id="1"/>
    </w:p>
    <w:p w:rsidR="00386775" w:rsidRPr="00F30D6C" w:rsidRDefault="00386775" w:rsidP="00386775">
      <w:pPr>
        <w:pStyle w:val="BTEMEASMCA"/>
        <w:rPr>
          <w:noProof w:val="0"/>
        </w:rPr>
      </w:pPr>
    </w:p>
    <w:p w:rsidR="00386775" w:rsidRPr="00F30D6C" w:rsidRDefault="00386775" w:rsidP="00386775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F30D6C">
        <w:rPr>
          <w:b/>
          <w:szCs w:val="22"/>
        </w:rPr>
        <w:t>Hexalyse</w:t>
      </w:r>
      <w:proofErr w:type="spellEnd"/>
      <w:r w:rsidRPr="00F30D6C">
        <w:rPr>
          <w:b/>
          <w:szCs w:val="22"/>
        </w:rPr>
        <w:t xml:space="preserve"> kietosios pastilės</w:t>
      </w:r>
    </w:p>
    <w:p w:rsidR="00386775" w:rsidRPr="00F30D6C" w:rsidRDefault="00386775" w:rsidP="00386775">
      <w:pPr>
        <w:pStyle w:val="Pagrindinistekstas"/>
        <w:spacing w:after="0"/>
        <w:ind w:left="1440" w:firstLine="720"/>
        <w:rPr>
          <w:szCs w:val="22"/>
        </w:rPr>
      </w:pPr>
      <w:proofErr w:type="spellStart"/>
      <w:r w:rsidRPr="00F30D6C">
        <w:rPr>
          <w:szCs w:val="22"/>
        </w:rPr>
        <w:t>Biklotimolis</w:t>
      </w:r>
      <w:proofErr w:type="spellEnd"/>
      <w:r w:rsidRPr="00F30D6C">
        <w:rPr>
          <w:szCs w:val="22"/>
        </w:rPr>
        <w:t xml:space="preserve">, </w:t>
      </w:r>
      <w:proofErr w:type="spellStart"/>
      <w:r w:rsidRPr="00F30D6C">
        <w:rPr>
          <w:szCs w:val="22"/>
        </w:rPr>
        <w:t>lizocimo</w:t>
      </w:r>
      <w:proofErr w:type="spellEnd"/>
      <w:r w:rsidRPr="00F30D6C">
        <w:rPr>
          <w:szCs w:val="22"/>
        </w:rPr>
        <w:t xml:space="preserve"> hidrochloridas, </w:t>
      </w:r>
      <w:proofErr w:type="spellStart"/>
      <w:r w:rsidRPr="00F30D6C">
        <w:rPr>
          <w:szCs w:val="22"/>
        </w:rPr>
        <w:t>enoksolonas</w:t>
      </w:r>
      <w:proofErr w:type="spellEnd"/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</w:p>
    <w:p w:rsidR="00386775" w:rsidRPr="00F30D6C" w:rsidRDefault="00386775" w:rsidP="00386775">
      <w:pPr>
        <w:pStyle w:val="BTbEMEASMCA"/>
        <w:rPr>
          <w:noProof w:val="0"/>
        </w:rPr>
      </w:pPr>
      <w:r w:rsidRPr="00F30D6C">
        <w:rPr>
          <w:noProof w:val="0"/>
        </w:rPr>
        <w:t xml:space="preserve">Atidžiai perskaitykite visą šį lapelį, </w:t>
      </w:r>
      <w:r w:rsidRPr="002F1DEF">
        <w:rPr>
          <w:noProof w:val="0"/>
        </w:rPr>
        <w:t xml:space="preserve">prieš pradėdami vartoti šį vaistą, </w:t>
      </w:r>
      <w:r w:rsidRPr="00F30D6C">
        <w:rPr>
          <w:noProof w:val="0"/>
        </w:rPr>
        <w:t>nes jame pateikiama Jums svarbi informacija.</w:t>
      </w:r>
    </w:p>
    <w:p w:rsidR="00386775" w:rsidRPr="00F30D6C" w:rsidRDefault="00386775" w:rsidP="00386775">
      <w:pPr>
        <w:pStyle w:val="BTEMEASMCA"/>
        <w:rPr>
          <w:noProof w:val="0"/>
        </w:rPr>
      </w:pPr>
    </w:p>
    <w:p w:rsidR="00386775" w:rsidRDefault="00386775" w:rsidP="00386775">
      <w:pPr>
        <w:pStyle w:val="BT-EMEASMCA"/>
        <w:tabs>
          <w:tab w:val="clear" w:pos="360"/>
        </w:tabs>
        <w:ind w:left="360" w:hanging="360"/>
      </w:pPr>
      <w:r w:rsidRPr="002F1DEF">
        <w:t xml:space="preserve">Visada vartokite šį vaistą tiksliai kaip aprašyta šiame lapelyje arba kaip nurodė gydytojas arba vaistininkas. 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>Neišmeskite šio lapelio, nes vėl gali prireikti jį perskaityti.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>Jeigu norite sužinoti daugiau arba pasitarti, kreipkitės į vaistininką.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 xml:space="preserve">Jeigu pasireiškė šalutinis poveikis </w:t>
      </w:r>
      <w:r>
        <w:t>(net jeigu jis</w:t>
      </w:r>
      <w:r w:rsidRPr="00F30D6C">
        <w:t xml:space="preserve"> šiame lapelyje nenurodyt</w:t>
      </w:r>
      <w:r>
        <w:t>as)</w:t>
      </w:r>
      <w:r w:rsidRPr="00F30D6C">
        <w:t xml:space="preserve">, </w:t>
      </w:r>
      <w:r>
        <w:t>kreipkitės į</w:t>
      </w:r>
      <w:r w:rsidRPr="00F30D6C">
        <w:t xml:space="preserve"> gydytoj</w:t>
      </w:r>
      <w:r>
        <w:t>ą</w:t>
      </w:r>
      <w:r w:rsidRPr="00F30D6C">
        <w:t xml:space="preserve"> arba vaistinink</w:t>
      </w:r>
      <w:r>
        <w:t>ą</w:t>
      </w:r>
      <w:r w:rsidRPr="00F30D6C">
        <w:t>.</w:t>
      </w:r>
      <w:r>
        <w:t xml:space="preserve"> </w:t>
      </w:r>
      <w:r w:rsidRPr="00A43FE0">
        <w:t>Žr. 4 skyrių.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 xml:space="preserve">Jeigu per </w:t>
      </w:r>
      <w:r>
        <w:t>4</w:t>
      </w:r>
      <w:r w:rsidRPr="00F30D6C">
        <w:t xml:space="preserve"> dienas </w:t>
      </w:r>
      <w:r w:rsidRPr="002F1DEF">
        <w:t>Jūsų savijauta nepagerėjo arba net pablogėjo</w:t>
      </w:r>
      <w:r w:rsidRPr="00F30D6C">
        <w:t>, kreipkitės į gydytoją.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bEMEASMCA"/>
      </w:pPr>
      <w:r w:rsidRPr="002F1DEF">
        <w:t>Apie ką rašoma šiame lapelyje?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F30D6C">
        <w:t>Kas yra Hexalyse ir kam jis vartojamas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F30D6C">
        <w:t>Kas žinotina prieš vartojant Hexalyse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F30D6C">
        <w:t>Kaip vartoti Hexalyse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F30D6C">
        <w:t>Galimas šalutinis poveikis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F30D6C">
        <w:t>Kaip laikyti Hexalyse</w:t>
      </w:r>
    </w:p>
    <w:p w:rsidR="00386775" w:rsidRPr="00F30D6C" w:rsidRDefault="00386775" w:rsidP="00386775">
      <w:pPr>
        <w:pStyle w:val="BTEMEASMCA"/>
        <w:numPr>
          <w:ilvl w:val="0"/>
          <w:numId w:val="1"/>
        </w:numPr>
        <w:ind w:left="426" w:hanging="426"/>
      </w:pPr>
      <w:r w:rsidRPr="002F1DEF">
        <w:t xml:space="preserve">Pakuotės turinys ir kita </w:t>
      </w:r>
      <w:r w:rsidRPr="00F30D6C">
        <w:t>informacija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2" w:name="_Toc129243264"/>
      <w:bookmarkStart w:id="3" w:name="_Toc129243139"/>
      <w:r w:rsidRPr="00F30D6C">
        <w:t>1.</w:t>
      </w:r>
      <w:r w:rsidRPr="00F30D6C">
        <w:tab/>
        <w:t xml:space="preserve">Kas yra </w:t>
      </w:r>
      <w:proofErr w:type="spellStart"/>
      <w:r w:rsidRPr="00F30D6C">
        <w:t>Hexalyse</w:t>
      </w:r>
      <w:proofErr w:type="spellEnd"/>
      <w:r w:rsidRPr="00F30D6C">
        <w:t xml:space="preserve"> ir kam jis vartojamas</w:t>
      </w:r>
      <w:bookmarkEnd w:id="2"/>
      <w:bookmarkEnd w:id="3"/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rPr>
          <w:szCs w:val="22"/>
        </w:rPr>
      </w:pPr>
      <w:proofErr w:type="spellStart"/>
      <w:r w:rsidRPr="00F30D6C">
        <w:rPr>
          <w:szCs w:val="22"/>
        </w:rPr>
        <w:t>Hexalyse</w:t>
      </w:r>
      <w:proofErr w:type="spellEnd"/>
      <w:r w:rsidRPr="00F30D6C">
        <w:rPr>
          <w:szCs w:val="22"/>
        </w:rPr>
        <w:t xml:space="preserve"> vartojamas</w:t>
      </w:r>
      <w:r>
        <w:rPr>
          <w:szCs w:val="22"/>
        </w:rPr>
        <w:t xml:space="preserve"> pagalbiniam vietiniam </w:t>
      </w:r>
      <w:r w:rsidRPr="00F30D6C">
        <w:rPr>
          <w:szCs w:val="22"/>
        </w:rPr>
        <w:t>burnos ertmės ir ryklės uždegim</w:t>
      </w:r>
      <w:r>
        <w:rPr>
          <w:szCs w:val="22"/>
        </w:rPr>
        <w:t>o</w:t>
      </w:r>
      <w:r w:rsidRPr="00F30D6C">
        <w:rPr>
          <w:szCs w:val="22"/>
        </w:rPr>
        <w:t>, įskaitant infekcijos sukelt</w:t>
      </w:r>
      <w:r>
        <w:rPr>
          <w:szCs w:val="22"/>
        </w:rPr>
        <w:t>o</w:t>
      </w:r>
      <w:r w:rsidRPr="00F30D6C">
        <w:rPr>
          <w:szCs w:val="22"/>
        </w:rPr>
        <w:t xml:space="preserve"> uždegim</w:t>
      </w:r>
      <w:r>
        <w:rPr>
          <w:szCs w:val="22"/>
        </w:rPr>
        <w:t>o, gydymui</w:t>
      </w:r>
      <w:r w:rsidRPr="00F30D6C">
        <w:rPr>
          <w:szCs w:val="22"/>
        </w:rPr>
        <w:t>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4" w:name="_Toc129243265"/>
      <w:bookmarkStart w:id="5" w:name="_Toc129243140"/>
      <w:r w:rsidRPr="00F30D6C">
        <w:t>2.</w:t>
      </w:r>
      <w:r w:rsidRPr="00F30D6C">
        <w:tab/>
        <w:t xml:space="preserve">Kas žinotina prieš vartojant </w:t>
      </w:r>
      <w:proofErr w:type="spellStart"/>
      <w:r w:rsidRPr="00F30D6C">
        <w:t>Hexalyse</w:t>
      </w:r>
      <w:bookmarkEnd w:id="4"/>
      <w:bookmarkEnd w:id="5"/>
      <w:proofErr w:type="spellEnd"/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proofErr w:type="spellStart"/>
      <w:r w:rsidRPr="00F30D6C">
        <w:t>Hexalyse</w:t>
      </w:r>
      <w:proofErr w:type="spellEnd"/>
      <w:r w:rsidRPr="00F30D6C">
        <w:t xml:space="preserve"> vartoti </w:t>
      </w:r>
      <w:r>
        <w:t>draudžiama</w:t>
      </w:r>
      <w:r w:rsidRPr="00F30D6C">
        <w:t>: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 xml:space="preserve">jeigu yra alergija </w:t>
      </w:r>
      <w:r>
        <w:t>veikliosioms medžiagoms</w:t>
      </w:r>
      <w:r w:rsidRPr="00F30D6C">
        <w:t xml:space="preserve"> bet kuriai pagalbinei </w:t>
      </w:r>
      <w:r>
        <w:t>šio vaisto</w:t>
      </w:r>
      <w:r w:rsidRPr="00F30D6C">
        <w:t xml:space="preserve"> medžiagai</w:t>
      </w:r>
      <w:r>
        <w:t xml:space="preserve"> </w:t>
      </w:r>
      <w:r w:rsidRPr="008C02FB">
        <w:t>(jos išvardytos 6 skyriuje)</w:t>
      </w:r>
      <w:r w:rsidRPr="00F30D6C">
        <w:t>;</w:t>
      </w:r>
    </w:p>
    <w:p w:rsidR="00386775" w:rsidRPr="00F30D6C" w:rsidRDefault="00386775" w:rsidP="00386775">
      <w:pPr>
        <w:pStyle w:val="BT-EMEASMCA"/>
        <w:tabs>
          <w:tab w:val="clear" w:pos="360"/>
        </w:tabs>
        <w:ind w:left="360" w:hanging="360"/>
      </w:pPr>
      <w:r w:rsidRPr="00F30D6C">
        <w:t>jaunesniems nei 6 metų vaikams.</w:t>
      </w:r>
    </w:p>
    <w:p w:rsidR="00386775" w:rsidRPr="00F30D6C" w:rsidRDefault="00386775" w:rsidP="00386775">
      <w:pPr>
        <w:pStyle w:val="BTEMEASMCA"/>
      </w:pPr>
    </w:p>
    <w:p w:rsidR="00386775" w:rsidRPr="008C02FB" w:rsidRDefault="00386775" w:rsidP="00386775">
      <w:pPr>
        <w:pStyle w:val="BTEMEASMCA"/>
        <w:rPr>
          <w:b/>
          <w:bCs/>
          <w:noProof w:val="0"/>
        </w:rPr>
      </w:pPr>
      <w:r w:rsidRPr="008C02FB">
        <w:rPr>
          <w:b/>
          <w:bCs/>
          <w:noProof w:val="0"/>
        </w:rPr>
        <w:t>Įspėjimai ir atsargumo priemonės</w:t>
      </w:r>
    </w:p>
    <w:p w:rsidR="00386775" w:rsidRDefault="00386775" w:rsidP="00386775">
      <w:pPr>
        <w:pStyle w:val="PI-3EMEASMCA"/>
        <w:rPr>
          <w:b/>
        </w:rPr>
      </w:pPr>
      <w:r w:rsidRPr="00D85D05">
        <w:t xml:space="preserve">Pasitarkite su gydytoju arba vaistininku prieš pradėdami vartoti </w:t>
      </w:r>
      <w:proofErr w:type="spellStart"/>
      <w:r w:rsidRPr="00D85D05">
        <w:t>Hexa</w:t>
      </w:r>
      <w:r>
        <w:t>lyse</w:t>
      </w:r>
      <w:proofErr w:type="spellEnd"/>
      <w:r w:rsidRPr="00D85D05">
        <w:t>.</w:t>
      </w:r>
    </w:p>
    <w:p w:rsidR="00386775" w:rsidRDefault="00386775" w:rsidP="00386775">
      <w:pPr>
        <w:pStyle w:val="PI-3EMEASMCA"/>
      </w:pPr>
    </w:p>
    <w:p w:rsidR="00386775" w:rsidRPr="00D85D05" w:rsidRDefault="00386775" w:rsidP="00386775">
      <w:pPr>
        <w:pStyle w:val="PI-3EMEASMCA"/>
        <w:rPr>
          <w:b/>
        </w:rPr>
      </w:pPr>
      <w:r w:rsidRPr="008C02FB">
        <w:t>Taip pat pasitarkite su gydytoju, jeigu vartojant vaistą:</w:t>
      </w:r>
    </w:p>
    <w:p w:rsidR="00386775" w:rsidRPr="008C02FB" w:rsidRDefault="00386775" w:rsidP="00386775">
      <w:pPr>
        <w:pStyle w:val="Pagrindinistekstas"/>
        <w:numPr>
          <w:ilvl w:val="0"/>
          <w:numId w:val="3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 xml:space="preserve">pakyla </w:t>
      </w:r>
      <w:r>
        <w:rPr>
          <w:szCs w:val="22"/>
        </w:rPr>
        <w:t xml:space="preserve">didelė </w:t>
      </w:r>
      <w:r w:rsidRPr="00F30D6C">
        <w:rPr>
          <w:szCs w:val="22"/>
        </w:rPr>
        <w:t>temperatūra</w:t>
      </w:r>
      <w:r>
        <w:rPr>
          <w:szCs w:val="22"/>
        </w:rPr>
        <w:t>,</w:t>
      </w:r>
    </w:p>
    <w:p w:rsidR="00386775" w:rsidRPr="008C02FB" w:rsidRDefault="00386775" w:rsidP="00386775">
      <w:pPr>
        <w:pStyle w:val="Pagrindinistekstas"/>
        <w:numPr>
          <w:ilvl w:val="0"/>
          <w:numId w:val="3"/>
        </w:numPr>
        <w:tabs>
          <w:tab w:val="left" w:pos="720"/>
        </w:tabs>
        <w:spacing w:after="0"/>
        <w:rPr>
          <w:bCs/>
          <w:szCs w:val="22"/>
        </w:rPr>
      </w:pPr>
      <w:r>
        <w:rPr>
          <w:szCs w:val="22"/>
        </w:rPr>
        <w:t xml:space="preserve">atsiranda </w:t>
      </w:r>
      <w:r w:rsidRPr="00F30D6C">
        <w:rPr>
          <w:szCs w:val="22"/>
        </w:rPr>
        <w:t xml:space="preserve">stiprus ryklės paraudimas, </w:t>
      </w:r>
    </w:p>
    <w:p w:rsidR="00386775" w:rsidRPr="008C02FB" w:rsidRDefault="00386775" w:rsidP="00386775">
      <w:pPr>
        <w:pStyle w:val="Pagrindinistekstas"/>
        <w:numPr>
          <w:ilvl w:val="0"/>
          <w:numId w:val="3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 xml:space="preserve">galvos skausmas, </w:t>
      </w:r>
    </w:p>
    <w:p w:rsidR="00386775" w:rsidRPr="008C02FB" w:rsidRDefault="00386775" w:rsidP="00386775">
      <w:pPr>
        <w:pStyle w:val="Pagrindinistekstas"/>
        <w:numPr>
          <w:ilvl w:val="0"/>
          <w:numId w:val="3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>pykinimas, vėmimas</w:t>
      </w:r>
      <w:r>
        <w:rPr>
          <w:szCs w:val="22"/>
        </w:rPr>
        <w:t>.</w:t>
      </w:r>
    </w:p>
    <w:p w:rsidR="00386775" w:rsidRPr="00F30D6C" w:rsidRDefault="00386775" w:rsidP="00386775">
      <w:pPr>
        <w:pStyle w:val="Pagrindinistekstas"/>
        <w:tabs>
          <w:tab w:val="left" w:pos="720"/>
        </w:tabs>
        <w:spacing w:after="0"/>
        <w:rPr>
          <w:bCs/>
          <w:szCs w:val="22"/>
        </w:rPr>
      </w:pPr>
    </w:p>
    <w:p w:rsidR="00386775" w:rsidRPr="00F30D6C" w:rsidRDefault="00386775" w:rsidP="00386775">
      <w:pPr>
        <w:rPr>
          <w:b/>
          <w:szCs w:val="22"/>
        </w:rPr>
      </w:pPr>
      <w:r>
        <w:rPr>
          <w:bCs/>
          <w:szCs w:val="22"/>
        </w:rPr>
        <w:t xml:space="preserve">Nevartokite </w:t>
      </w:r>
      <w:r w:rsidRPr="00F30D6C">
        <w:rPr>
          <w:bCs/>
          <w:szCs w:val="22"/>
        </w:rPr>
        <w:t xml:space="preserve">šio vaisto </w:t>
      </w:r>
      <w:r>
        <w:rPr>
          <w:bCs/>
          <w:szCs w:val="22"/>
        </w:rPr>
        <w:t>ilgiau nei 4 dienas</w:t>
      </w:r>
      <w:r w:rsidRPr="00F30D6C">
        <w:rPr>
          <w:bCs/>
          <w:szCs w:val="22"/>
        </w:rPr>
        <w:t>.</w:t>
      </w:r>
    </w:p>
    <w:p w:rsidR="00386775" w:rsidRDefault="00386775" w:rsidP="00386775">
      <w:pPr>
        <w:rPr>
          <w:szCs w:val="22"/>
        </w:rPr>
      </w:pPr>
    </w:p>
    <w:p w:rsidR="00386775" w:rsidRDefault="00386775" w:rsidP="00386775">
      <w:pPr>
        <w:rPr>
          <w:bCs/>
          <w:szCs w:val="22"/>
        </w:rPr>
      </w:pPr>
      <w:r>
        <w:rPr>
          <w:szCs w:val="22"/>
        </w:rPr>
        <w:t>J</w:t>
      </w:r>
      <w:r w:rsidRPr="00346D02">
        <w:rPr>
          <w:szCs w:val="22"/>
        </w:rPr>
        <w:t xml:space="preserve">eigu </w:t>
      </w:r>
      <w:r w:rsidRPr="00346D02">
        <w:rPr>
          <w:bCs/>
          <w:szCs w:val="22"/>
        </w:rPr>
        <w:t>sergate diabetu arba jei cukraus kiek</w:t>
      </w:r>
      <w:r>
        <w:rPr>
          <w:bCs/>
          <w:szCs w:val="22"/>
        </w:rPr>
        <w:t>į</w:t>
      </w:r>
      <w:r w:rsidRPr="00346D02">
        <w:rPr>
          <w:bCs/>
          <w:szCs w:val="22"/>
        </w:rPr>
        <w:t xml:space="preserve"> maiste riboja</w:t>
      </w:r>
      <w:r>
        <w:rPr>
          <w:bCs/>
          <w:szCs w:val="22"/>
        </w:rPr>
        <w:t>te</w:t>
      </w:r>
      <w:r w:rsidRPr="00346D02">
        <w:rPr>
          <w:bCs/>
          <w:szCs w:val="22"/>
        </w:rPr>
        <w:t xml:space="preserve"> dėl kitos priežasties, atsižvelkite į glajaus kiekį kiekvienoje pastilėje (1</w:t>
      </w:r>
      <w:r>
        <w:rPr>
          <w:bCs/>
          <w:szCs w:val="22"/>
        </w:rPr>
        <w:t>,</w:t>
      </w:r>
      <w:r w:rsidRPr="00346D02">
        <w:rPr>
          <w:bCs/>
          <w:szCs w:val="22"/>
        </w:rPr>
        <w:t>054 g)</w:t>
      </w:r>
      <w:r>
        <w:rPr>
          <w:bCs/>
          <w:szCs w:val="22"/>
        </w:rPr>
        <w:t>.</w:t>
      </w:r>
    </w:p>
    <w:p w:rsidR="00386775" w:rsidRDefault="00386775" w:rsidP="00386775">
      <w:pPr>
        <w:rPr>
          <w:bCs/>
          <w:szCs w:val="22"/>
        </w:rPr>
      </w:pPr>
    </w:p>
    <w:p w:rsidR="00386775" w:rsidRPr="003A5C5C" w:rsidRDefault="00386775" w:rsidP="00386775">
      <w:pPr>
        <w:pStyle w:val="Antrat4"/>
        <w:rPr>
          <w:rFonts w:ascii="Times New Roman" w:hAnsi="Times New Roman" w:cs="Times New Roman"/>
          <w:b/>
          <w:i w:val="0"/>
          <w:color w:val="auto"/>
          <w:szCs w:val="22"/>
        </w:rPr>
      </w:pPr>
      <w:r w:rsidRPr="003A5C5C">
        <w:rPr>
          <w:rFonts w:ascii="Times New Roman" w:hAnsi="Times New Roman" w:cs="Times New Roman"/>
          <w:b/>
          <w:i w:val="0"/>
          <w:color w:val="auto"/>
          <w:szCs w:val="22"/>
        </w:rPr>
        <w:lastRenderedPageBreak/>
        <w:t>Vaikams ir paaugliams</w:t>
      </w:r>
    </w:p>
    <w:p w:rsidR="00386775" w:rsidRDefault="00386775" w:rsidP="00386775">
      <w:pPr>
        <w:rPr>
          <w:szCs w:val="22"/>
        </w:rPr>
      </w:pPr>
      <w:r>
        <w:rPr>
          <w:szCs w:val="22"/>
        </w:rPr>
        <w:t>Vaisto negalima vartoti jaunesniems nei 6 metų vaikams.</w:t>
      </w:r>
    </w:p>
    <w:p w:rsidR="00386775" w:rsidRPr="00F30D6C" w:rsidRDefault="00386775" w:rsidP="00386775"/>
    <w:p w:rsidR="00386775" w:rsidRPr="00F30D6C" w:rsidRDefault="00386775" w:rsidP="00386775">
      <w:pPr>
        <w:pStyle w:val="PI-3EMEASMCA"/>
      </w:pPr>
      <w:r w:rsidRPr="00F30D6C">
        <w:t>Kit</w:t>
      </w:r>
      <w:r>
        <w:t>i</w:t>
      </w:r>
      <w:r w:rsidRPr="00F30D6C">
        <w:t xml:space="preserve"> vaist</w:t>
      </w:r>
      <w:r>
        <w:t>ai</w:t>
      </w:r>
      <w:r w:rsidRPr="00F30D6C">
        <w:t xml:space="preserve"> </w:t>
      </w:r>
      <w:r>
        <w:t xml:space="preserve">ir </w:t>
      </w:r>
      <w:proofErr w:type="spellStart"/>
      <w:r>
        <w:t>Hexalyse</w:t>
      </w:r>
      <w:proofErr w:type="spellEnd"/>
    </w:p>
    <w:p w:rsidR="00386775" w:rsidRDefault="00386775" w:rsidP="00386775">
      <w:pPr>
        <w:rPr>
          <w:szCs w:val="22"/>
        </w:rPr>
      </w:pPr>
      <w:r w:rsidRPr="00F30D6C">
        <w:rPr>
          <w:szCs w:val="22"/>
        </w:rPr>
        <w:t xml:space="preserve">Jeigu vartojate arba neseniai vartojote kitų vaistų </w:t>
      </w:r>
      <w:r>
        <w:rPr>
          <w:szCs w:val="22"/>
        </w:rPr>
        <w:t>arba nesate dėl to tikri</w:t>
      </w:r>
      <w:r w:rsidRPr="00F30D6C">
        <w:rPr>
          <w:szCs w:val="22"/>
        </w:rPr>
        <w:t xml:space="preserve">, </w:t>
      </w:r>
      <w:r>
        <w:rPr>
          <w:szCs w:val="22"/>
        </w:rPr>
        <w:t xml:space="preserve">apie tai </w:t>
      </w:r>
      <w:r w:rsidRPr="00F30D6C">
        <w:rPr>
          <w:szCs w:val="22"/>
        </w:rPr>
        <w:t xml:space="preserve">pasakykite gydytojui arba vaistininkui. </w:t>
      </w:r>
    </w:p>
    <w:p w:rsidR="00386775" w:rsidRDefault="00386775" w:rsidP="00386775">
      <w:pPr>
        <w:rPr>
          <w:szCs w:val="22"/>
        </w:rPr>
      </w:pPr>
    </w:p>
    <w:p w:rsidR="00386775" w:rsidRDefault="00386775" w:rsidP="00386775">
      <w:r>
        <w:rPr>
          <w:szCs w:val="22"/>
        </w:rPr>
        <w:t xml:space="preserve">Kartu su </w:t>
      </w:r>
      <w:proofErr w:type="spellStart"/>
      <w:r>
        <w:rPr>
          <w:szCs w:val="22"/>
        </w:rPr>
        <w:t>Hexalyse</w:t>
      </w:r>
      <w:proofErr w:type="spellEnd"/>
      <w:r>
        <w:rPr>
          <w:szCs w:val="22"/>
        </w:rPr>
        <w:t xml:space="preserve"> </w:t>
      </w:r>
      <w:r w:rsidRPr="00F30D6C">
        <w:rPr>
          <w:szCs w:val="22"/>
        </w:rPr>
        <w:t xml:space="preserve">nevartokite </w:t>
      </w:r>
      <w:r>
        <w:rPr>
          <w:szCs w:val="22"/>
        </w:rPr>
        <w:t xml:space="preserve">kitų </w:t>
      </w:r>
      <w:r w:rsidRPr="00346D02">
        <w:t>vaist</w:t>
      </w:r>
      <w:r>
        <w:t>ų</w:t>
      </w:r>
      <w:r w:rsidRPr="00346D02">
        <w:t>, kurių sudėtyje yra tokių pačių veikliųjų medžiagų (</w:t>
      </w:r>
      <w:proofErr w:type="spellStart"/>
      <w:r w:rsidRPr="00346D02">
        <w:t>t.y</w:t>
      </w:r>
      <w:proofErr w:type="spellEnd"/>
      <w:r w:rsidRPr="00346D02">
        <w:t xml:space="preserve">., </w:t>
      </w:r>
      <w:proofErr w:type="spellStart"/>
      <w:r w:rsidRPr="00346D02">
        <w:t>biklotimoli</w:t>
      </w:r>
      <w:r>
        <w:t>o</w:t>
      </w:r>
      <w:proofErr w:type="spellEnd"/>
      <w:r w:rsidRPr="00346D02">
        <w:t xml:space="preserve">, </w:t>
      </w:r>
      <w:proofErr w:type="spellStart"/>
      <w:r w:rsidRPr="00346D02">
        <w:t>lizocimo</w:t>
      </w:r>
      <w:proofErr w:type="spellEnd"/>
      <w:r w:rsidRPr="00346D02">
        <w:t xml:space="preserve"> hidrochlorid</w:t>
      </w:r>
      <w:r>
        <w:t>o</w:t>
      </w:r>
      <w:r w:rsidRPr="00346D02">
        <w:t xml:space="preserve">, </w:t>
      </w:r>
      <w:proofErr w:type="spellStart"/>
      <w:r w:rsidRPr="00346D02">
        <w:t>enoksolon</w:t>
      </w:r>
      <w:r>
        <w:t>o</w:t>
      </w:r>
      <w:proofErr w:type="spellEnd"/>
      <w:r w:rsidRPr="00346D02">
        <w:t>)</w:t>
      </w:r>
      <w:r>
        <w:t>.</w:t>
      </w:r>
    </w:p>
    <w:p w:rsidR="00386775" w:rsidRPr="00F30D6C" w:rsidRDefault="00386775" w:rsidP="00386775">
      <w:pPr>
        <w:rPr>
          <w:szCs w:val="22"/>
        </w:rPr>
      </w:pPr>
    </w:p>
    <w:p w:rsidR="00386775" w:rsidRPr="00F30D6C" w:rsidRDefault="00386775" w:rsidP="00386775">
      <w:pPr>
        <w:pStyle w:val="PI-3EMEASMCA"/>
      </w:pPr>
      <w:r w:rsidRPr="00F30D6C">
        <w:t>Nėštumas ir žindymo laikotarpis</w:t>
      </w:r>
    </w:p>
    <w:p w:rsidR="00386775" w:rsidRDefault="00386775" w:rsidP="00386775">
      <w:pPr>
        <w:pStyle w:val="BTEMEASMCA"/>
      </w:pPr>
      <w:r w:rsidRPr="00346D02">
        <w:t>Jeigu esate nėščia, žindote kūdikį, manote, kad galbūt esate nėščia, arba planuojate pastoti, tai prieš vartodama šį vaistą, pasitarkite su gydytoju arba vaistininku.</w:t>
      </w:r>
      <w:r w:rsidRPr="00346D02" w:rsidDel="00346D02">
        <w:t xml:space="preserve"> 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r w:rsidRPr="00F30D6C">
        <w:t>Vairavimas ir mechanizmų valdymas</w:t>
      </w: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proofErr w:type="spellStart"/>
      <w:r w:rsidRPr="00F30D6C">
        <w:rPr>
          <w:szCs w:val="22"/>
        </w:rPr>
        <w:t>Hexalyse</w:t>
      </w:r>
      <w:proofErr w:type="spellEnd"/>
      <w:r w:rsidRPr="00F30D6C">
        <w:rPr>
          <w:szCs w:val="22"/>
        </w:rPr>
        <w:t xml:space="preserve"> neveikia gebėjimo vairuoti ir valdyti mechanizmus.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proofErr w:type="spellStart"/>
      <w:r w:rsidRPr="00F30D6C">
        <w:t>Hexalyse</w:t>
      </w:r>
      <w:proofErr w:type="spellEnd"/>
      <w:r w:rsidRPr="00F30D6C">
        <w:t xml:space="preserve"> </w:t>
      </w:r>
      <w:r>
        <w:t xml:space="preserve">sudėtyje yra cukraus (sacharozės) ir dažiklio </w:t>
      </w:r>
      <w:r w:rsidRPr="00346D02">
        <w:t>saulėlydžio gelton</w:t>
      </w:r>
      <w:r>
        <w:t>ojo (E110)</w:t>
      </w:r>
    </w:p>
    <w:p w:rsidR="00386775" w:rsidRPr="00F30D6C" w:rsidRDefault="00386775" w:rsidP="00386775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 w:rsidRPr="00F30D6C">
        <w:rPr>
          <w:szCs w:val="22"/>
        </w:rPr>
        <w:t>Jeigu gydytojas Jums yra sakęs, kad netoleruojate kokių nors angliavandenių, kreipkitės į jį prieš pradėdami vartoti šį vaistą.</w:t>
      </w:r>
    </w:p>
    <w:p w:rsidR="00386775" w:rsidRPr="00F30D6C" w:rsidRDefault="00386775" w:rsidP="00386775">
      <w:pPr>
        <w:rPr>
          <w:szCs w:val="22"/>
        </w:rPr>
      </w:pPr>
      <w:r w:rsidRPr="00F30D6C">
        <w:rPr>
          <w:szCs w:val="22"/>
        </w:rPr>
        <w:t>Dažiklis saulėlydžio geltonasis gali sukelti alerginių reakcijų.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6" w:name="_Toc129243266"/>
      <w:bookmarkStart w:id="7" w:name="_Toc129243141"/>
      <w:r w:rsidRPr="00F30D6C">
        <w:t>3.</w:t>
      </w:r>
      <w:r w:rsidRPr="00F30D6C">
        <w:tab/>
        <w:t xml:space="preserve">Kaip vartoti </w:t>
      </w:r>
      <w:proofErr w:type="spellStart"/>
      <w:r w:rsidRPr="00F30D6C">
        <w:t>Hexalyse</w:t>
      </w:r>
      <w:bookmarkEnd w:id="6"/>
      <w:bookmarkEnd w:id="7"/>
      <w:proofErr w:type="spellEnd"/>
    </w:p>
    <w:p w:rsidR="00386775" w:rsidRPr="00F30D6C" w:rsidRDefault="00386775" w:rsidP="00386775">
      <w:pPr>
        <w:pStyle w:val="BTEMEASMCA"/>
      </w:pPr>
    </w:p>
    <w:p w:rsidR="00386775" w:rsidRDefault="00386775" w:rsidP="00386775">
      <w:pPr>
        <w:pStyle w:val="Pagrindinistekstas"/>
        <w:spacing w:after="0"/>
        <w:rPr>
          <w:szCs w:val="22"/>
        </w:rPr>
      </w:pPr>
      <w:r w:rsidRPr="00D85D05">
        <w:rPr>
          <w:szCs w:val="22"/>
        </w:rPr>
        <w:t>Visada vartokite šį vaistą tiksliai kaip aprašyta šiame lapelyje arba kaip nurodė gydytojas arba vaistininkas.</w:t>
      </w:r>
      <w:r w:rsidRPr="00F30D6C">
        <w:rPr>
          <w:szCs w:val="22"/>
        </w:rPr>
        <w:t xml:space="preserve"> Jeigu abejojate, kreipkitės į gydytoją arba vaistininką. </w:t>
      </w:r>
    </w:p>
    <w:p w:rsidR="00386775" w:rsidRDefault="00386775" w:rsidP="00386775">
      <w:pPr>
        <w:pStyle w:val="Pagrindinistekstas"/>
        <w:spacing w:after="0"/>
        <w:rPr>
          <w:szCs w:val="22"/>
        </w:rPr>
      </w:pPr>
    </w:p>
    <w:p w:rsidR="00386775" w:rsidRPr="00D85D05" w:rsidRDefault="00386775" w:rsidP="00386775">
      <w:pPr>
        <w:pStyle w:val="Pagrindinistekstas"/>
        <w:spacing w:after="0"/>
        <w:rPr>
          <w:b/>
          <w:szCs w:val="22"/>
        </w:rPr>
      </w:pPr>
      <w:r w:rsidRPr="00D85D05">
        <w:rPr>
          <w:b/>
          <w:szCs w:val="22"/>
        </w:rPr>
        <w:t>Dozavimas</w:t>
      </w:r>
    </w:p>
    <w:p w:rsidR="00386775" w:rsidRPr="00F30D6C" w:rsidRDefault="00386775" w:rsidP="00386775">
      <w:pPr>
        <w:pStyle w:val="Pagrindinistekstas"/>
        <w:spacing w:after="0"/>
        <w:rPr>
          <w:bCs/>
          <w:szCs w:val="22"/>
        </w:rPr>
      </w:pPr>
      <w:r w:rsidRPr="00F30D6C">
        <w:rPr>
          <w:szCs w:val="22"/>
        </w:rPr>
        <w:t xml:space="preserve">Įprasta dozė </w:t>
      </w:r>
      <w:r w:rsidRPr="00D85D05">
        <w:rPr>
          <w:szCs w:val="22"/>
        </w:rPr>
        <w:t xml:space="preserve">suaugusiems žmonėms ir vyresniems nei </w:t>
      </w:r>
      <w:r>
        <w:rPr>
          <w:szCs w:val="22"/>
        </w:rPr>
        <w:t>6 metų</w:t>
      </w:r>
      <w:r w:rsidRPr="00D85D05">
        <w:rPr>
          <w:szCs w:val="22"/>
        </w:rPr>
        <w:t xml:space="preserve"> vaikams</w:t>
      </w:r>
      <w:r>
        <w:rPr>
          <w:szCs w:val="22"/>
        </w:rPr>
        <w:t>:</w:t>
      </w:r>
      <w:r w:rsidRPr="00D85D05">
        <w:rPr>
          <w:szCs w:val="22"/>
        </w:rPr>
        <w:t xml:space="preserve"> </w:t>
      </w:r>
      <w:r w:rsidRPr="00F30D6C">
        <w:rPr>
          <w:bCs/>
          <w:szCs w:val="22"/>
        </w:rPr>
        <w:t xml:space="preserve">6 </w:t>
      </w:r>
      <w:r>
        <w:rPr>
          <w:bCs/>
          <w:szCs w:val="22"/>
        </w:rPr>
        <w:t>-</w:t>
      </w:r>
      <w:r w:rsidRPr="00F30D6C">
        <w:rPr>
          <w:bCs/>
          <w:szCs w:val="22"/>
        </w:rPr>
        <w:t xml:space="preserve"> 8 pastil</w:t>
      </w:r>
      <w:r>
        <w:rPr>
          <w:bCs/>
          <w:szCs w:val="22"/>
        </w:rPr>
        <w:t>ės per parą</w:t>
      </w:r>
      <w:r w:rsidRPr="00F30D6C">
        <w:rPr>
          <w:bCs/>
          <w:szCs w:val="22"/>
        </w:rPr>
        <w:t xml:space="preserve">, </w:t>
      </w:r>
      <w:r>
        <w:rPr>
          <w:bCs/>
          <w:szCs w:val="22"/>
        </w:rPr>
        <w:t>jas suvartokite per kelis kartus lygiais laiko tarpais</w:t>
      </w:r>
      <w:r w:rsidRPr="00F30D6C">
        <w:rPr>
          <w:bCs/>
          <w:szCs w:val="22"/>
        </w:rPr>
        <w:t>.</w:t>
      </w:r>
    </w:p>
    <w:p w:rsidR="00386775" w:rsidRDefault="00386775" w:rsidP="00386775">
      <w:pPr>
        <w:pStyle w:val="Pagrindinistekstas"/>
        <w:spacing w:after="0"/>
        <w:rPr>
          <w:bCs/>
          <w:szCs w:val="22"/>
        </w:rPr>
      </w:pPr>
    </w:p>
    <w:p w:rsidR="00386775" w:rsidRDefault="00386775" w:rsidP="00386775">
      <w:pPr>
        <w:rPr>
          <w:b/>
          <w:szCs w:val="22"/>
        </w:rPr>
      </w:pPr>
      <w:r>
        <w:rPr>
          <w:b/>
          <w:szCs w:val="22"/>
        </w:rPr>
        <w:t>Vartojimo metodas</w:t>
      </w: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r>
        <w:rPr>
          <w:bCs/>
          <w:szCs w:val="22"/>
        </w:rPr>
        <w:t>P</w:t>
      </w:r>
      <w:r w:rsidRPr="00F30D6C">
        <w:rPr>
          <w:bCs/>
          <w:szCs w:val="22"/>
        </w:rPr>
        <w:t>astiles</w:t>
      </w:r>
      <w:r w:rsidRPr="00D85D05">
        <w:rPr>
          <w:bCs/>
          <w:szCs w:val="22"/>
        </w:rPr>
        <w:t xml:space="preserve"> </w:t>
      </w:r>
      <w:r>
        <w:rPr>
          <w:bCs/>
          <w:szCs w:val="22"/>
        </w:rPr>
        <w:t>l</w:t>
      </w:r>
      <w:r w:rsidRPr="00F30D6C">
        <w:rPr>
          <w:bCs/>
          <w:szCs w:val="22"/>
        </w:rPr>
        <w:t xml:space="preserve">ėtai </w:t>
      </w:r>
      <w:r>
        <w:rPr>
          <w:bCs/>
          <w:szCs w:val="22"/>
        </w:rPr>
        <w:t>su</w:t>
      </w:r>
      <w:r w:rsidRPr="00F30D6C">
        <w:rPr>
          <w:bCs/>
          <w:szCs w:val="22"/>
        </w:rPr>
        <w:t>čiulpkite, nekramtykite.</w:t>
      </w:r>
    </w:p>
    <w:p w:rsidR="00386775" w:rsidRDefault="00386775" w:rsidP="00386775">
      <w:pPr>
        <w:pStyle w:val="BTEMEASMCA"/>
      </w:pPr>
    </w:p>
    <w:p w:rsidR="00386775" w:rsidRDefault="00386775" w:rsidP="00386775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b/>
          <w:szCs w:val="22"/>
        </w:rPr>
      </w:pPr>
      <w:r>
        <w:rPr>
          <w:b/>
          <w:szCs w:val="22"/>
        </w:rPr>
        <w:t>Gydymo trukmė</w:t>
      </w:r>
    </w:p>
    <w:p w:rsidR="00386775" w:rsidRDefault="00386775" w:rsidP="00386775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Nevartokite vaisto ilgiau kaip 4 dienas. Jeigu per 4 dienas Jūsų savijauta nepagerėjo arba net pablogėjo, kreipkitės į gydytoją.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r w:rsidRPr="00F30D6C">
        <w:t xml:space="preserve">Pamiršus pavartoti </w:t>
      </w:r>
      <w:proofErr w:type="spellStart"/>
      <w:r w:rsidRPr="00F30D6C">
        <w:t>Hexalyse</w:t>
      </w:r>
      <w:proofErr w:type="spellEnd"/>
    </w:p>
    <w:p w:rsidR="00386775" w:rsidRPr="00F30D6C" w:rsidRDefault="00386775" w:rsidP="00386775">
      <w:pPr>
        <w:pStyle w:val="BTEMEASMCA"/>
      </w:pPr>
      <w:r w:rsidRPr="00F30D6C">
        <w:t>Negalima vartoti dvigubos dozės norint kompensuoti praleistą dozę.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  <w:r w:rsidRPr="00F30D6C">
        <w:t>Jeigu kiltų daugiau klausimų dėl šio vaisto vartojimo, kreipkitės į gydytoją arba vaistininką.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8" w:name="_Toc129243267"/>
      <w:bookmarkStart w:id="9" w:name="_Toc129243142"/>
      <w:r w:rsidRPr="00F30D6C">
        <w:t>4.</w:t>
      </w:r>
      <w:r w:rsidRPr="00F30D6C">
        <w:tab/>
        <w:t>Galimas šalutinis poveikis</w:t>
      </w:r>
      <w:bookmarkEnd w:id="8"/>
      <w:bookmarkEnd w:id="9"/>
    </w:p>
    <w:p w:rsidR="00386775" w:rsidRPr="00F30D6C" w:rsidRDefault="00386775" w:rsidP="00386775">
      <w:pPr>
        <w:pStyle w:val="BTEMEASMCA"/>
      </w:pPr>
    </w:p>
    <w:p w:rsidR="00386775" w:rsidRDefault="00386775" w:rsidP="00386775">
      <w:pPr>
        <w:pStyle w:val="BTEMEASMCA"/>
      </w:pPr>
      <w:r>
        <w:t>Šis vaistas</w:t>
      </w:r>
      <w:r w:rsidRPr="00F30D6C">
        <w:t>, kaip ir visi kiti, gali sukelti šalutinį poveikį, nors jis pasireiškia ne visiems žmonėms.</w:t>
      </w:r>
    </w:p>
    <w:p w:rsidR="00386775" w:rsidRPr="00F30D6C" w:rsidRDefault="00386775" w:rsidP="00386775">
      <w:pPr>
        <w:pStyle w:val="BTEMEASMCA"/>
      </w:pPr>
    </w:p>
    <w:p w:rsidR="00386775" w:rsidRDefault="00386775" w:rsidP="00386775">
      <w:pPr>
        <w:pStyle w:val="Pagrindinistekstas"/>
        <w:spacing w:after="0"/>
        <w:rPr>
          <w:szCs w:val="22"/>
        </w:rPr>
      </w:pPr>
      <w:r>
        <w:rPr>
          <w:szCs w:val="22"/>
        </w:rPr>
        <w:t>Dažnis nežinomas (</w:t>
      </w:r>
      <w:r w:rsidRPr="008E4B8F">
        <w:rPr>
          <w:szCs w:val="22"/>
        </w:rPr>
        <w:t>negali būti apskaičiuotas pagal turimus duomenis</w:t>
      </w:r>
      <w:r>
        <w:rPr>
          <w:szCs w:val="22"/>
        </w:rPr>
        <w:t>)</w:t>
      </w: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r>
        <w:rPr>
          <w:szCs w:val="22"/>
        </w:rPr>
        <w:t>G</w:t>
      </w:r>
      <w:r w:rsidRPr="00F30D6C">
        <w:rPr>
          <w:szCs w:val="22"/>
        </w:rPr>
        <w:t xml:space="preserve">ali </w:t>
      </w:r>
      <w:r>
        <w:rPr>
          <w:szCs w:val="22"/>
        </w:rPr>
        <w:t>pasireikšti alerginė reakcija</w:t>
      </w:r>
      <w:r w:rsidRPr="00F30D6C">
        <w:rPr>
          <w:szCs w:val="22"/>
        </w:rPr>
        <w:t xml:space="preserve">. </w:t>
      </w:r>
      <w:r>
        <w:rPr>
          <w:szCs w:val="22"/>
        </w:rPr>
        <w:t xml:space="preserve">Tokiu atveju </w:t>
      </w:r>
      <w:r w:rsidRPr="00F30D6C">
        <w:rPr>
          <w:szCs w:val="22"/>
        </w:rPr>
        <w:t>nutraukite vaisto vartojimą.</w:t>
      </w:r>
    </w:p>
    <w:p w:rsidR="00386775" w:rsidRPr="00F30D6C" w:rsidRDefault="00386775" w:rsidP="00386775">
      <w:pPr>
        <w:pStyle w:val="BTEMEASMCA"/>
      </w:pPr>
    </w:p>
    <w:p w:rsidR="00386775" w:rsidRPr="00D85D05" w:rsidRDefault="00386775" w:rsidP="00386775">
      <w:pPr>
        <w:pStyle w:val="BTEMEASMCA"/>
        <w:rPr>
          <w:b/>
        </w:rPr>
      </w:pPr>
      <w:r w:rsidRPr="00D85D05">
        <w:rPr>
          <w:b/>
        </w:rPr>
        <w:t>Pranešimas apie šalutinį poveikį</w:t>
      </w:r>
    </w:p>
    <w:p w:rsidR="00386775" w:rsidRPr="00D85D05" w:rsidRDefault="00386775" w:rsidP="00386775">
      <w:pPr>
        <w:pStyle w:val="BTEMEASMCA"/>
        <w:rPr>
          <w:noProof w:val="0"/>
        </w:rPr>
      </w:pPr>
      <w:r w:rsidRPr="00D85D05">
        <w:rPr>
          <w:noProof w:val="0"/>
        </w:rPr>
        <w:t xml:space="preserve">Jeigu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AE49D1">
        <w:rPr>
          <w:noProof w:val="0"/>
        </w:rPr>
        <w:t>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10" w:name="_Toc129243268"/>
      <w:bookmarkStart w:id="11" w:name="_Toc129243143"/>
      <w:r w:rsidRPr="00F30D6C">
        <w:t>5.</w:t>
      </w:r>
      <w:r w:rsidRPr="00F30D6C">
        <w:tab/>
        <w:t xml:space="preserve">Kaip laikyti </w:t>
      </w:r>
      <w:proofErr w:type="spellStart"/>
      <w:r w:rsidRPr="00F30D6C">
        <w:t>Hexalyse</w:t>
      </w:r>
      <w:bookmarkEnd w:id="10"/>
      <w:bookmarkEnd w:id="11"/>
      <w:proofErr w:type="spellEnd"/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  <w:r>
        <w:t>Šį vaistą laikykite</w:t>
      </w:r>
      <w:r w:rsidRPr="00F30D6C">
        <w:t xml:space="preserve"> vaikams nepastebimoje ir nepasiekiamoje vietoje.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 xml:space="preserve">Laikyti ne aukštesnėje kaip 25 </w:t>
      </w:r>
      <w:r w:rsidRPr="00F30D6C">
        <w:rPr>
          <w:szCs w:val="22"/>
        </w:rPr>
        <w:sym w:font="Symbol" w:char="F0B0"/>
      </w:r>
      <w:r w:rsidRPr="00F30D6C">
        <w:rPr>
          <w:szCs w:val="22"/>
        </w:rPr>
        <w:t>C temperatūroje.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  <w:r w:rsidRPr="00F30D6C">
        <w:t xml:space="preserve">Ant dėžutės po „Tinka iki“ ir lizdinės plokštelės po „EXP“ nurodytam tinkamumo laikui pasibaigus, </w:t>
      </w:r>
      <w:r>
        <w:t>šio vaisto</w:t>
      </w:r>
      <w:r w:rsidRPr="00F30D6C">
        <w:t xml:space="preserve"> vartoti negalima. Vaistas tinka</w:t>
      </w:r>
      <w:r>
        <w:t>mas</w:t>
      </w:r>
      <w:r w:rsidRPr="00F30D6C">
        <w:t xml:space="preserve"> vartoti iki paskutinės nurodyto mėnesio dienos.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  <w:r w:rsidRPr="00F30D6C">
        <w:t xml:space="preserve">Vaistų negalima </w:t>
      </w:r>
      <w:r>
        <w:t>išmesti</w:t>
      </w:r>
      <w:r w:rsidRPr="00F30D6C">
        <w:t xml:space="preserve"> į kanalizaciją su buitinėmis atliekomis. Kaip </w:t>
      </w:r>
      <w:r>
        <w:t>išmesti</w:t>
      </w:r>
      <w:r w:rsidRPr="00F30D6C">
        <w:t xml:space="preserve"> nereikalingus vaistus, klauskite vaistininko. Šios priemonės padės apsaugoti aplinką.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1EMEASMCA"/>
      </w:pPr>
      <w:bookmarkStart w:id="12" w:name="_Toc129243269"/>
      <w:bookmarkStart w:id="13" w:name="_Toc129243144"/>
      <w:r w:rsidRPr="00F30D6C">
        <w:t>6.</w:t>
      </w:r>
      <w:r w:rsidRPr="00F30D6C">
        <w:tab/>
      </w:r>
      <w:r w:rsidRPr="00D85D05">
        <w:t xml:space="preserve">Pakuotės turinys ir </w:t>
      </w:r>
      <w:r w:rsidRPr="00F30D6C">
        <w:t>kita informacija</w:t>
      </w:r>
      <w:bookmarkEnd w:id="12"/>
      <w:bookmarkEnd w:id="13"/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proofErr w:type="spellStart"/>
      <w:r w:rsidRPr="00F30D6C">
        <w:t>Hexalyse</w:t>
      </w:r>
      <w:proofErr w:type="spellEnd"/>
      <w:r w:rsidRPr="00F30D6C">
        <w:t xml:space="preserve"> sudėtis</w:t>
      </w:r>
    </w:p>
    <w:p w:rsidR="00386775" w:rsidRPr="00D85D05" w:rsidRDefault="00386775" w:rsidP="00386775">
      <w:pPr>
        <w:pStyle w:val="Pagrindinistekstas"/>
        <w:numPr>
          <w:ilvl w:val="0"/>
          <w:numId w:val="4"/>
        </w:numPr>
        <w:tabs>
          <w:tab w:val="left" w:pos="720"/>
        </w:tabs>
        <w:spacing w:after="0"/>
        <w:rPr>
          <w:szCs w:val="22"/>
        </w:rPr>
      </w:pPr>
      <w:r w:rsidRPr="00D85D05">
        <w:rPr>
          <w:szCs w:val="22"/>
        </w:rPr>
        <w:t xml:space="preserve">Veikliosios medžiagos yra </w:t>
      </w:r>
      <w:proofErr w:type="spellStart"/>
      <w:r w:rsidRPr="00D85D05">
        <w:rPr>
          <w:szCs w:val="22"/>
        </w:rPr>
        <w:t>biklotimolis</w:t>
      </w:r>
      <w:proofErr w:type="spellEnd"/>
      <w:r w:rsidRPr="00D85D05">
        <w:rPr>
          <w:szCs w:val="22"/>
        </w:rPr>
        <w:t xml:space="preserve">, </w:t>
      </w:r>
      <w:proofErr w:type="spellStart"/>
      <w:r w:rsidRPr="00D85D05">
        <w:rPr>
          <w:szCs w:val="22"/>
        </w:rPr>
        <w:t>lizocimo</w:t>
      </w:r>
      <w:proofErr w:type="spellEnd"/>
      <w:r w:rsidRPr="00D85D05">
        <w:rPr>
          <w:szCs w:val="22"/>
        </w:rPr>
        <w:t xml:space="preserve"> hidrochloridas ir </w:t>
      </w:r>
      <w:proofErr w:type="spellStart"/>
      <w:r w:rsidRPr="00D85D05">
        <w:rPr>
          <w:szCs w:val="22"/>
        </w:rPr>
        <w:t>enoksolonas</w:t>
      </w:r>
      <w:proofErr w:type="spellEnd"/>
      <w:r w:rsidRPr="00D85D05">
        <w:rPr>
          <w:szCs w:val="22"/>
        </w:rPr>
        <w:t>.</w:t>
      </w:r>
      <w:r>
        <w:rPr>
          <w:szCs w:val="22"/>
        </w:rPr>
        <w:t xml:space="preserve"> </w:t>
      </w:r>
      <w:r w:rsidRPr="00D85D05">
        <w:rPr>
          <w:szCs w:val="22"/>
        </w:rPr>
        <w:t xml:space="preserve">Vienoje pastilėje yra 5 mg </w:t>
      </w:r>
      <w:proofErr w:type="spellStart"/>
      <w:r w:rsidRPr="00D85D05">
        <w:rPr>
          <w:szCs w:val="22"/>
        </w:rPr>
        <w:t>biklotimolio</w:t>
      </w:r>
      <w:proofErr w:type="spellEnd"/>
      <w:r w:rsidRPr="00D85D05">
        <w:rPr>
          <w:szCs w:val="22"/>
        </w:rPr>
        <w:t xml:space="preserve">, 5 mg </w:t>
      </w:r>
      <w:proofErr w:type="spellStart"/>
      <w:r w:rsidRPr="00D85D05">
        <w:rPr>
          <w:szCs w:val="22"/>
        </w:rPr>
        <w:t>lizocimo</w:t>
      </w:r>
      <w:proofErr w:type="spellEnd"/>
      <w:r w:rsidRPr="00D85D05">
        <w:rPr>
          <w:szCs w:val="22"/>
        </w:rPr>
        <w:t xml:space="preserve"> hidrochlorido ir 5 mg </w:t>
      </w:r>
      <w:proofErr w:type="spellStart"/>
      <w:r w:rsidRPr="00D85D05">
        <w:rPr>
          <w:szCs w:val="22"/>
        </w:rPr>
        <w:t>enoksolono</w:t>
      </w:r>
      <w:proofErr w:type="spellEnd"/>
      <w:r w:rsidRPr="00D85D05">
        <w:rPr>
          <w:szCs w:val="22"/>
        </w:rPr>
        <w:t>.</w:t>
      </w:r>
    </w:p>
    <w:p w:rsidR="00386775" w:rsidRPr="00F30D6C" w:rsidRDefault="00386775" w:rsidP="00386775">
      <w:pPr>
        <w:pStyle w:val="BT-EMEASMCA"/>
        <w:numPr>
          <w:ilvl w:val="0"/>
          <w:numId w:val="4"/>
        </w:numPr>
      </w:pPr>
      <w:r w:rsidRPr="00F30D6C">
        <w:t>Pagalbinės medžiagos yra citrinų eterinis aliejus, citrinų rūgštis monohidratas, saulėlydžio geltonasis FCF (E110), magnio stearatas, gumiarabikas, sacharozė.</w:t>
      </w:r>
    </w:p>
    <w:p w:rsidR="00386775" w:rsidRPr="00F30D6C" w:rsidRDefault="00386775" w:rsidP="00386775">
      <w:pPr>
        <w:pStyle w:val="BT-EMEASMCA"/>
        <w:numPr>
          <w:ilvl w:val="0"/>
          <w:numId w:val="0"/>
        </w:numPr>
        <w:ind w:left="360"/>
      </w:pPr>
    </w:p>
    <w:p w:rsidR="00386775" w:rsidRPr="00F30D6C" w:rsidRDefault="00386775" w:rsidP="00386775">
      <w:pPr>
        <w:pStyle w:val="PI-3EMEASMCA"/>
      </w:pPr>
      <w:proofErr w:type="spellStart"/>
      <w:r w:rsidRPr="00F30D6C">
        <w:t>Hexalyse</w:t>
      </w:r>
      <w:proofErr w:type="spellEnd"/>
      <w:r w:rsidRPr="00F30D6C">
        <w:t xml:space="preserve"> išvaizda ir kiekis pakuotėje</w:t>
      </w:r>
    </w:p>
    <w:p w:rsidR="00386775" w:rsidRPr="00F30D6C" w:rsidRDefault="00386775" w:rsidP="00386775">
      <w:pPr>
        <w:pStyle w:val="PI-3EMEASMCA"/>
      </w:pPr>
    </w:p>
    <w:p w:rsidR="00386775" w:rsidRPr="00F30D6C" w:rsidRDefault="00386775" w:rsidP="00386775">
      <w:pPr>
        <w:pStyle w:val="BTEMEASMCA"/>
      </w:pPr>
      <w:r w:rsidRPr="00F30D6C">
        <w:t>Hexalyse kietosios pastilės yra apvalios, oranžiniai geltonos spalvos.</w:t>
      </w: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>PVC/</w:t>
      </w:r>
      <w:proofErr w:type="spellStart"/>
      <w:r w:rsidRPr="00F30D6C">
        <w:rPr>
          <w:szCs w:val="22"/>
        </w:rPr>
        <w:t>PVdC</w:t>
      </w:r>
      <w:proofErr w:type="spellEnd"/>
      <w:r w:rsidRPr="00F30D6C">
        <w:rPr>
          <w:szCs w:val="22"/>
        </w:rPr>
        <w:t xml:space="preserve"> ir aliuminio folijos lizdinė plokštelė. Kartono dėžutėje yra 30 kietųjų pastilių.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PI-3EMEASMCA"/>
      </w:pPr>
      <w:r w:rsidRPr="00AE49D1">
        <w:t>Registruotojas ir gamintojas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  <w:r w:rsidRPr="00AE49D1">
        <w:t>Registruotojas</w:t>
      </w:r>
      <w:r w:rsidRPr="00F30D6C">
        <w:t xml:space="preserve"> </w:t>
      </w:r>
    </w:p>
    <w:p w:rsidR="00386775" w:rsidRPr="000B441B" w:rsidRDefault="00386775" w:rsidP="00386775">
      <w:pPr>
        <w:rPr>
          <w:szCs w:val="22"/>
        </w:rPr>
      </w:pPr>
      <w:proofErr w:type="spellStart"/>
      <w:r w:rsidRPr="000B441B">
        <w:rPr>
          <w:szCs w:val="22"/>
        </w:rPr>
        <w:t>Laboratoires</w:t>
      </w:r>
      <w:proofErr w:type="spellEnd"/>
      <w:r w:rsidRPr="000B441B">
        <w:rPr>
          <w:szCs w:val="22"/>
        </w:rPr>
        <w:t xml:space="preserve"> BOUCHARA-RECORDATI</w:t>
      </w:r>
    </w:p>
    <w:p w:rsidR="00386775" w:rsidRPr="000B441B" w:rsidRDefault="00386775" w:rsidP="00386775">
      <w:pPr>
        <w:rPr>
          <w:szCs w:val="22"/>
        </w:rPr>
      </w:pPr>
      <w:r w:rsidRPr="00D7787D">
        <w:rPr>
          <w:szCs w:val="22"/>
        </w:rPr>
        <w:t xml:space="preserve">52 </w:t>
      </w:r>
      <w:proofErr w:type="spellStart"/>
      <w:r w:rsidRPr="00D7787D">
        <w:rPr>
          <w:szCs w:val="22"/>
        </w:rPr>
        <w:t>avenue</w:t>
      </w:r>
      <w:proofErr w:type="spellEnd"/>
      <w:r w:rsidRPr="00D7787D">
        <w:rPr>
          <w:szCs w:val="22"/>
        </w:rPr>
        <w:t xml:space="preserve"> du </w:t>
      </w:r>
      <w:proofErr w:type="spellStart"/>
      <w:r w:rsidRPr="00D7787D">
        <w:rPr>
          <w:szCs w:val="22"/>
        </w:rPr>
        <w:t>general</w:t>
      </w:r>
      <w:proofErr w:type="spellEnd"/>
      <w:r w:rsidRPr="00D7787D">
        <w:rPr>
          <w:szCs w:val="22"/>
        </w:rPr>
        <w:t xml:space="preserve"> de </w:t>
      </w:r>
      <w:proofErr w:type="spellStart"/>
      <w:r w:rsidRPr="00D7787D">
        <w:rPr>
          <w:szCs w:val="22"/>
        </w:rPr>
        <w:t>Gaulle</w:t>
      </w:r>
      <w:proofErr w:type="spellEnd"/>
    </w:p>
    <w:p w:rsidR="00386775" w:rsidRPr="000B441B" w:rsidRDefault="00386775" w:rsidP="00386775">
      <w:pPr>
        <w:rPr>
          <w:szCs w:val="22"/>
        </w:rPr>
      </w:pPr>
      <w:r w:rsidRPr="000B441B">
        <w:rPr>
          <w:szCs w:val="22"/>
        </w:rPr>
        <w:t xml:space="preserve">92800 </w:t>
      </w:r>
      <w:proofErr w:type="spellStart"/>
      <w:r w:rsidRPr="000B441B">
        <w:rPr>
          <w:szCs w:val="22"/>
        </w:rPr>
        <w:t>Puteaux</w:t>
      </w:r>
      <w:proofErr w:type="spellEnd"/>
    </w:p>
    <w:p w:rsidR="00386775" w:rsidRPr="000B441B" w:rsidRDefault="00386775" w:rsidP="00386775">
      <w:pPr>
        <w:rPr>
          <w:szCs w:val="22"/>
        </w:rPr>
      </w:pPr>
      <w:r>
        <w:rPr>
          <w:szCs w:val="22"/>
        </w:rPr>
        <w:t>Prancūzija</w:t>
      </w: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</w:p>
    <w:p w:rsidR="00386775" w:rsidRPr="00F30D6C" w:rsidRDefault="00386775" w:rsidP="00386775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>Gamintojas</w:t>
      </w:r>
    </w:p>
    <w:p w:rsidR="00386775" w:rsidRPr="00F30D6C" w:rsidRDefault="00386775" w:rsidP="00386775">
      <w:pPr>
        <w:rPr>
          <w:szCs w:val="22"/>
        </w:rPr>
      </w:pPr>
      <w:proofErr w:type="spellStart"/>
      <w:r w:rsidRPr="00F30D6C">
        <w:rPr>
          <w:szCs w:val="22"/>
        </w:rPr>
        <w:t>Laboratoires</w:t>
      </w:r>
      <w:proofErr w:type="spellEnd"/>
      <w:r w:rsidRPr="00F30D6C">
        <w:rPr>
          <w:szCs w:val="22"/>
        </w:rPr>
        <w:t xml:space="preserve"> BOUCHARA-RECORDATI</w:t>
      </w:r>
    </w:p>
    <w:p w:rsidR="00386775" w:rsidRPr="00F30D6C" w:rsidRDefault="00386775" w:rsidP="00386775">
      <w:pPr>
        <w:rPr>
          <w:szCs w:val="22"/>
        </w:rPr>
      </w:pPr>
      <w:proofErr w:type="spellStart"/>
      <w:r w:rsidRPr="00F30D6C">
        <w:rPr>
          <w:szCs w:val="22"/>
        </w:rPr>
        <w:t>Parc</w:t>
      </w:r>
      <w:proofErr w:type="spellEnd"/>
      <w:r w:rsidRPr="00F30D6C">
        <w:rPr>
          <w:szCs w:val="22"/>
        </w:rPr>
        <w:t xml:space="preserve"> </w:t>
      </w:r>
      <w:proofErr w:type="spellStart"/>
      <w:r w:rsidRPr="00F30D6C">
        <w:rPr>
          <w:szCs w:val="22"/>
        </w:rPr>
        <w:t>Mecatronic</w:t>
      </w:r>
      <w:proofErr w:type="spellEnd"/>
      <w:r w:rsidRPr="00F30D6C">
        <w:rPr>
          <w:szCs w:val="22"/>
        </w:rPr>
        <w:t xml:space="preserve"> – 03410 </w:t>
      </w:r>
      <w:proofErr w:type="spellStart"/>
      <w:r w:rsidRPr="00F30D6C">
        <w:rPr>
          <w:szCs w:val="22"/>
        </w:rPr>
        <w:t>Saint</w:t>
      </w:r>
      <w:proofErr w:type="spellEnd"/>
      <w:r w:rsidRPr="00F30D6C">
        <w:rPr>
          <w:szCs w:val="22"/>
        </w:rPr>
        <w:t xml:space="preserve"> – </w:t>
      </w:r>
      <w:proofErr w:type="spellStart"/>
      <w:r w:rsidRPr="00F30D6C">
        <w:rPr>
          <w:szCs w:val="22"/>
        </w:rPr>
        <w:t>Victor</w:t>
      </w:r>
      <w:proofErr w:type="spellEnd"/>
    </w:p>
    <w:p w:rsidR="00386775" w:rsidRPr="00F30D6C" w:rsidRDefault="00386775" w:rsidP="00386775">
      <w:pPr>
        <w:rPr>
          <w:szCs w:val="22"/>
        </w:rPr>
      </w:pPr>
      <w:r w:rsidRPr="00F30D6C">
        <w:rPr>
          <w:szCs w:val="22"/>
        </w:rPr>
        <w:t>Prancūzija</w:t>
      </w: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EMEASMCA"/>
      </w:pPr>
    </w:p>
    <w:p w:rsidR="00386775" w:rsidRPr="00F30D6C" w:rsidRDefault="00386775" w:rsidP="00386775">
      <w:pPr>
        <w:pStyle w:val="BTbEMEASMCA"/>
      </w:pPr>
      <w:r w:rsidRPr="00F30D6C">
        <w:rPr>
          <w:bCs/>
        </w:rPr>
        <w:t>Šis pakuotės lapelis</w:t>
      </w:r>
      <w:r w:rsidRPr="00F30D6C">
        <w:t xml:space="preserve"> paskutinį kartą </w:t>
      </w:r>
      <w:r w:rsidRPr="00D85D05">
        <w:t xml:space="preserve">peržiūrėtas </w:t>
      </w:r>
      <w:r>
        <w:t>2024-11-12.</w:t>
      </w:r>
    </w:p>
    <w:p w:rsidR="00386775" w:rsidRPr="00F30D6C" w:rsidRDefault="00386775" w:rsidP="00386775">
      <w:pPr>
        <w:rPr>
          <w:szCs w:val="22"/>
        </w:rPr>
      </w:pPr>
    </w:p>
    <w:p w:rsidR="00386775" w:rsidRDefault="00386775" w:rsidP="00386775">
      <w:pPr>
        <w:pStyle w:val="BTEMEASMCA"/>
        <w:rPr>
          <w:rStyle w:val="Hipersaitas"/>
        </w:rPr>
      </w:pPr>
      <w:r w:rsidRPr="00D85D05">
        <w:t xml:space="preserve">Išsami informacija apie šį vaistą </w:t>
      </w:r>
      <w:r w:rsidRPr="00F30D6C">
        <w:t xml:space="preserve">pateikiama Valstybinės vaistų kontrolės tarnybos prie Lietuvos Respublikos sveikatos apsaugos ministerijos </w:t>
      </w:r>
      <w:r>
        <w:t>tinklapyje</w:t>
      </w:r>
      <w:r w:rsidRPr="00F30D6C">
        <w:t xml:space="preserve"> </w:t>
      </w:r>
      <w:hyperlink r:id="rId5" w:history="1">
        <w:r w:rsidRPr="00BA5ECE">
          <w:rPr>
            <w:rStyle w:val="Hipersaitas"/>
          </w:rPr>
          <w:t>https://vvkt.lrv.lt/lt/</w:t>
        </w:r>
      </w:hyperlink>
      <w:r>
        <w:t>.</w:t>
      </w: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C0E"/>
    <w:multiLevelType w:val="hybridMultilevel"/>
    <w:tmpl w:val="9814BB48"/>
    <w:lvl w:ilvl="0" w:tplc="6416FAEA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A5DE5"/>
    <w:multiLevelType w:val="hybridMultilevel"/>
    <w:tmpl w:val="33BC3268"/>
    <w:lvl w:ilvl="0" w:tplc="3542AF86">
      <w:start w:val="1"/>
      <w:numFmt w:val="bullet"/>
      <w:pStyle w:val="BT-EMEASMC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870E51"/>
    <w:multiLevelType w:val="hybridMultilevel"/>
    <w:tmpl w:val="B19679E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AA065C"/>
    <w:multiLevelType w:val="hybridMultilevel"/>
    <w:tmpl w:val="749AB6E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75"/>
    <w:rsid w:val="00072F85"/>
    <w:rsid w:val="000A5E72"/>
    <w:rsid w:val="000A7B60"/>
    <w:rsid w:val="00181364"/>
    <w:rsid w:val="002945D9"/>
    <w:rsid w:val="00305C48"/>
    <w:rsid w:val="003362C6"/>
    <w:rsid w:val="00386775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5BD33-AACB-46DB-80CE-B4F22A1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67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6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7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77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867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86775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rsid w:val="00386775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386775"/>
    <w:rPr>
      <w:noProof/>
      <w:szCs w:val="22"/>
      <w:lang w:eastAsia="en-US"/>
    </w:rPr>
  </w:style>
  <w:style w:type="paragraph" w:customStyle="1" w:styleId="PI-1EMEASMCA">
    <w:name w:val="PI-1 EMEA_SMCA"/>
    <w:basedOn w:val="Antrat2"/>
    <w:autoRedefine/>
    <w:rsid w:val="00386775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386775"/>
    <w:rPr>
      <w:rFonts w:ascii="Times New Roman" w:eastAsia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386775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386775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386775"/>
    <w:pPr>
      <w:numPr>
        <w:numId w:val="2"/>
      </w:numPr>
      <w:tabs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386775"/>
    <w:rPr>
      <w:b/>
    </w:rPr>
  </w:style>
  <w:style w:type="paragraph" w:customStyle="1" w:styleId="PI-3EMEASMCA">
    <w:name w:val="PI-3 EMEA_SMCA"/>
    <w:basedOn w:val="prastasis"/>
    <w:autoRedefine/>
    <w:rsid w:val="00386775"/>
    <w:rPr>
      <w:bCs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7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867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3755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Hexalyse ir kam jis vartojamas</vt:lpstr>
      <vt:lpstr>    2.	Kas žinotina prieš vartojant Hexalyse</vt:lpstr>
      <vt:lpstr>    3.	Kaip vartoti Hexalyse</vt:lpstr>
      <vt:lpstr>    4.	Galimas šalutinis poveikis</vt:lpstr>
      <vt:lpstr>    5.	Kaip laikyti Hexalyse</vt:lpstr>
      <vt:lpstr>    6.	Pakuotės turinys ir kita informacija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2024-12-30T09:02:00Z</dcterms:created>
  <dcterms:modified xsi:type="dcterms:W3CDTF">2024-12-30T09:03:00Z</dcterms:modified>
</cp:coreProperties>
</file>