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1A1" w:rsidRDefault="008A01A1" w:rsidP="008A01A1">
      <w:pPr>
        <w:pStyle w:val="TTEMEASMCA"/>
        <w:rPr>
          <w:noProof/>
        </w:rPr>
      </w:pPr>
      <w:r>
        <w:t>Pakuotės lapelis</w:t>
      </w:r>
      <w:r>
        <w:rPr>
          <w:noProof/>
        </w:rPr>
        <w:t>: informacija vartotojui</w:t>
      </w:r>
    </w:p>
    <w:p w:rsidR="008A01A1" w:rsidRDefault="008A01A1" w:rsidP="008A01A1">
      <w:pPr>
        <w:pStyle w:val="Pavadinimas"/>
        <w:rPr>
          <w:b w:val="0"/>
          <w:color w:val="000000" w:themeColor="text1"/>
          <w:sz w:val="22"/>
          <w:szCs w:val="22"/>
        </w:rPr>
      </w:pPr>
    </w:p>
    <w:p w:rsidR="008A01A1" w:rsidRDefault="008A01A1" w:rsidP="008A01A1">
      <w:pPr>
        <w:pStyle w:val="BTEMEASMCA"/>
        <w:jc w:val="center"/>
        <w:rPr>
          <w:b/>
          <w:color w:val="000000" w:themeColor="text1"/>
        </w:rPr>
      </w:pPr>
      <w:r>
        <w:rPr>
          <w:b/>
        </w:rPr>
        <w:t>Amiptifree 20 mg/5 mg/ml akių lašai (tirpalas)</w:t>
      </w:r>
    </w:p>
    <w:p w:rsidR="008A01A1" w:rsidRDefault="008A01A1" w:rsidP="008A01A1">
      <w:pPr>
        <w:pStyle w:val="BTEMEASMCA"/>
        <w:jc w:val="center"/>
      </w:pPr>
      <w:r>
        <w:t>Dorzolamidas ir timololis</w:t>
      </w:r>
    </w:p>
    <w:p w:rsidR="008A01A1" w:rsidRDefault="008A01A1" w:rsidP="008A01A1">
      <w:pPr>
        <w:pStyle w:val="BTEMEASMCA"/>
        <w:jc w:val="center"/>
      </w:pPr>
    </w:p>
    <w:p w:rsidR="008A01A1" w:rsidRDefault="008A01A1" w:rsidP="008A01A1">
      <w:pPr>
        <w:pStyle w:val="BTbEMEASMCA"/>
      </w:pPr>
      <w:r>
        <w:t>Atidžiai perskaitykite visą šį lapelį, prieš pradėdami vartoti vaistą, nes jame pateikiama Jums svarbi informacija.</w:t>
      </w:r>
    </w:p>
    <w:p w:rsidR="008A01A1" w:rsidRDefault="008A01A1" w:rsidP="008A01A1">
      <w:pPr>
        <w:pStyle w:val="BT-EMEASMCA"/>
      </w:pPr>
      <w:r>
        <w:t>Neišmeskite šio lapelio, nes vėl gali prireikti jį perskaityti.</w:t>
      </w:r>
    </w:p>
    <w:p w:rsidR="008A01A1" w:rsidRDefault="008A01A1" w:rsidP="008A01A1">
      <w:pPr>
        <w:pStyle w:val="BT-EMEASMCA"/>
      </w:pPr>
      <w:r>
        <w:t>Jeigu kiltų daugiau klausimų, kreipkitės į gydytoją arba vaistininką.</w:t>
      </w:r>
    </w:p>
    <w:p w:rsidR="008A01A1" w:rsidRDefault="008A01A1" w:rsidP="008A01A1">
      <w:pPr>
        <w:pStyle w:val="BT-EMEASMCA"/>
      </w:pPr>
      <w:r>
        <w:t>Šis vaistas skirtas tik Jums, todėl kitiems žmonėms jo duoti negalima. Vaistas gali jiems pakenkti (net tiems, kurių ligos požymiai yra tokie patys kaip Jūsų).</w:t>
      </w:r>
    </w:p>
    <w:p w:rsidR="008A01A1" w:rsidRDefault="008A01A1" w:rsidP="008A01A1">
      <w:pPr>
        <w:pStyle w:val="BT-EMEASMCA"/>
      </w:pPr>
      <w:r>
        <w:t>Jeigu pasireiškė šalutinis poveikis (net jeigu jis šiame lapelyje nenurodytas), kreipkitės į gydytoją arba vaistininką. Žr. 4 skyrių.</w:t>
      </w:r>
    </w:p>
    <w:p w:rsidR="008A01A1" w:rsidRDefault="008A01A1" w:rsidP="008A01A1">
      <w:pPr>
        <w:jc w:val="both"/>
        <w:rPr>
          <w:rFonts w:ascii="Times New Roman" w:hAnsi="Times New Roman"/>
          <w:color w:val="000000" w:themeColor="text1"/>
          <w:sz w:val="22"/>
          <w:szCs w:val="22"/>
        </w:rPr>
      </w:pPr>
    </w:p>
    <w:p w:rsidR="008A01A1" w:rsidRDefault="008A01A1" w:rsidP="008A01A1">
      <w:pPr>
        <w:jc w:val="both"/>
        <w:rPr>
          <w:rFonts w:ascii="Times New Roman" w:hAnsi="Times New Roman"/>
          <w:color w:val="000000" w:themeColor="text1"/>
          <w:sz w:val="22"/>
          <w:szCs w:val="22"/>
        </w:rPr>
      </w:pPr>
    </w:p>
    <w:p w:rsidR="008A01A1" w:rsidRDefault="008A01A1" w:rsidP="008A01A1">
      <w:pPr>
        <w:pStyle w:val="BTEMEASMCA"/>
        <w:rPr>
          <w:b/>
        </w:rPr>
      </w:pPr>
      <w:r>
        <w:rPr>
          <w:b/>
        </w:rPr>
        <w:t>Apie ką rašoma šiame lapelyje?</w:t>
      </w:r>
    </w:p>
    <w:p w:rsidR="008A01A1" w:rsidRDefault="008A01A1" w:rsidP="008A01A1">
      <w:pPr>
        <w:pStyle w:val="BTEMEASMCA"/>
      </w:pPr>
    </w:p>
    <w:p w:rsidR="008A01A1" w:rsidRDefault="008A01A1" w:rsidP="008A01A1">
      <w:pPr>
        <w:pStyle w:val="BTEMEASMCA"/>
      </w:pPr>
      <w:r>
        <w:t>1.</w:t>
      </w:r>
      <w:r>
        <w:tab/>
        <w:t xml:space="preserve">Kas yra </w:t>
      </w:r>
      <w:r>
        <w:rPr>
          <w:bCs/>
        </w:rPr>
        <w:t>Amiptifree</w:t>
      </w:r>
      <w:r>
        <w:t xml:space="preserve"> ir kam jis vartojamas</w:t>
      </w:r>
    </w:p>
    <w:p w:rsidR="008A01A1" w:rsidRDefault="008A01A1" w:rsidP="008A01A1">
      <w:pPr>
        <w:pStyle w:val="BTEMEASMCA"/>
      </w:pPr>
      <w:r>
        <w:t>2.</w:t>
      </w:r>
      <w:r>
        <w:tab/>
        <w:t xml:space="preserve">Kas žinotina prieš vartojant </w:t>
      </w:r>
      <w:r>
        <w:rPr>
          <w:bCs/>
        </w:rPr>
        <w:t>Amiptifree</w:t>
      </w:r>
    </w:p>
    <w:p w:rsidR="008A01A1" w:rsidRDefault="008A01A1" w:rsidP="008A01A1">
      <w:pPr>
        <w:pStyle w:val="BTEMEASMCA"/>
      </w:pPr>
      <w:r>
        <w:t>3.</w:t>
      </w:r>
      <w:r>
        <w:tab/>
        <w:t xml:space="preserve">Kaip vartoti </w:t>
      </w:r>
      <w:r>
        <w:rPr>
          <w:bCs/>
        </w:rPr>
        <w:t>Amiptifree</w:t>
      </w:r>
    </w:p>
    <w:p w:rsidR="008A01A1" w:rsidRDefault="008A01A1" w:rsidP="008A01A1">
      <w:pPr>
        <w:pStyle w:val="BTEMEASMCA"/>
      </w:pPr>
      <w:r>
        <w:t>4.</w:t>
      </w:r>
      <w:r>
        <w:tab/>
        <w:t>Galimas šalutinis poveikis</w:t>
      </w:r>
    </w:p>
    <w:p w:rsidR="008A01A1" w:rsidRDefault="008A01A1" w:rsidP="008A01A1">
      <w:pPr>
        <w:pStyle w:val="BTEMEASMCA"/>
      </w:pPr>
      <w:r>
        <w:t>5.</w:t>
      </w:r>
      <w:r>
        <w:tab/>
        <w:t xml:space="preserve">Kaip laikyti </w:t>
      </w:r>
      <w:r>
        <w:rPr>
          <w:bCs/>
        </w:rPr>
        <w:t>Amiptifree</w:t>
      </w:r>
    </w:p>
    <w:p w:rsidR="008A01A1" w:rsidRDefault="008A01A1" w:rsidP="008A01A1">
      <w:pPr>
        <w:pStyle w:val="BTEMEASMCA"/>
        <w:rPr>
          <w:color w:val="000000" w:themeColor="text1"/>
        </w:rPr>
      </w:pPr>
      <w:r>
        <w:rPr>
          <w:color w:val="000000" w:themeColor="text1"/>
        </w:rPr>
        <w:t>6.</w:t>
      </w:r>
      <w:r>
        <w:rPr>
          <w:color w:val="000000" w:themeColor="text1"/>
        </w:rPr>
        <w:tab/>
      </w:r>
      <w:r>
        <w:t>Pakuotės turinys ir kita informacija</w:t>
      </w:r>
    </w:p>
    <w:p w:rsidR="008A01A1" w:rsidRDefault="008A01A1" w:rsidP="008A01A1">
      <w:pPr>
        <w:rPr>
          <w:rFonts w:ascii="Times New Roman" w:hAnsi="Times New Roman"/>
          <w:color w:val="000000" w:themeColor="text1"/>
          <w:sz w:val="22"/>
          <w:szCs w:val="22"/>
        </w:rPr>
      </w:pPr>
    </w:p>
    <w:p w:rsidR="008A01A1" w:rsidRDefault="008A01A1" w:rsidP="008A01A1">
      <w:pPr>
        <w:jc w:val="both"/>
        <w:rPr>
          <w:rFonts w:ascii="Times New Roman" w:hAnsi="Times New Roman"/>
          <w:color w:val="000000" w:themeColor="text1"/>
          <w:sz w:val="22"/>
          <w:szCs w:val="22"/>
        </w:rPr>
      </w:pPr>
    </w:p>
    <w:p w:rsidR="008A01A1" w:rsidRDefault="008A01A1" w:rsidP="008A01A1">
      <w:pPr>
        <w:pStyle w:val="PI-1EMEASMCA"/>
        <w:rPr>
          <w:color w:val="000000" w:themeColor="text1"/>
        </w:rPr>
      </w:pPr>
      <w:bookmarkStart w:id="0" w:name="_Toc129243264"/>
      <w:bookmarkStart w:id="1" w:name="_Toc129243139"/>
      <w:r>
        <w:rPr>
          <w:color w:val="000000" w:themeColor="text1"/>
        </w:rPr>
        <w:t>1.</w:t>
      </w:r>
      <w:r>
        <w:rPr>
          <w:color w:val="000000" w:themeColor="text1"/>
        </w:rPr>
        <w:tab/>
        <w:t>Kas yra Amiptifree ir kam jis vartojamas</w:t>
      </w:r>
      <w:bookmarkEnd w:id="0"/>
      <w:bookmarkEnd w:id="1"/>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Amiptifree yra oftalmologinis sterilių lašų formos vaistas, be konservantų, kurio sudėtyje yra dvi veikliosios medžiagos: dorzolamidas ir timololis.</w:t>
      </w:r>
    </w:p>
    <w:p w:rsidR="008A01A1" w:rsidRDefault="008A01A1" w:rsidP="008A01A1">
      <w:pPr>
        <w:pStyle w:val="BT-EMEASMCA"/>
      </w:pPr>
      <w:r>
        <w:t>Dorzolamidas priklauso vaistų grupei, vadinamai "karboanhidrazės inhibitoriai".</w:t>
      </w:r>
    </w:p>
    <w:p w:rsidR="008A01A1" w:rsidRDefault="008A01A1" w:rsidP="008A01A1">
      <w:pPr>
        <w:pStyle w:val="BT-EMEASMCA"/>
      </w:pPr>
      <w:r>
        <w:t>Timololis priklauso vaistų grupei, vadinamai "beta adrenoreceptorius blokuojančios medžiagos".</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Kartu šie vaistai skirtingu būdu mažina padidėjusį akispūdį.</w:t>
      </w:r>
    </w:p>
    <w:p w:rsidR="008A01A1" w:rsidRDefault="008A01A1" w:rsidP="008A01A1">
      <w:pPr>
        <w:rPr>
          <w:rFonts w:ascii="Times New Roman" w:hAnsi="Times New Roman"/>
          <w:color w:val="000000" w:themeColor="text1"/>
          <w:sz w:val="22"/>
          <w:szCs w:val="22"/>
        </w:rPr>
      </w:pPr>
    </w:p>
    <w:p w:rsidR="008A01A1" w:rsidRDefault="008A01A1" w:rsidP="008A01A1">
      <w:pPr>
        <w:pStyle w:val="Pagrindinistekstas"/>
        <w:spacing w:after="0"/>
        <w:rPr>
          <w:bCs/>
          <w:color w:val="000000" w:themeColor="text1"/>
          <w:szCs w:val="22"/>
        </w:rPr>
      </w:pPr>
      <w:r>
        <w:rPr>
          <w:color w:val="000000" w:themeColor="text1"/>
          <w:szCs w:val="22"/>
        </w:rPr>
        <w:t xml:space="preserve">Amiptifree yra skiriamas </w:t>
      </w:r>
      <w:r>
        <w:rPr>
          <w:bCs/>
          <w:color w:val="000000" w:themeColor="text1"/>
          <w:szCs w:val="22"/>
        </w:rPr>
        <w:t>padidėjusiam akispūdžiui mažinti gydant glaukomą, jeigu vartojamų vienų beta adrenoreceptorių blokatorių akių lašų poveikis yra nepakankamas.</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color w:val="000000" w:themeColor="text1"/>
          <w:sz w:val="22"/>
          <w:szCs w:val="22"/>
        </w:rPr>
      </w:pPr>
    </w:p>
    <w:p w:rsidR="008A01A1" w:rsidRDefault="008A01A1" w:rsidP="008A01A1">
      <w:pPr>
        <w:pStyle w:val="Antrat2"/>
        <w:tabs>
          <w:tab w:val="left" w:pos="567"/>
        </w:tabs>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ab/>
        <w:t>Kas žinotina prieš vartojant Amiptifree</w:t>
      </w:r>
    </w:p>
    <w:p w:rsidR="008A01A1" w:rsidRDefault="008A01A1" w:rsidP="008A01A1">
      <w:pPr>
        <w:pStyle w:val="Pagrindinistekstas"/>
        <w:spacing w:after="0"/>
        <w:rPr>
          <w:color w:val="000000" w:themeColor="text1"/>
          <w:szCs w:val="22"/>
        </w:rPr>
      </w:pPr>
    </w:p>
    <w:p w:rsidR="008A01A1" w:rsidRDefault="008A01A1" w:rsidP="008A01A1">
      <w:pPr>
        <w:pStyle w:val="Antrat3"/>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Amiptifree vartoti negalima:</w:t>
      </w:r>
    </w:p>
    <w:p w:rsidR="008A01A1" w:rsidRDefault="008A01A1" w:rsidP="008A01A1">
      <w:pPr>
        <w:numPr>
          <w:ilvl w:val="0"/>
          <w:numId w:val="2"/>
        </w:numPr>
        <w:tabs>
          <w:tab w:val="clear" w:pos="397"/>
          <w:tab w:val="num" w:pos="540"/>
        </w:tabs>
        <w:ind w:left="540" w:hanging="540"/>
        <w:rPr>
          <w:rFonts w:ascii="Times New Roman" w:hAnsi="Times New Roman"/>
          <w:color w:val="000000" w:themeColor="text1"/>
          <w:sz w:val="22"/>
          <w:szCs w:val="22"/>
        </w:rPr>
      </w:pPr>
      <w:r>
        <w:rPr>
          <w:rFonts w:ascii="Times New Roman" w:hAnsi="Times New Roman"/>
          <w:color w:val="000000" w:themeColor="text1"/>
          <w:sz w:val="22"/>
          <w:szCs w:val="22"/>
        </w:rPr>
        <w:t xml:space="preserve">jeigu yra alergija dorzolamido hidrochloridui, timololio maleatui ar bet kuriai pagalbinei šio vaisto medžiagai (jos išvardytos 6 skyriuje); </w:t>
      </w:r>
    </w:p>
    <w:p w:rsidR="008A01A1" w:rsidRDefault="008A01A1" w:rsidP="008A01A1">
      <w:pPr>
        <w:numPr>
          <w:ilvl w:val="0"/>
          <w:numId w:val="2"/>
        </w:numPr>
        <w:tabs>
          <w:tab w:val="clear" w:pos="397"/>
          <w:tab w:val="num" w:pos="540"/>
        </w:tabs>
        <w:ind w:left="540" w:hanging="540"/>
        <w:rPr>
          <w:rFonts w:ascii="Times New Roman" w:hAnsi="Times New Roman"/>
          <w:color w:val="000000" w:themeColor="text1"/>
          <w:sz w:val="22"/>
          <w:szCs w:val="22"/>
        </w:rPr>
      </w:pPr>
      <w:r>
        <w:rPr>
          <w:rFonts w:ascii="Times New Roman" w:hAnsi="Times New Roman"/>
          <w:color w:val="000000" w:themeColor="text1"/>
          <w:sz w:val="22"/>
          <w:szCs w:val="22"/>
        </w:rPr>
        <w:t>jeigu dabar sergate arba kada nors anksčiau esate sirgęs tokia kvėpavimo organų liga kaip astma, sunkiu lėtiniu obstrukciniu bronchitu (sunkia plaučių liga, kuri gali sukelti švokštimą, kvėpavimo pasunkėjimą ir/arba ilgalaikį kosulį);</w:t>
      </w:r>
    </w:p>
    <w:p w:rsidR="008A01A1" w:rsidRDefault="008A01A1" w:rsidP="008A01A1">
      <w:pPr>
        <w:numPr>
          <w:ilvl w:val="0"/>
          <w:numId w:val="2"/>
        </w:numPr>
        <w:tabs>
          <w:tab w:val="clear" w:pos="397"/>
          <w:tab w:val="num" w:pos="540"/>
        </w:tabs>
        <w:ind w:left="540" w:hanging="540"/>
        <w:rPr>
          <w:rFonts w:ascii="Times New Roman" w:hAnsi="Times New Roman"/>
          <w:color w:val="000000" w:themeColor="text1"/>
          <w:sz w:val="22"/>
          <w:szCs w:val="22"/>
        </w:rPr>
      </w:pPr>
      <w:r>
        <w:rPr>
          <w:rFonts w:ascii="Times New Roman" w:hAnsi="Times New Roman"/>
          <w:sz w:val="22"/>
          <w:szCs w:val="22"/>
        </w:rPr>
        <w:t>jeigu Jus vargina tam tikri širdies sutrikimai, įskaitant kai kuriuos širdies ritmo sutrikimus, sukeliančius nenormaliai retą širdies plakimą ar sunkų širdies nepakankamumą;</w:t>
      </w:r>
    </w:p>
    <w:p w:rsidR="008A01A1" w:rsidRDefault="008A01A1" w:rsidP="008A01A1">
      <w:pPr>
        <w:numPr>
          <w:ilvl w:val="0"/>
          <w:numId w:val="2"/>
        </w:numPr>
        <w:tabs>
          <w:tab w:val="clear" w:pos="397"/>
          <w:tab w:val="num" w:pos="540"/>
        </w:tabs>
        <w:ind w:left="540" w:hanging="540"/>
        <w:rPr>
          <w:rFonts w:ascii="Times New Roman" w:hAnsi="Times New Roman"/>
          <w:color w:val="000000" w:themeColor="text1"/>
          <w:sz w:val="22"/>
          <w:szCs w:val="22"/>
        </w:rPr>
      </w:pPr>
      <w:r>
        <w:rPr>
          <w:rFonts w:ascii="Times New Roman" w:hAnsi="Times New Roman"/>
          <w:color w:val="000000" w:themeColor="text1"/>
          <w:sz w:val="22"/>
          <w:szCs w:val="22"/>
        </w:rPr>
        <w:t>jeigu yra sunkių inkstų problemų arba anksčiau sirgote inkstų akmenlige;</w:t>
      </w:r>
    </w:p>
    <w:p w:rsidR="008A01A1" w:rsidRDefault="008A01A1" w:rsidP="008A01A1">
      <w:pPr>
        <w:numPr>
          <w:ilvl w:val="0"/>
          <w:numId w:val="2"/>
        </w:numPr>
        <w:tabs>
          <w:tab w:val="clear" w:pos="397"/>
          <w:tab w:val="num" w:pos="540"/>
        </w:tabs>
        <w:ind w:left="540" w:hanging="540"/>
        <w:rPr>
          <w:rFonts w:ascii="Times New Roman" w:hAnsi="Times New Roman"/>
          <w:color w:val="000000" w:themeColor="text1"/>
          <w:sz w:val="22"/>
          <w:szCs w:val="22"/>
        </w:rPr>
      </w:pPr>
      <w:r>
        <w:rPr>
          <w:rFonts w:ascii="Times New Roman" w:hAnsi="Times New Roman"/>
          <w:color w:val="000000" w:themeColor="text1"/>
          <w:sz w:val="22"/>
          <w:szCs w:val="22"/>
        </w:rPr>
        <w:t>jeigu Jūsų kraujyje padidėjęs rūgščių kiekis dėl padidėjusio chloridų susidarymo (hiperchloreminė acidozė).</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lastRenderedPageBreak/>
        <w:t xml:space="preserve">Jeigu abejojate, ar jums tinka vartoti Amiptifree, pasitarkite su gydytoju arba vaistininku. </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b/>
          <w:bCs/>
          <w:color w:val="000000" w:themeColor="text1"/>
          <w:sz w:val="22"/>
          <w:szCs w:val="22"/>
        </w:rPr>
      </w:pPr>
      <w:r>
        <w:rPr>
          <w:rFonts w:ascii="Times New Roman" w:hAnsi="Times New Roman"/>
          <w:b/>
          <w:bCs/>
          <w:color w:val="000000" w:themeColor="text1"/>
          <w:sz w:val="22"/>
          <w:szCs w:val="22"/>
        </w:rPr>
        <w:t>Įspėjimai ir atsargumo priemonės</w:t>
      </w:r>
    </w:p>
    <w:p w:rsidR="008A01A1" w:rsidRDefault="008A01A1" w:rsidP="008A01A1">
      <w:pPr>
        <w:rPr>
          <w:rFonts w:ascii="Times New Roman" w:hAnsi="Times New Roman"/>
          <w:color w:val="000000" w:themeColor="text1"/>
          <w:sz w:val="22"/>
          <w:szCs w:val="22"/>
        </w:rPr>
      </w:pPr>
      <w:r>
        <w:rPr>
          <w:rFonts w:ascii="Times New Roman" w:hAnsi="Times New Roman"/>
          <w:noProof/>
          <w:sz w:val="22"/>
          <w:szCs w:val="22"/>
        </w:rPr>
        <w:t xml:space="preserve">Pasitarkite su gydytoju arba vaistininku, prieš pradėdami vartoti </w:t>
      </w:r>
      <w:r>
        <w:rPr>
          <w:rFonts w:ascii="Times New Roman" w:hAnsi="Times New Roman"/>
          <w:color w:val="000000" w:themeColor="text1"/>
          <w:sz w:val="22"/>
          <w:szCs w:val="22"/>
        </w:rPr>
        <w:t>Amiptifree.</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Prieš pradėdami vartoti Amiptifree, įspėkite savo gydytoją apie medicinines arba akių problemas, kurias turite arba kurių yra buvę anksčiau, ypač jeigu yra:</w:t>
      </w:r>
    </w:p>
    <w:p w:rsidR="008A01A1" w:rsidRDefault="008A01A1" w:rsidP="008A01A1">
      <w:pPr>
        <w:pStyle w:val="Sraopastraipa1"/>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plaučių ir kvėpavimo problemos, astma arba lėtinė obstrukcinė plaučių liga;</w:t>
      </w:r>
    </w:p>
    <w:p w:rsidR="008A01A1" w:rsidRDefault="008A01A1" w:rsidP="008A01A1">
      <w:pPr>
        <w:pStyle w:val="Sraopastraipa1"/>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širdies problemos ir koronarinė širdies liga (simptomai gali būti krūtinės skausmas arba tempimas, dusulys arba smaugimo jausmas), širdies nepakankamumas, žemas kraujospūdis;</w:t>
      </w:r>
    </w:p>
    <w:p w:rsidR="008A01A1" w:rsidRDefault="008A01A1" w:rsidP="008A01A1">
      <w:pPr>
        <w:pStyle w:val="Sraopastraipa1"/>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širdies ritmo sutrikimai, tokie kaip retas širdies plakimas;</w:t>
      </w:r>
    </w:p>
    <w:p w:rsidR="008A01A1" w:rsidRDefault="008A01A1" w:rsidP="008A01A1">
      <w:pPr>
        <w:pStyle w:val="Sraopastraipa1"/>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kraujotakos problemos (tokios kaip Raynaud liga arba Raynaud sindromas);</w:t>
      </w:r>
    </w:p>
    <w:p w:rsidR="008A01A1" w:rsidRDefault="008A01A1" w:rsidP="008A01A1">
      <w:pPr>
        <w:pStyle w:val="Sraopastraipa1"/>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diabetas, kadangi timololis gali užmaskuoti sumažėjusio cukraus kiekio kraujyje požymius ir simptomus (hipoglikemiją);</w:t>
      </w:r>
    </w:p>
    <w:p w:rsidR="008A01A1" w:rsidRDefault="008A01A1" w:rsidP="008A01A1">
      <w:pPr>
        <w:pStyle w:val="Sraopastraipa1"/>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skydliaukės problemos, kadangi timololis gali maskuoti padidėjusio skydliaukės aktyvumo požymius ir simptomus;</w:t>
      </w:r>
    </w:p>
    <w:p w:rsidR="008A01A1" w:rsidRDefault="008A01A1" w:rsidP="008A01A1">
      <w:pPr>
        <w:pStyle w:val="Sraopastraipa1"/>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kepenų problemos;</w:t>
      </w:r>
    </w:p>
    <w:p w:rsidR="008A01A1" w:rsidRDefault="008A01A1" w:rsidP="008A01A1">
      <w:pPr>
        <w:pStyle w:val="Sraopastraipa1"/>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bet kokios alergijos ar alerginės reakcijos, įskaitant bėrimą, veido, lūpų, liežuvio ir/arba gerklės patinimą, dėl ko gali pasunkėti kvėpavimas arba rijimas;</w:t>
      </w:r>
    </w:p>
    <w:p w:rsidR="008A01A1" w:rsidRDefault="008A01A1" w:rsidP="008A01A1">
      <w:pPr>
        <w:pStyle w:val="Sraopastraipa1"/>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raumenų silpnumas arba nustatyta generalizuota miastenija.</w:t>
      </w:r>
    </w:p>
    <w:p w:rsidR="008A01A1" w:rsidRDefault="008A01A1" w:rsidP="008A01A1">
      <w:pPr>
        <w:pStyle w:val="Sraopastraipa1"/>
        <w:ind w:left="0"/>
        <w:rPr>
          <w:rFonts w:ascii="Times New Roman" w:hAnsi="Times New Roman"/>
          <w:color w:val="000000" w:themeColor="text1"/>
          <w:sz w:val="22"/>
          <w:szCs w:val="22"/>
        </w:rPr>
      </w:pPr>
    </w:p>
    <w:p w:rsidR="008A01A1" w:rsidRDefault="008A01A1" w:rsidP="008A01A1">
      <w:pPr>
        <w:pStyle w:val="Sraopastraipa1"/>
        <w:ind w:left="0"/>
        <w:rPr>
          <w:rFonts w:ascii="Times New Roman" w:hAnsi="Times New Roman"/>
          <w:color w:val="000000" w:themeColor="text1"/>
          <w:sz w:val="22"/>
          <w:szCs w:val="22"/>
        </w:rPr>
      </w:pPr>
      <w:r>
        <w:rPr>
          <w:rFonts w:ascii="Times New Roman" w:hAnsi="Times New Roman"/>
          <w:color w:val="000000" w:themeColor="text1"/>
          <w:sz w:val="22"/>
          <w:szCs w:val="22"/>
        </w:rPr>
        <w:t xml:space="preserve">Jei Jums pasireiškė bet kuris iš žemiau nurodytų atvejų, </w:t>
      </w:r>
      <w:r>
        <w:rPr>
          <w:rFonts w:ascii="Times New Roman" w:hAnsi="Times New Roman"/>
          <w:b/>
          <w:color w:val="000000" w:themeColor="text1"/>
          <w:sz w:val="22"/>
          <w:szCs w:val="22"/>
        </w:rPr>
        <w:t xml:space="preserve">nustokite naudoti </w:t>
      </w:r>
      <w:r>
        <w:rPr>
          <w:rFonts w:ascii="Times New Roman" w:hAnsi="Times New Roman"/>
          <w:color w:val="000000" w:themeColor="text1"/>
          <w:sz w:val="22"/>
          <w:szCs w:val="22"/>
        </w:rPr>
        <w:t>akių lašus ir kreipkitės nedelsiant į savo gydytoją:</w:t>
      </w:r>
    </w:p>
    <w:p w:rsidR="008A01A1" w:rsidRDefault="008A01A1" w:rsidP="008A01A1">
      <w:pPr>
        <w:pStyle w:val="Sraopastraipa"/>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jei Jums atsirado kokių nors akių dirginimo požymių, paraudo akys, patino vokai, nedelsiant kreipkitės į gydytoją;</w:t>
      </w:r>
    </w:p>
    <w:p w:rsidR="008A01A1" w:rsidRDefault="008A01A1" w:rsidP="008A01A1">
      <w:pPr>
        <w:pStyle w:val="BT-EMEASMCA"/>
        <w:numPr>
          <w:ilvl w:val="0"/>
          <w:numId w:val="2"/>
        </w:numPr>
      </w:pPr>
      <w:r>
        <w:t>jei pasireiškė alerginės reakcijos simptomai. Žr. 4 skyrių „Galimas šalutinis poveikis“ (pvz., odos išbėrimas, paraudimas arba akių niežulys).</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bCs/>
          <w:color w:val="000000" w:themeColor="text1"/>
          <w:sz w:val="22"/>
          <w:szCs w:val="22"/>
        </w:rPr>
      </w:pPr>
      <w:r>
        <w:rPr>
          <w:rFonts w:ascii="Times New Roman" w:hAnsi="Times New Roman"/>
          <w:color w:val="000000" w:themeColor="text1"/>
          <w:sz w:val="22"/>
          <w:szCs w:val="22"/>
        </w:rPr>
        <w:t xml:space="preserve">Pasakykite gydytojui, jeigu Jūs </w:t>
      </w:r>
      <w:r>
        <w:rPr>
          <w:rFonts w:ascii="Times New Roman" w:hAnsi="Times New Roman"/>
          <w:bCs/>
          <w:color w:val="000000" w:themeColor="text1"/>
          <w:sz w:val="22"/>
          <w:szCs w:val="22"/>
        </w:rPr>
        <w:t>pažeidėte akį ar jums bus daroma akių operacija, kadangi timololis gali pakeisti kai kurių vaistų, vartojamų anestezijos metu, poveikį.</w:t>
      </w:r>
    </w:p>
    <w:p w:rsidR="008A01A1" w:rsidRDefault="008A01A1" w:rsidP="008A01A1">
      <w:pPr>
        <w:rPr>
          <w:rFonts w:ascii="Times New Roman" w:hAnsi="Times New Roman"/>
          <w:bCs/>
          <w:color w:val="000000" w:themeColor="text1"/>
          <w:sz w:val="22"/>
          <w:szCs w:val="22"/>
        </w:rPr>
      </w:pPr>
    </w:p>
    <w:p w:rsidR="008A01A1" w:rsidRDefault="008A01A1" w:rsidP="008A01A1">
      <w:pPr>
        <w:rPr>
          <w:rFonts w:ascii="Times New Roman" w:hAnsi="Times New Roman"/>
          <w:bCs/>
          <w:color w:val="000000" w:themeColor="text1"/>
          <w:sz w:val="22"/>
          <w:szCs w:val="22"/>
        </w:rPr>
      </w:pPr>
      <w:r>
        <w:rPr>
          <w:rFonts w:ascii="Times New Roman" w:hAnsi="Times New Roman"/>
          <w:bCs/>
          <w:color w:val="000000" w:themeColor="text1"/>
          <w:sz w:val="22"/>
          <w:szCs w:val="22"/>
        </w:rPr>
        <w:t xml:space="preserve">Kai </w:t>
      </w:r>
      <w:r>
        <w:rPr>
          <w:rFonts w:ascii="Times New Roman" w:hAnsi="Times New Roman"/>
          <w:color w:val="000000" w:themeColor="text1"/>
          <w:sz w:val="22"/>
          <w:szCs w:val="22"/>
        </w:rPr>
        <w:t>Amiptifree</w:t>
      </w:r>
      <w:r>
        <w:rPr>
          <w:rFonts w:ascii="Times New Roman" w:hAnsi="Times New Roman"/>
          <w:bCs/>
          <w:color w:val="000000" w:themeColor="text1"/>
          <w:sz w:val="22"/>
          <w:szCs w:val="22"/>
        </w:rPr>
        <w:t xml:space="preserve"> lašinama ant akių, jis gali paveikti visą organizmą.</w:t>
      </w:r>
    </w:p>
    <w:p w:rsidR="008A01A1" w:rsidRDefault="008A01A1" w:rsidP="008A01A1">
      <w:pPr>
        <w:rPr>
          <w:rFonts w:ascii="Times New Roman" w:hAnsi="Times New Roman"/>
          <w:bCs/>
          <w:color w:val="000000" w:themeColor="text1"/>
          <w:sz w:val="22"/>
          <w:szCs w:val="22"/>
        </w:rPr>
      </w:pPr>
    </w:p>
    <w:p w:rsidR="008A01A1" w:rsidRDefault="008A01A1" w:rsidP="008A01A1">
      <w:pPr>
        <w:rPr>
          <w:rFonts w:ascii="Times New Roman" w:hAnsi="Times New Roman"/>
          <w:bCs/>
          <w:color w:val="000000" w:themeColor="text1"/>
          <w:sz w:val="22"/>
          <w:szCs w:val="22"/>
        </w:rPr>
      </w:pPr>
      <w:r>
        <w:rPr>
          <w:rFonts w:ascii="Times New Roman" w:hAnsi="Times New Roman"/>
          <w:bCs/>
          <w:sz w:val="22"/>
          <w:szCs w:val="22"/>
        </w:rPr>
        <w:t xml:space="preserve">Amiptifree poveikis pacientams nešiojantiems kontaktinius lęšius netirtas. Jeigu Jūs nešiojate minkštus kontaktinius lęšius, turėtumėte pasitarti su savo gydytoju prieš pradedant vartoti </w:t>
      </w:r>
      <w:r>
        <w:rPr>
          <w:rFonts w:ascii="Times New Roman" w:hAnsi="Times New Roman"/>
          <w:color w:val="000000" w:themeColor="text1"/>
          <w:sz w:val="22"/>
          <w:szCs w:val="22"/>
        </w:rPr>
        <w:t>Amiptifree</w:t>
      </w:r>
      <w:r>
        <w:rPr>
          <w:rFonts w:ascii="Times New Roman" w:hAnsi="Times New Roman"/>
          <w:bCs/>
          <w:sz w:val="22"/>
          <w:szCs w:val="22"/>
        </w:rPr>
        <w:t>. P</w:t>
      </w:r>
      <w:r>
        <w:rPr>
          <w:rFonts w:ascii="Times New Roman" w:hAnsi="Times New Roman"/>
          <w:sz w:val="22"/>
          <w:szCs w:val="22"/>
        </w:rPr>
        <w:t>rieš lašinant vaistinį preparatą, kontaktinius lęšius turite išimti ir įsidėti atgal po vaisto įlašinimo praėjus ne mažiau kaip 15 minučių.</w:t>
      </w:r>
    </w:p>
    <w:p w:rsidR="008A01A1" w:rsidRDefault="008A01A1" w:rsidP="008A01A1">
      <w:pPr>
        <w:rPr>
          <w:rFonts w:ascii="Times New Roman" w:hAnsi="Times New Roman"/>
          <w:bCs/>
          <w:color w:val="000000" w:themeColor="text1"/>
          <w:sz w:val="22"/>
          <w:szCs w:val="22"/>
        </w:rPr>
      </w:pPr>
    </w:p>
    <w:p w:rsidR="008A01A1" w:rsidRDefault="008A01A1" w:rsidP="008A01A1">
      <w:pPr>
        <w:rPr>
          <w:rFonts w:ascii="Times New Roman" w:hAnsi="Times New Roman"/>
          <w:bCs/>
          <w:color w:val="000000" w:themeColor="text1"/>
          <w:sz w:val="22"/>
          <w:szCs w:val="22"/>
          <w:u w:val="single"/>
        </w:rPr>
      </w:pPr>
      <w:r>
        <w:rPr>
          <w:rFonts w:ascii="Times New Roman" w:hAnsi="Times New Roman"/>
          <w:bCs/>
          <w:color w:val="000000" w:themeColor="text1"/>
          <w:sz w:val="22"/>
          <w:szCs w:val="22"/>
          <w:u w:val="single"/>
        </w:rPr>
        <w:t>Vartojimas vaikams</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Dorzolamido hidrochlorido ir timololio maleato vartojimo kūdikiams ir vaikams patirtis yra ribota.</w:t>
      </w:r>
    </w:p>
    <w:p w:rsidR="008A01A1" w:rsidRDefault="008A01A1" w:rsidP="008A01A1">
      <w:pPr>
        <w:rPr>
          <w:rFonts w:ascii="Times New Roman" w:hAnsi="Times New Roman"/>
          <w:bCs/>
          <w:color w:val="000000" w:themeColor="text1"/>
          <w:sz w:val="22"/>
          <w:szCs w:val="22"/>
        </w:rPr>
      </w:pPr>
    </w:p>
    <w:p w:rsidR="008A01A1" w:rsidRDefault="008A01A1" w:rsidP="008A01A1">
      <w:pPr>
        <w:pStyle w:val="Pagrindinistekstas"/>
        <w:spacing w:after="0"/>
        <w:rPr>
          <w:color w:val="000000" w:themeColor="text1"/>
          <w:szCs w:val="22"/>
          <w:u w:val="single"/>
        </w:rPr>
      </w:pPr>
      <w:r>
        <w:rPr>
          <w:color w:val="000000" w:themeColor="text1"/>
          <w:szCs w:val="22"/>
          <w:u w:val="single"/>
        </w:rPr>
        <w:t>Vartojimas senyviems pacientams</w:t>
      </w:r>
    </w:p>
    <w:p w:rsidR="008A01A1" w:rsidRDefault="008A01A1" w:rsidP="008A01A1">
      <w:pPr>
        <w:pStyle w:val="Pagrindinistekstas"/>
        <w:spacing w:after="0"/>
        <w:rPr>
          <w:color w:val="000000" w:themeColor="text1"/>
          <w:szCs w:val="22"/>
        </w:rPr>
      </w:pPr>
      <w:r>
        <w:rPr>
          <w:color w:val="000000" w:themeColor="text1"/>
          <w:szCs w:val="22"/>
        </w:rPr>
        <w:t>Klinikinių dorzolamido hidrochlorido ir timololio maleato derinio be konservantų priedo tyrimų metu nustatyta, kad poveikis senyviems ir jauniems pacientams labai panašus.</w:t>
      </w:r>
    </w:p>
    <w:p w:rsidR="008A01A1" w:rsidRDefault="008A01A1" w:rsidP="008A01A1">
      <w:pPr>
        <w:rPr>
          <w:rFonts w:ascii="Times New Roman" w:hAnsi="Times New Roman"/>
          <w:bCs/>
          <w:color w:val="000000" w:themeColor="text1"/>
          <w:sz w:val="22"/>
          <w:szCs w:val="22"/>
        </w:rPr>
      </w:pPr>
    </w:p>
    <w:p w:rsidR="008A01A1" w:rsidRDefault="008A01A1" w:rsidP="008A01A1">
      <w:pPr>
        <w:rPr>
          <w:rFonts w:ascii="Times New Roman" w:hAnsi="Times New Roman"/>
          <w:b/>
          <w:bCs/>
          <w:color w:val="000000" w:themeColor="text1"/>
          <w:sz w:val="22"/>
          <w:szCs w:val="22"/>
        </w:rPr>
      </w:pPr>
      <w:r>
        <w:rPr>
          <w:rFonts w:ascii="Times New Roman" w:hAnsi="Times New Roman"/>
          <w:b/>
          <w:bCs/>
          <w:color w:val="000000" w:themeColor="text1"/>
          <w:sz w:val="22"/>
          <w:szCs w:val="22"/>
        </w:rPr>
        <w:t>Kiti vaistai ir Amiptifree</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Amiptifree gali daryti įtaką kitų vartojamų vaistų veikimui arba gali būti paveiktas kitų vartojamų vaistų.</w:t>
      </w:r>
    </w:p>
    <w:p w:rsidR="008A01A1" w:rsidRDefault="008A01A1" w:rsidP="008A01A1">
      <w:pPr>
        <w:rPr>
          <w:rFonts w:ascii="Times New Roman" w:hAnsi="Times New Roman"/>
          <w:bCs/>
          <w:color w:val="000000" w:themeColor="text1"/>
          <w:sz w:val="22"/>
          <w:szCs w:val="22"/>
        </w:rPr>
      </w:pPr>
      <w:r>
        <w:rPr>
          <w:rFonts w:ascii="Times New Roman" w:hAnsi="Times New Roman"/>
          <w:color w:val="000000" w:themeColor="text1"/>
          <w:sz w:val="22"/>
          <w:szCs w:val="22"/>
        </w:rPr>
        <w:t>Jeigu vartojate arba neseniai vartojote kitų vaistų, įskaitant akių lašus bei vaistus, įsigytus be recepto, pasakykite gydytojui arba vaistininkui. Tai ypač svarbu, jeigu jums tinka bet kuris iš šių atvejų:</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jūs vartojate kraujospūdį mažinančių vaistų arba vaistų nuo širdies ligų (tokių kaip kalcio kanalų blokatoriai, beta adrenoreceptorių blokatoriai arba digoksinas);</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lastRenderedPageBreak/>
        <w:t xml:space="preserve">vartojate vaistų sutrikusiam arba netolygiam širdies ritmui gydyti: kalcio kanalų blokatorius, beta adrenoreceptorių blokatorius arba digoksiną; </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 xml:space="preserve">vartojate monoaminooksidazės (MAO) inhibitorių depresijos gydymui; </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vartojate parasimpatomimetinių vaistų, kurių gali būti skirta jūsų šlapinimuisi palengvinti. Tam tikros grupės vaistai, kurie kartais vartojami normaliems žarnų judesiams atstatyti, taip pat yra parasimpatomimetiniai vaistai;</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vartojate narkotines medžiagas, tokias kaip morfinas, vidutinio arba stipraus skausmo gydymui;</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vartojate vaistus nuo cukrinio diabeto;</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vartojate vaistus depresijai gydyti, tokius kaip fluoksetinas arba paroksetinas;</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vartojate sulfonamidų;</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vartojate chinidiną (be širdies ligų gydymui jis taip pat gali būti vartojamas tam tikrų maliarijos rūšių gydymui);</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vartojate kitų akių lašų, kurių sudėtyje yra beta adrenoreceptorių blokatorių ar kitų karboanhidrazės inhibitorių, tokių kaip acetazolamidas.</w:t>
      </w:r>
    </w:p>
    <w:p w:rsidR="008A01A1" w:rsidRDefault="008A01A1" w:rsidP="008A01A1">
      <w:pPr>
        <w:pStyle w:val="Pagrindinistekstas"/>
        <w:spacing w:after="0"/>
        <w:rPr>
          <w:color w:val="000000" w:themeColor="text1"/>
          <w:szCs w:val="22"/>
        </w:rPr>
      </w:pPr>
    </w:p>
    <w:p w:rsidR="008A01A1" w:rsidRDefault="008A01A1" w:rsidP="008A01A1">
      <w:pPr>
        <w:pStyle w:val="Pagrindinistekstas"/>
        <w:spacing w:after="0"/>
        <w:rPr>
          <w:color w:val="000000" w:themeColor="text1"/>
          <w:szCs w:val="22"/>
        </w:rPr>
      </w:pPr>
      <w:r>
        <w:rPr>
          <w:color w:val="000000" w:themeColor="text1"/>
          <w:szCs w:val="22"/>
        </w:rPr>
        <w:t>Toliau išvardyti vaistai neturėtų būti vartojami kartu su</w:t>
      </w:r>
      <w:r>
        <w:rPr>
          <w:bCs/>
          <w:szCs w:val="22"/>
        </w:rPr>
        <w:t xml:space="preserve"> Amiptifree:</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kiti akių lašai, kurių sudėtyje yra dorzolamidas ar kitų karboanhidrazės inhibitorių, tokių kaip acetazolamidas;</w:t>
      </w:r>
    </w:p>
    <w:p w:rsidR="008A01A1" w:rsidRDefault="008A01A1" w:rsidP="008A01A1">
      <w:pPr>
        <w:pStyle w:val="Pagrindinistekstas"/>
        <w:numPr>
          <w:ilvl w:val="0"/>
          <w:numId w:val="3"/>
        </w:numPr>
        <w:spacing w:after="0"/>
        <w:rPr>
          <w:color w:val="000000" w:themeColor="text1"/>
          <w:szCs w:val="22"/>
        </w:rPr>
      </w:pPr>
      <w:r>
        <w:rPr>
          <w:color w:val="000000" w:themeColor="text1"/>
          <w:szCs w:val="22"/>
        </w:rPr>
        <w:t>kiti akių lašai, kurių sudėtyje yra beta adrenoreceptorių blokatorių.</w:t>
      </w:r>
    </w:p>
    <w:p w:rsidR="008A01A1" w:rsidRDefault="008A01A1" w:rsidP="008A01A1">
      <w:pPr>
        <w:pStyle w:val="Pagrindinistekstas"/>
        <w:spacing w:after="0"/>
        <w:rPr>
          <w:color w:val="000000" w:themeColor="text1"/>
          <w:szCs w:val="22"/>
        </w:rPr>
      </w:pPr>
    </w:p>
    <w:p w:rsidR="008A01A1" w:rsidRDefault="008A01A1" w:rsidP="008A01A1">
      <w:pPr>
        <w:pStyle w:val="Antrat3"/>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Nėštumas ir žindymo laikotarpis</w:t>
      </w:r>
    </w:p>
    <w:p w:rsidR="008A01A1" w:rsidRDefault="008A01A1" w:rsidP="008A01A1">
      <w:pPr>
        <w:pStyle w:val="Pagrindinistekstas"/>
        <w:spacing w:after="0"/>
        <w:rPr>
          <w:noProof/>
          <w:szCs w:val="22"/>
        </w:rPr>
      </w:pPr>
      <w:r>
        <w:rPr>
          <w:noProof/>
          <w:szCs w:val="22"/>
        </w:rPr>
        <w:t>Jeigu esate nėščia, žindote kūdikį, manote, kad galbūt esate nėščia, arba planuojate pastoti, tai prieš vartodama šį vaistą, pasitarkite su gydytoju arba vaistininku.</w:t>
      </w:r>
    </w:p>
    <w:p w:rsidR="008A01A1" w:rsidRDefault="008A01A1" w:rsidP="008A01A1">
      <w:pPr>
        <w:pStyle w:val="Pagrindinistekstas"/>
        <w:spacing w:after="0"/>
        <w:rPr>
          <w:i/>
          <w:color w:val="000000" w:themeColor="text1"/>
          <w:szCs w:val="22"/>
          <w:u w:val="single"/>
        </w:rPr>
      </w:pPr>
    </w:p>
    <w:p w:rsidR="008A01A1" w:rsidRDefault="008A01A1" w:rsidP="008A01A1">
      <w:pPr>
        <w:pStyle w:val="Pagrindinistekstas"/>
        <w:spacing w:after="0"/>
        <w:rPr>
          <w:color w:val="000000" w:themeColor="text1"/>
          <w:szCs w:val="22"/>
        </w:rPr>
      </w:pPr>
      <w:r>
        <w:rPr>
          <w:color w:val="000000" w:themeColor="text1"/>
          <w:szCs w:val="22"/>
        </w:rPr>
        <w:t>Nėštumas</w:t>
      </w:r>
    </w:p>
    <w:p w:rsidR="008A01A1" w:rsidRDefault="008A01A1" w:rsidP="008A01A1">
      <w:pPr>
        <w:pStyle w:val="Pagrindinistekstas"/>
        <w:spacing w:after="0"/>
        <w:rPr>
          <w:noProof/>
          <w:szCs w:val="22"/>
        </w:rPr>
      </w:pPr>
      <w:r>
        <w:rPr>
          <w:color w:val="000000" w:themeColor="text1"/>
          <w:szCs w:val="22"/>
        </w:rPr>
        <w:t xml:space="preserve">Nevartokite </w:t>
      </w:r>
      <w:r>
        <w:rPr>
          <w:bCs/>
          <w:szCs w:val="22"/>
        </w:rPr>
        <w:t>Amiptifree</w:t>
      </w:r>
      <w:r>
        <w:rPr>
          <w:color w:val="000000" w:themeColor="text1"/>
          <w:szCs w:val="22"/>
        </w:rPr>
        <w:t xml:space="preserve"> nėštumo metu. Pasakykite savo gydytojui, </w:t>
      </w:r>
      <w:r>
        <w:rPr>
          <w:noProof/>
          <w:szCs w:val="22"/>
        </w:rPr>
        <w:t>jeigu esate nėščia arba planuojate pastoti.</w:t>
      </w:r>
    </w:p>
    <w:p w:rsidR="008A01A1" w:rsidRDefault="008A01A1" w:rsidP="008A01A1">
      <w:pPr>
        <w:pStyle w:val="Pagrindinistekstas"/>
        <w:spacing w:after="0"/>
        <w:rPr>
          <w:i/>
          <w:color w:val="000000" w:themeColor="text1"/>
          <w:szCs w:val="22"/>
        </w:rPr>
      </w:pPr>
    </w:p>
    <w:p w:rsidR="008A01A1" w:rsidRDefault="008A01A1" w:rsidP="008A01A1">
      <w:pPr>
        <w:pStyle w:val="Pagrindinistekstas"/>
        <w:spacing w:after="0"/>
        <w:rPr>
          <w:color w:val="000000" w:themeColor="text1"/>
          <w:szCs w:val="22"/>
        </w:rPr>
      </w:pPr>
      <w:r>
        <w:rPr>
          <w:color w:val="000000" w:themeColor="text1"/>
          <w:szCs w:val="22"/>
        </w:rPr>
        <w:t>Žindymo laikotarpis</w:t>
      </w:r>
    </w:p>
    <w:p w:rsidR="008A01A1" w:rsidRDefault="008A01A1" w:rsidP="008A01A1">
      <w:pPr>
        <w:pStyle w:val="Pagrindinistekstas"/>
        <w:spacing w:after="0"/>
        <w:rPr>
          <w:noProof/>
          <w:szCs w:val="22"/>
        </w:rPr>
      </w:pPr>
      <w:r>
        <w:rPr>
          <w:color w:val="000000" w:themeColor="text1"/>
          <w:szCs w:val="22"/>
        </w:rPr>
        <w:t xml:space="preserve">Timololio gali patekti į motinos pieną. Jeigu gydymas </w:t>
      </w:r>
      <w:r>
        <w:rPr>
          <w:bCs/>
          <w:szCs w:val="22"/>
        </w:rPr>
        <w:t>Amiptifree</w:t>
      </w:r>
      <w:r>
        <w:rPr>
          <w:color w:val="000000" w:themeColor="text1"/>
          <w:szCs w:val="22"/>
        </w:rPr>
        <w:t xml:space="preserve"> reikalingas, žindymas nerekomenduojamas. Pasakykite savo gydytojui, </w:t>
      </w:r>
      <w:r>
        <w:rPr>
          <w:noProof/>
          <w:szCs w:val="22"/>
        </w:rPr>
        <w:t>jeigu žindote arba ketinate žindyti.</w:t>
      </w:r>
    </w:p>
    <w:p w:rsidR="008A01A1" w:rsidRDefault="008A01A1" w:rsidP="008A01A1">
      <w:pPr>
        <w:pStyle w:val="Pagrindinistekstas"/>
        <w:spacing w:after="0"/>
        <w:rPr>
          <w:noProof/>
          <w:szCs w:val="22"/>
        </w:rPr>
      </w:pPr>
    </w:p>
    <w:p w:rsidR="008A01A1" w:rsidRDefault="008A01A1" w:rsidP="008A01A1">
      <w:pPr>
        <w:pStyle w:val="Pagrindinistekstas"/>
        <w:spacing w:after="0"/>
        <w:rPr>
          <w:b/>
          <w:color w:val="000000" w:themeColor="text1"/>
          <w:szCs w:val="22"/>
        </w:rPr>
      </w:pPr>
      <w:r>
        <w:rPr>
          <w:b/>
          <w:color w:val="000000" w:themeColor="text1"/>
          <w:szCs w:val="22"/>
        </w:rPr>
        <w:t>Vairavimas ir mechanizmų valdymas</w:t>
      </w:r>
    </w:p>
    <w:p w:rsidR="008A01A1" w:rsidRDefault="008A01A1" w:rsidP="008A01A1">
      <w:pPr>
        <w:pStyle w:val="BTEMEASMCA"/>
        <w:rPr>
          <w:bCs/>
        </w:rPr>
      </w:pPr>
      <w:r>
        <w:t xml:space="preserve">Poveikio gebėjimui vairuoti ir valdyti mechanizmus tyrimų neatlikta. Vartojant </w:t>
      </w:r>
      <w:r>
        <w:rPr>
          <w:bCs/>
        </w:rPr>
        <w:t>Amiptifree</w:t>
      </w:r>
      <w:r>
        <w:t xml:space="preserve"> galimas šalutinis poveikis, toks kaip vaizdo ryškumo sumažėjimas, kuris gali paveikti jūsų gebėjimą vairuoti ir valdyti mechanizmus.</w:t>
      </w:r>
      <w:r>
        <w:rPr>
          <w:bCs/>
        </w:rPr>
        <w:t xml:space="preserve"> Nevairuokite ir nevaldykite mechanizmų tol, kol nepasijusite gerai arba regėjimas taps normalus.</w:t>
      </w:r>
    </w:p>
    <w:p w:rsidR="008A01A1" w:rsidRDefault="008A01A1" w:rsidP="008A01A1">
      <w:pPr>
        <w:pStyle w:val="Pagrindinistekstas"/>
        <w:spacing w:after="0"/>
        <w:rPr>
          <w:noProof/>
          <w:szCs w:val="22"/>
        </w:rPr>
      </w:pPr>
    </w:p>
    <w:p w:rsidR="008A01A1" w:rsidRDefault="008A01A1" w:rsidP="008A01A1">
      <w:pPr>
        <w:pStyle w:val="Pagrindinistekstas"/>
        <w:spacing w:after="0"/>
        <w:rPr>
          <w:noProof/>
          <w:szCs w:val="22"/>
        </w:rPr>
      </w:pPr>
    </w:p>
    <w:p w:rsidR="008A01A1" w:rsidRDefault="008A01A1" w:rsidP="008A01A1">
      <w:pPr>
        <w:pStyle w:val="Antrat2"/>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ab/>
        <w:t>Kaip vartoti Amiptifree</w:t>
      </w:r>
    </w:p>
    <w:p w:rsidR="008A01A1" w:rsidRDefault="008A01A1" w:rsidP="008A01A1">
      <w:pPr>
        <w:pStyle w:val="Pagrindinistekstas"/>
        <w:spacing w:after="0"/>
        <w:rPr>
          <w:noProof/>
          <w:szCs w:val="22"/>
        </w:rPr>
      </w:pPr>
    </w:p>
    <w:p w:rsidR="008A01A1" w:rsidRDefault="008A01A1" w:rsidP="008A01A1">
      <w:pPr>
        <w:pStyle w:val="Pagrindinistekstas"/>
        <w:spacing w:after="0"/>
        <w:rPr>
          <w:color w:val="000000" w:themeColor="text1"/>
          <w:szCs w:val="22"/>
        </w:rPr>
      </w:pPr>
      <w:r>
        <w:rPr>
          <w:color w:val="000000" w:themeColor="text1"/>
          <w:szCs w:val="22"/>
        </w:rPr>
        <w:t xml:space="preserve">Amiptifree visada vartokite tiksliai taip, kaip nurodė Jūsų gydytojas. Jeigu abejojate, kreipkitės į savo gydytoją arba vaistininką. </w:t>
      </w:r>
    </w:p>
    <w:p w:rsidR="008A01A1" w:rsidRDefault="008A01A1" w:rsidP="008A01A1">
      <w:pPr>
        <w:pStyle w:val="Pagrindinistekstas"/>
        <w:spacing w:after="0"/>
        <w:rPr>
          <w:noProof/>
          <w:szCs w:val="22"/>
        </w:rPr>
      </w:pPr>
    </w:p>
    <w:p w:rsidR="008A01A1" w:rsidRDefault="008A01A1" w:rsidP="008A01A1">
      <w:pPr>
        <w:tabs>
          <w:tab w:val="left" w:pos="567"/>
        </w:tabs>
        <w:rPr>
          <w:rFonts w:ascii="Times New Roman" w:hAnsi="Times New Roman"/>
          <w:color w:val="000000" w:themeColor="text1"/>
          <w:sz w:val="22"/>
          <w:szCs w:val="22"/>
        </w:rPr>
      </w:pPr>
      <w:r>
        <w:rPr>
          <w:rFonts w:ascii="Times New Roman" w:hAnsi="Times New Roman"/>
          <w:color w:val="000000" w:themeColor="text1"/>
          <w:sz w:val="22"/>
          <w:szCs w:val="22"/>
        </w:rPr>
        <w:t>Tinkamą dozę ir vartojimo trukmę nustatys Jūsų gydytojas.</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Įprasta dozė yra vienas lašas ant pažeistos akies (-is) iš ryto ir vakare.</w:t>
      </w:r>
    </w:p>
    <w:p w:rsidR="008A01A1" w:rsidRDefault="008A01A1" w:rsidP="008A01A1">
      <w:pPr>
        <w:pStyle w:val="Pagrindinistekstas"/>
        <w:spacing w:after="0"/>
        <w:rPr>
          <w:noProof/>
          <w:szCs w:val="22"/>
        </w:rPr>
      </w:pP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Jeigu Amiptifree vartojate kartu su kitais akių lašais, tarp skirtingų vaistų lašinimo turi būti ne trumpesnė kaip 10 minučių pertrauka.</w:t>
      </w:r>
      <w:r>
        <w:rPr>
          <w:rFonts w:ascii="Times New Roman" w:hAnsi="Times New Roman"/>
          <w:sz w:val="22"/>
          <w:szCs w:val="22"/>
        </w:rPr>
        <w:t xml:space="preserve"> Akių tepalai turi būti vartojami paskutiniai.</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 xml:space="preserve">Nekeiskite vaisto dozės, prieš tai nepasitarę su savo gydytoju. </w:t>
      </w:r>
    </w:p>
    <w:p w:rsidR="008A01A1" w:rsidRDefault="008A01A1" w:rsidP="008A01A1">
      <w:pPr>
        <w:pStyle w:val="Pagrindinistekstas"/>
        <w:spacing w:after="0"/>
        <w:rPr>
          <w:noProof/>
          <w:szCs w:val="22"/>
        </w:rPr>
      </w:pPr>
    </w:p>
    <w:p w:rsidR="008A01A1" w:rsidRDefault="008A01A1" w:rsidP="008A01A1">
      <w:pPr>
        <w:rPr>
          <w:rFonts w:ascii="Times New Roman" w:hAnsi="Times New Roman"/>
          <w:sz w:val="22"/>
          <w:szCs w:val="22"/>
        </w:rPr>
      </w:pPr>
      <w:r>
        <w:rPr>
          <w:rFonts w:ascii="Times New Roman" w:hAnsi="Times New Roman"/>
          <w:sz w:val="22"/>
          <w:szCs w:val="22"/>
        </w:rPr>
        <w:t xml:space="preserve">Amiptifree yra sterilus tirpalas, kuriame nėra konservantų. Žr. 6 skyrių - </w:t>
      </w:r>
      <w:r>
        <w:rPr>
          <w:rFonts w:ascii="Times New Roman" w:hAnsi="Times New Roman"/>
          <w:i/>
          <w:sz w:val="22"/>
          <w:szCs w:val="22"/>
        </w:rPr>
        <w:t>Amiptifree išvaizda ir kiekis pakuotėje</w:t>
      </w:r>
      <w:r>
        <w:rPr>
          <w:rFonts w:ascii="Times New Roman" w:hAnsi="Times New Roman"/>
          <w:sz w:val="22"/>
          <w:szCs w:val="22"/>
        </w:rPr>
        <w:t>.</w:t>
      </w:r>
    </w:p>
    <w:p w:rsidR="008A01A1" w:rsidRDefault="008A01A1" w:rsidP="008A01A1">
      <w:pPr>
        <w:rPr>
          <w:rFonts w:ascii="Times New Roman" w:hAnsi="Times New Roman"/>
          <w:i/>
          <w:sz w:val="22"/>
          <w:szCs w:val="22"/>
        </w:rPr>
      </w:pPr>
    </w:p>
    <w:p w:rsidR="008A01A1" w:rsidRDefault="008A01A1" w:rsidP="008A01A1">
      <w:pPr>
        <w:keepNext/>
        <w:rPr>
          <w:rFonts w:ascii="Times New Roman" w:hAnsi="Times New Roman"/>
          <w:sz w:val="22"/>
          <w:szCs w:val="22"/>
        </w:rPr>
      </w:pPr>
      <w:r>
        <w:rPr>
          <w:rFonts w:ascii="Times New Roman" w:hAnsi="Times New Roman"/>
          <w:i/>
          <w:sz w:val="22"/>
          <w:szCs w:val="22"/>
        </w:rPr>
        <w:t>Prieš įlašinant akių lašų</w:t>
      </w:r>
      <w:r>
        <w:rPr>
          <w:rFonts w:ascii="Times New Roman" w:hAnsi="Times New Roman"/>
          <w:sz w:val="22"/>
          <w:szCs w:val="22"/>
        </w:rPr>
        <w:t>:</w:t>
      </w:r>
    </w:p>
    <w:p w:rsidR="008A01A1" w:rsidRDefault="008A01A1" w:rsidP="008A01A1">
      <w:pPr>
        <w:keepNext/>
        <w:rPr>
          <w:rFonts w:ascii="Times New Roman" w:hAnsi="Times New Roman"/>
          <w:sz w:val="22"/>
          <w:szCs w:val="22"/>
        </w:rPr>
      </w:pPr>
      <w:r>
        <w:rPr>
          <w:rFonts w:ascii="Times New Roman" w:hAnsi="Times New Roman"/>
          <w:sz w:val="22"/>
          <w:szCs w:val="22"/>
        </w:rPr>
        <w:t>- Pirmą kartą vartojant, prieš užlašinant lašą ant akių, pacientui reikia visų pirma patikrinti lašinamo tirpalo nutekėjimą iš buteliuko, lėtai nuspaudžiant buteliuką ir lašinant vieną lašą į orą, atokiau nuo akies.</w:t>
      </w:r>
    </w:p>
    <w:p w:rsidR="008A01A1" w:rsidRDefault="008A01A1" w:rsidP="008A01A1">
      <w:pPr>
        <w:rPr>
          <w:rFonts w:ascii="Times New Roman" w:hAnsi="Times New Roman"/>
          <w:sz w:val="22"/>
          <w:szCs w:val="22"/>
        </w:rPr>
      </w:pPr>
      <w:r>
        <w:rPr>
          <w:rFonts w:ascii="Times New Roman" w:hAnsi="Times New Roman"/>
          <w:sz w:val="22"/>
          <w:szCs w:val="22"/>
        </w:rPr>
        <w:t>- Kai pacientas yra įsitikinęs, kad gali lašinti vieną lašą vienu metu, jis turi pasirinkti poziciją, kuri jam būtų patogiausia lašinimui (gali atsisėsti, atsigulti ant nugaros arba stovėti prieš veidrodį).</w:t>
      </w:r>
    </w:p>
    <w:p w:rsidR="008A01A1" w:rsidRDefault="008A01A1" w:rsidP="008A01A1">
      <w:pPr>
        <w:rPr>
          <w:rFonts w:ascii="Times New Roman" w:hAnsi="Times New Roman"/>
          <w:sz w:val="22"/>
          <w:szCs w:val="22"/>
        </w:rPr>
      </w:pPr>
    </w:p>
    <w:p w:rsidR="008A01A1" w:rsidRDefault="008A01A1" w:rsidP="008A01A1">
      <w:pPr>
        <w:rPr>
          <w:rFonts w:ascii="Times New Roman" w:hAnsi="Times New Roman"/>
          <w:sz w:val="22"/>
          <w:szCs w:val="22"/>
        </w:rPr>
      </w:pPr>
      <w:r>
        <w:rPr>
          <w:rFonts w:ascii="Times New Roman" w:hAnsi="Times New Roman"/>
          <w:i/>
          <w:sz w:val="22"/>
          <w:szCs w:val="22"/>
        </w:rPr>
        <w:t>Vartojimo instrukcija</w:t>
      </w:r>
      <w:r>
        <w:rPr>
          <w:rFonts w:ascii="Times New Roman" w:hAnsi="Times New Roman"/>
          <w:sz w:val="22"/>
          <w:szCs w:val="22"/>
        </w:rPr>
        <w:t>:</w:t>
      </w:r>
    </w:p>
    <w:p w:rsidR="008A01A1" w:rsidRDefault="008A01A1" w:rsidP="008A01A1">
      <w:pPr>
        <w:tabs>
          <w:tab w:val="left" w:pos="567"/>
        </w:tabs>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Prieš vartojant šį vaistą, pacientas turi atidžiai nusiplauti rankas.</w:t>
      </w:r>
    </w:p>
    <w:p w:rsidR="008A01A1" w:rsidRDefault="008A01A1" w:rsidP="008A01A1">
      <w:pPr>
        <w:tabs>
          <w:tab w:val="left" w:pos="567"/>
        </w:tabs>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Jeigu pakuotė ar buteliukas pažeisti, vaisto vartoti negalima.</w:t>
      </w:r>
    </w:p>
    <w:p w:rsidR="008A01A1" w:rsidRDefault="008A01A1" w:rsidP="008A01A1">
      <w:pPr>
        <w:tabs>
          <w:tab w:val="left" w:pos="567"/>
        </w:tabs>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Vaisto vartojant pirmąjį kartą, prieš atsukant dangtelį reikia įsitikinti, kad apsauginis žiedas ant dangtelio nėra pažeistas. Pacientas turėtų jausti nežymų pasipriešinimą, kol nuo pažeidimo saugantis žiedas nulūžta (žr. 1 pav.).</w:t>
      </w:r>
    </w:p>
    <w:p w:rsidR="008A01A1" w:rsidRDefault="008A01A1" w:rsidP="008A01A1">
      <w:pPr>
        <w:tabs>
          <w:tab w:val="left" w:pos="567"/>
        </w:tabs>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Jei nuo pažeidimo saugantis žiedas atsilaisvino, jį reikia išmesti, nes jis gali patekti į akį ir sukelti traumų. </w:t>
      </w:r>
    </w:p>
    <w:p w:rsidR="008A01A1" w:rsidRDefault="008A01A1" w:rsidP="008A01A1">
      <w:pPr>
        <w:tabs>
          <w:tab w:val="left" w:pos="567"/>
        </w:tabs>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Pacientui reikia atlošti galvą atgal ir patraukti apatinį voką šiek tiek žemyn taip, kad tarp voko ir akies susiformuotų kišenė (žr. 2 pav.).</w:t>
      </w:r>
      <w:r>
        <w:t xml:space="preserve"> (</w:t>
      </w:r>
      <w:r>
        <w:rPr>
          <w:rFonts w:ascii="Times New Roman" w:hAnsi="Times New Roman"/>
          <w:sz w:val="22"/>
          <w:szCs w:val="22"/>
        </w:rPr>
        <w:t>Vengti kontakto tarp buteliuko galiuko ir akies, vokų ar pirštų.)</w:t>
      </w:r>
    </w:p>
    <w:p w:rsidR="008A01A1" w:rsidRDefault="008A01A1" w:rsidP="008A01A1">
      <w:pPr>
        <w:tabs>
          <w:tab w:val="left" w:pos="567"/>
        </w:tabs>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Lėtai spaudžiant buteliuką, į maišelį reikia įlašinti vieną lašą. Pacientas turi švelniai spausti buteliuką per vidurį tol, kol lašas įlašės ant akies. Gali būti keleto sekundžių uždelsimas tarp nuspaudimo momento ir lašo atsiskyrimo. Pacientas neturėtų buteliuko spausti pernelyg stipriai (žr. 3 pav.). Jeigu pacientas nėra tikras, kaip teisingai vartoti vaistą, jis turi pasitarti su gydytoju, vaistininku arba slaugytoju.</w:t>
      </w:r>
    </w:p>
    <w:p w:rsidR="008A01A1" w:rsidRDefault="008A01A1" w:rsidP="008A01A1">
      <w:pPr>
        <w:tabs>
          <w:tab w:val="left" w:pos="567"/>
        </w:tabs>
        <w:ind w:left="567" w:hanging="567"/>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Tuomet pacientas turi nuspausti ašarų lataką apie 2 minutes (paspaudus pirštu nuo akies kampo link nosies) ir užmerkti savo akį (-is) bei laikyti ją / jas užmerktas per visą šį laiką. Tai užtikrina, kad lašas bus sugertas akies ir kad vaistinio preparato tūris, nutekėjęs ašarų lataku į nosį, tikriausiai bus kuo mažesnis.</w:t>
      </w:r>
    </w:p>
    <w:p w:rsidR="008A01A1" w:rsidRDefault="008A01A1" w:rsidP="008A01A1">
      <w:pPr>
        <w:tabs>
          <w:tab w:val="left" w:pos="567"/>
        </w:tabs>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Vengti kontakto tarp buteliuko galiuko ir akies, vokų ar pirštų.</w:t>
      </w:r>
    </w:p>
    <w:p w:rsidR="008A01A1" w:rsidRDefault="008A01A1" w:rsidP="008A01A1">
      <w:pPr>
        <w:tabs>
          <w:tab w:val="left" w:pos="567"/>
        </w:tabs>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Pacientas turi pakartoti 5, 6 ir 7 veiksmus su kita akimi, jeigu taip daryti nurodė gydytojas.</w:t>
      </w:r>
    </w:p>
    <w:p w:rsidR="008A01A1" w:rsidRDefault="008A01A1" w:rsidP="008A01A1">
      <w:pPr>
        <w:tabs>
          <w:tab w:val="left" w:pos="567"/>
        </w:tabs>
        <w:ind w:left="567" w:hanging="567"/>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Po vaisto vartojimo ir prieš uždarymą buteliuką reikia supurtyti staigiu vienkartiniu judesiu žemyn, neliečiant lašintuvo galiuko, tam, kad pašalinti bet kokį skysčio likutį galiuke. Tai būtina, siekiant užtikrinti tikslų vėlesnių lašų dozavimą. Sulašinus vaisto, reikia užsukti dangtelį ant buteliuko (žr. 4 pav.).</w:t>
      </w:r>
    </w:p>
    <w:p w:rsidR="008A01A1" w:rsidRDefault="008A01A1" w:rsidP="008A01A1">
      <w:pPr>
        <w:rPr>
          <w:rFonts w:ascii="Times New Roman" w:hAnsi="Times New Roman"/>
          <w:sz w:val="22"/>
          <w:szCs w:val="22"/>
        </w:rPr>
      </w:pPr>
    </w:p>
    <w:p w:rsidR="008A01A1" w:rsidRDefault="008A01A1" w:rsidP="008A01A1">
      <w:pPr>
        <w:rPr>
          <w:rFonts w:ascii="Times New Roman" w:hAnsi="Times New Roman"/>
          <w:sz w:val="22"/>
          <w:szCs w:val="22"/>
        </w:rPr>
      </w:pPr>
      <w:r>
        <w:rPr>
          <w:rFonts w:ascii="Times New Roman" w:hAnsi="Times New Roman"/>
          <w:sz w:val="22"/>
          <w:szCs w:val="22"/>
        </w:rPr>
        <w:t>Jei lašas nepateko ant paciento akies, jam reikia pabandyti dar kartą.</w:t>
      </w:r>
    </w:p>
    <w:p w:rsidR="008A01A1" w:rsidRDefault="008A01A1" w:rsidP="008A01A1">
      <w:pPr>
        <w:rPr>
          <w:rFonts w:ascii="Times New Roman" w:hAnsi="Times New Roman"/>
          <w:sz w:val="22"/>
          <w:szCs w:val="22"/>
        </w:rPr>
      </w:pPr>
    </w:p>
    <w:p w:rsidR="008A01A1" w:rsidRDefault="008A01A1" w:rsidP="008A01A1">
      <w:pPr>
        <w:rPr>
          <w:rFonts w:ascii="Times New Roman" w:hAnsi="Times New Roman"/>
          <w:sz w:val="22"/>
          <w:szCs w:val="22"/>
        </w:rPr>
      </w:pPr>
      <w:r>
        <w:rPr>
          <w:rFonts w:ascii="Times New Roman" w:hAnsi="Times New Roman"/>
          <w:sz w:val="22"/>
          <w:szCs w:val="22"/>
        </w:rPr>
        <w:t>Užspaudus ašarų nosies lataką arba 2 minutes užmerkiant akių vokus, sisteminė absorbcija yra sumažinama. Tai gali sumažinti sisteminius šalutinius poveikius ir padidinti vietinį poveikį.</w:t>
      </w:r>
    </w:p>
    <w:p w:rsidR="008A01A1" w:rsidRDefault="008A01A1" w:rsidP="008A01A1">
      <w:pPr>
        <w:rPr>
          <w:rFonts w:ascii="Times New Roman" w:hAnsi="Times New Roman"/>
          <w:sz w:val="22"/>
          <w:szCs w:val="22"/>
        </w:rPr>
      </w:pPr>
    </w:p>
    <w:p w:rsidR="008A01A1" w:rsidRDefault="008A01A1" w:rsidP="008A01A1">
      <w:pPr>
        <w:autoSpaceDE w:val="0"/>
        <w:autoSpaceDN w:val="0"/>
        <w:adjustRightInd w:val="0"/>
        <w:rPr>
          <w:rFonts w:ascii="Times New Roman" w:hAnsi="Times New Roman"/>
          <w:i/>
          <w:noProof/>
          <w:sz w:val="22"/>
          <w:szCs w:val="22"/>
        </w:rPr>
      </w:pPr>
      <w:r>
        <w:rPr>
          <w:rFonts w:ascii="Times New Roman" w:hAnsi="Times New Roman"/>
          <w:b/>
          <w:noProof/>
          <w:sz w:val="22"/>
          <w:szCs w:val="22"/>
        </w:rPr>
        <w:drawing>
          <wp:inline distT="0" distB="0" distL="0" distR="0" wp14:anchorId="01DAD189" wp14:editId="42A52D1E">
            <wp:extent cx="1123315" cy="715010"/>
            <wp:effectExtent l="0" t="0" r="635"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315" cy="715010"/>
                    </a:xfrm>
                    <a:prstGeom prst="rect">
                      <a:avLst/>
                    </a:prstGeom>
                    <a:noFill/>
                    <a:ln>
                      <a:noFill/>
                    </a:ln>
                  </pic:spPr>
                </pic:pic>
              </a:graphicData>
            </a:graphic>
          </wp:inline>
        </w:drawing>
      </w:r>
      <w:r>
        <w:rPr>
          <w:rFonts w:ascii="Times New Roman" w:hAnsi="Times New Roman"/>
          <w:b/>
          <w:bCs/>
          <w:sz w:val="22"/>
          <w:szCs w:val="22"/>
        </w:rPr>
        <w:tab/>
      </w:r>
      <w:r>
        <w:rPr>
          <w:rFonts w:ascii="Times New Roman" w:hAnsi="Times New Roman"/>
          <w:b/>
          <w:noProof/>
          <w:sz w:val="22"/>
          <w:szCs w:val="22"/>
        </w:rPr>
        <w:drawing>
          <wp:inline distT="0" distB="0" distL="0" distR="0" wp14:anchorId="55C0A227" wp14:editId="5A19A33C">
            <wp:extent cx="1084580" cy="627380"/>
            <wp:effectExtent l="38100" t="38100" r="39370" b="393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4580" cy="627380"/>
                    </a:xfrm>
                    <a:prstGeom prst="rect">
                      <a:avLst/>
                    </a:prstGeom>
                    <a:noFill/>
                    <a:ln w="28575" cmpd="sng">
                      <a:solidFill>
                        <a:srgbClr val="000000"/>
                      </a:solidFill>
                      <a:miter lim="800000"/>
                      <a:headEnd/>
                      <a:tailEnd/>
                    </a:ln>
                    <a:effectLst/>
                  </pic:spPr>
                </pic:pic>
              </a:graphicData>
            </a:graphic>
          </wp:inline>
        </w:drawing>
      </w:r>
      <w:r>
        <w:rPr>
          <w:rFonts w:ascii="Times New Roman" w:hAnsi="Times New Roman"/>
          <w:b/>
          <w:bCs/>
          <w:sz w:val="22"/>
          <w:szCs w:val="22"/>
        </w:rPr>
        <w:tab/>
      </w:r>
      <w:r>
        <w:rPr>
          <w:rFonts w:ascii="Times New Roman" w:hAnsi="Times New Roman"/>
          <w:b/>
          <w:noProof/>
          <w:sz w:val="22"/>
          <w:szCs w:val="22"/>
        </w:rPr>
        <w:drawing>
          <wp:inline distT="0" distB="0" distL="0" distR="0" wp14:anchorId="2498124F" wp14:editId="79032E8C">
            <wp:extent cx="992505" cy="6661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2505" cy="666115"/>
                    </a:xfrm>
                    <a:prstGeom prst="rect">
                      <a:avLst/>
                    </a:prstGeom>
                    <a:noFill/>
                    <a:ln>
                      <a:noFill/>
                    </a:ln>
                  </pic:spPr>
                </pic:pic>
              </a:graphicData>
            </a:graphic>
          </wp:inline>
        </w:drawing>
      </w:r>
      <w:r>
        <w:rPr>
          <w:rFonts w:ascii="Times New Roman" w:hAnsi="Times New Roman"/>
          <w:b/>
          <w:bCs/>
          <w:sz w:val="22"/>
          <w:szCs w:val="22"/>
        </w:rPr>
        <w:tab/>
      </w:r>
      <w:r>
        <w:rPr>
          <w:rFonts w:ascii="Times New Roman" w:hAnsi="Times New Roman"/>
          <w:b/>
          <w:noProof/>
          <w:sz w:val="22"/>
          <w:szCs w:val="22"/>
        </w:rPr>
        <w:drawing>
          <wp:inline distT="0" distB="0" distL="0" distR="0" wp14:anchorId="0A1DA680" wp14:editId="2E8936DF">
            <wp:extent cx="1045845" cy="685800"/>
            <wp:effectExtent l="0" t="0" r="190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845" cy="685800"/>
                    </a:xfrm>
                    <a:prstGeom prst="rect">
                      <a:avLst/>
                    </a:prstGeom>
                    <a:noFill/>
                    <a:ln>
                      <a:noFill/>
                    </a:ln>
                  </pic:spPr>
                </pic:pic>
              </a:graphicData>
            </a:graphic>
          </wp:inline>
        </w:drawing>
      </w:r>
    </w:p>
    <w:p w:rsidR="008A01A1" w:rsidRDefault="008A01A1" w:rsidP="008A01A1">
      <w:pPr>
        <w:tabs>
          <w:tab w:val="left" w:pos="284"/>
          <w:tab w:val="left" w:pos="2127"/>
          <w:tab w:val="left" w:pos="2410"/>
          <w:tab w:val="left" w:pos="4395"/>
          <w:tab w:val="left" w:pos="4678"/>
          <w:tab w:val="left" w:pos="6521"/>
          <w:tab w:val="left" w:pos="6804"/>
        </w:tabs>
        <w:autoSpaceDE w:val="0"/>
        <w:autoSpaceDN w:val="0"/>
        <w:adjustRightInd w:val="0"/>
        <w:rPr>
          <w:rFonts w:ascii="Times New Roman" w:hAnsi="Times New Roman"/>
          <w:bCs/>
          <w:sz w:val="22"/>
          <w:szCs w:val="22"/>
        </w:rPr>
      </w:pPr>
      <w:r>
        <w:rPr>
          <w:rFonts w:ascii="Times New Roman" w:hAnsi="Times New Roman"/>
          <w:i/>
          <w:noProof/>
          <w:sz w:val="22"/>
          <w:szCs w:val="22"/>
        </w:rPr>
        <w:lastRenderedPageBreak/>
        <w:tab/>
        <w:t>Pav. 1</w:t>
      </w:r>
      <w:r>
        <w:rPr>
          <w:rFonts w:ascii="Times New Roman" w:hAnsi="Times New Roman"/>
          <w:i/>
          <w:noProof/>
          <w:sz w:val="22"/>
          <w:szCs w:val="22"/>
        </w:rPr>
        <w:tab/>
      </w:r>
      <w:r>
        <w:rPr>
          <w:rFonts w:ascii="Times New Roman" w:hAnsi="Times New Roman"/>
          <w:i/>
          <w:noProof/>
          <w:sz w:val="22"/>
          <w:szCs w:val="22"/>
        </w:rPr>
        <w:tab/>
        <w:t>Pav. 2</w:t>
      </w:r>
      <w:r>
        <w:rPr>
          <w:rFonts w:ascii="Times New Roman" w:hAnsi="Times New Roman"/>
          <w:i/>
          <w:noProof/>
          <w:sz w:val="22"/>
          <w:szCs w:val="22"/>
        </w:rPr>
        <w:tab/>
      </w:r>
      <w:r>
        <w:rPr>
          <w:rFonts w:ascii="Times New Roman" w:hAnsi="Times New Roman"/>
          <w:i/>
          <w:noProof/>
          <w:sz w:val="22"/>
          <w:szCs w:val="22"/>
        </w:rPr>
        <w:tab/>
        <w:t>Pav. 3</w:t>
      </w:r>
      <w:r>
        <w:rPr>
          <w:rFonts w:ascii="Times New Roman" w:hAnsi="Times New Roman"/>
          <w:i/>
          <w:noProof/>
          <w:sz w:val="22"/>
          <w:szCs w:val="22"/>
        </w:rPr>
        <w:tab/>
      </w:r>
      <w:r>
        <w:rPr>
          <w:rFonts w:ascii="Times New Roman" w:hAnsi="Times New Roman"/>
          <w:i/>
          <w:noProof/>
          <w:sz w:val="22"/>
          <w:szCs w:val="22"/>
        </w:rPr>
        <w:tab/>
        <w:t>Pav. 4</w:t>
      </w:r>
    </w:p>
    <w:p w:rsidR="008A01A1" w:rsidRDefault="008A01A1" w:rsidP="008A01A1">
      <w:pPr>
        <w:rPr>
          <w:rFonts w:ascii="Times New Roman" w:hAnsi="Times New Roman"/>
          <w:sz w:val="22"/>
          <w:szCs w:val="22"/>
        </w:rPr>
      </w:pPr>
    </w:p>
    <w:p w:rsidR="008A01A1" w:rsidRDefault="008A01A1" w:rsidP="008A01A1">
      <w:pPr>
        <w:pStyle w:val="Pagrindinistekstas"/>
        <w:keepNext/>
        <w:spacing w:after="0"/>
        <w:rPr>
          <w:b/>
          <w:color w:val="000000" w:themeColor="text1"/>
          <w:szCs w:val="22"/>
        </w:rPr>
      </w:pPr>
      <w:r>
        <w:rPr>
          <w:b/>
          <w:szCs w:val="22"/>
        </w:rPr>
        <w:t>Ką daryti pavartojus per didelę Amiptifree dozę?</w:t>
      </w:r>
    </w:p>
    <w:p w:rsidR="008A01A1" w:rsidRDefault="008A01A1" w:rsidP="008A01A1">
      <w:pPr>
        <w:pStyle w:val="Pagrindinistekstas"/>
        <w:keepNext/>
        <w:spacing w:after="0"/>
        <w:rPr>
          <w:color w:val="000000" w:themeColor="text1"/>
          <w:szCs w:val="22"/>
        </w:rPr>
      </w:pPr>
      <w:r>
        <w:rPr>
          <w:color w:val="000000" w:themeColor="text1"/>
          <w:szCs w:val="22"/>
        </w:rPr>
        <w:t>Jei įlašinote į savo akį per daug lašų arba bet kokį buteliuke esančio tirpalo kiekį nurijote, tarp įvairių požymių, jums gali atsirasti apsvaigimas, pasunkėti kvėpavimas arba galite pajusti, jog jūsų širdis plaka rečiau. Nedelsiant kreipkitės į gydytoją.</w:t>
      </w:r>
    </w:p>
    <w:p w:rsidR="008A01A1" w:rsidRDefault="008A01A1" w:rsidP="008A01A1">
      <w:pPr>
        <w:pStyle w:val="Pagrindinistekstas"/>
        <w:spacing w:after="0"/>
        <w:rPr>
          <w:color w:val="000000" w:themeColor="text1"/>
          <w:szCs w:val="22"/>
        </w:rPr>
      </w:pPr>
    </w:p>
    <w:p w:rsidR="008A01A1" w:rsidRDefault="008A01A1" w:rsidP="008A01A1">
      <w:pPr>
        <w:pStyle w:val="Pagrindinistekstas"/>
        <w:spacing w:after="0"/>
        <w:rPr>
          <w:color w:val="000000" w:themeColor="text1"/>
          <w:szCs w:val="22"/>
        </w:rPr>
      </w:pPr>
      <w:r>
        <w:rPr>
          <w:b/>
          <w:szCs w:val="22"/>
        </w:rPr>
        <w:t>Pamiršus pavartoti</w:t>
      </w:r>
      <w:r>
        <w:rPr>
          <w:szCs w:val="22"/>
        </w:rPr>
        <w:t xml:space="preserve"> </w:t>
      </w:r>
      <w:r>
        <w:rPr>
          <w:b/>
          <w:szCs w:val="22"/>
        </w:rPr>
        <w:t>Amiptifree</w:t>
      </w:r>
    </w:p>
    <w:p w:rsidR="008A01A1" w:rsidRDefault="008A01A1" w:rsidP="008A01A1">
      <w:pPr>
        <w:pStyle w:val="Pagrindinistekstas"/>
        <w:spacing w:after="0"/>
        <w:rPr>
          <w:color w:val="000000" w:themeColor="text1"/>
          <w:szCs w:val="22"/>
        </w:rPr>
      </w:pPr>
      <w:r>
        <w:rPr>
          <w:color w:val="000000" w:themeColor="text1"/>
          <w:szCs w:val="22"/>
        </w:rPr>
        <w:t>Svarbu tiksliai vartoti vaistą kaip nurodė gydytojas. Praleidus dozę, ją reikia suvartoti kiek galima greičiau. Jeigu beveik atėjo laikas vartoti kitą dozę, praleiskite nesuvartotą dozę ir toliau vaisto vartokite taip, kaip paskirta. Negalima vartoti dvigubos dozės norint kompensuoti praleistą dozę.</w:t>
      </w:r>
    </w:p>
    <w:p w:rsidR="008A01A1" w:rsidRDefault="008A01A1" w:rsidP="008A01A1">
      <w:pPr>
        <w:pStyle w:val="Pagrindinistekstas"/>
        <w:spacing w:after="0"/>
        <w:rPr>
          <w:color w:val="000000" w:themeColor="text1"/>
          <w:szCs w:val="22"/>
        </w:rPr>
      </w:pPr>
    </w:p>
    <w:p w:rsidR="008A01A1" w:rsidRDefault="008A01A1" w:rsidP="008A01A1">
      <w:pPr>
        <w:pStyle w:val="Pagrindinistekstas"/>
        <w:spacing w:after="0"/>
        <w:rPr>
          <w:b/>
          <w:color w:val="000000" w:themeColor="text1"/>
          <w:szCs w:val="22"/>
        </w:rPr>
      </w:pPr>
      <w:r>
        <w:rPr>
          <w:b/>
          <w:szCs w:val="22"/>
        </w:rPr>
        <w:t>Nustojus vartoti Amiptifree</w:t>
      </w:r>
    </w:p>
    <w:p w:rsidR="008A01A1" w:rsidRDefault="008A01A1" w:rsidP="008A01A1">
      <w:pPr>
        <w:pStyle w:val="BTEMEASMCA"/>
      </w:pPr>
      <w:r>
        <w:t xml:space="preserve">Jeigu norite nutraukti vaisto vartojimą, pirmiausia pasitarkite su gydytoju. </w:t>
      </w:r>
    </w:p>
    <w:p w:rsidR="008A01A1" w:rsidRDefault="008A01A1" w:rsidP="008A01A1">
      <w:pPr>
        <w:pStyle w:val="Pagrindinistekstas"/>
        <w:spacing w:after="0"/>
        <w:rPr>
          <w:color w:val="000000" w:themeColor="text1"/>
          <w:szCs w:val="22"/>
        </w:rPr>
      </w:pPr>
    </w:p>
    <w:p w:rsidR="008A01A1" w:rsidRDefault="008A01A1" w:rsidP="008A01A1">
      <w:pPr>
        <w:pStyle w:val="Pagrindinistekstas"/>
        <w:spacing w:after="0"/>
        <w:rPr>
          <w:color w:val="000000" w:themeColor="text1"/>
          <w:szCs w:val="22"/>
        </w:rPr>
      </w:pPr>
      <w:r>
        <w:rPr>
          <w:color w:val="000000" w:themeColor="text1"/>
          <w:szCs w:val="22"/>
        </w:rPr>
        <w:t>Jeigu kiltų daugiau klausimų dėl šio vaisto vartojimo, kreipkitės į gydytoją arba vaistininką.</w:t>
      </w:r>
    </w:p>
    <w:p w:rsidR="008A01A1" w:rsidRDefault="008A01A1" w:rsidP="008A01A1">
      <w:pPr>
        <w:pStyle w:val="Pagrindinistekstas"/>
        <w:spacing w:after="0"/>
        <w:rPr>
          <w:color w:val="000000" w:themeColor="text1"/>
          <w:szCs w:val="22"/>
        </w:rPr>
      </w:pPr>
    </w:p>
    <w:p w:rsidR="008A01A1" w:rsidRDefault="008A01A1" w:rsidP="008A01A1">
      <w:pPr>
        <w:pStyle w:val="Pagrindinistekstas"/>
        <w:spacing w:after="0"/>
        <w:rPr>
          <w:color w:val="000000" w:themeColor="text1"/>
          <w:szCs w:val="22"/>
        </w:rPr>
      </w:pPr>
    </w:p>
    <w:p w:rsidR="008A01A1" w:rsidRDefault="008A01A1" w:rsidP="008A01A1">
      <w:pPr>
        <w:pStyle w:val="Antrat2"/>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rPr>
        <w:tab/>
        <w:t>Galimas šalutinis poveikis</w:t>
      </w:r>
    </w:p>
    <w:p w:rsidR="008A01A1" w:rsidRDefault="008A01A1" w:rsidP="008A01A1">
      <w:pPr>
        <w:pStyle w:val="Pagrindinistekstas"/>
        <w:spacing w:after="0"/>
        <w:rPr>
          <w:color w:val="000000" w:themeColor="text1"/>
          <w:szCs w:val="22"/>
        </w:rPr>
      </w:pPr>
    </w:p>
    <w:p w:rsidR="008A01A1" w:rsidRDefault="008A01A1" w:rsidP="008A01A1">
      <w:pPr>
        <w:pStyle w:val="Pagrindinistekstas"/>
        <w:spacing w:after="0"/>
        <w:rPr>
          <w:color w:val="000000" w:themeColor="text1"/>
          <w:szCs w:val="22"/>
        </w:rPr>
      </w:pPr>
      <w:r>
        <w:rPr>
          <w:color w:val="000000" w:themeColor="text1"/>
          <w:szCs w:val="22"/>
        </w:rPr>
        <w:t xml:space="preserve">Šis vaistas, kaip ir visi kiti, gali sukelti šalutinį poveikį, nors jis pasireiškia ne visiems žmonėms. </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b/>
          <w:color w:val="000000" w:themeColor="text1"/>
          <w:sz w:val="22"/>
          <w:szCs w:val="22"/>
        </w:rPr>
      </w:pPr>
      <w:r>
        <w:rPr>
          <w:rFonts w:ascii="Times New Roman" w:hAnsi="Times New Roman"/>
          <w:b/>
          <w:color w:val="000000" w:themeColor="text1"/>
          <w:sz w:val="22"/>
          <w:szCs w:val="22"/>
        </w:rPr>
        <w:t>Jei jums atsiranda alerginių reakcijų, įskaitant dilgėlinę ar niežtintį išbėrimą, vietinis ir išplitęs išbėrimas, niežėjimas, veido, lūpų, liežuvio ir (arba) ryklės patinimas, kuris gali apsunkinti kvėpavimą arba rijimą, krūtinės skausmas, dusulys, prakaitavimas, nerimo jausmas, pykinimas (širdies priepuolio simptomai) nutraukite Amiptifree vartojimą ir nedelsiant kreipkitės į gydytoją.</w:t>
      </w:r>
    </w:p>
    <w:p w:rsidR="008A01A1" w:rsidRDefault="008A01A1" w:rsidP="008A01A1">
      <w:pPr>
        <w:rPr>
          <w:rFonts w:ascii="Times New Roman" w:hAnsi="Times New Roman"/>
          <w:color w:val="000000" w:themeColor="text1"/>
          <w:sz w:val="22"/>
          <w:szCs w:val="22"/>
        </w:rPr>
      </w:pPr>
    </w:p>
    <w:p w:rsidR="008A01A1" w:rsidRDefault="008A01A1" w:rsidP="008A01A1">
      <w:pPr>
        <w:pStyle w:val="BTEMEASMCA"/>
      </w:pPr>
      <w:r>
        <w:t xml:space="preserve">Vartojant dorzolamido hidrochlorido ir timololio maleato derinį be konservantų priedo arba jo sudėtyje esančias veikliąsias medžiagas, klinikinių tyrimų metu ir po to, kai vaistas pateko į rinką, pastebėti šie šalutinio poveikio požymiai. </w:t>
      </w:r>
    </w:p>
    <w:p w:rsidR="008A01A1" w:rsidRDefault="008A01A1" w:rsidP="008A01A1">
      <w:pPr>
        <w:rPr>
          <w:rFonts w:ascii="Times New Roman" w:hAnsi="Times New Roman"/>
          <w:color w:val="000000" w:themeColor="text1"/>
          <w:sz w:val="22"/>
          <w:szCs w:val="22"/>
        </w:rPr>
      </w:pPr>
    </w:p>
    <w:p w:rsidR="008A01A1" w:rsidRDefault="008A01A1" w:rsidP="008A01A1">
      <w:pPr>
        <w:tabs>
          <w:tab w:val="left" w:pos="9071"/>
        </w:tabs>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Labai dažnas šalutinis poveikis (pasitaiko daugiau negu 1 iš 10 pacientų)</w:t>
      </w:r>
    </w:p>
    <w:p w:rsidR="008A01A1" w:rsidRDefault="008A01A1" w:rsidP="008A01A1">
      <w:pPr>
        <w:pStyle w:val="Sraopastraipa"/>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 xml:space="preserve">deginimo ir dilginimo pojūtis akyje (-yse), skonio pakitimas. </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Dažnas šalutinis poveikis (pasitaiko rečiau kaip 1 iš 10 pacientų)</w:t>
      </w:r>
    </w:p>
    <w:p w:rsidR="008A01A1" w:rsidRDefault="008A01A1" w:rsidP="008A01A1">
      <w:pPr>
        <w:pStyle w:val="Sraopastraipa"/>
        <w:numPr>
          <w:ilvl w:val="0"/>
          <w:numId w:val="3"/>
        </w:numPr>
        <w:ind w:right="-1"/>
        <w:rPr>
          <w:rFonts w:ascii="Times New Roman" w:hAnsi="Times New Roman"/>
          <w:color w:val="000000" w:themeColor="text1"/>
          <w:sz w:val="22"/>
          <w:szCs w:val="22"/>
          <w:lang w:eastAsia="en-US"/>
        </w:rPr>
      </w:pPr>
      <w:r>
        <w:rPr>
          <w:rFonts w:ascii="Times New Roman" w:hAnsi="Times New Roman"/>
          <w:color w:val="000000" w:themeColor="text1"/>
          <w:sz w:val="22"/>
          <w:szCs w:val="22"/>
          <w:lang w:eastAsia="en-US"/>
        </w:rPr>
        <w:t>akies (-ių) ir aplink ją (jas) paraudimas, akies (-ių) ašarojimas ar niežėjimas, ragenos erozija (akies obuolio dangalo pažeidimai), akies (-ių) ir aplink ją patinimas ir (arba) sudirginimas, svetimkūnio jutimas akyje, ragenos jautrumo sumažėjimas (nesuvokimas, kad kažkas pateko į akį ir skausmo nejutimas), akies skausmas, akių sausumas, neryškus matymas, galvos skausmas, sinusitas (tempimo ar pilnumo jausmas nosyje), pykinimas, silpnumas/nuovargis.</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Nedažnas šalutinis poveikis (pasitaiko rečiau kaip 1 iš 100 pacientų )</w:t>
      </w:r>
    </w:p>
    <w:p w:rsidR="008A01A1" w:rsidRDefault="008A01A1" w:rsidP="008A01A1">
      <w:pPr>
        <w:pStyle w:val="Sraopastraipa"/>
        <w:numPr>
          <w:ilvl w:val="0"/>
          <w:numId w:val="3"/>
        </w:numPr>
        <w:tabs>
          <w:tab w:val="left" w:pos="0"/>
        </w:tabs>
        <w:rPr>
          <w:rFonts w:ascii="Times New Roman" w:hAnsi="Times New Roman"/>
          <w:color w:val="000000" w:themeColor="text1"/>
          <w:sz w:val="22"/>
          <w:szCs w:val="22"/>
        </w:rPr>
      </w:pPr>
      <w:r>
        <w:rPr>
          <w:rFonts w:ascii="Times New Roman" w:hAnsi="Times New Roman"/>
          <w:color w:val="000000" w:themeColor="text1"/>
          <w:sz w:val="22"/>
          <w:szCs w:val="22"/>
        </w:rPr>
        <w:t xml:space="preserve">svaigulys, depresija, akies rainelės uždegimas, </w:t>
      </w:r>
      <w:r>
        <w:rPr>
          <w:rFonts w:ascii="Times New Roman" w:hAnsi="Times New Roman"/>
          <w:color w:val="000000" w:themeColor="text1"/>
          <w:sz w:val="22"/>
          <w:szCs w:val="22"/>
          <w:lang w:eastAsia="en-US"/>
        </w:rPr>
        <w:t>neryškus matymas, įskaitant lūžimo pokyčius (kai kuriais atvejais dėl vyzdį siaurinančio gydymo nutraukimo), pasunkėjęs kvėpavimas (dispnėja), retas širdies plakimas, alpimas, nevirškinimas ir inkstų akmenligė (dažnai pasižyminti staigiais skausmingais, spazmiškais nugaros arba šono, kirkšnies arba pilvo priepuoliais).</w:t>
      </w:r>
    </w:p>
    <w:p w:rsidR="008A01A1" w:rsidRDefault="008A01A1" w:rsidP="008A01A1">
      <w:pPr>
        <w:rPr>
          <w:rFonts w:ascii="Times New Roman" w:hAnsi="Times New Roman"/>
          <w:i/>
          <w:color w:val="000000" w:themeColor="text1"/>
          <w:sz w:val="22"/>
          <w:szCs w:val="22"/>
        </w:rPr>
      </w:pPr>
    </w:p>
    <w:p w:rsidR="008A01A1" w:rsidRDefault="008A01A1" w:rsidP="008A01A1">
      <w:pPr>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Retas šalutinis poveikis (pasitaiko rečiau kaip 1 iš 1000 pacientų )</w:t>
      </w:r>
    </w:p>
    <w:p w:rsidR="008A01A1" w:rsidRDefault="008A01A1" w:rsidP="008A01A1">
      <w:pPr>
        <w:pStyle w:val="Sraopastraipa"/>
        <w:numPr>
          <w:ilvl w:val="0"/>
          <w:numId w:val="3"/>
        </w:numPr>
        <w:tabs>
          <w:tab w:val="left" w:pos="0"/>
        </w:tabs>
        <w:rPr>
          <w:rFonts w:ascii="Times New Roman" w:hAnsi="Times New Roman"/>
          <w:i/>
          <w:color w:val="000000" w:themeColor="text1"/>
          <w:sz w:val="22"/>
          <w:szCs w:val="22"/>
        </w:rPr>
      </w:pPr>
      <w:r>
        <w:rPr>
          <w:rFonts w:ascii="Times New Roman" w:hAnsi="Times New Roman"/>
          <w:color w:val="000000" w:themeColor="text1"/>
          <w:sz w:val="22"/>
          <w:szCs w:val="22"/>
        </w:rPr>
        <w:t xml:space="preserve">sisteminė raudonoji vilkligė (imuninės sistemos liga, galinti sukelti vidaus organų uždegimą), tirpimo ar dilgčiojimo pojūtis rankose ir pėdose, sunkumas užmigti (nemiga), košmariški sapnai, atminties sutrikimas, generalizuotos miastenijos (raumenų sutrikimas) simptomų ir požymių </w:t>
      </w:r>
      <w:r>
        <w:rPr>
          <w:rFonts w:ascii="Times New Roman" w:hAnsi="Times New Roman"/>
          <w:color w:val="000000" w:themeColor="text1"/>
          <w:sz w:val="22"/>
          <w:szCs w:val="22"/>
        </w:rPr>
        <w:lastRenderedPageBreak/>
        <w:t xml:space="preserve">sustiprėjimas, lytinio potraukio sumažėjimas, insultas, </w:t>
      </w:r>
      <w:r>
        <w:rPr>
          <w:rFonts w:ascii="Times New Roman" w:hAnsi="Times New Roman"/>
          <w:color w:val="000000" w:themeColor="text1"/>
          <w:sz w:val="22"/>
          <w:szCs w:val="22"/>
          <w:lang w:eastAsia="en-US"/>
        </w:rPr>
        <w:t xml:space="preserve">praeinanti trumparegystė, kuri nutraukus gydymą gali pranykti, sluoksnio, esančiu po tinklaine, kuriame yra kraujagyslės, atšoka (po filtruojamosios chirurginės operacijos), dėl kurios gali atsirasti neryškus matymas, vokų nusileidimas (akis ne visiškai užsimerkia), dvejinimasis akyse, plutelės ant akies voko susidarymas, ragenos patinimas (su matymo sutrikimo simptomais), žemas akispūdis, skambėjimas ausyse, žemas kraujospūdis, širdies ritmo ir greičio pokytis, stazinis širdies nepakankamumas (širdies liga, kai dėl skysčio susilaikymo pasunkėja kvėpavimas, patinsta pėdos ir kojos), edema (skysčių susikaupimas), cerebrinė išemija (sumažėjęs kraujo patekimas į smegenis), krūtinės skausmas, palpitacijos (greitesnis ir (arba) nereguliarus širdies plakimas), širdies smūgis, Raynaud‘o fenomenas, rankų ir pėdų patinimas ar šaltumas bei sulėtėjusi kraujotaka rankose ir kojose, kojų mėšlungis ir (arba) kojų skausmas vaikštant (šlubčiojimas), dusulys, dusulio jausmas, varvanti arba užsikimšusi nosis, kraujavimas iš nosies, bronchų spazmas, sukeliantis kvėpavimo pasunkėjimą, kvėpavimo takų susiaurėjimas plaučiuose, kosulys, gerklės sudirginimas, burnos sausumas, viduriavimas, kontaktinis dermatitas, nuplikimas, odos išbėrimas sidabro atspalviu (psoriazinis bėrimas), </w:t>
      </w:r>
      <w:r>
        <w:rPr>
          <w:rFonts w:ascii="Times New Roman" w:hAnsi="Times New Roman"/>
          <w:i/>
          <w:color w:val="000000" w:themeColor="text1"/>
          <w:sz w:val="22"/>
          <w:szCs w:val="22"/>
          <w:lang w:eastAsia="en-US"/>
        </w:rPr>
        <w:t>Peyronie</w:t>
      </w:r>
      <w:r>
        <w:rPr>
          <w:rFonts w:ascii="Times New Roman" w:hAnsi="Times New Roman"/>
          <w:color w:val="000000" w:themeColor="text1"/>
          <w:sz w:val="22"/>
          <w:szCs w:val="22"/>
        </w:rPr>
        <w:t xml:space="preserve"> </w:t>
      </w:r>
      <w:r>
        <w:rPr>
          <w:rFonts w:ascii="Times New Roman" w:hAnsi="Times New Roman"/>
          <w:color w:val="000000" w:themeColor="text1"/>
          <w:sz w:val="22"/>
          <w:szCs w:val="22"/>
          <w:lang w:eastAsia="en-US"/>
        </w:rPr>
        <w:t>liga (dėl kurios vyrams gali sulinkti varpa),</w:t>
      </w:r>
      <w:r>
        <w:rPr>
          <w:rFonts w:ascii="Times New Roman" w:hAnsi="Times New Roman"/>
          <w:i/>
          <w:color w:val="000000" w:themeColor="text1"/>
          <w:sz w:val="22"/>
          <w:szCs w:val="22"/>
        </w:rPr>
        <w:t xml:space="preserve"> </w:t>
      </w:r>
      <w:r>
        <w:rPr>
          <w:rFonts w:ascii="Times New Roman" w:hAnsi="Times New Roman"/>
          <w:color w:val="000000" w:themeColor="text1"/>
          <w:sz w:val="22"/>
          <w:szCs w:val="22"/>
          <w:lang w:eastAsia="en-US"/>
        </w:rPr>
        <w:t>alerginės reakcijos, tokios kaip išbėrimas, dilgėlinė, niežėjimas, retais atvejais galimas lūpų, akių ir burnos patinimas, švokštimas ar sunkios odos reakcijos (</w:t>
      </w:r>
      <w:r>
        <w:rPr>
          <w:rFonts w:ascii="Times New Roman" w:hAnsi="Times New Roman"/>
          <w:sz w:val="22"/>
          <w:szCs w:val="22"/>
        </w:rPr>
        <w:t>Stivenso - Džonsono (</w:t>
      </w:r>
      <w:r>
        <w:rPr>
          <w:rFonts w:ascii="Times New Roman" w:hAnsi="Times New Roman"/>
          <w:i/>
          <w:sz w:val="22"/>
          <w:szCs w:val="22"/>
        </w:rPr>
        <w:t>Stevens-Johnson</w:t>
      </w:r>
      <w:r>
        <w:rPr>
          <w:rFonts w:ascii="Times New Roman" w:hAnsi="Times New Roman"/>
          <w:sz w:val="22"/>
          <w:szCs w:val="22"/>
        </w:rPr>
        <w:t xml:space="preserve">) </w:t>
      </w:r>
      <w:r>
        <w:rPr>
          <w:rFonts w:ascii="Times New Roman" w:hAnsi="Times New Roman"/>
          <w:color w:val="000000" w:themeColor="text1"/>
          <w:sz w:val="22"/>
          <w:szCs w:val="22"/>
        </w:rPr>
        <w:t>sindromas, toksinė epidermio nekrolizė)</w:t>
      </w:r>
      <w:r>
        <w:rPr>
          <w:rFonts w:ascii="Times New Roman" w:hAnsi="Times New Roman"/>
          <w:color w:val="000000" w:themeColor="text1"/>
          <w:sz w:val="22"/>
          <w:szCs w:val="22"/>
          <w:lang w:eastAsia="en-US"/>
        </w:rPr>
        <w:t>.</w:t>
      </w:r>
    </w:p>
    <w:p w:rsidR="008A01A1" w:rsidRDefault="008A01A1" w:rsidP="008A01A1">
      <w:pPr>
        <w:rPr>
          <w:rFonts w:ascii="Times New Roman" w:hAnsi="Times New Roman"/>
          <w:color w:val="000000" w:themeColor="text1"/>
          <w:sz w:val="22"/>
          <w:szCs w:val="22"/>
        </w:rPr>
      </w:pPr>
    </w:p>
    <w:p w:rsidR="008A01A1" w:rsidRDefault="008A01A1" w:rsidP="008A01A1">
      <w:pPr>
        <w:autoSpaceDE w:val="0"/>
        <w:autoSpaceDN w:val="0"/>
        <w:adjustRightInd w:val="0"/>
        <w:rPr>
          <w:rFonts w:ascii="Times New Roman" w:hAnsi="Times New Roman"/>
          <w:color w:val="000000" w:themeColor="text1"/>
          <w:sz w:val="22"/>
          <w:szCs w:val="22"/>
        </w:rPr>
      </w:pPr>
      <w:r>
        <w:rPr>
          <w:rFonts w:ascii="Times New Roman" w:hAnsi="Times New Roman"/>
          <w:color w:val="000000" w:themeColor="text1"/>
          <w:sz w:val="22"/>
          <w:szCs w:val="22"/>
        </w:rPr>
        <w:t xml:space="preserve">Kaip ir kiti vaistai, vartojami ant akių, timololis yra absorbuojamas į kraują. Tai gali sukelti tokius pat šalutinius poveikius, kurie pastebėti beta-adrenoreceptorių blokatorius vartojant per burną. Šių šalutinių poveikių dažnumas po vietinio vartojimo ant akių yra retesnis, negu, pavyzdžiui, vaistą vartojant per burną arba jį injekuojant. </w:t>
      </w:r>
    </w:p>
    <w:p w:rsidR="008A01A1" w:rsidRDefault="008A01A1" w:rsidP="008A01A1">
      <w:pPr>
        <w:autoSpaceDE w:val="0"/>
        <w:autoSpaceDN w:val="0"/>
        <w:adjustRightInd w:val="0"/>
        <w:rPr>
          <w:rFonts w:ascii="Times New Roman" w:hAnsi="Times New Roman"/>
          <w:color w:val="000000" w:themeColor="text1"/>
          <w:sz w:val="22"/>
          <w:szCs w:val="22"/>
        </w:rPr>
      </w:pPr>
      <w:r>
        <w:rPr>
          <w:rFonts w:ascii="Times New Roman" w:hAnsi="Times New Roman"/>
          <w:color w:val="000000" w:themeColor="text1"/>
          <w:sz w:val="22"/>
          <w:szCs w:val="22"/>
        </w:rPr>
        <w:t>Žemiau išvardinti šalutiniai poveikiai apima ir poveikius, pastebėtus beta-adrenoreceptorių blokatorių vartojant akių ligų gydymui:</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Šalutinis poveikis, kurio dažnis nežinomas (dažnis negali būti nustatytas pagal turimus duomenis)</w:t>
      </w:r>
    </w:p>
    <w:p w:rsidR="008A01A1" w:rsidRDefault="008A01A1" w:rsidP="008A01A1">
      <w:pPr>
        <w:pStyle w:val="Sraopastraipa1"/>
        <w:ind w:left="0"/>
        <w:rPr>
          <w:rFonts w:ascii="Times New Roman" w:hAnsi="Times New Roman"/>
          <w:color w:val="000000" w:themeColor="text1"/>
          <w:sz w:val="22"/>
          <w:szCs w:val="22"/>
        </w:rPr>
      </w:pPr>
      <w:r>
        <w:rPr>
          <w:rFonts w:ascii="Times New Roman" w:hAnsi="Times New Roman"/>
          <w:color w:val="000000" w:themeColor="text1"/>
          <w:sz w:val="22"/>
          <w:szCs w:val="22"/>
        </w:rPr>
        <w:t>Mažas gliukozės kiekis kraujyje, širdies nepakankamumas, tam tikras širdies ritmo sutrikimas, pilvo skausmas, vėmimas, raumenų skausmas, nesusijęs su mankšta, lytinės funkcijos sutrikimas, dusulys, svetimkūnio pojūtis akyse (pojūtis, kad akyje kažkas yra), haliucinacijos, stiprus širdies plakimas, kuris gali būti greitas ar nereguliarus (palpitacijos).</w:t>
      </w:r>
    </w:p>
    <w:p w:rsidR="008A01A1" w:rsidRPr="00A75088" w:rsidRDefault="008A01A1" w:rsidP="008A01A1">
      <w:pPr>
        <w:tabs>
          <w:tab w:val="left" w:pos="567"/>
        </w:tabs>
        <w:rPr>
          <w:rFonts w:ascii="Times New Roman" w:hAnsi="Times New Roman"/>
          <w:color w:val="000000" w:themeColor="text1"/>
          <w:sz w:val="22"/>
        </w:rPr>
      </w:pPr>
    </w:p>
    <w:p w:rsidR="008A01A1" w:rsidRDefault="008A01A1" w:rsidP="008A01A1">
      <w:pPr>
        <w:tabs>
          <w:tab w:val="left" w:pos="567"/>
        </w:tabs>
        <w:rPr>
          <w:rFonts w:ascii="Times New Roman" w:hAnsi="Times New Roman"/>
          <w:b/>
          <w:snapToGrid w:val="0"/>
          <w:color w:val="000000" w:themeColor="text1"/>
          <w:sz w:val="22"/>
          <w:szCs w:val="22"/>
          <w:lang w:eastAsia="en-US"/>
        </w:rPr>
      </w:pPr>
      <w:r>
        <w:rPr>
          <w:rFonts w:ascii="Times New Roman" w:hAnsi="Times New Roman"/>
          <w:b/>
          <w:noProof/>
          <w:snapToGrid w:val="0"/>
          <w:color w:val="000000" w:themeColor="text1"/>
          <w:sz w:val="22"/>
          <w:szCs w:val="22"/>
          <w:lang w:eastAsia="en-US"/>
        </w:rPr>
        <w:t>Pranešimas apie šalutinį poveikį</w:t>
      </w:r>
    </w:p>
    <w:p w:rsidR="008A01A1" w:rsidRDefault="008A01A1" w:rsidP="008A01A1">
      <w:pPr>
        <w:rPr>
          <w:rFonts w:ascii="Times New Roman" w:hAnsi="Times New Roman"/>
          <w:color w:val="000000" w:themeColor="text1"/>
          <w:sz w:val="22"/>
          <w:szCs w:val="22"/>
        </w:rPr>
      </w:pPr>
      <w:r>
        <w:rPr>
          <w:rFonts w:ascii="Times New Roman" w:hAnsi="Times New Roman"/>
          <w:snapToGrid w:val="0"/>
          <w:color w:val="000000" w:themeColor="text1"/>
          <w:sz w:val="22"/>
          <w:szCs w:val="22"/>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hAnsi="Times New Roman"/>
          <w:snapToGrid w:val="0"/>
          <w:color w:val="000000" w:themeColor="text1"/>
          <w:sz w:val="22"/>
          <w:szCs w:val="22"/>
          <w:lang w:eastAsia="zh-CN"/>
        </w:rPr>
        <w:t>elefonu 8 800 73568</w:t>
      </w:r>
      <w:r>
        <w:rPr>
          <w:rFonts w:ascii="Times New Roman" w:hAnsi="Times New Roman"/>
          <w:snapToGrid w:val="0"/>
          <w:color w:val="000000" w:themeColor="text1"/>
          <w:sz w:val="22"/>
          <w:szCs w:val="22"/>
          <w:lang w:eastAsia="en-US"/>
        </w:rPr>
        <w:t xml:space="preserve"> arba užpildyti interneto svetainėje </w:t>
      </w:r>
      <w:hyperlink r:id="rId9" w:history="1">
        <w:r w:rsidRPr="00A75088">
          <w:rPr>
            <w:rStyle w:val="Hipersaitas"/>
            <w:rFonts w:eastAsia="SimSun"/>
            <w:color w:val="000000" w:themeColor="text1"/>
          </w:rPr>
          <w:t>www.vvkt.lt</w:t>
        </w:r>
      </w:hyperlink>
      <w:r>
        <w:rPr>
          <w:rFonts w:ascii="Times New Roman" w:hAnsi="Times New Roman"/>
          <w:snapToGrid w:val="0"/>
          <w:color w:val="000000" w:themeColor="text1"/>
          <w:sz w:val="22"/>
          <w:szCs w:val="22"/>
          <w:lang w:eastAsia="en-US"/>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snapToGrid w:val="0"/>
          <w:color w:val="000000" w:themeColor="text1"/>
          <w:sz w:val="22"/>
          <w:szCs w:val="22"/>
          <w:lang w:eastAsia="zh-CN"/>
        </w:rPr>
        <w:t xml:space="preserve">nemokamu </w:t>
      </w:r>
      <w:r>
        <w:rPr>
          <w:rFonts w:ascii="Times New Roman" w:hAnsi="Times New Roman"/>
          <w:snapToGrid w:val="0"/>
          <w:color w:val="000000" w:themeColor="text1"/>
          <w:sz w:val="22"/>
          <w:szCs w:val="22"/>
          <w:lang w:eastAsia="en-US"/>
        </w:rPr>
        <w:t>fakso numeriu 8 800 20131</w:t>
      </w:r>
      <w:r>
        <w:rPr>
          <w:rFonts w:ascii="Times New Roman" w:hAnsi="Times New Roman"/>
          <w:snapToGrid w:val="0"/>
          <w:color w:val="000000" w:themeColor="text1"/>
          <w:sz w:val="22"/>
          <w:szCs w:val="22"/>
          <w:lang w:eastAsia="zh-CN"/>
        </w:rPr>
        <w:t xml:space="preserve">, </w:t>
      </w:r>
      <w:r>
        <w:rPr>
          <w:rFonts w:ascii="Times New Roman" w:hAnsi="Times New Roman"/>
          <w:snapToGrid w:val="0"/>
          <w:color w:val="000000" w:themeColor="text1"/>
          <w:sz w:val="22"/>
          <w:szCs w:val="22"/>
          <w:lang w:eastAsia="en-US"/>
        </w:rPr>
        <w:t xml:space="preserve">el. paštu </w:t>
      </w:r>
      <w:hyperlink r:id="rId10" w:history="1">
        <w:r w:rsidRPr="00A75088">
          <w:rPr>
            <w:rStyle w:val="Hipersaitas"/>
            <w:rFonts w:eastAsia="SimSun"/>
            <w:color w:val="000000" w:themeColor="text1"/>
          </w:rPr>
          <w:t>NepageidaujamaR@vvkt.lt</w:t>
        </w:r>
      </w:hyperlink>
      <w:r>
        <w:rPr>
          <w:rFonts w:ascii="Times New Roman" w:hAnsi="Times New Roman"/>
          <w:snapToGrid w:val="0"/>
          <w:color w:val="000000" w:themeColor="text1"/>
          <w:sz w:val="22"/>
          <w:szCs w:val="22"/>
          <w:lang w:eastAsia="en-US"/>
        </w:rPr>
        <w:t xml:space="preserve">, taip pat per Valstybinės vaistų kontrolės tarnybos prie Lietuvos Respublikos sveikatos apsaugos ministerijos interneto svetainę (adresu </w:t>
      </w:r>
      <w:hyperlink r:id="rId11" w:history="1">
        <w:r w:rsidRPr="00A75088">
          <w:rPr>
            <w:rStyle w:val="Hipersaitas"/>
            <w:rFonts w:eastAsia="SimSun"/>
            <w:color w:val="000000" w:themeColor="text1"/>
          </w:rPr>
          <w:t>http://www.vvkt.lt</w:t>
        </w:r>
      </w:hyperlink>
      <w:r>
        <w:rPr>
          <w:rFonts w:ascii="Times New Roman" w:hAnsi="Times New Roman"/>
          <w:snapToGrid w:val="0"/>
          <w:color w:val="000000" w:themeColor="text1"/>
          <w:sz w:val="22"/>
          <w:szCs w:val="22"/>
          <w:lang w:eastAsia="en-US"/>
        </w:rPr>
        <w:t>). Pranešdami apie šalutinį poveikį galite mums padėti gauti daugiau informacijos apie šio vaisto saugumą.</w:t>
      </w:r>
    </w:p>
    <w:p w:rsidR="008A01A1" w:rsidRDefault="008A01A1" w:rsidP="008A01A1">
      <w:pPr>
        <w:pStyle w:val="Pagrindinistekstas"/>
        <w:spacing w:after="0"/>
        <w:rPr>
          <w:color w:val="000000" w:themeColor="text1"/>
          <w:szCs w:val="22"/>
        </w:rPr>
      </w:pPr>
    </w:p>
    <w:p w:rsidR="008A01A1" w:rsidRDefault="008A01A1" w:rsidP="008A01A1">
      <w:pPr>
        <w:pStyle w:val="Pagrindinistekstas"/>
        <w:spacing w:after="0"/>
        <w:rPr>
          <w:color w:val="000000" w:themeColor="text1"/>
          <w:szCs w:val="22"/>
        </w:rPr>
      </w:pPr>
    </w:p>
    <w:p w:rsidR="008A01A1" w:rsidRDefault="008A01A1" w:rsidP="008A01A1">
      <w:pPr>
        <w:pStyle w:val="Antrat2"/>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ab/>
        <w:t>Kaip laikyti Amiptifree</w:t>
      </w:r>
    </w:p>
    <w:p w:rsidR="008A01A1" w:rsidRDefault="008A01A1" w:rsidP="008A01A1">
      <w:pPr>
        <w:pStyle w:val="Pagrindinistekstas"/>
        <w:spacing w:after="0"/>
        <w:rPr>
          <w:color w:val="000000" w:themeColor="text1"/>
          <w:szCs w:val="22"/>
        </w:rPr>
      </w:pPr>
    </w:p>
    <w:p w:rsidR="008A01A1" w:rsidRDefault="008A01A1" w:rsidP="008A01A1">
      <w:pPr>
        <w:keepNext/>
        <w:keepLines/>
        <w:rPr>
          <w:rFonts w:ascii="Times New Roman" w:hAnsi="Times New Roman"/>
          <w:sz w:val="22"/>
          <w:szCs w:val="22"/>
        </w:rPr>
      </w:pPr>
      <w:r>
        <w:rPr>
          <w:rFonts w:ascii="Times New Roman" w:hAnsi="Times New Roman"/>
          <w:sz w:val="22"/>
          <w:szCs w:val="22"/>
        </w:rPr>
        <w:t>Laikyti žemesnėje kaip 30 </w:t>
      </w:r>
      <w:r>
        <w:rPr>
          <w:rFonts w:ascii="Times New Roman" w:hAnsi="Times New Roman"/>
          <w:sz w:val="22"/>
          <w:szCs w:val="22"/>
        </w:rPr>
        <w:sym w:font="Symbol" w:char="F0B0"/>
      </w:r>
      <w:r>
        <w:rPr>
          <w:rFonts w:ascii="Times New Roman" w:hAnsi="Times New Roman"/>
          <w:sz w:val="22"/>
          <w:szCs w:val="22"/>
        </w:rPr>
        <w:t>C temperatūroje.</w:t>
      </w:r>
    </w:p>
    <w:p w:rsidR="008A01A1" w:rsidRDefault="008A01A1" w:rsidP="008A01A1">
      <w:pPr>
        <w:pStyle w:val="BTEMEASMCA"/>
      </w:pPr>
      <w:r>
        <w:t>Buteliuką pirmą kartą atidarius - laikyti ne ilgiau kaip 90 dienų žemesnėje nei 25 °C temperatūroje.</w:t>
      </w:r>
    </w:p>
    <w:p w:rsidR="008A01A1" w:rsidRDefault="008A01A1" w:rsidP="008A01A1">
      <w:pPr>
        <w:pStyle w:val="Pagrindinistekstas"/>
        <w:spacing w:after="0"/>
        <w:rPr>
          <w:noProof/>
          <w:szCs w:val="22"/>
        </w:rPr>
      </w:pPr>
    </w:p>
    <w:p w:rsidR="008A01A1" w:rsidRDefault="008A01A1" w:rsidP="008A01A1">
      <w:pPr>
        <w:pStyle w:val="Pagrindinistekstas"/>
        <w:spacing w:after="0"/>
        <w:rPr>
          <w:color w:val="000000" w:themeColor="text1"/>
          <w:szCs w:val="22"/>
        </w:rPr>
      </w:pPr>
      <w:r>
        <w:rPr>
          <w:noProof/>
          <w:szCs w:val="22"/>
        </w:rPr>
        <w:t>Šį vaistą laikykite vaikams nepastebimoje ir nepasiekiamoje vietoje.</w:t>
      </w:r>
    </w:p>
    <w:p w:rsidR="008A01A1" w:rsidRDefault="008A01A1" w:rsidP="008A01A1">
      <w:pPr>
        <w:pStyle w:val="BTEMEASMCA"/>
      </w:pPr>
    </w:p>
    <w:p w:rsidR="008A01A1" w:rsidRDefault="008A01A1" w:rsidP="008A01A1">
      <w:pPr>
        <w:pStyle w:val="Pagrindinistekstas"/>
        <w:spacing w:after="0"/>
        <w:rPr>
          <w:color w:val="000000" w:themeColor="text1"/>
          <w:szCs w:val="22"/>
        </w:rPr>
      </w:pPr>
      <w:r>
        <w:rPr>
          <w:color w:val="000000" w:themeColor="text1"/>
          <w:szCs w:val="22"/>
        </w:rPr>
        <w:t xml:space="preserve">Ant kartono dėžutės ir buteliuko po „EXP“ nurodytam tinkamumo laikui pasibaigus, </w:t>
      </w:r>
      <w:r>
        <w:rPr>
          <w:noProof/>
          <w:szCs w:val="22"/>
        </w:rPr>
        <w:t xml:space="preserve">šio vaisto vartoti negalima. </w:t>
      </w:r>
      <w:r>
        <w:rPr>
          <w:color w:val="000000" w:themeColor="text1"/>
          <w:szCs w:val="22"/>
        </w:rPr>
        <w:t>Vaistas tinkamas vartoti iki paskutinės nurodyto mėnesio dienos.</w:t>
      </w:r>
    </w:p>
    <w:p w:rsidR="008A01A1" w:rsidRDefault="008A01A1" w:rsidP="008A01A1">
      <w:pPr>
        <w:pStyle w:val="Pagrindinistekstas"/>
        <w:spacing w:after="0"/>
        <w:rPr>
          <w:noProof/>
          <w:color w:val="000000" w:themeColor="text1"/>
          <w:szCs w:val="22"/>
        </w:rPr>
      </w:pPr>
    </w:p>
    <w:p w:rsidR="008A01A1" w:rsidRDefault="008A01A1" w:rsidP="008A01A1">
      <w:pPr>
        <w:pStyle w:val="Pagrindinistekstas"/>
        <w:spacing w:after="0"/>
        <w:rPr>
          <w:color w:val="000000" w:themeColor="text1"/>
          <w:szCs w:val="22"/>
        </w:rPr>
      </w:pPr>
      <w:r>
        <w:rPr>
          <w:color w:val="000000" w:themeColor="text1"/>
          <w:szCs w:val="22"/>
        </w:rPr>
        <w:t>Vaistų negalima išmesti į kanalizaciją arba su buitinėmis atliekomis. Kaip išmesti nereikalingus vaistus, klauskite vaistininko. Šios priemonės padės apsaugoti aplinką.</w:t>
      </w:r>
    </w:p>
    <w:p w:rsidR="008A01A1" w:rsidRDefault="008A01A1" w:rsidP="008A01A1">
      <w:pPr>
        <w:pStyle w:val="Pagrindinistekstas"/>
        <w:spacing w:after="0"/>
        <w:rPr>
          <w:color w:val="000000" w:themeColor="text1"/>
          <w:szCs w:val="22"/>
        </w:rPr>
      </w:pPr>
    </w:p>
    <w:p w:rsidR="008A01A1" w:rsidRDefault="008A01A1" w:rsidP="008A01A1">
      <w:pPr>
        <w:pStyle w:val="Pagrindinistekstas"/>
        <w:spacing w:after="0"/>
        <w:rPr>
          <w:color w:val="000000" w:themeColor="text1"/>
          <w:szCs w:val="22"/>
        </w:rPr>
      </w:pPr>
    </w:p>
    <w:p w:rsidR="008A01A1" w:rsidRDefault="008A01A1" w:rsidP="008A01A1">
      <w:pPr>
        <w:pStyle w:val="Antrat2"/>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ab/>
        <w:t>Pakuotės turinys ir kita informacija</w:t>
      </w:r>
    </w:p>
    <w:p w:rsidR="008A01A1" w:rsidRDefault="008A01A1" w:rsidP="008A01A1">
      <w:pPr>
        <w:pStyle w:val="Pagrindinistekstas"/>
        <w:spacing w:after="0"/>
        <w:rPr>
          <w:color w:val="000000" w:themeColor="text1"/>
          <w:szCs w:val="22"/>
        </w:rPr>
      </w:pPr>
    </w:p>
    <w:p w:rsidR="008A01A1" w:rsidRDefault="008A01A1" w:rsidP="008A01A1">
      <w:pPr>
        <w:pStyle w:val="Pagrindinistekstas"/>
        <w:spacing w:after="0"/>
        <w:rPr>
          <w:b/>
          <w:color w:val="000000" w:themeColor="text1"/>
          <w:szCs w:val="22"/>
        </w:rPr>
      </w:pPr>
      <w:r>
        <w:rPr>
          <w:b/>
          <w:color w:val="000000" w:themeColor="text1"/>
          <w:szCs w:val="22"/>
        </w:rPr>
        <w:t>Amiptifree sudėtis</w:t>
      </w:r>
    </w:p>
    <w:p w:rsidR="008A01A1" w:rsidRDefault="008A01A1" w:rsidP="008A01A1">
      <w:pPr>
        <w:keepNext/>
        <w:keepLines/>
        <w:tabs>
          <w:tab w:val="left" w:pos="567"/>
        </w:tabs>
        <w:ind w:left="567" w:hanging="567"/>
        <w:rPr>
          <w:rFonts w:ascii="Times New Roman" w:hAnsi="Times New Roman"/>
          <w:sz w:val="22"/>
          <w:szCs w:val="22"/>
        </w:rPr>
      </w:pPr>
      <w:r>
        <w:rPr>
          <w:rFonts w:ascii="Times New Roman" w:hAnsi="Times New Roman"/>
          <w:color w:val="000000" w:themeColor="text1"/>
          <w:sz w:val="22"/>
          <w:szCs w:val="22"/>
        </w:rPr>
        <w:t>-</w:t>
      </w:r>
      <w:r>
        <w:rPr>
          <w:rFonts w:ascii="Times New Roman" w:hAnsi="Times New Roman"/>
          <w:color w:val="000000" w:themeColor="text1"/>
          <w:sz w:val="22"/>
          <w:szCs w:val="22"/>
        </w:rPr>
        <w:tab/>
        <w:t xml:space="preserve">Veikliosios medžiagos yra dorzolamidas ir timololis. </w:t>
      </w:r>
      <w:r>
        <w:rPr>
          <w:rFonts w:ascii="Times New Roman" w:hAnsi="Times New Roman"/>
          <w:sz w:val="22"/>
          <w:szCs w:val="22"/>
        </w:rPr>
        <w:t>Kiekviename mililitre yra 20 mg dorzolamido (22,26 mg dorzolamido hidrochlorido pavidalu) ir 5 mg timololio (6,83 mg timololio maleato pavidalu).</w:t>
      </w:r>
    </w:p>
    <w:p w:rsidR="008A01A1" w:rsidRDefault="008A01A1" w:rsidP="008A01A1">
      <w:pPr>
        <w:keepNext/>
        <w:keepLines/>
        <w:tabs>
          <w:tab w:val="left" w:pos="567"/>
        </w:tabs>
        <w:ind w:firstLine="567"/>
        <w:rPr>
          <w:rFonts w:ascii="Times New Roman" w:hAnsi="Times New Roman"/>
          <w:sz w:val="22"/>
          <w:szCs w:val="22"/>
        </w:rPr>
      </w:pPr>
      <w:r>
        <w:rPr>
          <w:rFonts w:ascii="Times New Roman" w:hAnsi="Times New Roman"/>
          <w:sz w:val="22"/>
          <w:szCs w:val="22"/>
        </w:rPr>
        <w:t>Kiekviename laše (maždaug 35 μl) yra 0,70 mg dorzolamido ir 0,18 mg timololio.</w:t>
      </w:r>
    </w:p>
    <w:p w:rsidR="008A01A1" w:rsidRDefault="008A01A1" w:rsidP="008A01A1">
      <w:pPr>
        <w:pStyle w:val="Pagrindinistekstas"/>
        <w:numPr>
          <w:ilvl w:val="0"/>
          <w:numId w:val="4"/>
        </w:numPr>
        <w:spacing w:after="0"/>
        <w:rPr>
          <w:noProof/>
          <w:color w:val="000000" w:themeColor="text1"/>
          <w:szCs w:val="22"/>
        </w:rPr>
      </w:pPr>
      <w:r>
        <w:rPr>
          <w:noProof/>
          <w:color w:val="000000" w:themeColor="text1"/>
          <w:szCs w:val="22"/>
        </w:rPr>
        <w:t>Pagalbinės medžiagos yra</w:t>
      </w:r>
      <w:r>
        <w:rPr>
          <w:szCs w:val="22"/>
        </w:rPr>
        <w:t xml:space="preserve"> hidroksietilceliuliozė 6400-11900 mPa·s, manitolis, natrio citratas, natrio hidroksidas (pH koreguoti), </w:t>
      </w:r>
      <w:r>
        <w:rPr>
          <w:rFonts w:eastAsiaTheme="minorHAnsi"/>
          <w:color w:val="000000"/>
          <w:szCs w:val="22"/>
          <w:lang w:eastAsia="en-US"/>
        </w:rPr>
        <w:t>išgrynintas vanduo.</w:t>
      </w:r>
    </w:p>
    <w:p w:rsidR="008A01A1" w:rsidRDefault="008A01A1" w:rsidP="008A01A1">
      <w:pPr>
        <w:pStyle w:val="Pagrindinistekstas"/>
        <w:spacing w:after="0"/>
        <w:rPr>
          <w:noProof/>
          <w:color w:val="000000" w:themeColor="text1"/>
          <w:szCs w:val="22"/>
        </w:rPr>
      </w:pPr>
    </w:p>
    <w:p w:rsidR="008A01A1" w:rsidRDefault="008A01A1" w:rsidP="008A01A1">
      <w:pPr>
        <w:pStyle w:val="Pagrindinistekstas"/>
        <w:spacing w:after="0"/>
        <w:rPr>
          <w:b/>
          <w:color w:val="000000" w:themeColor="text1"/>
          <w:szCs w:val="22"/>
        </w:rPr>
      </w:pPr>
      <w:r>
        <w:rPr>
          <w:b/>
          <w:color w:val="000000" w:themeColor="text1"/>
          <w:szCs w:val="22"/>
        </w:rPr>
        <w:t xml:space="preserve">Amiptifree išvaizda ir kiekis pakuotėje </w:t>
      </w:r>
    </w:p>
    <w:p w:rsidR="008A01A1" w:rsidRDefault="008A01A1" w:rsidP="008A01A1">
      <w:pPr>
        <w:pStyle w:val="Sraopastraipa2"/>
        <w:ind w:left="0"/>
        <w:rPr>
          <w:rFonts w:ascii="Times New Roman" w:hAnsi="Times New Roman"/>
          <w:color w:val="000000"/>
          <w:sz w:val="22"/>
          <w:szCs w:val="22"/>
          <w:lang w:eastAsia="en-US"/>
        </w:rPr>
      </w:pPr>
      <w:r>
        <w:rPr>
          <w:rFonts w:ascii="Times New Roman" w:hAnsi="Times New Roman"/>
          <w:color w:val="000000" w:themeColor="text1"/>
          <w:sz w:val="22"/>
          <w:szCs w:val="22"/>
        </w:rPr>
        <w:t xml:space="preserve">Amiptifree yra </w:t>
      </w:r>
      <w:r>
        <w:rPr>
          <w:rFonts w:ascii="Times New Roman" w:hAnsi="Times New Roman"/>
          <w:sz w:val="22"/>
          <w:szCs w:val="22"/>
        </w:rPr>
        <w:t>s</w:t>
      </w:r>
      <w:r>
        <w:rPr>
          <w:rFonts w:ascii="Times New Roman" w:hAnsi="Times New Roman"/>
          <w:color w:val="000000"/>
          <w:sz w:val="22"/>
          <w:szCs w:val="22"/>
          <w:lang w:eastAsia="en-US"/>
        </w:rPr>
        <w:t>kaidrus, bespalvis, šiek tiek klampus tirpalas.</w:t>
      </w:r>
    </w:p>
    <w:p w:rsidR="008A01A1" w:rsidRDefault="008A01A1" w:rsidP="008A01A1">
      <w:pPr>
        <w:rPr>
          <w:rFonts w:ascii="Times New Roman" w:hAnsi="Times New Roman"/>
          <w:sz w:val="22"/>
          <w:szCs w:val="22"/>
        </w:rPr>
      </w:pPr>
      <w:r>
        <w:rPr>
          <w:rFonts w:ascii="Times New Roman" w:hAnsi="Times New Roman"/>
          <w:sz w:val="22"/>
          <w:szCs w:val="22"/>
        </w:rPr>
        <w:t>Šis vaistas tiekiamas baltame MTPE buteliuke (5 ml talpos) su daugiadoziu DTPE aplikatoriumi su lašintuvu, saugančiu turinį nuo atgalinio užteršimo dėka silikoninių vožtuvų sistemos ir filtruojamo oro grąžinimo į buteliuką, bei užsukamuoju DTPE dangteliu su nuo pažeidimo saugančiu žiedu.</w:t>
      </w:r>
    </w:p>
    <w:p w:rsidR="008A01A1" w:rsidRDefault="008A01A1" w:rsidP="008A01A1">
      <w:pPr>
        <w:rPr>
          <w:rFonts w:ascii="Times New Roman" w:hAnsi="Times New Roman"/>
          <w:sz w:val="22"/>
          <w:szCs w:val="22"/>
        </w:rPr>
      </w:pPr>
      <w:r>
        <w:rPr>
          <w:rFonts w:ascii="Times New Roman" w:hAnsi="Times New Roman"/>
          <w:sz w:val="22"/>
          <w:szCs w:val="22"/>
        </w:rPr>
        <w:t>Buteliukas įdėtas į kartono dėžutę.</w:t>
      </w:r>
    </w:p>
    <w:p w:rsidR="008A01A1" w:rsidRDefault="008A01A1" w:rsidP="008A01A1">
      <w:pPr>
        <w:rPr>
          <w:rFonts w:ascii="Times New Roman" w:hAnsi="Times New Roman"/>
          <w:sz w:val="22"/>
          <w:szCs w:val="22"/>
        </w:rPr>
      </w:pPr>
    </w:p>
    <w:p w:rsidR="008A01A1" w:rsidRDefault="008A01A1" w:rsidP="008A01A1">
      <w:pPr>
        <w:rPr>
          <w:rFonts w:ascii="Times New Roman" w:hAnsi="Times New Roman"/>
          <w:sz w:val="22"/>
          <w:szCs w:val="22"/>
        </w:rPr>
      </w:pPr>
      <w:r>
        <w:rPr>
          <w:rFonts w:ascii="Times New Roman" w:hAnsi="Times New Roman"/>
          <w:sz w:val="22"/>
          <w:szCs w:val="22"/>
        </w:rPr>
        <w:t>Pakuotės dydžiai:</w:t>
      </w:r>
    </w:p>
    <w:p w:rsidR="008A01A1" w:rsidRDefault="008A01A1" w:rsidP="008A01A1">
      <w:pPr>
        <w:rPr>
          <w:rFonts w:ascii="Times New Roman" w:hAnsi="Times New Roman"/>
          <w:sz w:val="22"/>
          <w:szCs w:val="22"/>
        </w:rPr>
      </w:pPr>
      <w:r>
        <w:rPr>
          <w:rFonts w:ascii="Times New Roman" w:hAnsi="Times New Roman"/>
          <w:sz w:val="22"/>
          <w:szCs w:val="22"/>
        </w:rPr>
        <w:t>1 x 5 ml buteliukas</w:t>
      </w:r>
    </w:p>
    <w:p w:rsidR="008A01A1" w:rsidRDefault="008A01A1" w:rsidP="008A01A1">
      <w:pPr>
        <w:rPr>
          <w:rFonts w:ascii="Times New Roman" w:hAnsi="Times New Roman"/>
          <w:sz w:val="22"/>
          <w:szCs w:val="22"/>
        </w:rPr>
      </w:pPr>
      <w:r>
        <w:rPr>
          <w:rFonts w:ascii="Times New Roman" w:hAnsi="Times New Roman"/>
          <w:sz w:val="22"/>
          <w:szCs w:val="22"/>
        </w:rPr>
        <w:t>3 x 5 ml buteliukai</w:t>
      </w:r>
    </w:p>
    <w:p w:rsidR="008A01A1" w:rsidRDefault="008A01A1" w:rsidP="008A01A1">
      <w:pPr>
        <w:rPr>
          <w:rFonts w:ascii="Times New Roman" w:hAnsi="Times New Roman"/>
          <w:sz w:val="22"/>
          <w:szCs w:val="22"/>
        </w:rPr>
      </w:pPr>
    </w:p>
    <w:p w:rsidR="008A01A1" w:rsidRDefault="008A01A1" w:rsidP="008A01A1">
      <w:pPr>
        <w:rPr>
          <w:rFonts w:ascii="Times New Roman" w:hAnsi="Times New Roman"/>
          <w:sz w:val="22"/>
          <w:szCs w:val="22"/>
        </w:rPr>
      </w:pPr>
      <w:r>
        <w:rPr>
          <w:rFonts w:ascii="Times New Roman" w:hAnsi="Times New Roman"/>
          <w:sz w:val="22"/>
          <w:szCs w:val="22"/>
        </w:rPr>
        <w:t>Gali būti tiekiamos ne visų dydžių pakuotės.</w:t>
      </w:r>
    </w:p>
    <w:p w:rsidR="008A01A1" w:rsidRDefault="008A01A1" w:rsidP="008A01A1">
      <w:pPr>
        <w:pStyle w:val="Sraopastraipa2"/>
        <w:ind w:left="0"/>
        <w:rPr>
          <w:rFonts w:ascii="Times New Roman" w:hAnsi="Times New Roman"/>
          <w:color w:val="000000" w:themeColor="text1"/>
          <w:sz w:val="22"/>
          <w:szCs w:val="22"/>
        </w:rPr>
      </w:pPr>
    </w:p>
    <w:p w:rsidR="008A01A1" w:rsidRDefault="008A01A1" w:rsidP="008A01A1">
      <w:pPr>
        <w:pStyle w:val="PI-3EMEASMCA"/>
        <w:rPr>
          <w:b/>
        </w:rPr>
      </w:pPr>
      <w:r>
        <w:rPr>
          <w:b/>
        </w:rPr>
        <w:t>Registruotojas ir gamintojas</w:t>
      </w:r>
    </w:p>
    <w:p w:rsidR="008A01A1" w:rsidRDefault="008A01A1" w:rsidP="008A01A1">
      <w:pPr>
        <w:rPr>
          <w:rFonts w:ascii="Times New Roman" w:hAnsi="Times New Roman"/>
          <w:color w:val="000000" w:themeColor="text1"/>
          <w:sz w:val="22"/>
          <w:szCs w:val="22"/>
          <w:u w:val="single"/>
        </w:rPr>
      </w:pP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u w:val="single"/>
        </w:rPr>
        <w:t>Registruotojas</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Pharmaceutical Works POLPHARMA S.A.</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19 Pelplińska Street</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83-200 Starogard Gdański</w:t>
      </w:r>
    </w:p>
    <w:p w:rsidR="008A01A1" w:rsidRDefault="008A01A1" w:rsidP="008A01A1">
      <w:pPr>
        <w:pStyle w:val="Default"/>
        <w:rPr>
          <w:color w:val="000000" w:themeColor="text1"/>
          <w:sz w:val="22"/>
          <w:szCs w:val="22"/>
        </w:rPr>
      </w:pPr>
      <w:r>
        <w:rPr>
          <w:color w:val="000000" w:themeColor="text1"/>
          <w:sz w:val="22"/>
          <w:szCs w:val="22"/>
        </w:rPr>
        <w:t>Lenkija</w:t>
      </w:r>
    </w:p>
    <w:p w:rsidR="008A01A1" w:rsidRDefault="008A01A1" w:rsidP="008A01A1">
      <w:pPr>
        <w:pStyle w:val="Default"/>
        <w:rPr>
          <w:color w:val="000000" w:themeColor="text1"/>
          <w:sz w:val="22"/>
          <w:szCs w:val="22"/>
        </w:rPr>
      </w:pPr>
    </w:p>
    <w:p w:rsidR="008A01A1" w:rsidRDefault="008A01A1" w:rsidP="008A01A1">
      <w:pPr>
        <w:pStyle w:val="PI-3EMEASMCA"/>
        <w:rPr>
          <w:u w:val="single"/>
        </w:rPr>
      </w:pPr>
      <w:r>
        <w:rPr>
          <w:u w:val="single"/>
        </w:rPr>
        <w:t>Gamintojas</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Warsaw Pharmaceutical Works Polfa S.A.</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22/24 Karolkowa Street</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01-207 Warszawa</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Lenkija</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Jeigu apie šį vaistą norite sužinoti daugiau, kreipkitės į vietinį registruotojo atstovą.</w:t>
      </w:r>
    </w:p>
    <w:p w:rsidR="008A01A1" w:rsidRDefault="008A01A1" w:rsidP="008A01A1">
      <w:pPr>
        <w:rPr>
          <w:rFonts w:ascii="Times New Roman" w:hAnsi="Times New Roman"/>
          <w:color w:val="000000" w:themeColor="text1"/>
          <w:sz w:val="22"/>
          <w:szCs w:val="22"/>
        </w:rPr>
      </w:pPr>
    </w:p>
    <w:p w:rsidR="008A01A1" w:rsidRDefault="008A01A1" w:rsidP="008A01A1">
      <w:pPr>
        <w:rPr>
          <w:sz w:val="22"/>
          <w:szCs w:val="22"/>
        </w:rPr>
      </w:pPr>
      <w:r>
        <w:rPr>
          <w:sz w:val="22"/>
          <w:szCs w:val="22"/>
        </w:rPr>
        <w:t>POLPHARMA S.A. atstovybė Lietuvoje</w:t>
      </w:r>
    </w:p>
    <w:p w:rsidR="008A01A1" w:rsidRDefault="008A01A1" w:rsidP="008A01A1">
      <w:pPr>
        <w:rPr>
          <w:sz w:val="22"/>
          <w:szCs w:val="22"/>
        </w:rPr>
      </w:pPr>
      <w:r>
        <w:rPr>
          <w:sz w:val="22"/>
          <w:szCs w:val="22"/>
        </w:rPr>
        <w:t>E.Ožeškienės g. 18A</w:t>
      </w:r>
    </w:p>
    <w:p w:rsidR="008A01A1" w:rsidRDefault="008A01A1" w:rsidP="008A01A1">
      <w:pPr>
        <w:rPr>
          <w:sz w:val="22"/>
          <w:szCs w:val="22"/>
        </w:rPr>
      </w:pPr>
      <w:r>
        <w:rPr>
          <w:sz w:val="22"/>
          <w:szCs w:val="22"/>
        </w:rPr>
        <w:t>LT-44254 Kaunas</w:t>
      </w:r>
    </w:p>
    <w:p w:rsidR="008A01A1" w:rsidRDefault="008A01A1" w:rsidP="008A01A1">
      <w:pPr>
        <w:rPr>
          <w:sz w:val="22"/>
          <w:szCs w:val="22"/>
        </w:rPr>
      </w:pPr>
      <w:r>
        <w:rPr>
          <w:sz w:val="22"/>
          <w:szCs w:val="22"/>
        </w:rPr>
        <w:t>Tel. +370 37 325131</w:t>
      </w:r>
    </w:p>
    <w:p w:rsidR="008A01A1" w:rsidRDefault="008A01A1" w:rsidP="008A01A1">
      <w:pPr>
        <w:numPr>
          <w:ilvl w:val="12"/>
          <w:numId w:val="0"/>
        </w:numPr>
        <w:ind w:right="-2"/>
        <w:rPr>
          <w:rFonts w:ascii="Times New Roman" w:hAnsi="Times New Roman"/>
          <w:sz w:val="22"/>
          <w:szCs w:val="22"/>
        </w:rPr>
      </w:pPr>
    </w:p>
    <w:p w:rsidR="008A01A1" w:rsidRDefault="008A01A1" w:rsidP="008A01A1">
      <w:pPr>
        <w:numPr>
          <w:ilvl w:val="12"/>
          <w:numId w:val="0"/>
        </w:numPr>
        <w:ind w:right="-2"/>
        <w:rPr>
          <w:rFonts w:ascii="Times New Roman" w:hAnsi="Times New Roman"/>
          <w:sz w:val="22"/>
          <w:szCs w:val="22"/>
        </w:rPr>
      </w:pPr>
      <w:r>
        <w:rPr>
          <w:rFonts w:ascii="Times New Roman" w:hAnsi="Times New Roman"/>
          <w:b/>
          <w:sz w:val="22"/>
          <w:szCs w:val="22"/>
        </w:rPr>
        <w:t>Šis vaistas EEE valstybėse narėse registruotas tokiais pavadinimais</w:t>
      </w:r>
      <w:r>
        <w:rPr>
          <w:rFonts w:ascii="Times New Roman" w:hAnsi="Times New Roman"/>
          <w:sz w:val="22"/>
          <w:szCs w:val="22"/>
        </w:rPr>
        <w:t>:</w:t>
      </w:r>
    </w:p>
    <w:p w:rsidR="008A01A1" w:rsidRDefault="008A01A1" w:rsidP="008A01A1">
      <w:pPr>
        <w:pStyle w:val="Default"/>
        <w:rPr>
          <w:sz w:val="22"/>
          <w:szCs w:val="22"/>
          <w:lang w:val="bg-BG"/>
        </w:rPr>
      </w:pPr>
      <w:r>
        <w:rPr>
          <w:sz w:val="22"/>
          <w:szCs w:val="22"/>
        </w:rPr>
        <w:t>Bulgarija</w:t>
      </w:r>
      <w:r>
        <w:rPr>
          <w:sz w:val="22"/>
          <w:szCs w:val="22"/>
        </w:rPr>
        <w:tab/>
      </w:r>
      <w:r>
        <w:rPr>
          <w:bCs/>
          <w:sz w:val="22"/>
          <w:szCs w:val="22"/>
          <w:lang w:val="bg-BG"/>
        </w:rPr>
        <w:t>Амиптифри</w:t>
      </w:r>
      <w:r>
        <w:rPr>
          <w:sz w:val="22"/>
          <w:szCs w:val="22"/>
          <w:lang w:val="bg-BG"/>
        </w:rPr>
        <w:t xml:space="preserve"> </w:t>
      </w:r>
      <w:r>
        <w:rPr>
          <w:bCs/>
          <w:sz w:val="22"/>
          <w:szCs w:val="22"/>
          <w:lang w:val="bg-BG"/>
        </w:rPr>
        <w:t>20 mg</w:t>
      </w:r>
      <w:r w:rsidRPr="00481143">
        <w:rPr>
          <w:bCs/>
          <w:sz w:val="22"/>
          <w:szCs w:val="22"/>
          <w:lang w:val="ru-RU"/>
        </w:rPr>
        <w:t>/</w:t>
      </w:r>
      <w:r>
        <w:rPr>
          <w:bCs/>
          <w:sz w:val="22"/>
          <w:szCs w:val="22"/>
          <w:lang w:val="pl-PL"/>
        </w:rPr>
        <w:t>ml</w:t>
      </w:r>
      <w:r>
        <w:rPr>
          <w:bCs/>
          <w:sz w:val="22"/>
          <w:szCs w:val="22"/>
          <w:lang w:val="bg-BG"/>
        </w:rPr>
        <w:t xml:space="preserve"> + 5 mg/ml, капки за очи, разтвор</w:t>
      </w:r>
    </w:p>
    <w:p w:rsidR="008A01A1" w:rsidRDefault="008A01A1" w:rsidP="008A01A1">
      <w:pPr>
        <w:rPr>
          <w:sz w:val="22"/>
        </w:rPr>
      </w:pPr>
      <w:r>
        <w:rPr>
          <w:lang w:val="lv-LV"/>
        </w:rPr>
        <w:t>Latvija</w:t>
      </w:r>
      <w:r>
        <w:rPr>
          <w:lang w:val="lv-LV"/>
        </w:rPr>
        <w:tab/>
      </w:r>
      <w:r>
        <w:rPr>
          <w:sz w:val="22"/>
        </w:rPr>
        <w:t>Amiptinon 20 mg/5 mg/ml acu pilieni, šķīdums</w:t>
      </w:r>
    </w:p>
    <w:p w:rsidR="008A01A1" w:rsidRDefault="008A01A1" w:rsidP="008A01A1">
      <w:pPr>
        <w:rPr>
          <w:rFonts w:ascii="Times New Roman" w:hAnsi="Times New Roman"/>
          <w:color w:val="000000" w:themeColor="text1"/>
          <w:sz w:val="22"/>
          <w:szCs w:val="22"/>
        </w:rPr>
      </w:pPr>
      <w:r>
        <w:rPr>
          <w:rFonts w:ascii="Times New Roman" w:hAnsi="Times New Roman"/>
          <w:color w:val="000000" w:themeColor="text1"/>
          <w:sz w:val="22"/>
          <w:szCs w:val="22"/>
        </w:rPr>
        <w:t>Lenkija</w:t>
      </w:r>
      <w:r>
        <w:rPr>
          <w:rFonts w:ascii="Times New Roman" w:hAnsi="Times New Roman"/>
          <w:sz w:val="22"/>
          <w:szCs w:val="22"/>
        </w:rPr>
        <w:t xml:space="preserve"> </w:t>
      </w:r>
      <w:r>
        <w:rPr>
          <w:rFonts w:ascii="Times New Roman" w:hAnsi="Times New Roman"/>
          <w:sz w:val="22"/>
          <w:szCs w:val="22"/>
        </w:rPr>
        <w:tab/>
        <w:t>Nodofree Combi</w:t>
      </w:r>
    </w:p>
    <w:p w:rsidR="008A01A1" w:rsidRDefault="008A01A1" w:rsidP="008A01A1">
      <w:pPr>
        <w:autoSpaceDE w:val="0"/>
        <w:autoSpaceDN w:val="0"/>
        <w:adjustRightInd w:val="0"/>
        <w:rPr>
          <w:rFonts w:ascii="Times New Roman" w:hAnsi="Times New Roman"/>
          <w:color w:val="000000"/>
          <w:sz w:val="22"/>
          <w:szCs w:val="22"/>
          <w:lang w:eastAsia="en-US"/>
        </w:rPr>
      </w:pPr>
      <w:r>
        <w:rPr>
          <w:rFonts w:ascii="Times New Roman" w:hAnsi="Times New Roman"/>
          <w:sz w:val="22"/>
          <w:szCs w:val="22"/>
          <w:lang w:val="lv-LV"/>
        </w:rPr>
        <w:t>Lietuva</w:t>
      </w:r>
      <w:r>
        <w:rPr>
          <w:rFonts w:ascii="Times New Roman" w:hAnsi="Times New Roman"/>
          <w:bCs/>
          <w:sz w:val="22"/>
          <w:szCs w:val="22"/>
        </w:rPr>
        <w:t xml:space="preserve"> </w:t>
      </w:r>
      <w:r>
        <w:rPr>
          <w:rFonts w:ascii="Times New Roman" w:hAnsi="Times New Roman"/>
          <w:bCs/>
          <w:sz w:val="22"/>
          <w:szCs w:val="22"/>
        </w:rPr>
        <w:tab/>
        <w:t>Amiptifree 20 mg/5 mg/ml akių lašai</w:t>
      </w:r>
      <w:r>
        <w:rPr>
          <w:rFonts w:ascii="Times New Roman" w:hAnsi="Times New Roman"/>
          <w:bCs/>
          <w:noProof/>
          <w:sz w:val="22"/>
          <w:szCs w:val="22"/>
        </w:rPr>
        <w:t xml:space="preserve"> (tirpalas)</w:t>
      </w:r>
    </w:p>
    <w:p w:rsidR="008A01A1" w:rsidRDefault="008A01A1" w:rsidP="008A01A1">
      <w:pPr>
        <w:rPr>
          <w:sz w:val="22"/>
          <w:szCs w:val="22"/>
        </w:rPr>
      </w:pPr>
    </w:p>
    <w:p w:rsidR="008A01A1" w:rsidRDefault="008A01A1" w:rsidP="008A01A1">
      <w:pPr>
        <w:pStyle w:val="BTEMEASMCA"/>
      </w:pPr>
    </w:p>
    <w:p w:rsidR="008A01A1" w:rsidRDefault="008A01A1" w:rsidP="008A01A1">
      <w:pPr>
        <w:rPr>
          <w:rFonts w:ascii="Times New Roman" w:hAnsi="Times New Roman"/>
          <w:color w:val="000000" w:themeColor="text1"/>
          <w:sz w:val="22"/>
          <w:szCs w:val="22"/>
        </w:rPr>
      </w:pPr>
      <w:r>
        <w:rPr>
          <w:rFonts w:ascii="Times New Roman" w:hAnsi="Times New Roman"/>
          <w:b/>
          <w:sz w:val="22"/>
          <w:szCs w:val="22"/>
        </w:rPr>
        <w:t>Šis pakuotės lapelis paskutinį kartą peržiūrėtas 2021-07-20.</w:t>
      </w:r>
    </w:p>
    <w:p w:rsidR="008A01A1" w:rsidRDefault="008A01A1" w:rsidP="008A01A1">
      <w:pPr>
        <w:rPr>
          <w:rFonts w:ascii="Times New Roman" w:hAnsi="Times New Roman"/>
          <w:color w:val="000000" w:themeColor="text1"/>
          <w:sz w:val="22"/>
          <w:szCs w:val="22"/>
        </w:rPr>
      </w:pPr>
    </w:p>
    <w:p w:rsidR="008A01A1" w:rsidRDefault="008A01A1" w:rsidP="008A01A1">
      <w:pPr>
        <w:rPr>
          <w:rFonts w:ascii="Times New Roman" w:hAnsi="Times New Roman"/>
          <w:color w:val="000000" w:themeColor="text1"/>
          <w:sz w:val="22"/>
          <w:szCs w:val="22"/>
        </w:rPr>
      </w:pPr>
    </w:p>
    <w:p w:rsidR="008A01A1" w:rsidRDefault="008A01A1" w:rsidP="008A01A1">
      <w:pPr>
        <w:tabs>
          <w:tab w:val="left" w:pos="0"/>
        </w:tabs>
        <w:outlineLvl w:val="0"/>
        <w:rPr>
          <w:rFonts w:ascii="Times New Roman" w:hAnsi="Times New Roman"/>
          <w:caps/>
          <w:color w:val="000000" w:themeColor="text1"/>
          <w:sz w:val="22"/>
          <w:szCs w:val="22"/>
          <w:lang w:eastAsia="en-US"/>
        </w:rPr>
      </w:pPr>
      <w:r>
        <w:rPr>
          <w:rFonts w:ascii="Times New Roman" w:hAnsi="Times New Roman"/>
          <w:color w:val="000000" w:themeColor="text1"/>
          <w:sz w:val="22"/>
          <w:szCs w:val="22"/>
        </w:rPr>
        <w:t xml:space="preserve">Išsami informacija apie šį vaistą pateikiama Valstybinės vaistų kontrolės tarnybos prie Lietuvos Respublikos sveikatos apsaugos ministerijos tinklalapyje </w:t>
      </w:r>
      <w:hyperlink r:id="rId12" w:history="1">
        <w:r w:rsidRPr="00A75088">
          <w:rPr>
            <w:rStyle w:val="Hipersaitas"/>
            <w:rFonts w:eastAsia="SimSun"/>
          </w:rPr>
          <w:t>http://www.vvkt.lt/</w:t>
        </w:r>
      </w:hyperlink>
      <w:r>
        <w:rPr>
          <w:rFonts w:ascii="Times New Roman" w:hAnsi="Times New Roman"/>
          <w:color w:val="000000" w:themeColor="text1"/>
          <w:sz w:val="22"/>
          <w:szCs w:val="22"/>
        </w:rPr>
        <w:t>.</w:t>
      </w:r>
    </w:p>
    <w:p w:rsidR="008A01A1" w:rsidRDefault="008A01A1" w:rsidP="008A01A1"/>
    <w:p w:rsidR="009041DB" w:rsidRDefault="009041DB">
      <w:bookmarkStart w:id="2" w:name="_GoBack"/>
      <w:bookmarkEnd w:id="2"/>
    </w:p>
    <w:sectPr w:rsidR="009041DB" w:rsidSect="00A75088">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547718"/>
      <w:docPartObj>
        <w:docPartGallery w:val="Page Numbers (Bottom of Page)"/>
        <w:docPartUnique/>
      </w:docPartObj>
    </w:sdtPr>
    <w:sdtEndPr>
      <w:rPr>
        <w:sz w:val="22"/>
      </w:rPr>
    </w:sdtEndPr>
    <w:sdtContent>
      <w:p w:rsidR="00C42CAC" w:rsidRPr="00C42CAC" w:rsidRDefault="008A01A1">
        <w:pPr>
          <w:pStyle w:val="Porat"/>
          <w:jc w:val="center"/>
          <w:rPr>
            <w:sz w:val="22"/>
          </w:rPr>
        </w:pPr>
        <w:r w:rsidRPr="00C42CAC">
          <w:rPr>
            <w:sz w:val="22"/>
          </w:rPr>
          <w:fldChar w:fldCharType="begin"/>
        </w:r>
        <w:r w:rsidRPr="00C42CAC">
          <w:rPr>
            <w:sz w:val="22"/>
          </w:rPr>
          <w:instrText>PAGE   \* MERGEFORMAT</w:instrText>
        </w:r>
        <w:r w:rsidRPr="00C42CAC">
          <w:rPr>
            <w:sz w:val="22"/>
          </w:rPr>
          <w:fldChar w:fldCharType="separate"/>
        </w:r>
        <w:r>
          <w:rPr>
            <w:noProof/>
            <w:sz w:val="22"/>
          </w:rPr>
          <w:t>8</w:t>
        </w:r>
        <w:r w:rsidRPr="00C42CAC">
          <w:rPr>
            <w:sz w:val="22"/>
          </w:rPr>
          <w:fldChar w:fldCharType="end"/>
        </w:r>
      </w:p>
    </w:sdtContent>
  </w:sdt>
  <w:p w:rsidR="00481143" w:rsidRDefault="008A01A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89" w:rsidRDefault="008A0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563D3"/>
    <w:multiLevelType w:val="hybridMultilevel"/>
    <w:tmpl w:val="C33EC4B0"/>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6096DF12"/>
    <w:lvl w:ilvl="0" w:tplc="527E15C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E4359B"/>
    <w:multiLevelType w:val="hybridMultilevel"/>
    <w:tmpl w:val="6C64952E"/>
    <w:lvl w:ilvl="0" w:tplc="95D47D8A">
      <w:start w:val="1"/>
      <w:numFmt w:val="bullet"/>
      <w:lvlText w:val="-"/>
      <w:lvlJc w:val="left"/>
      <w:pPr>
        <w:tabs>
          <w:tab w:val="num" w:pos="397"/>
        </w:tabs>
        <w:ind w:left="397" w:hanging="397"/>
      </w:pPr>
      <w:rPr>
        <w:rFonts w:ascii="Times New Roman" w:hAnsi="Times New Roman"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0F22E5"/>
    <w:multiLevelType w:val="hybridMultilevel"/>
    <w:tmpl w:val="CB00775C"/>
    <w:lvl w:ilvl="0" w:tplc="A3AEBC84">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A1"/>
    <w:rsid w:val="008A01A1"/>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760E"/>
  <w15:chartTrackingRefBased/>
  <w15:docId w15:val="{F9B35841-1D6A-4CB0-8EA1-3D0A6DE7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01A1"/>
    <w:pPr>
      <w:spacing w:after="0" w:line="240" w:lineRule="auto"/>
    </w:pPr>
    <w:rPr>
      <w:rFonts w:ascii="TimesLT" w:hAnsi="TimesLT" w:cs="Times New Roman"/>
      <w:sz w:val="24"/>
      <w:szCs w:val="20"/>
      <w:lang w:eastAsia="lt-LT"/>
    </w:rPr>
  </w:style>
  <w:style w:type="paragraph" w:styleId="Antrat1">
    <w:name w:val="heading 1"/>
    <w:basedOn w:val="prastasis"/>
    <w:next w:val="prastasis"/>
    <w:link w:val="Antrat1Diagrama"/>
    <w:uiPriority w:val="9"/>
    <w:qFormat/>
    <w:rsid w:val="008A01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A01A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8A01A1"/>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A01A1"/>
    <w:rPr>
      <w:rFonts w:asciiTheme="majorHAnsi" w:eastAsiaTheme="majorEastAsia" w:hAnsiTheme="majorHAnsi" w:cstheme="majorBidi"/>
      <w:b/>
      <w:bCs/>
      <w:color w:val="5B9BD5" w:themeColor="accent1"/>
      <w:sz w:val="26"/>
      <w:szCs w:val="26"/>
      <w:lang w:eastAsia="lt-LT"/>
    </w:rPr>
  </w:style>
  <w:style w:type="character" w:customStyle="1" w:styleId="Antrat3Diagrama">
    <w:name w:val="Antraštė 3 Diagrama"/>
    <w:basedOn w:val="Numatytasispastraiposriftas"/>
    <w:link w:val="Antrat3"/>
    <w:uiPriority w:val="9"/>
    <w:semiHidden/>
    <w:rsid w:val="008A01A1"/>
    <w:rPr>
      <w:rFonts w:asciiTheme="majorHAnsi" w:eastAsiaTheme="majorEastAsia" w:hAnsiTheme="majorHAnsi" w:cstheme="majorBidi"/>
      <w:b/>
      <w:bCs/>
      <w:color w:val="5B9BD5" w:themeColor="accent1"/>
      <w:sz w:val="24"/>
      <w:szCs w:val="20"/>
      <w:lang w:eastAsia="lt-LT"/>
    </w:rPr>
  </w:style>
  <w:style w:type="character" w:styleId="Hipersaitas">
    <w:name w:val="Hyperlink"/>
    <w:uiPriority w:val="99"/>
    <w:unhideWhenUsed/>
    <w:rsid w:val="008A01A1"/>
    <w:rPr>
      <w:color w:val="0000FF"/>
      <w:u w:val="single"/>
    </w:rPr>
  </w:style>
  <w:style w:type="paragraph" w:styleId="Antrats">
    <w:name w:val="header"/>
    <w:basedOn w:val="prastasis"/>
    <w:link w:val="AntratsDiagrama"/>
    <w:uiPriority w:val="99"/>
    <w:unhideWhenUsed/>
    <w:rsid w:val="008A01A1"/>
    <w:pPr>
      <w:tabs>
        <w:tab w:val="center" w:pos="4819"/>
        <w:tab w:val="right" w:pos="9638"/>
      </w:tabs>
    </w:pPr>
  </w:style>
  <w:style w:type="character" w:customStyle="1" w:styleId="AntratsDiagrama">
    <w:name w:val="Antraštės Diagrama"/>
    <w:basedOn w:val="Numatytasispastraiposriftas"/>
    <w:link w:val="Antrats"/>
    <w:uiPriority w:val="99"/>
    <w:rsid w:val="008A01A1"/>
    <w:rPr>
      <w:rFonts w:ascii="TimesLT" w:hAnsi="TimesLT" w:cs="Times New Roman"/>
      <w:sz w:val="24"/>
      <w:szCs w:val="20"/>
      <w:lang w:eastAsia="lt-LT"/>
    </w:rPr>
  </w:style>
  <w:style w:type="paragraph" w:styleId="Porat">
    <w:name w:val="footer"/>
    <w:basedOn w:val="prastasis"/>
    <w:link w:val="PoratDiagrama"/>
    <w:uiPriority w:val="99"/>
    <w:unhideWhenUsed/>
    <w:rsid w:val="008A01A1"/>
    <w:pPr>
      <w:tabs>
        <w:tab w:val="center" w:pos="4819"/>
        <w:tab w:val="right" w:pos="9638"/>
      </w:tabs>
    </w:pPr>
  </w:style>
  <w:style w:type="character" w:customStyle="1" w:styleId="PoratDiagrama">
    <w:name w:val="Poraštė Diagrama"/>
    <w:basedOn w:val="Numatytasispastraiposriftas"/>
    <w:link w:val="Porat"/>
    <w:uiPriority w:val="99"/>
    <w:rsid w:val="008A01A1"/>
    <w:rPr>
      <w:rFonts w:ascii="TimesLT" w:hAnsi="TimesLT" w:cs="Times New Roman"/>
      <w:sz w:val="24"/>
      <w:szCs w:val="20"/>
      <w:lang w:eastAsia="lt-LT"/>
    </w:rPr>
  </w:style>
  <w:style w:type="paragraph" w:styleId="Pavadinimas">
    <w:name w:val="Title"/>
    <w:basedOn w:val="prastasis"/>
    <w:link w:val="PavadinimasDiagrama"/>
    <w:qFormat/>
    <w:rsid w:val="008A01A1"/>
    <w:pPr>
      <w:jc w:val="center"/>
    </w:pPr>
    <w:rPr>
      <w:rFonts w:ascii="Times New Roman" w:hAnsi="Times New Roman"/>
      <w:b/>
      <w:sz w:val="26"/>
    </w:rPr>
  </w:style>
  <w:style w:type="character" w:customStyle="1" w:styleId="PavadinimasDiagrama">
    <w:name w:val="Pavadinimas Diagrama"/>
    <w:basedOn w:val="Numatytasispastraiposriftas"/>
    <w:link w:val="Pavadinimas"/>
    <w:rsid w:val="008A01A1"/>
    <w:rPr>
      <w:rFonts w:ascii="Times New Roman" w:hAnsi="Times New Roman" w:cs="Times New Roman"/>
      <w:b/>
      <w:sz w:val="26"/>
      <w:szCs w:val="20"/>
      <w:lang w:eastAsia="lt-LT"/>
    </w:rPr>
  </w:style>
  <w:style w:type="paragraph" w:styleId="Pagrindinistekstas">
    <w:name w:val="Body Text"/>
    <w:basedOn w:val="prastasis"/>
    <w:link w:val="PagrindinistekstasDiagrama"/>
    <w:unhideWhenUsed/>
    <w:rsid w:val="008A01A1"/>
    <w:pPr>
      <w:spacing w:after="120"/>
    </w:pPr>
    <w:rPr>
      <w:rFonts w:ascii="Times New Roman" w:hAnsi="Times New Roman"/>
      <w:sz w:val="22"/>
    </w:rPr>
  </w:style>
  <w:style w:type="character" w:customStyle="1" w:styleId="PagrindinistekstasDiagrama">
    <w:name w:val="Pagrindinis tekstas Diagrama"/>
    <w:basedOn w:val="Numatytasispastraiposriftas"/>
    <w:link w:val="Pagrindinistekstas"/>
    <w:rsid w:val="008A01A1"/>
    <w:rPr>
      <w:rFonts w:ascii="Times New Roman" w:hAnsi="Times New Roman" w:cs="Times New Roman"/>
      <w:szCs w:val="20"/>
      <w:lang w:eastAsia="lt-LT"/>
    </w:rPr>
  </w:style>
  <w:style w:type="paragraph" w:styleId="Sraopastraipa">
    <w:name w:val="List Paragraph"/>
    <w:basedOn w:val="prastasis"/>
    <w:uiPriority w:val="34"/>
    <w:qFormat/>
    <w:rsid w:val="008A01A1"/>
    <w:pPr>
      <w:ind w:left="720"/>
      <w:contextualSpacing/>
    </w:pPr>
  </w:style>
  <w:style w:type="character" w:customStyle="1" w:styleId="BTEMEASMCAChar">
    <w:name w:val="BT EMEA_SMCA Char"/>
    <w:link w:val="BTEMEASMCA"/>
    <w:uiPriority w:val="99"/>
    <w:locked/>
    <w:rsid w:val="008A01A1"/>
    <w:rPr>
      <w:rFonts w:ascii="Times New Roman" w:eastAsia="Arial Unicode MS" w:hAnsi="Times New Roman" w:cs="Times New Roman"/>
      <w:noProof/>
    </w:rPr>
  </w:style>
  <w:style w:type="paragraph" w:customStyle="1" w:styleId="BTEMEASMCA">
    <w:name w:val="BT EMEA_SMCA"/>
    <w:basedOn w:val="prastasis"/>
    <w:link w:val="BTEMEASMCAChar"/>
    <w:autoRedefine/>
    <w:uiPriority w:val="99"/>
    <w:rsid w:val="008A01A1"/>
    <w:rPr>
      <w:rFonts w:ascii="Times New Roman" w:eastAsia="Arial Unicode MS" w:hAnsi="Times New Roman"/>
      <w:noProof/>
      <w:sz w:val="22"/>
      <w:szCs w:val="22"/>
      <w:lang w:eastAsia="en-US"/>
    </w:rPr>
  </w:style>
  <w:style w:type="character" w:customStyle="1" w:styleId="TTEMEASMCAChar">
    <w:name w:val="TT EMEA_SMCA Char"/>
    <w:link w:val="TTEMEASMCA"/>
    <w:locked/>
    <w:rsid w:val="008A01A1"/>
    <w:rPr>
      <w:rFonts w:ascii="Times New Roman" w:hAnsi="Times New Roman" w:cs="Times New Roman"/>
      <w:b/>
      <w:caps/>
    </w:rPr>
  </w:style>
  <w:style w:type="paragraph" w:customStyle="1" w:styleId="TTEMEASMCA">
    <w:name w:val="TT EMEA_SMCA"/>
    <w:basedOn w:val="Antrat1"/>
    <w:link w:val="TTEMEASMCAChar"/>
    <w:autoRedefine/>
    <w:rsid w:val="008A01A1"/>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eastAsia="en-US"/>
    </w:rPr>
  </w:style>
  <w:style w:type="paragraph" w:customStyle="1" w:styleId="PI-1EMEASMCA">
    <w:name w:val="PI-1 EMEA_SMCA"/>
    <w:basedOn w:val="Antrat2"/>
    <w:autoRedefine/>
    <w:rsid w:val="008A01A1"/>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paragraph" w:customStyle="1" w:styleId="BT-EMEASMCA">
    <w:name w:val="BT- EMEA_SMCA"/>
    <w:basedOn w:val="BTEMEASMCA"/>
    <w:autoRedefine/>
    <w:uiPriority w:val="99"/>
    <w:rsid w:val="008A01A1"/>
    <w:pPr>
      <w:numPr>
        <w:numId w:val="1"/>
      </w:numPr>
      <w:tabs>
        <w:tab w:val="clear" w:pos="720"/>
        <w:tab w:val="num" w:pos="360"/>
        <w:tab w:val="left" w:pos="4253"/>
      </w:tabs>
      <w:ind w:left="360" w:hanging="360"/>
    </w:pPr>
  </w:style>
  <w:style w:type="paragraph" w:customStyle="1" w:styleId="BTbEMEASMCA">
    <w:name w:val="BT(b) EMEA_SMCA"/>
    <w:basedOn w:val="BTEMEASMCA"/>
    <w:autoRedefine/>
    <w:rsid w:val="008A01A1"/>
    <w:rPr>
      <w:b/>
      <w:bCs/>
    </w:rPr>
  </w:style>
  <w:style w:type="paragraph" w:customStyle="1" w:styleId="PI-3EMEASMCA">
    <w:name w:val="PI-3 EMEA_SMCA"/>
    <w:basedOn w:val="prastasis"/>
    <w:autoRedefine/>
    <w:rsid w:val="008A01A1"/>
    <w:rPr>
      <w:rFonts w:ascii="Times New Roman" w:hAnsi="Times New Roman"/>
      <w:bCs/>
      <w:color w:val="000000" w:themeColor="text1"/>
      <w:sz w:val="22"/>
      <w:szCs w:val="22"/>
      <w:lang w:eastAsia="en-US"/>
    </w:rPr>
  </w:style>
  <w:style w:type="character" w:customStyle="1" w:styleId="DefaultZnak">
    <w:name w:val="Default Znak"/>
    <w:link w:val="Default"/>
    <w:locked/>
    <w:rsid w:val="008A01A1"/>
    <w:rPr>
      <w:rFonts w:ascii="Times New Roman" w:hAnsi="Times New Roman" w:cs="Times New Roman"/>
      <w:color w:val="000000"/>
      <w:sz w:val="24"/>
      <w:szCs w:val="24"/>
      <w:lang w:eastAsia="lt-LT"/>
    </w:rPr>
  </w:style>
  <w:style w:type="paragraph" w:customStyle="1" w:styleId="Default">
    <w:name w:val="Default"/>
    <w:link w:val="DefaultZnak"/>
    <w:rsid w:val="008A01A1"/>
    <w:pPr>
      <w:autoSpaceDE w:val="0"/>
      <w:autoSpaceDN w:val="0"/>
      <w:adjustRightInd w:val="0"/>
      <w:spacing w:after="0" w:line="240" w:lineRule="auto"/>
    </w:pPr>
    <w:rPr>
      <w:rFonts w:ascii="Times New Roman" w:hAnsi="Times New Roman" w:cs="Times New Roman"/>
      <w:color w:val="000000"/>
      <w:sz w:val="24"/>
      <w:szCs w:val="24"/>
      <w:lang w:eastAsia="lt-LT"/>
    </w:rPr>
  </w:style>
  <w:style w:type="paragraph" w:customStyle="1" w:styleId="Sraopastraipa2">
    <w:name w:val="Sąrašo pastraipa2"/>
    <w:basedOn w:val="prastasis"/>
    <w:uiPriority w:val="34"/>
    <w:qFormat/>
    <w:rsid w:val="008A01A1"/>
    <w:pPr>
      <w:ind w:left="720"/>
      <w:contextualSpacing/>
    </w:pPr>
  </w:style>
  <w:style w:type="paragraph" w:customStyle="1" w:styleId="Sraopastraipa1">
    <w:name w:val="Sąrašo pastraipa1"/>
    <w:basedOn w:val="prastasis"/>
    <w:qFormat/>
    <w:rsid w:val="008A01A1"/>
    <w:pPr>
      <w:ind w:left="720"/>
      <w:contextualSpacing/>
    </w:pPr>
  </w:style>
  <w:style w:type="character" w:customStyle="1" w:styleId="Antrat1Diagrama">
    <w:name w:val="Antraštė 1 Diagrama"/>
    <w:basedOn w:val="Numatytasispastraiposriftas"/>
    <w:link w:val="Antrat1"/>
    <w:uiPriority w:val="9"/>
    <w:rsid w:val="008A01A1"/>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12726</Words>
  <Characters>7255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2021-08-06T07:58:00Z</dcterms:created>
  <dcterms:modified xsi:type="dcterms:W3CDTF">2021-08-06T07:58:00Z</dcterms:modified>
</cp:coreProperties>
</file>